
<file path=[Content_Types].xml><?xml version="1.0" encoding="utf-8"?>
<Types xmlns="http://schemas.openxmlformats.org/package/2006/content-types">
  <Default Extension="xml" ContentType="application/xml"/>
  <Default Extension="emf" ContentType="image/x-emf"/>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3E59250D">
      <w:pPr>
        <w:spacing w:line="720" w:lineRule="exact"/>
        <w:jc w:val="center"/>
        <w:rPr>
          <w:rFonts w:hint="eastAsia" w:ascii="宋体" w:hAnsi="宋体"/>
          <w:b/>
          <w:bCs/>
          <w:color w:val="auto"/>
          <w:sz w:val="60"/>
          <w:szCs w:val="60"/>
          <w:highlight w:val="none"/>
        </w:rPr>
      </w:pPr>
      <w:r>
        <w:rPr>
          <w:rFonts w:hint="eastAsia" w:ascii="宋体" w:hAnsi="宋体"/>
          <w:b/>
          <w:bCs/>
          <w:color w:val="auto"/>
          <w:sz w:val="60"/>
          <w:szCs w:val="60"/>
          <w:highlight w:val="none"/>
        </w:rPr>
        <w:t xml:space="preserve">                                        </w:t>
      </w:r>
    </w:p>
    <w:p w14:paraId="6D45C71D">
      <w:pPr>
        <w:spacing w:line="720" w:lineRule="exact"/>
        <w:jc w:val="center"/>
        <w:outlineLvl w:val="9"/>
        <w:rPr>
          <w:rFonts w:hint="eastAsia" w:ascii="宋体" w:hAnsi="宋体" w:eastAsia="宋体" w:cs="宋体"/>
          <w:color w:val="auto"/>
          <w:sz w:val="52"/>
          <w:szCs w:val="52"/>
          <w:highlight w:val="none"/>
          <w:lang w:eastAsia="zh-CN"/>
        </w:rPr>
      </w:pPr>
      <w:r>
        <w:rPr>
          <w:rFonts w:hint="eastAsia" w:ascii="宋体" w:hAnsi="宋体" w:eastAsia="宋体" w:cs="宋体"/>
          <w:b/>
          <w:bCs/>
          <w:color w:val="auto"/>
          <w:sz w:val="52"/>
          <w:szCs w:val="52"/>
          <w:highlight w:val="none"/>
          <w:lang w:eastAsia="zh-CN"/>
        </w:rPr>
        <w:t>广西国兴项目管理有限公司</w:t>
      </w:r>
    </w:p>
    <w:p w14:paraId="2D00CB2D">
      <w:pPr>
        <w:pStyle w:val="9"/>
        <w:jc w:val="center"/>
        <w:rPr>
          <w:rFonts w:hint="eastAsia" w:ascii="宋体" w:hAnsi="宋体" w:eastAsia="宋体" w:cs="宋体"/>
          <w:b/>
          <w:bCs/>
          <w:color w:val="auto"/>
          <w:spacing w:val="80"/>
          <w:szCs w:val="21"/>
          <w:highlight w:val="none"/>
        </w:rPr>
      </w:pPr>
    </w:p>
    <w:p w14:paraId="4C2DE960">
      <w:pPr>
        <w:pStyle w:val="9"/>
        <w:jc w:val="center"/>
        <w:rPr>
          <w:rFonts w:hint="eastAsia" w:ascii="宋体" w:hAnsi="宋体" w:eastAsia="宋体" w:cs="宋体"/>
          <w:b/>
          <w:bCs/>
          <w:color w:val="auto"/>
          <w:spacing w:val="80"/>
          <w:sz w:val="72"/>
          <w:highlight w:val="none"/>
        </w:rPr>
      </w:pPr>
    </w:p>
    <w:p w14:paraId="6C31833B">
      <w:pPr>
        <w:pStyle w:val="9"/>
        <w:rPr>
          <w:rFonts w:hint="eastAsia" w:ascii="宋体" w:hAnsi="宋体" w:eastAsia="宋体" w:cs="宋体"/>
          <w:color w:val="auto"/>
          <w:highlight w:val="none"/>
        </w:rPr>
      </w:pPr>
    </w:p>
    <w:p w14:paraId="3C2BB9AE">
      <w:pPr>
        <w:spacing w:line="1400" w:lineRule="exact"/>
        <w:jc w:val="center"/>
        <w:rPr>
          <w:rFonts w:hint="eastAsia" w:ascii="宋体" w:hAnsi="宋体" w:eastAsia="宋体" w:cs="宋体"/>
          <w:b/>
          <w:color w:val="auto"/>
          <w:spacing w:val="60"/>
          <w:sz w:val="132"/>
          <w:szCs w:val="132"/>
          <w:highlight w:val="none"/>
        </w:rPr>
      </w:pPr>
    </w:p>
    <w:p w14:paraId="5E7FDA92">
      <w:pPr>
        <w:spacing w:line="1400" w:lineRule="exact"/>
        <w:jc w:val="center"/>
        <w:rPr>
          <w:rFonts w:hint="eastAsia" w:ascii="宋体" w:hAnsi="宋体" w:eastAsia="宋体" w:cs="宋体"/>
          <w:b/>
          <w:color w:val="auto"/>
          <w:spacing w:val="60"/>
          <w:sz w:val="132"/>
          <w:szCs w:val="132"/>
          <w:highlight w:val="none"/>
        </w:rPr>
      </w:pPr>
      <w:r>
        <w:rPr>
          <w:rFonts w:hint="eastAsia" w:ascii="宋体" w:hAnsi="宋体" w:eastAsia="宋体" w:cs="宋体"/>
          <w:b/>
          <w:color w:val="auto"/>
          <w:spacing w:val="60"/>
          <w:sz w:val="132"/>
          <w:szCs w:val="132"/>
          <w:highlight w:val="none"/>
        </w:rPr>
        <w:t>招标文件</w:t>
      </w:r>
    </w:p>
    <w:p w14:paraId="683FF8FD">
      <w:pPr>
        <w:pStyle w:val="9"/>
        <w:rPr>
          <w:rFonts w:hint="eastAsia" w:ascii="宋体" w:hAnsi="宋体" w:eastAsia="宋体" w:cs="宋体"/>
          <w:b/>
          <w:color w:val="auto"/>
          <w:sz w:val="48"/>
          <w:szCs w:val="48"/>
          <w:highlight w:val="none"/>
        </w:rPr>
      </w:pPr>
    </w:p>
    <w:p w14:paraId="3E02EB11">
      <w:pPr>
        <w:pStyle w:val="9"/>
        <w:rPr>
          <w:rFonts w:hint="eastAsia" w:ascii="宋体" w:hAnsi="宋体" w:eastAsia="宋体" w:cs="宋体"/>
          <w:color w:val="auto"/>
          <w:highlight w:val="none"/>
        </w:rPr>
      </w:pPr>
    </w:p>
    <w:p w14:paraId="370BB71D">
      <w:pPr>
        <w:pStyle w:val="9"/>
        <w:rPr>
          <w:rFonts w:hint="eastAsia" w:ascii="宋体" w:hAnsi="宋体" w:eastAsia="宋体" w:cs="宋体"/>
          <w:color w:val="auto"/>
          <w:highlight w:val="none"/>
        </w:rPr>
      </w:pPr>
    </w:p>
    <w:p w14:paraId="37F9A3AD">
      <w:pPr>
        <w:pStyle w:val="9"/>
        <w:rPr>
          <w:rFonts w:hint="eastAsia" w:ascii="宋体" w:hAnsi="宋体" w:eastAsia="宋体" w:cs="宋体"/>
          <w:color w:val="auto"/>
          <w:highlight w:val="none"/>
        </w:rPr>
      </w:pPr>
    </w:p>
    <w:p w14:paraId="5E1FAE3E">
      <w:pPr>
        <w:pStyle w:val="9"/>
        <w:rPr>
          <w:rFonts w:hint="eastAsia" w:ascii="宋体" w:hAnsi="宋体" w:eastAsia="宋体" w:cs="宋体"/>
          <w:color w:val="auto"/>
          <w:highlight w:val="none"/>
        </w:rPr>
      </w:pPr>
    </w:p>
    <w:p w14:paraId="1152A30A">
      <w:pPr>
        <w:pStyle w:val="9"/>
        <w:rPr>
          <w:rFonts w:hint="eastAsia" w:ascii="宋体" w:hAnsi="宋体" w:eastAsia="宋体" w:cs="宋体"/>
          <w:color w:val="auto"/>
          <w:highlight w:val="none"/>
        </w:rPr>
      </w:pPr>
    </w:p>
    <w:p w14:paraId="178DBBAC">
      <w:pPr>
        <w:spacing w:line="600" w:lineRule="exact"/>
        <w:ind w:left="0" w:leftChars="0" w:firstLine="1934" w:firstLineChars="602"/>
        <w:jc w:val="both"/>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项目名称：</w:t>
      </w:r>
      <w:r>
        <w:rPr>
          <w:rFonts w:hint="eastAsia" w:ascii="宋体" w:hAnsi="宋体" w:eastAsia="宋体" w:cs="宋体"/>
          <w:b/>
          <w:color w:val="auto"/>
          <w:sz w:val="32"/>
          <w:szCs w:val="32"/>
          <w:highlight w:val="none"/>
          <w:lang w:eastAsia="zh-CN"/>
        </w:rPr>
        <w:t>灌阳县洞井民族小学教学仪器设备采购</w:t>
      </w:r>
      <w:r>
        <w:rPr>
          <w:rFonts w:hint="eastAsia" w:ascii="宋体" w:hAnsi="宋体" w:eastAsia="宋体" w:cs="宋体"/>
          <w:b/>
          <w:color w:val="auto"/>
          <w:sz w:val="32"/>
          <w:szCs w:val="32"/>
          <w:highlight w:val="none"/>
        </w:rPr>
        <w:t xml:space="preserve">        </w:t>
      </w:r>
    </w:p>
    <w:p w14:paraId="122B8403">
      <w:pPr>
        <w:spacing w:line="600" w:lineRule="exact"/>
        <w:ind w:firstLine="1928" w:firstLineChars="600"/>
        <w:rPr>
          <w:rFonts w:hint="default" w:ascii="宋体" w:hAnsi="宋体" w:eastAsia="宋体" w:cs="宋体"/>
          <w:b/>
          <w:color w:val="000000" w:themeColor="text1"/>
          <w:sz w:val="32"/>
          <w:szCs w:val="32"/>
          <w:highlight w:val="none"/>
          <w:lang w:val="en-US" w:eastAsia="zh-CN"/>
          <w14:textFill>
            <w14:solidFill>
              <w14:schemeClr w14:val="tx1"/>
            </w14:solidFill>
          </w14:textFill>
        </w:rPr>
      </w:pPr>
      <w:r>
        <w:rPr>
          <w:rFonts w:hint="eastAsia" w:ascii="宋体" w:hAnsi="宋体" w:eastAsia="宋体" w:cs="宋体"/>
          <w:b/>
          <w:color w:val="000000" w:themeColor="text1"/>
          <w:sz w:val="32"/>
          <w:szCs w:val="32"/>
          <w:highlight w:val="none"/>
          <w14:textFill>
            <w14:solidFill>
              <w14:schemeClr w14:val="tx1"/>
            </w14:solidFill>
          </w14:textFill>
        </w:rPr>
        <w:t>项目编号：GLZC2024-G1-270182-GXGX</w:t>
      </w:r>
      <w:r>
        <w:rPr>
          <w:rFonts w:hint="eastAsia" w:ascii="宋体" w:hAnsi="宋体" w:eastAsia="宋体" w:cs="宋体"/>
          <w:b/>
          <w:color w:val="000000" w:themeColor="text1"/>
          <w:sz w:val="32"/>
          <w:szCs w:val="32"/>
          <w:highlight w:val="none"/>
          <w:lang w:val="en-US" w:eastAsia="zh-CN"/>
          <w14:textFill>
            <w14:solidFill>
              <w14:schemeClr w14:val="tx1"/>
            </w14:solidFill>
          </w14:textFill>
        </w:rPr>
        <w:t xml:space="preserve"> </w:t>
      </w:r>
    </w:p>
    <w:p w14:paraId="72C0A7B8">
      <w:pPr>
        <w:ind w:left="-2" w:leftChars="-1"/>
        <w:jc w:val="center"/>
        <w:rPr>
          <w:rFonts w:hint="eastAsia" w:ascii="宋体" w:hAnsi="宋体" w:eastAsia="宋体" w:cs="宋体"/>
          <w:color w:val="auto"/>
          <w:highlight w:val="none"/>
        </w:rPr>
      </w:pPr>
      <w:r>
        <w:rPr>
          <w:rFonts w:hint="eastAsia" w:ascii="宋体" w:hAnsi="宋体" w:eastAsia="宋体" w:cs="宋体"/>
          <w:color w:val="auto"/>
          <w:highlight w:val="none"/>
        </w:rPr>
        <w:cr/>
      </w:r>
    </w:p>
    <w:p w14:paraId="6D7E2D35">
      <w:pPr>
        <w:rPr>
          <w:rFonts w:hint="eastAsia" w:ascii="宋体" w:hAnsi="宋体" w:eastAsia="宋体" w:cs="宋体"/>
          <w:b/>
          <w:color w:val="auto"/>
          <w:sz w:val="32"/>
          <w:szCs w:val="32"/>
          <w:highlight w:val="none"/>
        </w:rPr>
      </w:pPr>
    </w:p>
    <w:p w14:paraId="0C19B4A7">
      <w:pPr>
        <w:spacing w:line="600" w:lineRule="exact"/>
        <w:ind w:left="108" w:leftChars="49"/>
        <w:jc w:val="center"/>
        <w:outlineLvl w:val="9"/>
        <w:rPr>
          <w:rFonts w:hint="eastAsia" w:ascii="宋体" w:hAnsi="宋体" w:eastAsia="宋体" w:cs="宋体"/>
          <w:b/>
          <w:color w:val="auto"/>
          <w:sz w:val="32"/>
          <w:szCs w:val="32"/>
          <w:highlight w:val="none"/>
          <w:lang w:eastAsia="zh-CN"/>
        </w:rPr>
      </w:pPr>
      <w:r>
        <w:rPr>
          <w:rFonts w:hint="eastAsia" w:ascii="宋体" w:hAnsi="宋体" w:eastAsia="宋体" w:cs="宋体"/>
          <w:b/>
          <w:color w:val="auto"/>
          <w:sz w:val="32"/>
          <w:szCs w:val="32"/>
          <w:highlight w:val="none"/>
        </w:rPr>
        <w:t>采购代理机构：</w:t>
      </w:r>
      <w:r>
        <w:rPr>
          <w:rFonts w:hint="eastAsia" w:ascii="宋体" w:hAnsi="宋体" w:eastAsia="宋体" w:cs="宋体"/>
          <w:b/>
          <w:color w:val="auto"/>
          <w:sz w:val="32"/>
          <w:szCs w:val="32"/>
          <w:highlight w:val="none"/>
          <w:lang w:eastAsia="zh-CN"/>
        </w:rPr>
        <w:t>广西国兴项目管理有限公司</w:t>
      </w:r>
    </w:p>
    <w:p w14:paraId="350A7316">
      <w:pPr>
        <w:spacing w:line="600" w:lineRule="exact"/>
        <w:ind w:left="108" w:leftChars="49" w:firstLine="3534" w:firstLineChars="1100"/>
        <w:jc w:val="both"/>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202</w:t>
      </w:r>
      <w:r>
        <w:rPr>
          <w:rFonts w:hint="eastAsia" w:ascii="宋体" w:hAnsi="宋体" w:eastAsia="宋体" w:cs="宋体"/>
          <w:b/>
          <w:color w:val="auto"/>
          <w:sz w:val="32"/>
          <w:szCs w:val="32"/>
          <w:highlight w:val="none"/>
          <w:lang w:val="en-US" w:eastAsia="zh-CN"/>
        </w:rPr>
        <w:t>4</w:t>
      </w:r>
      <w:r>
        <w:rPr>
          <w:rFonts w:hint="eastAsia" w:ascii="宋体" w:hAnsi="宋体" w:eastAsia="宋体" w:cs="宋体"/>
          <w:b/>
          <w:color w:val="auto"/>
          <w:sz w:val="32"/>
          <w:szCs w:val="32"/>
          <w:highlight w:val="none"/>
        </w:rPr>
        <w:t>年</w:t>
      </w:r>
      <w:r>
        <w:rPr>
          <w:rFonts w:hint="eastAsia" w:ascii="宋体" w:hAnsi="宋体" w:eastAsia="宋体" w:cs="宋体"/>
          <w:b/>
          <w:color w:val="auto"/>
          <w:sz w:val="32"/>
          <w:szCs w:val="32"/>
          <w:highlight w:val="none"/>
          <w:lang w:val="en-US" w:eastAsia="zh-CN"/>
        </w:rPr>
        <w:t>8</w:t>
      </w:r>
      <w:r>
        <w:rPr>
          <w:rFonts w:hint="eastAsia" w:ascii="宋体" w:hAnsi="宋体" w:eastAsia="宋体" w:cs="宋体"/>
          <w:b/>
          <w:color w:val="auto"/>
          <w:sz w:val="32"/>
          <w:szCs w:val="32"/>
          <w:highlight w:val="none"/>
        </w:rPr>
        <w:t>月</w:t>
      </w:r>
    </w:p>
    <w:p w14:paraId="016E3E66">
      <w:pPr>
        <w:ind w:left="108" w:leftChars="49" w:firstLine="2241" w:firstLineChars="700"/>
        <w:jc w:val="center"/>
        <w:rPr>
          <w:rFonts w:ascii="宋体" w:hAnsi="宋体"/>
          <w:b/>
          <w:bCs/>
          <w:color w:val="auto"/>
          <w:sz w:val="32"/>
          <w:highlight w:val="none"/>
        </w:rPr>
      </w:pPr>
    </w:p>
    <w:p w14:paraId="5F53B7DE">
      <w:pPr>
        <w:pStyle w:val="9"/>
        <w:spacing w:line="500" w:lineRule="exact"/>
        <w:rPr>
          <w:rFonts w:hAnsi="宋体"/>
          <w:color w:val="auto"/>
          <w:sz w:val="48"/>
          <w:szCs w:val="48"/>
          <w:highlight w:val="none"/>
        </w:rPr>
      </w:pPr>
    </w:p>
    <w:p w14:paraId="2DFF061A">
      <w:pPr>
        <w:pStyle w:val="9"/>
        <w:spacing w:line="500" w:lineRule="exact"/>
        <w:rPr>
          <w:rFonts w:hAnsi="宋体"/>
          <w:color w:val="auto"/>
          <w:sz w:val="48"/>
          <w:szCs w:val="48"/>
          <w:highlight w:val="none"/>
        </w:rPr>
      </w:pPr>
    </w:p>
    <w:p w14:paraId="37670990">
      <w:pPr>
        <w:pStyle w:val="9"/>
        <w:spacing w:line="500" w:lineRule="exact"/>
        <w:rPr>
          <w:rFonts w:hAnsi="宋体"/>
          <w:color w:val="auto"/>
          <w:sz w:val="48"/>
          <w:szCs w:val="48"/>
          <w:highlight w:val="none"/>
        </w:rPr>
      </w:pPr>
    </w:p>
    <w:p w14:paraId="4CC9D81C">
      <w:pPr>
        <w:pStyle w:val="9"/>
        <w:spacing w:line="500" w:lineRule="exact"/>
        <w:jc w:val="center"/>
        <w:rPr>
          <w:rFonts w:hAnsi="宋体"/>
          <w:color w:val="auto"/>
          <w:sz w:val="48"/>
          <w:szCs w:val="48"/>
          <w:highlight w:val="none"/>
        </w:rPr>
      </w:pPr>
    </w:p>
    <w:p w14:paraId="06E7493F">
      <w:pPr>
        <w:pStyle w:val="9"/>
        <w:jc w:val="center"/>
        <w:rPr>
          <w:rFonts w:hAnsi="宋体"/>
          <w:color w:val="auto"/>
          <w:highlight w:val="none"/>
        </w:rPr>
      </w:pPr>
    </w:p>
    <w:p w14:paraId="0795E3D4">
      <w:pPr>
        <w:pStyle w:val="9"/>
        <w:jc w:val="center"/>
        <w:rPr>
          <w:rFonts w:hAnsi="宋体"/>
          <w:color w:val="auto"/>
          <w:highlight w:val="none"/>
        </w:rPr>
      </w:pPr>
    </w:p>
    <w:sdt>
      <w:sdtPr>
        <w:rPr>
          <w:rFonts w:ascii="宋体" w:hAnsi="宋体" w:eastAsia="宋体" w:cstheme="minorBidi"/>
          <w:sz w:val="21"/>
          <w:szCs w:val="22"/>
          <w:lang w:val="en-US" w:eastAsia="zh-CN" w:bidi="ar-SA"/>
        </w:rPr>
        <w:id w:val="147460500"/>
        <w15:color w:val="DBDBDB"/>
        <w:docPartObj>
          <w:docPartGallery w:val="Table of Contents"/>
          <w:docPartUnique/>
        </w:docPartObj>
      </w:sdtPr>
      <w:sdtEndPr>
        <w:rPr>
          <w:rFonts w:ascii="宋体" w:hAnsi="宋体" w:eastAsia="宋体" w:cstheme="minorBidi"/>
          <w:sz w:val="21"/>
          <w:szCs w:val="22"/>
          <w:lang w:val="en-US" w:eastAsia="zh-CN" w:bidi="ar-SA"/>
        </w:rPr>
      </w:sdtEndPr>
      <w:sdtContent>
        <w:p w14:paraId="43359427">
          <w:pPr>
            <w:spacing w:before="0" w:beforeLines="0" w:after="0" w:afterLines="0" w:line="240" w:lineRule="auto"/>
            <w:ind w:left="0" w:leftChars="0" w:right="0" w:rightChars="0" w:firstLine="0" w:firstLineChars="0"/>
            <w:jc w:val="center"/>
            <w:rPr>
              <w:rFonts w:ascii="宋体" w:hAnsi="宋体" w:eastAsia="宋体"/>
              <w:sz w:val="32"/>
              <w:szCs w:val="32"/>
            </w:rPr>
          </w:pPr>
          <w:r>
            <w:rPr>
              <w:rFonts w:ascii="宋体" w:hAnsi="宋体" w:eastAsia="宋体"/>
              <w:sz w:val="48"/>
              <w:szCs w:val="48"/>
            </w:rPr>
            <w:t>目</w:t>
          </w:r>
          <w:r>
            <w:rPr>
              <w:rFonts w:hint="eastAsia" w:ascii="宋体" w:hAnsi="宋体" w:eastAsia="宋体"/>
              <w:sz w:val="48"/>
              <w:szCs w:val="48"/>
              <w:lang w:val="en-US" w:eastAsia="zh-CN"/>
            </w:rPr>
            <w:t xml:space="preserve">   </w:t>
          </w:r>
          <w:r>
            <w:rPr>
              <w:rFonts w:ascii="宋体" w:hAnsi="宋体" w:eastAsia="宋体"/>
              <w:sz w:val="48"/>
              <w:szCs w:val="48"/>
            </w:rPr>
            <w:t>录</w:t>
          </w:r>
        </w:p>
        <w:p w14:paraId="147180AC">
          <w:pPr>
            <w:spacing w:before="0" w:beforeLines="0" w:after="0" w:afterLines="0" w:line="240" w:lineRule="auto"/>
            <w:ind w:left="0" w:leftChars="0" w:right="0" w:rightChars="0" w:firstLine="0" w:firstLineChars="0"/>
            <w:jc w:val="center"/>
            <w:rPr>
              <w:rFonts w:ascii="宋体" w:hAnsi="宋体" w:eastAsia="宋体"/>
              <w:sz w:val="32"/>
              <w:szCs w:val="32"/>
            </w:rPr>
          </w:pPr>
        </w:p>
        <w:p w14:paraId="711B0173">
          <w:pPr>
            <w:spacing w:before="0" w:beforeLines="0" w:after="0" w:afterLines="0" w:line="240" w:lineRule="auto"/>
            <w:ind w:left="0" w:leftChars="0" w:right="0" w:rightChars="0" w:firstLine="0" w:firstLineChars="0"/>
            <w:jc w:val="center"/>
            <w:rPr>
              <w:rFonts w:ascii="宋体" w:hAnsi="宋体" w:eastAsia="宋体"/>
              <w:sz w:val="32"/>
              <w:szCs w:val="32"/>
            </w:rPr>
          </w:pPr>
        </w:p>
        <w:p w14:paraId="32B6BBEF">
          <w:pPr>
            <w:pStyle w:val="11"/>
            <w:tabs>
              <w:tab w:val="right" w:leader="dot" w:pos="9922"/>
            </w:tabs>
            <w:rPr>
              <w:rFonts w:hint="eastAsia" w:ascii="宋体" w:hAnsi="宋体" w:eastAsia="宋体" w:cs="宋体"/>
              <w:sz w:val="32"/>
              <w:szCs w:val="32"/>
            </w:rPr>
          </w:pPr>
          <w:r>
            <w:rPr>
              <w:sz w:val="32"/>
              <w:szCs w:val="32"/>
            </w:rPr>
            <w:fldChar w:fldCharType="begin"/>
          </w:r>
          <w:r>
            <w:rPr>
              <w:sz w:val="32"/>
              <w:szCs w:val="32"/>
            </w:rPr>
            <w:instrText xml:space="preserve">TOC \o "1-1" \h \u </w:instrText>
          </w:r>
          <w:r>
            <w:rPr>
              <w:sz w:val="32"/>
              <w:szCs w:val="32"/>
            </w:rPr>
            <w:fldChar w:fldCharType="separate"/>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HYPERLINK \l _Toc6981 </w:instrText>
          </w:r>
          <w:r>
            <w:rPr>
              <w:rFonts w:hint="eastAsia" w:ascii="宋体" w:hAnsi="宋体" w:eastAsia="宋体" w:cs="宋体"/>
              <w:sz w:val="32"/>
              <w:szCs w:val="32"/>
            </w:rPr>
            <w:fldChar w:fldCharType="separate"/>
          </w:r>
          <w:r>
            <w:rPr>
              <w:rFonts w:hint="eastAsia" w:ascii="宋体" w:hAnsi="宋体" w:eastAsia="宋体" w:cs="宋体"/>
              <w:sz w:val="32"/>
              <w:szCs w:val="32"/>
              <w:highlight w:val="none"/>
            </w:rPr>
            <w:t>第一章  公开招标公告</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_Toc6981 \h </w:instrText>
          </w:r>
          <w:r>
            <w:rPr>
              <w:rFonts w:hint="eastAsia" w:ascii="宋体" w:hAnsi="宋体" w:eastAsia="宋体" w:cs="宋体"/>
              <w:sz w:val="32"/>
              <w:szCs w:val="32"/>
            </w:rPr>
            <w:fldChar w:fldCharType="separate"/>
          </w:r>
          <w:r>
            <w:rPr>
              <w:rFonts w:hint="eastAsia" w:ascii="宋体" w:hAnsi="宋体" w:eastAsia="宋体" w:cs="宋体"/>
              <w:sz w:val="32"/>
              <w:szCs w:val="32"/>
            </w:rPr>
            <w:t>3</w:t>
          </w:r>
          <w:r>
            <w:rPr>
              <w:rFonts w:hint="eastAsia" w:ascii="宋体" w:hAnsi="宋体" w:eastAsia="宋体" w:cs="宋体"/>
              <w:sz w:val="32"/>
              <w:szCs w:val="32"/>
            </w:rPr>
            <w:fldChar w:fldCharType="end"/>
          </w:r>
          <w:r>
            <w:rPr>
              <w:rFonts w:hint="eastAsia" w:ascii="宋体" w:hAnsi="宋体" w:eastAsia="宋体" w:cs="宋体"/>
              <w:sz w:val="32"/>
              <w:szCs w:val="32"/>
            </w:rPr>
            <w:fldChar w:fldCharType="end"/>
          </w:r>
        </w:p>
        <w:p w14:paraId="3BA79E8F">
          <w:pPr>
            <w:pStyle w:val="11"/>
            <w:tabs>
              <w:tab w:val="right" w:leader="dot" w:pos="9922"/>
            </w:tabs>
            <w:rPr>
              <w:rFonts w:hint="eastAsia" w:ascii="宋体" w:hAnsi="宋体" w:eastAsia="宋体" w:cs="宋体"/>
              <w:sz w:val="32"/>
              <w:szCs w:val="32"/>
            </w:rPr>
          </w:pP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HYPERLINK \l _Toc15224 </w:instrText>
          </w:r>
          <w:r>
            <w:rPr>
              <w:rFonts w:hint="eastAsia" w:ascii="宋体" w:hAnsi="宋体" w:eastAsia="宋体" w:cs="宋体"/>
              <w:sz w:val="32"/>
              <w:szCs w:val="32"/>
            </w:rPr>
            <w:fldChar w:fldCharType="separate"/>
          </w:r>
          <w:r>
            <w:rPr>
              <w:rFonts w:hint="eastAsia" w:ascii="宋体" w:hAnsi="宋体" w:eastAsia="宋体" w:cs="宋体"/>
              <w:sz w:val="32"/>
              <w:szCs w:val="32"/>
              <w:highlight w:val="none"/>
            </w:rPr>
            <w:t>第二章  投标人须知</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_Toc15224 \h </w:instrText>
          </w:r>
          <w:r>
            <w:rPr>
              <w:rFonts w:hint="eastAsia" w:ascii="宋体" w:hAnsi="宋体" w:eastAsia="宋体" w:cs="宋体"/>
              <w:sz w:val="32"/>
              <w:szCs w:val="32"/>
            </w:rPr>
            <w:fldChar w:fldCharType="separate"/>
          </w:r>
          <w:r>
            <w:rPr>
              <w:rFonts w:hint="eastAsia" w:ascii="宋体" w:hAnsi="宋体" w:eastAsia="宋体" w:cs="宋体"/>
              <w:sz w:val="32"/>
              <w:szCs w:val="32"/>
            </w:rPr>
            <w:t>6</w:t>
          </w:r>
          <w:r>
            <w:rPr>
              <w:rFonts w:hint="eastAsia" w:ascii="宋体" w:hAnsi="宋体" w:eastAsia="宋体" w:cs="宋体"/>
              <w:sz w:val="32"/>
              <w:szCs w:val="32"/>
            </w:rPr>
            <w:fldChar w:fldCharType="end"/>
          </w:r>
          <w:r>
            <w:rPr>
              <w:rFonts w:hint="eastAsia" w:ascii="宋体" w:hAnsi="宋体" w:eastAsia="宋体" w:cs="宋体"/>
              <w:sz w:val="32"/>
              <w:szCs w:val="32"/>
            </w:rPr>
            <w:fldChar w:fldCharType="end"/>
          </w:r>
        </w:p>
        <w:p w14:paraId="00031812">
          <w:pPr>
            <w:pStyle w:val="11"/>
            <w:tabs>
              <w:tab w:val="right" w:leader="dot" w:pos="9922"/>
            </w:tabs>
            <w:rPr>
              <w:rFonts w:hint="eastAsia" w:ascii="宋体" w:hAnsi="宋体" w:eastAsia="宋体" w:cs="宋体"/>
              <w:sz w:val="32"/>
              <w:szCs w:val="32"/>
            </w:rPr>
          </w:pP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HYPERLINK \l _Toc23002 </w:instrText>
          </w:r>
          <w:r>
            <w:rPr>
              <w:rFonts w:hint="eastAsia" w:ascii="宋体" w:hAnsi="宋体" w:eastAsia="宋体" w:cs="宋体"/>
              <w:sz w:val="32"/>
              <w:szCs w:val="32"/>
            </w:rPr>
            <w:fldChar w:fldCharType="separate"/>
          </w:r>
          <w:r>
            <w:rPr>
              <w:rFonts w:hint="eastAsia" w:ascii="宋体" w:hAnsi="宋体" w:eastAsia="宋体" w:cs="宋体"/>
              <w:sz w:val="32"/>
              <w:szCs w:val="32"/>
              <w:highlight w:val="none"/>
            </w:rPr>
            <w:t>第三章　货物采购需求</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_Toc23002 \h </w:instrText>
          </w:r>
          <w:r>
            <w:rPr>
              <w:rFonts w:hint="eastAsia" w:ascii="宋体" w:hAnsi="宋体" w:eastAsia="宋体" w:cs="宋体"/>
              <w:sz w:val="32"/>
              <w:szCs w:val="32"/>
            </w:rPr>
            <w:fldChar w:fldCharType="separate"/>
          </w:r>
          <w:r>
            <w:rPr>
              <w:rFonts w:hint="eastAsia" w:ascii="宋体" w:hAnsi="宋体" w:eastAsia="宋体" w:cs="宋体"/>
              <w:sz w:val="32"/>
              <w:szCs w:val="32"/>
            </w:rPr>
            <w:t>22</w:t>
          </w:r>
          <w:r>
            <w:rPr>
              <w:rFonts w:hint="eastAsia" w:ascii="宋体" w:hAnsi="宋体" w:eastAsia="宋体" w:cs="宋体"/>
              <w:sz w:val="32"/>
              <w:szCs w:val="32"/>
            </w:rPr>
            <w:fldChar w:fldCharType="end"/>
          </w:r>
          <w:r>
            <w:rPr>
              <w:rFonts w:hint="eastAsia" w:ascii="宋体" w:hAnsi="宋体" w:eastAsia="宋体" w:cs="宋体"/>
              <w:sz w:val="32"/>
              <w:szCs w:val="32"/>
            </w:rPr>
            <w:fldChar w:fldCharType="end"/>
          </w:r>
        </w:p>
        <w:p w14:paraId="51028F46">
          <w:pPr>
            <w:pStyle w:val="11"/>
            <w:tabs>
              <w:tab w:val="right" w:leader="dot" w:pos="9922"/>
            </w:tabs>
            <w:rPr>
              <w:rFonts w:hint="eastAsia" w:ascii="宋体" w:hAnsi="宋体" w:eastAsia="宋体" w:cs="宋体"/>
              <w:sz w:val="32"/>
              <w:szCs w:val="32"/>
            </w:rPr>
          </w:pP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HYPERLINK \l _Toc22447 </w:instrText>
          </w:r>
          <w:r>
            <w:rPr>
              <w:rFonts w:hint="eastAsia" w:ascii="宋体" w:hAnsi="宋体" w:eastAsia="宋体" w:cs="宋体"/>
              <w:sz w:val="32"/>
              <w:szCs w:val="32"/>
            </w:rPr>
            <w:fldChar w:fldCharType="separate"/>
          </w:r>
          <w:r>
            <w:rPr>
              <w:rFonts w:hint="eastAsia" w:ascii="宋体" w:hAnsi="宋体" w:eastAsia="宋体" w:cs="宋体"/>
              <w:sz w:val="32"/>
              <w:szCs w:val="32"/>
              <w:highlight w:val="none"/>
              <w:lang w:eastAsia="zh-CN"/>
            </w:rPr>
            <w:t>第四章</w:t>
          </w:r>
          <w:r>
            <w:rPr>
              <w:rFonts w:hint="eastAsia" w:ascii="宋体" w:hAnsi="宋体" w:eastAsia="宋体" w:cs="宋体"/>
              <w:sz w:val="32"/>
              <w:szCs w:val="32"/>
              <w:highlight w:val="none"/>
              <w:lang w:val="en-US" w:eastAsia="zh-CN"/>
            </w:rPr>
            <w:t xml:space="preserve"> </w:t>
          </w:r>
          <w:r>
            <w:rPr>
              <w:rFonts w:hint="eastAsia" w:ascii="宋体" w:hAnsi="宋体" w:eastAsia="宋体" w:cs="宋体"/>
              <w:sz w:val="32"/>
              <w:szCs w:val="32"/>
              <w:highlight w:val="none"/>
            </w:rPr>
            <w:t>评标办法</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_Toc22447 \h </w:instrText>
          </w:r>
          <w:r>
            <w:rPr>
              <w:rFonts w:hint="eastAsia" w:ascii="宋体" w:hAnsi="宋体" w:eastAsia="宋体" w:cs="宋体"/>
              <w:sz w:val="32"/>
              <w:szCs w:val="32"/>
            </w:rPr>
            <w:fldChar w:fldCharType="separate"/>
          </w:r>
          <w:r>
            <w:rPr>
              <w:rFonts w:hint="eastAsia" w:ascii="宋体" w:hAnsi="宋体" w:eastAsia="宋体" w:cs="宋体"/>
              <w:sz w:val="32"/>
              <w:szCs w:val="32"/>
            </w:rPr>
            <w:t>127</w:t>
          </w:r>
          <w:r>
            <w:rPr>
              <w:rFonts w:hint="eastAsia" w:ascii="宋体" w:hAnsi="宋体" w:eastAsia="宋体" w:cs="宋体"/>
              <w:sz w:val="32"/>
              <w:szCs w:val="32"/>
            </w:rPr>
            <w:fldChar w:fldCharType="end"/>
          </w:r>
          <w:r>
            <w:rPr>
              <w:rFonts w:hint="eastAsia" w:ascii="宋体" w:hAnsi="宋体" w:eastAsia="宋体" w:cs="宋体"/>
              <w:sz w:val="32"/>
              <w:szCs w:val="32"/>
            </w:rPr>
            <w:fldChar w:fldCharType="end"/>
          </w:r>
        </w:p>
        <w:p w14:paraId="02A6AF58">
          <w:pPr>
            <w:pStyle w:val="11"/>
            <w:tabs>
              <w:tab w:val="right" w:leader="dot" w:pos="9922"/>
            </w:tabs>
            <w:rPr>
              <w:rFonts w:hint="eastAsia" w:ascii="宋体" w:hAnsi="宋体" w:eastAsia="宋体" w:cs="宋体"/>
              <w:sz w:val="32"/>
              <w:szCs w:val="32"/>
            </w:rPr>
          </w:pP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HYPERLINK \l _Toc4466 </w:instrText>
          </w:r>
          <w:r>
            <w:rPr>
              <w:rFonts w:hint="eastAsia" w:ascii="宋体" w:hAnsi="宋体" w:eastAsia="宋体" w:cs="宋体"/>
              <w:sz w:val="32"/>
              <w:szCs w:val="32"/>
            </w:rPr>
            <w:fldChar w:fldCharType="separate"/>
          </w:r>
          <w:r>
            <w:rPr>
              <w:rFonts w:hint="eastAsia" w:ascii="宋体" w:hAnsi="宋体" w:eastAsia="宋体" w:cs="宋体"/>
              <w:sz w:val="32"/>
              <w:szCs w:val="32"/>
              <w:highlight w:val="none"/>
            </w:rPr>
            <w:t>第五章  合同主要条款及格式</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_Toc4466 \h </w:instrText>
          </w:r>
          <w:r>
            <w:rPr>
              <w:rFonts w:hint="eastAsia" w:ascii="宋体" w:hAnsi="宋体" w:eastAsia="宋体" w:cs="宋体"/>
              <w:sz w:val="32"/>
              <w:szCs w:val="32"/>
            </w:rPr>
            <w:fldChar w:fldCharType="separate"/>
          </w:r>
          <w:r>
            <w:rPr>
              <w:rFonts w:hint="eastAsia" w:ascii="宋体" w:hAnsi="宋体" w:eastAsia="宋体" w:cs="宋体"/>
              <w:sz w:val="32"/>
              <w:szCs w:val="32"/>
            </w:rPr>
            <w:t>133</w:t>
          </w:r>
          <w:r>
            <w:rPr>
              <w:rFonts w:hint="eastAsia" w:ascii="宋体" w:hAnsi="宋体" w:eastAsia="宋体" w:cs="宋体"/>
              <w:sz w:val="32"/>
              <w:szCs w:val="32"/>
            </w:rPr>
            <w:fldChar w:fldCharType="end"/>
          </w:r>
          <w:r>
            <w:rPr>
              <w:rFonts w:hint="eastAsia" w:ascii="宋体" w:hAnsi="宋体" w:eastAsia="宋体" w:cs="宋体"/>
              <w:sz w:val="32"/>
              <w:szCs w:val="32"/>
            </w:rPr>
            <w:fldChar w:fldCharType="end"/>
          </w:r>
        </w:p>
        <w:p w14:paraId="5D1141B4">
          <w:pPr>
            <w:pStyle w:val="11"/>
            <w:tabs>
              <w:tab w:val="right" w:leader="dot" w:pos="9922"/>
            </w:tabs>
            <w:rPr>
              <w:sz w:val="32"/>
              <w:szCs w:val="32"/>
            </w:rPr>
          </w:pP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HYPERLINK \l _Toc20434 </w:instrText>
          </w:r>
          <w:r>
            <w:rPr>
              <w:rFonts w:hint="eastAsia" w:ascii="宋体" w:hAnsi="宋体" w:eastAsia="宋体" w:cs="宋体"/>
              <w:sz w:val="32"/>
              <w:szCs w:val="32"/>
            </w:rPr>
            <w:fldChar w:fldCharType="separate"/>
          </w:r>
          <w:r>
            <w:rPr>
              <w:rFonts w:hint="eastAsia" w:ascii="宋体" w:hAnsi="宋体" w:eastAsia="宋体" w:cs="宋体"/>
              <w:sz w:val="32"/>
              <w:szCs w:val="32"/>
              <w:highlight w:val="none"/>
            </w:rPr>
            <w:t>第六章 投标文件格</w:t>
          </w:r>
          <w:r>
            <w:rPr>
              <w:rFonts w:hint="eastAsia" w:ascii="宋体" w:hAnsi="宋体" w:eastAsia="宋体" w:cs="宋体"/>
              <w:bCs/>
              <w:sz w:val="32"/>
              <w:szCs w:val="32"/>
              <w:highlight w:val="none"/>
            </w:rPr>
            <w:t>式</w:t>
          </w:r>
          <w:r>
            <w:rPr>
              <w:rFonts w:hint="eastAsia" w:ascii="宋体" w:hAnsi="宋体" w:eastAsia="宋体" w:cs="宋体"/>
              <w:sz w:val="32"/>
              <w:szCs w:val="32"/>
            </w:rPr>
            <w:tab/>
          </w:r>
          <w:r>
            <w:rPr>
              <w:rFonts w:hint="eastAsia" w:ascii="宋体" w:hAnsi="宋体" w:eastAsia="宋体" w:cs="宋体"/>
              <w:sz w:val="32"/>
              <w:szCs w:val="32"/>
            </w:rPr>
            <w:fldChar w:fldCharType="begin"/>
          </w:r>
          <w:r>
            <w:rPr>
              <w:rFonts w:hint="eastAsia" w:ascii="宋体" w:hAnsi="宋体" w:eastAsia="宋体" w:cs="宋体"/>
              <w:sz w:val="32"/>
              <w:szCs w:val="32"/>
            </w:rPr>
            <w:instrText xml:space="preserve"> PAGEREF _Toc20434 \h </w:instrText>
          </w:r>
          <w:r>
            <w:rPr>
              <w:rFonts w:hint="eastAsia" w:ascii="宋体" w:hAnsi="宋体" w:eastAsia="宋体" w:cs="宋体"/>
              <w:sz w:val="32"/>
              <w:szCs w:val="32"/>
            </w:rPr>
            <w:fldChar w:fldCharType="separate"/>
          </w:r>
          <w:r>
            <w:rPr>
              <w:rFonts w:hint="eastAsia" w:ascii="宋体" w:hAnsi="宋体" w:eastAsia="宋体" w:cs="宋体"/>
              <w:sz w:val="32"/>
              <w:szCs w:val="32"/>
            </w:rPr>
            <w:t>138</w:t>
          </w:r>
          <w:r>
            <w:rPr>
              <w:rFonts w:hint="eastAsia" w:ascii="宋体" w:hAnsi="宋体" w:eastAsia="宋体" w:cs="宋体"/>
              <w:sz w:val="32"/>
              <w:szCs w:val="32"/>
            </w:rPr>
            <w:fldChar w:fldCharType="end"/>
          </w:r>
          <w:r>
            <w:rPr>
              <w:rFonts w:hint="eastAsia" w:ascii="宋体" w:hAnsi="宋体" w:eastAsia="宋体" w:cs="宋体"/>
              <w:sz w:val="32"/>
              <w:szCs w:val="32"/>
            </w:rPr>
            <w:fldChar w:fldCharType="end"/>
          </w:r>
        </w:p>
        <w:p w14:paraId="4DB2A32E">
          <w:r>
            <w:rPr>
              <w:sz w:val="32"/>
              <w:szCs w:val="32"/>
            </w:rPr>
            <w:fldChar w:fldCharType="end"/>
          </w:r>
        </w:p>
      </w:sdtContent>
    </w:sdt>
    <w:p w14:paraId="48856881">
      <w:pPr>
        <w:ind w:firstLine="2860" w:firstLineChars="1300"/>
        <w:rPr>
          <w:rFonts w:ascii="宋体" w:hAnsi="宋体"/>
          <w:color w:val="auto"/>
          <w:szCs w:val="21"/>
          <w:highlight w:val="none"/>
        </w:rPr>
      </w:pPr>
    </w:p>
    <w:p w14:paraId="41E56DBD">
      <w:pPr>
        <w:jc w:val="center"/>
        <w:rPr>
          <w:rFonts w:ascii="宋体" w:hAnsi="宋体"/>
          <w:b/>
          <w:color w:val="auto"/>
          <w:sz w:val="32"/>
          <w:szCs w:val="32"/>
          <w:highlight w:val="none"/>
        </w:rPr>
      </w:pPr>
    </w:p>
    <w:p w14:paraId="180F06B7">
      <w:pPr>
        <w:jc w:val="center"/>
        <w:rPr>
          <w:rFonts w:ascii="宋体" w:hAnsi="宋体"/>
          <w:b/>
          <w:color w:val="auto"/>
          <w:sz w:val="32"/>
          <w:szCs w:val="32"/>
          <w:highlight w:val="none"/>
        </w:rPr>
      </w:pPr>
    </w:p>
    <w:p w14:paraId="3B1E2FD0">
      <w:pPr>
        <w:jc w:val="center"/>
        <w:rPr>
          <w:rFonts w:ascii="宋体" w:hAnsi="宋体"/>
          <w:b/>
          <w:color w:val="auto"/>
          <w:sz w:val="32"/>
          <w:szCs w:val="32"/>
          <w:highlight w:val="none"/>
        </w:rPr>
      </w:pPr>
    </w:p>
    <w:p w14:paraId="2216E1A8">
      <w:pPr>
        <w:jc w:val="center"/>
        <w:rPr>
          <w:rFonts w:ascii="宋体" w:hAnsi="宋体"/>
          <w:b/>
          <w:color w:val="auto"/>
          <w:sz w:val="32"/>
          <w:szCs w:val="32"/>
          <w:highlight w:val="none"/>
        </w:rPr>
      </w:pPr>
    </w:p>
    <w:p w14:paraId="6D082746">
      <w:pPr>
        <w:jc w:val="center"/>
        <w:rPr>
          <w:rFonts w:ascii="宋体" w:hAnsi="宋体"/>
          <w:b/>
          <w:color w:val="auto"/>
          <w:sz w:val="32"/>
          <w:szCs w:val="32"/>
          <w:highlight w:val="none"/>
        </w:rPr>
      </w:pPr>
    </w:p>
    <w:p w14:paraId="72662945">
      <w:pPr>
        <w:jc w:val="center"/>
        <w:rPr>
          <w:rFonts w:hint="eastAsia" w:ascii="宋体" w:hAnsi="宋体"/>
          <w:b/>
          <w:color w:val="auto"/>
          <w:sz w:val="32"/>
          <w:szCs w:val="32"/>
          <w:highlight w:val="none"/>
        </w:rPr>
      </w:pPr>
    </w:p>
    <w:p w14:paraId="30C37176">
      <w:pPr>
        <w:rPr>
          <w:rFonts w:hint="eastAsia" w:ascii="宋体" w:hAnsi="宋体"/>
          <w:b/>
          <w:color w:val="auto"/>
          <w:sz w:val="32"/>
          <w:szCs w:val="32"/>
          <w:highlight w:val="none"/>
        </w:rPr>
      </w:pPr>
    </w:p>
    <w:p w14:paraId="143C7465">
      <w:pPr>
        <w:keepNext w:val="0"/>
        <w:keepLines w:val="0"/>
        <w:pageBreakBefore w:val="0"/>
        <w:widowControl w:val="0"/>
        <w:kinsoku/>
        <w:wordWrap/>
        <w:overflowPunct/>
        <w:topLinePunct w:val="0"/>
        <w:autoSpaceDE/>
        <w:autoSpaceDN/>
        <w:bidi w:val="0"/>
        <w:adjustRightInd/>
        <w:snapToGrid/>
        <w:spacing w:line="340" w:lineRule="exact"/>
        <w:jc w:val="center"/>
        <w:textAlignment w:val="auto"/>
        <w:outlineLvl w:val="0"/>
        <w:rPr>
          <w:rFonts w:hint="eastAsia" w:ascii="宋体" w:hAnsi="宋体" w:eastAsia="宋体" w:cs="宋体"/>
          <w:color w:val="auto"/>
          <w:highlight w:val="none"/>
        </w:rPr>
      </w:pPr>
      <w:r>
        <w:rPr>
          <w:rFonts w:hint="eastAsia" w:ascii="宋体" w:hAnsi="宋体"/>
          <w:b/>
          <w:color w:val="auto"/>
          <w:sz w:val="32"/>
          <w:szCs w:val="32"/>
          <w:highlight w:val="none"/>
        </w:rPr>
        <w:br w:type="page"/>
      </w:r>
      <w:bookmarkStart w:id="0" w:name="_Toc6981"/>
      <w:r>
        <w:rPr>
          <w:rFonts w:hint="eastAsia" w:ascii="宋体" w:hAnsi="宋体" w:eastAsia="宋体" w:cs="宋体"/>
          <w:b/>
          <w:color w:val="auto"/>
          <w:sz w:val="32"/>
          <w:szCs w:val="32"/>
          <w:highlight w:val="none"/>
        </w:rPr>
        <w:t>第一章</w:t>
      </w:r>
      <w:r>
        <w:rPr>
          <w:rFonts w:hint="eastAsia" w:ascii="宋体" w:hAnsi="宋体" w:eastAsia="宋体" w:cs="宋体"/>
          <w:color w:val="auto"/>
          <w:highlight w:val="none"/>
        </w:rPr>
        <w:t xml:space="preserve">  </w:t>
      </w:r>
      <w:r>
        <w:rPr>
          <w:rFonts w:hint="eastAsia" w:ascii="宋体" w:hAnsi="宋体" w:eastAsia="宋体" w:cs="宋体"/>
          <w:b/>
          <w:color w:val="auto"/>
          <w:sz w:val="32"/>
          <w:szCs w:val="32"/>
          <w:highlight w:val="none"/>
        </w:rPr>
        <w:t>公开招标公告</w:t>
      </w:r>
      <w:bookmarkEnd w:id="0"/>
    </w:p>
    <w:tbl>
      <w:tblPr>
        <w:tblStyle w:val="15"/>
        <w:tblpPr w:leftFromText="180" w:rightFromText="180" w:vertAnchor="text" w:tblpX="526" w:tblpY="286"/>
        <w:tblW w:w="93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345"/>
      </w:tblGrid>
      <w:tr w14:paraId="6F1372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18" w:hRule="atLeast"/>
        </w:trPr>
        <w:tc>
          <w:tcPr>
            <w:tcW w:w="9345" w:type="dxa"/>
            <w:noWrap w:val="0"/>
            <w:vAlign w:val="top"/>
          </w:tcPr>
          <w:p w14:paraId="5B03BDFA">
            <w:pPr>
              <w:pStyle w:val="24"/>
              <w:keepNext w:val="0"/>
              <w:keepLines w:val="0"/>
              <w:pageBreakBefore w:val="0"/>
              <w:widowControl w:val="0"/>
              <w:kinsoku/>
              <w:wordWrap/>
              <w:overflowPunct/>
              <w:topLinePunct w:val="0"/>
              <w:autoSpaceDE/>
              <w:autoSpaceDN/>
              <w:bidi w:val="0"/>
              <w:adjustRightInd/>
              <w:snapToGrid/>
              <w:spacing w:line="340" w:lineRule="exact"/>
              <w:ind w:firstLine="420"/>
              <w:textAlignment w:val="auto"/>
              <w:rPr>
                <w:rFonts w:hint="eastAsia" w:ascii="宋体" w:hAnsi="宋体" w:eastAsia="宋体" w:cs="宋体"/>
                <w:color w:val="000000" w:themeColor="text1"/>
                <w:szCs w:val="21"/>
                <w:highlight w:val="none"/>
                <w14:textFill>
                  <w14:solidFill>
                    <w14:schemeClr w14:val="tx1"/>
                  </w14:solidFill>
                </w14:textFill>
              </w:rPr>
            </w:pPr>
            <w:r>
              <w:rPr>
                <w:rFonts w:hint="eastAsia" w:ascii="宋体" w:hAnsi="宋体" w:eastAsia="宋体" w:cs="宋体"/>
                <w:color w:val="000000" w:themeColor="text1"/>
                <w:szCs w:val="21"/>
                <w:highlight w:val="none"/>
                <w14:textFill>
                  <w14:solidFill>
                    <w14:schemeClr w14:val="tx1"/>
                  </w14:solidFill>
                </w14:textFill>
              </w:rPr>
              <w:t>项目概况：</w:t>
            </w:r>
          </w:p>
          <w:p w14:paraId="69324BA4">
            <w:pPr>
              <w:pStyle w:val="24"/>
              <w:keepNext w:val="0"/>
              <w:keepLines w:val="0"/>
              <w:pageBreakBefore w:val="0"/>
              <w:widowControl w:val="0"/>
              <w:kinsoku/>
              <w:wordWrap/>
              <w:overflowPunct/>
              <w:topLinePunct w:val="0"/>
              <w:autoSpaceDE/>
              <w:autoSpaceDN/>
              <w:bidi w:val="0"/>
              <w:adjustRightInd/>
              <w:snapToGrid/>
              <w:spacing w:line="340" w:lineRule="exact"/>
              <w:ind w:left="0" w:leftChars="0" w:firstLine="420" w:firstLineChars="200"/>
              <w:textAlignment w:val="auto"/>
              <w:rPr>
                <w:rFonts w:hint="eastAsia" w:ascii="宋体" w:hAnsi="宋体" w:eastAsia="宋体" w:cs="宋体"/>
                <w:color w:val="000000" w:themeColor="text1"/>
                <w:szCs w:val="21"/>
                <w:highlight w:val="none"/>
                <w14:textFill>
                  <w14:solidFill>
                    <w14:schemeClr w14:val="tx1"/>
                  </w14:solidFill>
                </w14:textFill>
              </w:rPr>
            </w:pPr>
            <w:r>
              <w:rPr>
                <w:rFonts w:hint="eastAsia" w:ascii="宋体" w:hAnsi="宋体" w:cs="宋体"/>
                <w:color w:val="000000" w:themeColor="text1"/>
                <w:sz w:val="21"/>
                <w:szCs w:val="21"/>
                <w:highlight w:val="none"/>
                <w:u w:val="single"/>
                <w:lang w:eastAsia="zh-CN"/>
                <w14:textFill>
                  <w14:solidFill>
                    <w14:schemeClr w14:val="tx1"/>
                  </w14:solidFill>
                </w14:textFill>
              </w:rPr>
              <w:t>灌阳县洞井民族小学教学仪器设备采购</w:t>
            </w:r>
            <w:r>
              <w:rPr>
                <w:rFonts w:hint="eastAsia" w:ascii="宋体" w:hAnsi="宋体" w:eastAsia="宋体" w:cs="宋体"/>
                <w:color w:val="000000" w:themeColor="text1"/>
                <w:sz w:val="21"/>
                <w:szCs w:val="21"/>
                <w:highlight w:val="none"/>
                <w14:textFill>
                  <w14:solidFill>
                    <w14:schemeClr w14:val="tx1"/>
                  </w14:solidFill>
                </w14:textFill>
              </w:rPr>
              <w:t>的潜在投标人应</w:t>
            </w:r>
            <w:r>
              <w:rPr>
                <w:rFonts w:hint="eastAsia" w:ascii="宋体" w:hAnsi="宋体" w:eastAsia="宋体" w:cs="宋体"/>
                <w:color w:val="000000" w:themeColor="text1"/>
                <w:sz w:val="21"/>
                <w:szCs w:val="21"/>
                <w:highlight w:val="none"/>
                <w:u w:val="single"/>
                <w14:textFill>
                  <w14:solidFill>
                    <w14:schemeClr w14:val="tx1"/>
                  </w14:solidFill>
                </w14:textFill>
              </w:rPr>
              <w:fldChar w:fldCharType="begin"/>
            </w:r>
            <w:r>
              <w:rPr>
                <w:rFonts w:hint="eastAsia" w:ascii="宋体" w:hAnsi="宋体" w:eastAsia="宋体" w:cs="宋体"/>
                <w:color w:val="000000" w:themeColor="text1"/>
                <w:sz w:val="21"/>
                <w:szCs w:val="21"/>
                <w:highlight w:val="none"/>
                <w:u w:val="single"/>
                <w14:textFill>
                  <w14:solidFill>
                    <w14:schemeClr w14:val="tx1"/>
                  </w14:solidFill>
                </w14:textFill>
              </w:rPr>
              <w:instrText xml:space="preserve"> HYPERLINK "http://www.zcygov.cn（政采云平台）获取招标文件，并2023年6月" </w:instrText>
            </w:r>
            <w:r>
              <w:rPr>
                <w:rFonts w:hint="eastAsia" w:ascii="宋体" w:hAnsi="宋体" w:eastAsia="宋体" w:cs="宋体"/>
                <w:color w:val="000000" w:themeColor="text1"/>
                <w:sz w:val="21"/>
                <w:szCs w:val="21"/>
                <w:highlight w:val="none"/>
                <w:u w:val="single"/>
                <w14:textFill>
                  <w14:solidFill>
                    <w14:schemeClr w14:val="tx1"/>
                  </w14:solidFill>
                </w14:textFill>
              </w:rPr>
              <w:fldChar w:fldCharType="separate"/>
            </w:r>
            <w:r>
              <w:rPr>
                <w:rFonts w:hint="eastAsia" w:ascii="宋体"/>
                <w:color w:val="000000" w:themeColor="text1"/>
                <w:szCs w:val="21"/>
                <w:u w:val="single"/>
                <w14:textFill>
                  <w14:solidFill>
                    <w14:schemeClr w14:val="tx1"/>
                  </w14:solidFill>
                </w14:textFill>
              </w:rPr>
              <w:t>“广西政府采购云平台”（https://www.gcy.zfcg.gxzf.gov.cn/）</w:t>
            </w:r>
            <w:r>
              <w:rPr>
                <w:rStyle w:val="18"/>
                <w:rFonts w:hint="eastAsia" w:ascii="宋体" w:hAnsi="宋体" w:eastAsia="宋体" w:cs="宋体"/>
                <w:color w:val="000000" w:themeColor="text1"/>
                <w:sz w:val="21"/>
                <w:szCs w:val="21"/>
                <w:highlight w:val="none"/>
                <w:u w:val="none"/>
                <w14:textFill>
                  <w14:solidFill>
                    <w14:schemeClr w14:val="tx1"/>
                  </w14:solidFill>
                </w14:textFill>
              </w:rPr>
              <w:t>获取招标文件，并</w:t>
            </w:r>
            <w:r>
              <w:rPr>
                <w:rStyle w:val="18"/>
                <w:rFonts w:hint="eastAsia" w:ascii="宋体" w:hAnsi="宋体" w:eastAsia="宋体" w:cs="宋体"/>
                <w:color w:val="000000" w:themeColor="text1"/>
                <w:sz w:val="21"/>
                <w:szCs w:val="21"/>
                <w:highlight w:val="none"/>
                <w14:textFill>
                  <w14:solidFill>
                    <w14:schemeClr w14:val="tx1"/>
                  </w14:solidFill>
                </w14:textFill>
              </w:rPr>
              <w:t>202</w:t>
            </w:r>
            <w:r>
              <w:rPr>
                <w:rStyle w:val="18"/>
                <w:rFonts w:hint="eastAsia" w:ascii="宋体" w:hAnsi="宋体" w:cs="宋体"/>
                <w:color w:val="000000" w:themeColor="text1"/>
                <w:sz w:val="21"/>
                <w:szCs w:val="21"/>
                <w:highlight w:val="none"/>
                <w:lang w:val="en-US" w:eastAsia="zh-CN"/>
                <w14:textFill>
                  <w14:solidFill>
                    <w14:schemeClr w14:val="tx1"/>
                  </w14:solidFill>
                </w14:textFill>
              </w:rPr>
              <w:t>4</w:t>
            </w:r>
            <w:r>
              <w:rPr>
                <w:rStyle w:val="18"/>
                <w:rFonts w:hint="eastAsia" w:ascii="宋体" w:hAnsi="宋体" w:eastAsia="宋体" w:cs="宋体"/>
                <w:color w:val="000000" w:themeColor="text1"/>
                <w:sz w:val="21"/>
                <w:szCs w:val="21"/>
                <w:highlight w:val="none"/>
                <w14:textFill>
                  <w14:solidFill>
                    <w14:schemeClr w14:val="tx1"/>
                  </w14:solidFill>
                </w14:textFill>
              </w:rPr>
              <w:t>年</w:t>
            </w:r>
            <w:r>
              <w:rPr>
                <w:rStyle w:val="18"/>
                <w:rFonts w:hint="eastAsia" w:ascii="宋体" w:hAnsi="宋体" w:cs="宋体"/>
                <w:color w:val="000000" w:themeColor="text1"/>
                <w:sz w:val="21"/>
                <w:szCs w:val="21"/>
                <w:highlight w:val="none"/>
                <w:lang w:val="en-US" w:eastAsia="zh-CN"/>
                <w14:textFill>
                  <w14:solidFill>
                    <w14:schemeClr w14:val="tx1"/>
                  </w14:solidFill>
                </w14:textFill>
              </w:rPr>
              <w:t>9</w:t>
            </w:r>
            <w:r>
              <w:rPr>
                <w:rStyle w:val="18"/>
                <w:rFonts w:hint="eastAsia" w:ascii="宋体" w:hAnsi="宋体" w:eastAsia="宋体" w:cs="宋体"/>
                <w:color w:val="000000" w:themeColor="text1"/>
                <w:sz w:val="21"/>
                <w:szCs w:val="21"/>
                <w:highlight w:val="none"/>
                <w14:textFill>
                  <w14:solidFill>
                    <w14:schemeClr w14:val="tx1"/>
                  </w14:solidFill>
                </w14:textFill>
              </w:rPr>
              <w:t>月</w:t>
            </w:r>
            <w:r>
              <w:rPr>
                <w:rFonts w:hint="eastAsia" w:ascii="宋体" w:hAnsi="宋体" w:eastAsia="宋体" w:cs="宋体"/>
                <w:color w:val="000000" w:themeColor="text1"/>
                <w:sz w:val="21"/>
                <w:szCs w:val="21"/>
                <w:highlight w:val="none"/>
                <w:u w:val="single"/>
                <w14:textFill>
                  <w14:solidFill>
                    <w14:schemeClr w14:val="tx1"/>
                  </w14:solidFill>
                </w14:textFill>
              </w:rPr>
              <w:fldChar w:fldCharType="end"/>
            </w:r>
            <w:r>
              <w:rPr>
                <w:rFonts w:hint="eastAsia" w:ascii="宋体" w:hAnsi="宋体" w:cs="宋体"/>
                <w:color w:val="000000" w:themeColor="text1"/>
                <w:sz w:val="21"/>
                <w:szCs w:val="21"/>
                <w:highlight w:val="none"/>
                <w:u w:val="singl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u w:val="single"/>
                <w14:textFill>
                  <w14:solidFill>
                    <w14:schemeClr w14:val="tx1"/>
                  </w14:solidFill>
                </w14:textFill>
              </w:rPr>
              <w:t>日</w:t>
            </w:r>
            <w:r>
              <w:rPr>
                <w:rFonts w:hint="eastAsia" w:ascii="宋体" w:hAnsi="宋体" w:eastAsia="宋体" w:cs="宋体"/>
                <w:bCs/>
                <w:color w:val="000000" w:themeColor="text1"/>
                <w:sz w:val="21"/>
                <w:szCs w:val="21"/>
                <w:highlight w:val="none"/>
                <w:u w:val="single"/>
                <w14:textFill>
                  <w14:solidFill>
                    <w14:schemeClr w14:val="tx1"/>
                  </w14:solidFill>
                </w14:textFill>
              </w:rPr>
              <w:t>9时30 分（</w:t>
            </w:r>
            <w:r>
              <w:rPr>
                <w:rFonts w:hint="eastAsia" w:ascii="宋体" w:hAnsi="宋体" w:eastAsia="宋体" w:cs="宋体"/>
                <w:bCs/>
                <w:color w:val="000000" w:themeColor="text1"/>
                <w:sz w:val="21"/>
                <w:szCs w:val="21"/>
                <w:highlight w:val="none"/>
                <w14:textFill>
                  <w14:solidFill>
                    <w14:schemeClr w14:val="tx1"/>
                  </w14:solidFill>
                </w14:textFill>
              </w:rPr>
              <w:t>北京时间）前递交投标文件</w:t>
            </w:r>
            <w:r>
              <w:rPr>
                <w:rFonts w:hint="eastAsia" w:ascii="宋体" w:hAnsi="宋体" w:eastAsia="宋体" w:cs="宋体"/>
                <w:color w:val="000000" w:themeColor="text1"/>
                <w:szCs w:val="21"/>
                <w:highlight w:val="none"/>
                <w14:textFill>
                  <w14:solidFill>
                    <w14:schemeClr w14:val="tx1"/>
                  </w14:solidFill>
                </w14:textFill>
              </w:rPr>
              <w:t>。</w:t>
            </w:r>
          </w:p>
        </w:tc>
      </w:tr>
    </w:tbl>
    <w:p w14:paraId="6472C3FB">
      <w:pPr>
        <w:keepNext w:val="0"/>
        <w:keepLines w:val="0"/>
        <w:pageBreakBefore w:val="0"/>
        <w:widowControl w:val="0"/>
        <w:kinsoku/>
        <w:wordWrap/>
        <w:overflowPunct/>
        <w:topLinePunct w:val="0"/>
        <w:autoSpaceDE/>
        <w:autoSpaceDN/>
        <w:bidi w:val="0"/>
        <w:adjustRightInd/>
        <w:snapToGrid/>
        <w:spacing w:after="0" w:line="320" w:lineRule="exact"/>
        <w:ind w:firstLine="422" w:firstLineChars="200"/>
        <w:jc w:val="both"/>
        <w:textAlignment w:val="auto"/>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b/>
          <w:bCs/>
          <w:color w:val="000000" w:themeColor="text1"/>
          <w:kern w:val="2"/>
          <w:sz w:val="21"/>
          <w:szCs w:val="21"/>
          <w:highlight w:val="none"/>
          <w14:textFill>
            <w14:solidFill>
              <w14:schemeClr w14:val="tx1"/>
            </w14:solidFill>
          </w14:textFill>
        </w:rPr>
        <w:t>一、项目基本情况</w:t>
      </w:r>
    </w:p>
    <w:p w14:paraId="59FCC47B">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lang w:eastAsia="zh-CN"/>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项目编号：GLZC2024-G1-270182-GXGX</w:t>
      </w:r>
    </w:p>
    <w:p w14:paraId="28BA8E13">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000000" w:themeColor="text1"/>
          <w:kern w:val="2"/>
          <w:sz w:val="21"/>
          <w:szCs w:val="21"/>
          <w:highlight w:val="none"/>
          <w14:textFill>
            <w14:solidFill>
              <w14:schemeClr w14:val="tx1"/>
            </w14:solidFill>
          </w14:textFill>
        </w:rPr>
        <w:t>项目名称：</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灌阳县洞井民族小学教学仪器设备采购</w:t>
      </w:r>
      <w:r>
        <w:rPr>
          <w:rFonts w:hint="eastAsia" w:ascii="宋体" w:hAnsi="宋体" w:eastAsia="宋体" w:cs="Times New Roman"/>
          <w:color w:val="000000" w:themeColor="text1"/>
          <w:kern w:val="2"/>
          <w:sz w:val="21"/>
          <w:szCs w:val="21"/>
          <w:highlight w:val="none"/>
          <w14:textFill>
            <w14:solidFill>
              <w14:schemeClr w14:val="tx1"/>
            </w14:solidFill>
          </w14:textFill>
        </w:rPr>
        <w:t xml:space="preserve">        </w:t>
      </w:r>
    </w:p>
    <w:p w14:paraId="14260FD4">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default"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rPr>
        <w:t>预算总金额（元）：</w:t>
      </w:r>
      <w:r>
        <w:rPr>
          <w:rFonts w:hint="eastAsia" w:ascii="宋体" w:hAnsi="宋体" w:eastAsia="宋体" w:cs="Times New Roman"/>
          <w:color w:val="auto"/>
          <w:kern w:val="2"/>
          <w:sz w:val="21"/>
          <w:szCs w:val="21"/>
          <w:highlight w:val="none"/>
          <w:lang w:val="en-US" w:eastAsia="zh-CN"/>
        </w:rPr>
        <w:t>3304000</w:t>
      </w:r>
      <w:r>
        <w:rPr>
          <w:rFonts w:hint="eastAsia" w:ascii="宋体" w:hAnsi="宋体" w:eastAsia="宋体" w:cs="Times New Roman"/>
          <w:color w:val="auto"/>
          <w:kern w:val="2"/>
          <w:sz w:val="21"/>
          <w:szCs w:val="21"/>
          <w:highlight w:val="none"/>
          <w:lang w:eastAsia="zh-CN"/>
        </w:rPr>
        <w:t>.</w:t>
      </w:r>
      <w:r>
        <w:rPr>
          <w:rFonts w:hint="eastAsia" w:ascii="宋体" w:hAnsi="宋体" w:eastAsia="宋体" w:cs="Times New Roman"/>
          <w:color w:val="auto"/>
          <w:kern w:val="2"/>
          <w:sz w:val="21"/>
          <w:szCs w:val="21"/>
          <w:highlight w:val="none"/>
          <w:lang w:val="en-US" w:eastAsia="zh-CN"/>
        </w:rPr>
        <w:t>00</w:t>
      </w:r>
    </w:p>
    <w:p w14:paraId="6506B778">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采购需求：</w:t>
      </w:r>
    </w:p>
    <w:p w14:paraId="7457E240">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标项一（</w:t>
      </w:r>
      <w:r>
        <w:rPr>
          <w:rFonts w:hint="eastAsia" w:ascii="宋体" w:hAnsi="宋体" w:eastAsia="宋体" w:cs="Times New Roman"/>
          <w:b/>
          <w:bCs/>
          <w:color w:val="auto"/>
          <w:kern w:val="2"/>
          <w:sz w:val="21"/>
          <w:szCs w:val="21"/>
          <w:highlight w:val="none"/>
          <w:lang w:val="en-US" w:eastAsia="zh-CN"/>
        </w:rPr>
        <w:t>A分</w:t>
      </w:r>
      <w:r>
        <w:rPr>
          <w:rFonts w:hint="eastAsia" w:ascii="宋体" w:hAnsi="宋体" w:eastAsia="宋体" w:cs="Times New Roman"/>
          <w:b/>
          <w:bCs/>
          <w:color w:val="auto"/>
          <w:kern w:val="2"/>
          <w:sz w:val="21"/>
          <w:szCs w:val="21"/>
          <w:highlight w:val="none"/>
        </w:rPr>
        <w:t>标）</w:t>
      </w:r>
    </w:p>
    <w:p w14:paraId="44C98550">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标项名称：</w:t>
      </w:r>
      <w:r>
        <w:rPr>
          <w:rFonts w:hint="eastAsia" w:ascii="宋体" w:hAnsi="宋体" w:eastAsia="宋体" w:cs="Times New Roman"/>
          <w:color w:val="auto"/>
          <w:kern w:val="2"/>
          <w:sz w:val="21"/>
          <w:szCs w:val="21"/>
          <w:highlight w:val="none"/>
          <w:lang w:eastAsia="zh-CN"/>
        </w:rPr>
        <w:t>灌阳县洞井民族小学教学仪器设备采购</w:t>
      </w:r>
    </w:p>
    <w:p w14:paraId="5C7DBAEC">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数量：1</w:t>
      </w:r>
    </w:p>
    <w:p w14:paraId="13B044E8">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预算金额（元）：</w:t>
      </w:r>
      <w:r>
        <w:rPr>
          <w:rFonts w:hint="eastAsia" w:ascii="宋体" w:hAnsi="宋体" w:eastAsia="宋体" w:cs="Times New Roman"/>
          <w:color w:val="auto"/>
          <w:kern w:val="2"/>
          <w:sz w:val="21"/>
          <w:szCs w:val="21"/>
          <w:highlight w:val="none"/>
          <w:lang w:val="en-US" w:eastAsia="zh-CN"/>
        </w:rPr>
        <w:t>2300000</w:t>
      </w:r>
      <w:r>
        <w:rPr>
          <w:rFonts w:hint="eastAsia" w:ascii="宋体" w:hAnsi="宋体" w:eastAsia="宋体" w:cs="Times New Roman"/>
          <w:color w:val="auto"/>
          <w:kern w:val="2"/>
          <w:sz w:val="21"/>
          <w:szCs w:val="21"/>
          <w:highlight w:val="none"/>
        </w:rPr>
        <w:t>.00</w:t>
      </w:r>
    </w:p>
    <w:p w14:paraId="4C9D10D9">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简要规格描述或项目基本概况介绍、用途：</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灌阳县洞井民族小学教学仪器设备采购</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1批，</w:t>
      </w:r>
      <w:r>
        <w:rPr>
          <w:rFonts w:hint="eastAsia" w:ascii="宋体" w:hAnsi="宋体" w:eastAsia="宋体" w:cs="Times New Roman"/>
          <w:color w:val="000000" w:themeColor="text1"/>
          <w:kern w:val="2"/>
          <w:sz w:val="21"/>
          <w:szCs w:val="21"/>
          <w:highlight w:val="none"/>
          <w14:textFill>
            <w14:solidFill>
              <w14:schemeClr w14:val="tx1"/>
            </w14:solidFill>
          </w14:textFill>
        </w:rPr>
        <w:t>如需进一步了解详细内容，详见</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招标</w:t>
      </w:r>
      <w:r>
        <w:rPr>
          <w:rFonts w:hint="eastAsia" w:ascii="宋体" w:hAnsi="宋体" w:eastAsia="宋体" w:cs="Times New Roman"/>
          <w:color w:val="000000" w:themeColor="text1"/>
          <w:kern w:val="2"/>
          <w:sz w:val="21"/>
          <w:szCs w:val="21"/>
          <w:highlight w:val="none"/>
          <w14:textFill>
            <w14:solidFill>
              <w14:schemeClr w14:val="tx1"/>
            </w14:solidFill>
          </w14:textFill>
        </w:rPr>
        <w:t>文件。</w:t>
      </w:r>
    </w:p>
    <w:p w14:paraId="72C28D16">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default" w:ascii="宋体" w:hAnsi="宋体" w:eastAsia="宋体" w:cs="Times New Roman"/>
          <w:color w:val="000000" w:themeColor="text1"/>
          <w:kern w:val="2"/>
          <w:sz w:val="21"/>
          <w:szCs w:val="21"/>
          <w:highlight w:val="none"/>
          <w:lang w:val="en-US" w:eastAsia="zh-CN"/>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最高限价（如有）：</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2300000.00</w:t>
      </w:r>
    </w:p>
    <w:p w14:paraId="7DBE4F21">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合同履行期限：</w:t>
      </w:r>
      <w:r>
        <w:rPr>
          <w:rFonts w:hint="eastAsia" w:ascii="宋体" w:hAnsi="宋体" w:eastAsia="宋体" w:cs="宋体"/>
          <w:color w:val="auto"/>
          <w:sz w:val="21"/>
          <w:szCs w:val="21"/>
          <w:highlight w:val="none"/>
        </w:rPr>
        <w:t>自签订合同之日起 30 天内到货，45 天内全部安装调试完毕。</w:t>
      </w:r>
      <w:r>
        <w:rPr>
          <w:rFonts w:hint="eastAsia" w:ascii="宋体" w:hAnsi="宋体" w:eastAsia="宋体" w:cs="Times New Roman"/>
          <w:color w:val="000000" w:themeColor="text1"/>
          <w:kern w:val="2"/>
          <w:sz w:val="21"/>
          <w:szCs w:val="21"/>
          <w:highlight w:val="none"/>
          <w14:textFill>
            <w14:solidFill>
              <w14:schemeClr w14:val="tx1"/>
            </w14:solidFill>
          </w14:textFill>
        </w:rPr>
        <w:t xml:space="preserve"> </w:t>
      </w:r>
    </w:p>
    <w:p w14:paraId="370A8D4A">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本标项</w:t>
      </w:r>
      <w:r>
        <w:rPr>
          <w:rFonts w:hint="eastAsia" w:ascii="宋体" w:hAnsi="宋体" w:eastAsia="宋体" w:cs="宋体"/>
          <w:color w:val="auto"/>
          <w:sz w:val="21"/>
          <w:szCs w:val="21"/>
          <w:highlight w:val="none"/>
          <w:u w:val="none"/>
        </w:rPr>
        <w:t>（否）</w:t>
      </w:r>
      <w:r>
        <w:rPr>
          <w:rFonts w:hint="eastAsia" w:ascii="宋体" w:hAnsi="宋体" w:eastAsia="宋体" w:cs="Times New Roman"/>
          <w:color w:val="000000" w:themeColor="text1"/>
          <w:kern w:val="2"/>
          <w:sz w:val="21"/>
          <w:szCs w:val="21"/>
          <w:highlight w:val="none"/>
          <w14:textFill>
            <w14:solidFill>
              <w14:schemeClr w14:val="tx1"/>
            </w14:solidFill>
          </w14:textFill>
        </w:rPr>
        <w:t>接受联合体</w:t>
      </w:r>
    </w:p>
    <w:p w14:paraId="4CA52F60">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备注：/</w:t>
      </w:r>
    </w:p>
    <w:p w14:paraId="203FE5A3">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b/>
          <w:bCs/>
          <w:color w:val="000000" w:themeColor="text1"/>
          <w:kern w:val="2"/>
          <w:sz w:val="21"/>
          <w:szCs w:val="21"/>
          <w:highlight w:val="none"/>
          <w14:textFill>
            <w14:solidFill>
              <w14:schemeClr w14:val="tx1"/>
            </w14:solidFill>
          </w14:textFill>
        </w:rPr>
        <w:t>标项</w:t>
      </w:r>
      <w:r>
        <w:rPr>
          <w:rFonts w:hint="eastAsia" w:ascii="宋体" w:hAnsi="宋体" w:eastAsia="宋体" w:cs="Times New Roman"/>
          <w:b/>
          <w:bCs/>
          <w:color w:val="000000" w:themeColor="text1"/>
          <w:kern w:val="2"/>
          <w:sz w:val="21"/>
          <w:szCs w:val="21"/>
          <w:highlight w:val="none"/>
          <w:lang w:eastAsia="zh-CN"/>
          <w14:textFill>
            <w14:solidFill>
              <w14:schemeClr w14:val="tx1"/>
            </w14:solidFill>
          </w14:textFill>
        </w:rPr>
        <w:t>二</w:t>
      </w:r>
      <w:r>
        <w:rPr>
          <w:rFonts w:hint="eastAsia" w:ascii="宋体" w:hAnsi="宋体" w:eastAsia="宋体" w:cs="Times New Roman"/>
          <w:b/>
          <w:bCs/>
          <w:color w:val="000000" w:themeColor="text1"/>
          <w:kern w:val="2"/>
          <w:sz w:val="21"/>
          <w:szCs w:val="21"/>
          <w:highlight w:val="none"/>
          <w14:textFill>
            <w14:solidFill>
              <w14:schemeClr w14:val="tx1"/>
            </w14:solidFill>
          </w14:textFill>
        </w:rPr>
        <w:t>（</w:t>
      </w:r>
      <w:r>
        <w:rPr>
          <w:rFonts w:hint="eastAsia" w:ascii="宋体" w:hAnsi="宋体" w:eastAsia="宋体" w:cs="Times New Roman"/>
          <w:b/>
          <w:bCs/>
          <w:color w:val="000000" w:themeColor="text1"/>
          <w:kern w:val="2"/>
          <w:sz w:val="21"/>
          <w:szCs w:val="21"/>
          <w:highlight w:val="none"/>
          <w:lang w:val="en-US" w:eastAsia="zh-CN"/>
          <w14:textFill>
            <w14:solidFill>
              <w14:schemeClr w14:val="tx1"/>
            </w14:solidFill>
          </w14:textFill>
        </w:rPr>
        <w:t>B分</w:t>
      </w:r>
      <w:r>
        <w:rPr>
          <w:rFonts w:hint="eastAsia" w:ascii="宋体" w:hAnsi="宋体" w:eastAsia="宋体" w:cs="Times New Roman"/>
          <w:b/>
          <w:bCs/>
          <w:color w:val="000000" w:themeColor="text1"/>
          <w:kern w:val="2"/>
          <w:sz w:val="21"/>
          <w:szCs w:val="21"/>
          <w:highlight w:val="none"/>
          <w14:textFill>
            <w14:solidFill>
              <w14:schemeClr w14:val="tx1"/>
            </w14:solidFill>
          </w14:textFill>
        </w:rPr>
        <w:t>标）</w:t>
      </w:r>
    </w:p>
    <w:p w14:paraId="1C23C699">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标项名称：</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灌阳县洞井民族小学设备采购</w:t>
      </w:r>
    </w:p>
    <w:p w14:paraId="42E9B49E">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数量：1</w:t>
      </w:r>
    </w:p>
    <w:p w14:paraId="027AB6FA">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预算金额（元）：</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1004000</w:t>
      </w:r>
      <w:r>
        <w:rPr>
          <w:rFonts w:hint="eastAsia" w:ascii="宋体" w:hAnsi="宋体" w:eastAsia="宋体" w:cs="Times New Roman"/>
          <w:color w:val="000000" w:themeColor="text1"/>
          <w:kern w:val="2"/>
          <w:sz w:val="21"/>
          <w:szCs w:val="21"/>
          <w:highlight w:val="none"/>
          <w14:textFill>
            <w14:solidFill>
              <w14:schemeClr w14:val="tx1"/>
            </w14:solidFill>
          </w14:textFill>
        </w:rPr>
        <w:t>.00</w:t>
      </w:r>
    </w:p>
    <w:p w14:paraId="3F465D4B">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简要规格描述或项目基本概况介绍、用途：</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灌阳县洞井民族小学设备采购</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1</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批，</w:t>
      </w:r>
      <w:r>
        <w:rPr>
          <w:rFonts w:hint="eastAsia" w:ascii="宋体" w:hAnsi="宋体" w:eastAsia="宋体" w:cs="Times New Roman"/>
          <w:color w:val="000000" w:themeColor="text1"/>
          <w:kern w:val="2"/>
          <w:sz w:val="21"/>
          <w:szCs w:val="21"/>
          <w:highlight w:val="none"/>
          <w14:textFill>
            <w14:solidFill>
              <w14:schemeClr w14:val="tx1"/>
            </w14:solidFill>
          </w14:textFill>
        </w:rPr>
        <w:t>如需进一步了解详细内容，详见</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招标</w:t>
      </w:r>
      <w:r>
        <w:rPr>
          <w:rFonts w:hint="eastAsia" w:ascii="宋体" w:hAnsi="宋体" w:eastAsia="宋体" w:cs="Times New Roman"/>
          <w:color w:val="000000" w:themeColor="text1"/>
          <w:kern w:val="2"/>
          <w:sz w:val="21"/>
          <w:szCs w:val="21"/>
          <w:highlight w:val="none"/>
          <w14:textFill>
            <w14:solidFill>
              <w14:schemeClr w14:val="tx1"/>
            </w14:solidFill>
          </w14:textFill>
        </w:rPr>
        <w:t>文件。</w:t>
      </w:r>
    </w:p>
    <w:p w14:paraId="0E7A351E">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default" w:ascii="宋体" w:hAnsi="宋体" w:eastAsia="宋体" w:cs="Times New Roman"/>
          <w:color w:val="auto"/>
          <w:kern w:val="2"/>
          <w:sz w:val="21"/>
          <w:szCs w:val="21"/>
          <w:highlight w:val="none"/>
          <w:lang w:val="en-US" w:eastAsia="zh-CN"/>
        </w:rPr>
      </w:pPr>
      <w:r>
        <w:rPr>
          <w:rFonts w:hint="eastAsia" w:ascii="宋体" w:hAnsi="宋体" w:eastAsia="宋体" w:cs="Times New Roman"/>
          <w:color w:val="000000" w:themeColor="text1"/>
          <w:kern w:val="2"/>
          <w:sz w:val="21"/>
          <w:szCs w:val="21"/>
          <w:highlight w:val="none"/>
          <w14:textFill>
            <w14:solidFill>
              <w14:schemeClr w14:val="tx1"/>
            </w14:solidFill>
          </w14:textFill>
        </w:rPr>
        <w:t>最高限价（如有）：</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10040</w:t>
      </w:r>
      <w:r>
        <w:rPr>
          <w:rFonts w:hint="eastAsia" w:ascii="宋体" w:hAnsi="宋体" w:eastAsia="宋体" w:cs="Times New Roman"/>
          <w:color w:val="auto"/>
          <w:kern w:val="2"/>
          <w:sz w:val="21"/>
          <w:szCs w:val="21"/>
          <w:highlight w:val="none"/>
          <w:lang w:val="en-US" w:eastAsia="zh-CN"/>
        </w:rPr>
        <w:t>00.00</w:t>
      </w:r>
    </w:p>
    <w:p w14:paraId="4240F7E8">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合同履行期限：</w:t>
      </w:r>
      <w:r>
        <w:rPr>
          <w:rFonts w:hint="eastAsia" w:ascii="宋体" w:hAnsi="宋体" w:eastAsia="宋体" w:cs="宋体"/>
          <w:color w:val="auto"/>
          <w:sz w:val="21"/>
          <w:szCs w:val="21"/>
          <w:highlight w:val="none"/>
        </w:rPr>
        <w:t>自签订合同之日起 30 天内到货，45 天内全部安装调试完毕。</w:t>
      </w:r>
      <w:r>
        <w:rPr>
          <w:rFonts w:hint="eastAsia" w:ascii="宋体" w:hAnsi="宋体" w:eastAsia="宋体" w:cs="Times New Roman"/>
          <w:color w:val="auto"/>
          <w:kern w:val="2"/>
          <w:sz w:val="21"/>
          <w:szCs w:val="21"/>
          <w:highlight w:val="none"/>
        </w:rPr>
        <w:t xml:space="preserve"> </w:t>
      </w:r>
    </w:p>
    <w:p w14:paraId="718F05AA">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本标项</w:t>
      </w:r>
      <w:r>
        <w:rPr>
          <w:rFonts w:hint="eastAsia" w:ascii="宋体" w:hAnsi="宋体" w:eastAsia="宋体" w:cs="宋体"/>
          <w:color w:val="auto"/>
          <w:sz w:val="21"/>
          <w:szCs w:val="21"/>
          <w:highlight w:val="none"/>
          <w:u w:val="none"/>
        </w:rPr>
        <w:t>（否）</w:t>
      </w:r>
      <w:r>
        <w:rPr>
          <w:rFonts w:hint="eastAsia" w:ascii="宋体" w:hAnsi="宋体" w:eastAsia="宋体" w:cs="Times New Roman"/>
          <w:color w:val="auto"/>
          <w:kern w:val="2"/>
          <w:sz w:val="21"/>
          <w:szCs w:val="21"/>
          <w:highlight w:val="none"/>
        </w:rPr>
        <w:t>接受联合体</w:t>
      </w:r>
    </w:p>
    <w:p w14:paraId="684585CC">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备注：/</w:t>
      </w:r>
    </w:p>
    <w:p w14:paraId="6E97B34E">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p>
    <w:p w14:paraId="203EA480">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二、申请人的资格要求：</w:t>
      </w:r>
    </w:p>
    <w:p w14:paraId="08457FC9">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1.满足《中华人民共和国政府采购法》第二十二条规定；</w:t>
      </w:r>
    </w:p>
    <w:p w14:paraId="09DDFA98">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宋体"/>
          <w:color w:val="auto"/>
          <w:kern w:val="2"/>
          <w:sz w:val="21"/>
          <w:szCs w:val="21"/>
          <w:highlight w:val="none"/>
        </w:rPr>
      </w:pPr>
      <w:r>
        <w:rPr>
          <w:rFonts w:hint="eastAsia" w:ascii="宋体" w:hAnsi="宋体" w:eastAsia="宋体" w:cs="Times New Roman"/>
          <w:color w:val="auto"/>
          <w:kern w:val="2"/>
          <w:sz w:val="21"/>
          <w:szCs w:val="21"/>
          <w:highlight w:val="none"/>
        </w:rPr>
        <w:t>2.落实政府采购政策需满足的资格要求</w:t>
      </w:r>
      <w:r>
        <w:rPr>
          <w:rFonts w:hint="eastAsia" w:ascii="宋体" w:hAnsi="宋体" w:eastAsia="宋体" w:cs="宋体"/>
          <w:color w:val="auto"/>
          <w:kern w:val="2"/>
          <w:sz w:val="21"/>
          <w:szCs w:val="21"/>
          <w:highlight w:val="none"/>
        </w:rPr>
        <w:t>：</w:t>
      </w:r>
    </w:p>
    <w:p w14:paraId="43C71482">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rPr>
        <w:t>（1</w:t>
      </w:r>
      <w:r>
        <w:rPr>
          <w:rFonts w:hint="eastAsia" w:ascii="宋体" w:hAnsi="宋体" w:eastAsia="宋体" w:cs="宋体"/>
          <w:b w:val="0"/>
          <w:bCs w:val="0"/>
          <w:color w:val="000000" w:themeColor="text1"/>
          <w:kern w:val="2"/>
          <w:sz w:val="21"/>
          <w:szCs w:val="21"/>
          <w:highlight w:val="none"/>
          <w14:textFill>
            <w14:solidFill>
              <w14:schemeClr w14:val="tx1"/>
            </w14:solidFill>
          </w14:textFill>
        </w:rPr>
        <w:t>）</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标项一（</w:t>
      </w:r>
      <w:r>
        <w:rPr>
          <w:rFonts w:hint="eastAsia" w:ascii="宋体" w:hAnsi="宋体" w:eastAsia="宋体" w:cs="宋体"/>
          <w:b w:val="0"/>
          <w:bCs w:val="0"/>
          <w:color w:val="000000" w:themeColor="text1"/>
          <w:kern w:val="2"/>
          <w:sz w:val="21"/>
          <w:szCs w:val="21"/>
          <w:highlight w:val="none"/>
          <w14:textFill>
            <w14:solidFill>
              <w14:schemeClr w14:val="tx1"/>
            </w14:solidFill>
          </w14:textFill>
        </w:rPr>
        <w:t>A分标</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宋体"/>
          <w:b w:val="0"/>
          <w:bCs w:val="0"/>
          <w:color w:val="000000" w:themeColor="text1"/>
          <w:kern w:val="2"/>
          <w:sz w:val="21"/>
          <w:szCs w:val="21"/>
          <w:highlight w:val="none"/>
          <w14:textFill>
            <w14:solidFill>
              <w14:schemeClr w14:val="tx1"/>
            </w14:solidFill>
          </w14:textFill>
        </w:rPr>
        <w:t>：</w:t>
      </w:r>
      <w:r>
        <w:rPr>
          <w:rFonts w:hint="eastAsia" w:ascii="宋体" w:hAnsi="宋体" w:eastAsia="宋体" w:cs="宋体"/>
          <w:b/>
          <w:bCs/>
          <w:color w:val="000000" w:themeColor="text1"/>
          <w:kern w:val="2"/>
          <w:sz w:val="21"/>
          <w:szCs w:val="21"/>
          <w:highlight w:val="none"/>
          <w14:textFill>
            <w14:solidFill>
              <w14:schemeClr w14:val="tx1"/>
            </w14:solidFill>
          </w14:textFill>
        </w:rPr>
        <w:t>预留部分份额专门面向中小企业采购</w:t>
      </w:r>
      <w:r>
        <w:rPr>
          <w:rFonts w:hint="eastAsia" w:ascii="宋体" w:hAnsi="宋体" w:eastAsia="宋体" w:cs="宋体"/>
          <w:b/>
          <w:bCs/>
          <w:color w:val="000000" w:themeColor="text1"/>
          <w:kern w:val="2"/>
          <w:sz w:val="21"/>
          <w:szCs w:val="21"/>
          <w:highlight w:val="none"/>
          <w:lang w:eastAsia="zh-CN"/>
          <w14:textFill>
            <w14:solidFill>
              <w14:schemeClr w14:val="tx1"/>
            </w14:solidFill>
          </w14:textFill>
        </w:rPr>
        <w:t>，</w:t>
      </w:r>
      <w:r>
        <w:rPr>
          <w:rFonts w:hint="eastAsia" w:ascii="宋体" w:hAnsi="宋体" w:eastAsia="宋体" w:cs="宋体"/>
          <w:b/>
          <w:bCs/>
          <w:color w:val="000000" w:themeColor="text1"/>
          <w:kern w:val="2"/>
          <w:sz w:val="21"/>
          <w:szCs w:val="21"/>
          <w:highlight w:val="none"/>
          <w14:textFill>
            <w14:solidFill>
              <w14:schemeClr w14:val="tx1"/>
            </w14:solidFill>
          </w14:textFill>
        </w:rPr>
        <w:t>预留给中小企业的比例不低于合同价款总额的3</w:t>
      </w:r>
      <w:r>
        <w:rPr>
          <w:rFonts w:hint="eastAsia" w:ascii="宋体" w:hAnsi="宋体" w:eastAsia="宋体" w:cs="宋体"/>
          <w:b/>
          <w:bCs/>
          <w:color w:val="000000" w:themeColor="text1"/>
          <w:kern w:val="2"/>
          <w:sz w:val="21"/>
          <w:szCs w:val="21"/>
          <w:highlight w:val="none"/>
          <w:lang w:val="en-US" w:eastAsia="zh-CN"/>
          <w14:textFill>
            <w14:solidFill>
              <w14:schemeClr w14:val="tx1"/>
            </w14:solidFill>
          </w14:textFill>
        </w:rPr>
        <w:t>0</w:t>
      </w:r>
      <w:r>
        <w:rPr>
          <w:rFonts w:hint="eastAsia" w:ascii="宋体" w:hAnsi="宋体" w:eastAsia="宋体" w:cs="宋体"/>
          <w:b/>
          <w:bCs/>
          <w:color w:val="000000" w:themeColor="text1"/>
          <w:kern w:val="2"/>
          <w:sz w:val="21"/>
          <w:szCs w:val="21"/>
          <w:highlight w:val="none"/>
          <w14:textFill>
            <w14:solidFill>
              <w14:schemeClr w14:val="tx1"/>
            </w14:solidFill>
          </w14:textFill>
        </w:rPr>
        <w:t>%，其中预留给小微企业的比例不低于预留额度的6</w:t>
      </w:r>
      <w:r>
        <w:rPr>
          <w:rFonts w:hint="eastAsia" w:ascii="宋体" w:hAnsi="宋体" w:eastAsia="宋体" w:cs="宋体"/>
          <w:b/>
          <w:bCs/>
          <w:color w:val="000000" w:themeColor="text1"/>
          <w:kern w:val="2"/>
          <w:sz w:val="21"/>
          <w:szCs w:val="21"/>
          <w:highlight w:val="none"/>
          <w:lang w:val="en-US" w:eastAsia="zh-CN"/>
          <w14:textFill>
            <w14:solidFill>
              <w14:schemeClr w14:val="tx1"/>
            </w14:solidFill>
          </w14:textFill>
        </w:rPr>
        <w:t>0</w:t>
      </w:r>
      <w:r>
        <w:rPr>
          <w:rFonts w:hint="eastAsia" w:ascii="宋体" w:hAnsi="宋体" w:eastAsia="宋体" w:cs="宋体"/>
          <w:b/>
          <w:bCs/>
          <w:color w:val="000000" w:themeColor="text1"/>
          <w:kern w:val="2"/>
          <w:sz w:val="21"/>
          <w:szCs w:val="21"/>
          <w:highlight w:val="none"/>
          <w14:textFill>
            <w14:solidFill>
              <w14:schemeClr w14:val="tx1"/>
            </w14:solidFill>
          </w14:textFill>
        </w:rPr>
        <w:t>%。</w:t>
      </w:r>
    </w:p>
    <w:p w14:paraId="70A2E7EB">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宋体"/>
          <w:b w:val="0"/>
          <w:bCs w:val="0"/>
          <w:color w:val="000000" w:themeColor="text1"/>
          <w:kern w:val="2"/>
          <w:sz w:val="21"/>
          <w:szCs w:val="21"/>
          <w:highlight w:val="none"/>
          <w14:textFill>
            <w14:solidFill>
              <w14:schemeClr w14:val="tx1"/>
            </w14:solidFill>
          </w14:textFill>
        </w:rPr>
      </w:pPr>
      <w:r>
        <w:rPr>
          <w:rFonts w:hint="eastAsia" w:ascii="宋体" w:hAnsi="宋体" w:eastAsia="宋体" w:cs="宋体"/>
          <w:color w:val="auto"/>
          <w:kern w:val="2"/>
          <w:sz w:val="21"/>
          <w:szCs w:val="21"/>
          <w:highlight w:val="none"/>
        </w:rPr>
        <w:t>（2）</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标项二（</w:t>
      </w:r>
      <w:r>
        <w:rPr>
          <w:rFonts w:hint="eastAsia" w:ascii="宋体" w:hAnsi="宋体" w:eastAsia="宋体" w:cs="宋体"/>
          <w:b w:val="0"/>
          <w:bCs w:val="0"/>
          <w:color w:val="000000" w:themeColor="text1"/>
          <w:kern w:val="2"/>
          <w:sz w:val="21"/>
          <w:szCs w:val="21"/>
          <w:highlight w:val="none"/>
          <w:lang w:val="en-US" w:eastAsia="zh-CN"/>
          <w14:textFill>
            <w14:solidFill>
              <w14:schemeClr w14:val="tx1"/>
            </w14:solidFill>
          </w14:textFill>
        </w:rPr>
        <w:t>B</w:t>
      </w:r>
      <w:r>
        <w:rPr>
          <w:rFonts w:hint="eastAsia" w:ascii="宋体" w:hAnsi="宋体" w:eastAsia="宋体" w:cs="宋体"/>
          <w:b w:val="0"/>
          <w:bCs w:val="0"/>
          <w:color w:val="000000" w:themeColor="text1"/>
          <w:kern w:val="2"/>
          <w:sz w:val="21"/>
          <w:szCs w:val="21"/>
          <w:highlight w:val="none"/>
          <w14:textFill>
            <w14:solidFill>
              <w14:schemeClr w14:val="tx1"/>
            </w14:solidFill>
          </w14:textFill>
        </w:rPr>
        <w:t>分标</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宋体"/>
          <w:b w:val="0"/>
          <w:bCs w:val="0"/>
          <w:color w:val="000000" w:themeColor="text1"/>
          <w:kern w:val="2"/>
          <w:sz w:val="21"/>
          <w:szCs w:val="21"/>
          <w:highlight w:val="none"/>
          <w14:textFill>
            <w14:solidFill>
              <w14:schemeClr w14:val="tx1"/>
            </w14:solidFill>
          </w14:textFill>
        </w:rPr>
        <w:t>：</w:t>
      </w:r>
      <w:r>
        <w:rPr>
          <w:rFonts w:hint="eastAsia" w:ascii="宋体" w:hAnsi="宋体" w:eastAsia="宋体" w:cs="宋体"/>
          <w:b/>
          <w:bCs/>
          <w:color w:val="000000" w:themeColor="text1"/>
          <w:kern w:val="2"/>
          <w:sz w:val="21"/>
          <w:szCs w:val="21"/>
          <w:highlight w:val="none"/>
          <w14:textFill>
            <w14:solidFill>
              <w14:schemeClr w14:val="tx1"/>
            </w14:solidFill>
          </w14:textFill>
        </w:rPr>
        <w:t>预留部分份额专门面向中小企业采购</w:t>
      </w:r>
      <w:r>
        <w:rPr>
          <w:rFonts w:hint="eastAsia" w:ascii="宋体" w:hAnsi="宋体" w:eastAsia="宋体" w:cs="宋体"/>
          <w:b/>
          <w:bCs/>
          <w:color w:val="000000" w:themeColor="text1"/>
          <w:kern w:val="2"/>
          <w:sz w:val="21"/>
          <w:szCs w:val="21"/>
          <w:highlight w:val="none"/>
          <w:lang w:eastAsia="zh-CN"/>
          <w14:textFill>
            <w14:solidFill>
              <w14:schemeClr w14:val="tx1"/>
            </w14:solidFill>
          </w14:textFill>
        </w:rPr>
        <w:t>，</w:t>
      </w:r>
      <w:r>
        <w:rPr>
          <w:rFonts w:hint="eastAsia" w:ascii="宋体" w:hAnsi="宋体" w:eastAsia="宋体" w:cs="宋体"/>
          <w:b/>
          <w:bCs/>
          <w:color w:val="000000" w:themeColor="text1"/>
          <w:kern w:val="2"/>
          <w:sz w:val="21"/>
          <w:szCs w:val="21"/>
          <w:highlight w:val="none"/>
          <w14:textFill>
            <w14:solidFill>
              <w14:schemeClr w14:val="tx1"/>
            </w14:solidFill>
          </w14:textFill>
        </w:rPr>
        <w:t>预留给中小企业的比例不低于合同价款总额的</w:t>
      </w:r>
      <w:r>
        <w:rPr>
          <w:rFonts w:hint="eastAsia" w:ascii="宋体" w:hAnsi="宋体" w:eastAsia="宋体" w:cs="宋体"/>
          <w:b/>
          <w:bCs/>
          <w:color w:val="000000" w:themeColor="text1"/>
          <w:kern w:val="2"/>
          <w:sz w:val="21"/>
          <w:szCs w:val="21"/>
          <w:highlight w:val="none"/>
          <w:lang w:val="en-US" w:eastAsia="zh-CN"/>
          <w14:textFill>
            <w14:solidFill>
              <w14:schemeClr w14:val="tx1"/>
            </w14:solidFill>
          </w14:textFill>
        </w:rPr>
        <w:t>50</w:t>
      </w:r>
      <w:r>
        <w:rPr>
          <w:rFonts w:hint="eastAsia" w:ascii="宋体" w:hAnsi="宋体" w:eastAsia="宋体" w:cs="宋体"/>
          <w:b/>
          <w:bCs/>
          <w:color w:val="000000" w:themeColor="text1"/>
          <w:kern w:val="2"/>
          <w:sz w:val="21"/>
          <w:szCs w:val="21"/>
          <w:highlight w:val="none"/>
          <w14:textFill>
            <w14:solidFill>
              <w14:schemeClr w14:val="tx1"/>
            </w14:solidFill>
          </w14:textFill>
        </w:rPr>
        <w:t>%，其中预留给小微企业的比例不低于预留额度的</w:t>
      </w:r>
      <w:r>
        <w:rPr>
          <w:rFonts w:hint="eastAsia" w:ascii="宋体" w:hAnsi="宋体" w:eastAsia="宋体" w:cs="宋体"/>
          <w:b/>
          <w:bCs/>
          <w:color w:val="000000" w:themeColor="text1"/>
          <w:kern w:val="2"/>
          <w:sz w:val="21"/>
          <w:szCs w:val="21"/>
          <w:highlight w:val="none"/>
          <w:lang w:val="en-US" w:eastAsia="zh-CN"/>
          <w14:textFill>
            <w14:solidFill>
              <w14:schemeClr w14:val="tx1"/>
            </w14:solidFill>
          </w14:textFill>
        </w:rPr>
        <w:t>75</w:t>
      </w:r>
      <w:r>
        <w:rPr>
          <w:rFonts w:hint="eastAsia" w:ascii="宋体" w:hAnsi="宋体" w:eastAsia="宋体" w:cs="宋体"/>
          <w:b/>
          <w:bCs/>
          <w:color w:val="000000" w:themeColor="text1"/>
          <w:kern w:val="2"/>
          <w:sz w:val="21"/>
          <w:szCs w:val="21"/>
          <w:highlight w:val="none"/>
          <w14:textFill>
            <w14:solidFill>
              <w14:schemeClr w14:val="tx1"/>
            </w14:solidFill>
          </w14:textFill>
        </w:rPr>
        <w:t>%。</w:t>
      </w:r>
    </w:p>
    <w:p w14:paraId="11878B17">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3.本项目的特定资格要求：无；</w:t>
      </w:r>
    </w:p>
    <w:p w14:paraId="2025FF73">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三、获取招标文件：</w:t>
      </w:r>
    </w:p>
    <w:p w14:paraId="3AD84A74">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auto"/>
          <w:kern w:val="2"/>
          <w:sz w:val="21"/>
          <w:szCs w:val="21"/>
          <w:highlight w:val="none"/>
        </w:rPr>
        <w:t>时间</w:t>
      </w:r>
      <w:r>
        <w:rPr>
          <w:rFonts w:hint="eastAsia" w:ascii="宋体" w:hAnsi="宋体" w:eastAsia="宋体" w:cs="Times New Roman"/>
          <w:color w:val="000000" w:themeColor="text1"/>
          <w:kern w:val="2"/>
          <w:sz w:val="21"/>
          <w:szCs w:val="21"/>
          <w:highlight w:val="none"/>
          <w14:textFill>
            <w14:solidFill>
              <w14:schemeClr w14:val="tx1"/>
            </w14:solidFill>
          </w14:textFill>
        </w:rPr>
        <w:t>：</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年</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8</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月</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14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日至202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年</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9</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月</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日 ，</w:t>
      </w:r>
      <w:r>
        <w:rPr>
          <w:rFonts w:hint="eastAsia" w:ascii="宋体" w:hAnsi="宋体" w:eastAsia="宋体" w:cs="Times New Roman"/>
          <w:color w:val="000000" w:themeColor="text1"/>
          <w:kern w:val="2"/>
          <w:sz w:val="21"/>
          <w:szCs w:val="21"/>
          <w:highlight w:val="none"/>
          <w14:textFill>
            <w14:solidFill>
              <w14:schemeClr w14:val="tx1"/>
            </w14:solidFill>
          </w14:textFill>
        </w:rPr>
        <w:t>每天上午00:00至1</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1</w:t>
      </w:r>
      <w:r>
        <w:rPr>
          <w:rFonts w:hint="eastAsia" w:ascii="宋体" w:hAnsi="宋体" w:eastAsia="宋体" w:cs="Times New Roman"/>
          <w:color w:val="000000" w:themeColor="text1"/>
          <w:kern w:val="2"/>
          <w:sz w:val="21"/>
          <w:szCs w:val="21"/>
          <w:highlight w:val="none"/>
          <w14:textFill>
            <w14:solidFill>
              <w14:schemeClr w14:val="tx1"/>
            </w14:solidFill>
          </w14:textFill>
        </w:rPr>
        <w:t>:</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59</w:t>
      </w:r>
      <w:r>
        <w:rPr>
          <w:rFonts w:hint="eastAsia" w:ascii="宋体" w:hAnsi="宋体" w:eastAsia="宋体" w:cs="Times New Roman"/>
          <w:color w:val="000000" w:themeColor="text1"/>
          <w:kern w:val="2"/>
          <w:sz w:val="21"/>
          <w:szCs w:val="21"/>
          <w:highlight w:val="none"/>
          <w14:textFill>
            <w14:solidFill>
              <w14:schemeClr w14:val="tx1"/>
            </w14:solidFill>
          </w14:textFill>
        </w:rPr>
        <w:t xml:space="preserve"> ，下午12:00至23:59（北京时间，法定节假日除外）；</w:t>
      </w:r>
    </w:p>
    <w:p w14:paraId="14C16B72">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地点（网址）：“广西政府采购云平台”（https://www.gcy.zfcg.gxzf.gov.cn/）；</w:t>
      </w:r>
    </w:p>
    <w:p w14:paraId="713DB2AC">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方式：投标人登录“广西政府采购云平台”（https://www.gcy.zfcg.gxzf.gov.cn/）在线申请获取采购文件（进入“项目采购”应用，在获取采购文件菜单中选择项目，申请获取采购文件）；</w:t>
      </w:r>
    </w:p>
    <w:p w14:paraId="583FC247">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 xml:space="preserve">售价（元）：0 </w:t>
      </w:r>
    </w:p>
    <w:p w14:paraId="5BDBE883">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bCs/>
          <w:color w:val="000000" w:themeColor="text1"/>
          <w:kern w:val="2"/>
          <w:sz w:val="21"/>
          <w:szCs w:val="21"/>
          <w:highlight w:val="none"/>
          <w:lang w:eastAsia="zh-CN"/>
          <w14:textFill>
            <w14:solidFill>
              <w14:schemeClr w14:val="tx1"/>
            </w14:solidFill>
          </w14:textFill>
        </w:rPr>
      </w:pPr>
      <w:r>
        <w:rPr>
          <w:rFonts w:hint="eastAsia" w:ascii="宋体" w:hAnsi="宋体" w:eastAsia="宋体" w:cs="Times New Roman"/>
          <w:b/>
          <w:bCs/>
          <w:color w:val="000000" w:themeColor="text1"/>
          <w:kern w:val="2"/>
          <w:sz w:val="21"/>
          <w:szCs w:val="21"/>
          <w:highlight w:val="none"/>
          <w14:textFill>
            <w14:solidFill>
              <w14:schemeClr w14:val="tx1"/>
            </w14:solidFill>
          </w14:textFill>
        </w:rPr>
        <w:t>四、提交投标文件截止时间、开标时间和地点</w:t>
      </w:r>
      <w:r>
        <w:rPr>
          <w:rFonts w:hint="eastAsia" w:ascii="宋体" w:hAnsi="宋体" w:eastAsia="宋体" w:cs="Times New Roman"/>
          <w:b/>
          <w:bCs/>
          <w:color w:val="000000" w:themeColor="text1"/>
          <w:kern w:val="2"/>
          <w:sz w:val="21"/>
          <w:szCs w:val="21"/>
          <w:highlight w:val="none"/>
          <w:lang w:eastAsia="zh-CN"/>
          <w14:textFill>
            <w14:solidFill>
              <w14:schemeClr w14:val="tx1"/>
            </w14:solidFill>
          </w14:textFill>
        </w:rPr>
        <w:t>：</w:t>
      </w:r>
    </w:p>
    <w:p w14:paraId="7C088D44">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val="0"/>
          <w:bCs w:val="0"/>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提交投标文件截止时</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间：202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年</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9</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月</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日上午9时30分（北京时间）。</w:t>
      </w:r>
    </w:p>
    <w:p w14:paraId="786A8945">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val="0"/>
          <w:bCs w:val="0"/>
          <w:color w:val="000000" w:themeColor="text1"/>
          <w:kern w:val="2"/>
          <w:sz w:val="21"/>
          <w:szCs w:val="21"/>
          <w:highlight w:val="none"/>
          <w14:textFill>
            <w14:solidFill>
              <w14:schemeClr w14:val="tx1"/>
            </w14:solidFill>
          </w14:textFill>
        </w:rPr>
      </w:pP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投标地点（网址）：通过</w:t>
      </w:r>
      <w:r>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t>“广西政府采购云平台”</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平台实行在线投标。</w:t>
      </w:r>
    </w:p>
    <w:p w14:paraId="7FA8E4AB">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开标时间：202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年</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9</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月</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日上</w:t>
      </w:r>
      <w:r>
        <w:rPr>
          <w:rFonts w:hint="eastAsia" w:ascii="宋体" w:hAnsi="宋体" w:eastAsia="宋体" w:cs="Times New Roman"/>
          <w:color w:val="000000" w:themeColor="text1"/>
          <w:kern w:val="2"/>
          <w:sz w:val="21"/>
          <w:szCs w:val="21"/>
          <w:highlight w:val="none"/>
          <w14:textFill>
            <w14:solidFill>
              <w14:schemeClr w14:val="tx1"/>
            </w14:solidFill>
          </w14:textFill>
        </w:rPr>
        <w:t>午9时30分（北京时间）。</w:t>
      </w:r>
    </w:p>
    <w:p w14:paraId="47FC88FE">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开标地点（网址）：通过</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“广西政府采购云平台”</w:t>
      </w:r>
      <w:r>
        <w:rPr>
          <w:rFonts w:hint="eastAsia" w:ascii="宋体" w:hAnsi="宋体" w:eastAsia="宋体" w:cs="Times New Roman"/>
          <w:color w:val="000000" w:themeColor="text1"/>
          <w:kern w:val="2"/>
          <w:sz w:val="21"/>
          <w:szCs w:val="21"/>
          <w:highlight w:val="none"/>
          <w14:textFill>
            <w14:solidFill>
              <w14:schemeClr w14:val="tx1"/>
            </w14:solidFill>
          </w14:textFill>
        </w:rPr>
        <w:t>平台在线解密开启。</w:t>
      </w:r>
    </w:p>
    <w:p w14:paraId="1D857E4A">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b/>
          <w:bCs/>
          <w:color w:val="000000" w:themeColor="text1"/>
          <w:kern w:val="2"/>
          <w:sz w:val="21"/>
          <w:szCs w:val="21"/>
          <w:highlight w:val="none"/>
          <w14:textFill>
            <w14:solidFill>
              <w14:schemeClr w14:val="tx1"/>
            </w14:solidFill>
          </w14:textFill>
        </w:rPr>
        <w:t>五、公告期限：</w:t>
      </w:r>
    </w:p>
    <w:p w14:paraId="2995A264">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000000" w:themeColor="text1"/>
          <w:kern w:val="2"/>
          <w:sz w:val="21"/>
          <w:szCs w:val="21"/>
          <w:highlight w:val="none"/>
          <w14:textFill>
            <w14:solidFill>
              <w14:schemeClr w14:val="tx1"/>
            </w14:solidFill>
          </w14:textFill>
        </w:rPr>
        <w:t>自本公告发布之日起5个工作日。</w:t>
      </w:r>
    </w:p>
    <w:p w14:paraId="073C8DDF">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六、其他补充事宜：</w:t>
      </w:r>
    </w:p>
    <w:p w14:paraId="75ECC732">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1.对在“信用中国”网站（www.creditchina.gov.cn）、中国政府采购网（www.ccgp.gov.cn）等渠道列入失信被执行人、</w:t>
      </w:r>
      <w:r>
        <w:rPr>
          <w:rFonts w:hint="eastAsia" w:ascii="宋体" w:hAnsi="宋体" w:eastAsia="宋体" w:cs="Times New Roman"/>
          <w:color w:val="auto"/>
          <w:kern w:val="2"/>
          <w:sz w:val="21"/>
          <w:szCs w:val="21"/>
          <w:highlight w:val="none"/>
          <w:lang w:eastAsia="zh-CN"/>
        </w:rPr>
        <w:t>重大税收违法失信主体</w:t>
      </w:r>
      <w:r>
        <w:rPr>
          <w:rFonts w:hint="eastAsia" w:ascii="宋体" w:hAnsi="宋体" w:eastAsia="宋体" w:cs="Times New Roman"/>
          <w:color w:val="auto"/>
          <w:kern w:val="2"/>
          <w:sz w:val="21"/>
          <w:szCs w:val="21"/>
          <w:highlight w:val="none"/>
        </w:rPr>
        <w:t>、政府采购严重违法失信行为记录名单及其他不符合《中华人民共和国政府采购法》第二十二条规定条件的投标人，不得参与政府采购活动。</w:t>
      </w:r>
    </w:p>
    <w:p w14:paraId="0ECC5FF9">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单位负责人为同一人或者存在直接控股、管理关系的不同投标人，不得参加同一合同项下的政府采购活动。除单一来源采购项目外，为本采购项目提供整体设计、规范编制或者项目管理、监理、检测等服务的投标人，不得再参加该采购项目的其他采购活动。</w:t>
      </w:r>
    </w:p>
    <w:p w14:paraId="07F46ABB">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3.本项目需要落实的政府采购政策：</w:t>
      </w:r>
    </w:p>
    <w:p w14:paraId="1F9A1037">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（1）政府采购促进中小企业发展。</w:t>
      </w:r>
    </w:p>
    <w:p w14:paraId="0D418790">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（2）政府采购支持监狱企业发展。</w:t>
      </w:r>
    </w:p>
    <w:p w14:paraId="7BA55D7D">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（3）政府采购促进残疾人就业政策。</w:t>
      </w:r>
    </w:p>
    <w:p w14:paraId="134E06D7">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FF"/>
          <w:kern w:val="2"/>
          <w:sz w:val="21"/>
          <w:szCs w:val="21"/>
          <w:highlight w:val="none"/>
        </w:rPr>
      </w:pPr>
      <w:r>
        <w:rPr>
          <w:rFonts w:hint="eastAsia" w:ascii="宋体" w:hAnsi="宋体" w:eastAsia="宋体" w:cs="Times New Roman"/>
          <w:color w:val="auto"/>
          <w:kern w:val="2"/>
          <w:sz w:val="21"/>
          <w:szCs w:val="21"/>
          <w:highlight w:val="none"/>
          <w:lang w:val="en-US" w:eastAsia="zh-CN"/>
        </w:rPr>
        <w:t>（4）优先采购节能产品、环境标志产品。</w:t>
      </w:r>
    </w:p>
    <w:p w14:paraId="1BBA1E8F">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4.信息公告发布媒体：中国政府采购网（http://www.ccgp.gov.cn）、广西壮族自治区政府采购网（http://zfcg.gxzf.gov.cn）、桂林市政府采购网（http://gl.zfcg.zcygov.cn/）。</w:t>
      </w:r>
    </w:p>
    <w:p w14:paraId="11ACFDF3">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5.投标文件解密时间：投标截止时间后30</w:t>
      </w:r>
      <w:r>
        <w:rPr>
          <w:rFonts w:hint="eastAsia" w:ascii="宋体" w:hAnsi="宋体" w:eastAsia="宋体" w:cs="Times New Roman"/>
          <w:color w:val="000000" w:themeColor="text1"/>
          <w:kern w:val="2"/>
          <w:sz w:val="21"/>
          <w:szCs w:val="21"/>
          <w:highlight w:val="none"/>
          <w14:textFill>
            <w14:solidFill>
              <w14:schemeClr w14:val="tx1"/>
            </w14:solidFill>
          </w14:textFill>
        </w:rPr>
        <w:t>分钟内（202</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color w:val="000000" w:themeColor="text1"/>
          <w:kern w:val="2"/>
          <w:sz w:val="21"/>
          <w:szCs w:val="21"/>
          <w:highlight w:val="none"/>
          <w14:textFill>
            <w14:solidFill>
              <w14:schemeClr w14:val="tx1"/>
            </w14:solidFill>
          </w14:textFill>
        </w:rPr>
        <w:t>年</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9</w:t>
      </w:r>
      <w:r>
        <w:rPr>
          <w:rFonts w:hint="eastAsia" w:ascii="宋体" w:hAnsi="宋体" w:eastAsia="宋体" w:cs="Times New Roman"/>
          <w:color w:val="000000" w:themeColor="text1"/>
          <w:kern w:val="2"/>
          <w:sz w:val="21"/>
          <w:szCs w:val="21"/>
          <w:highlight w:val="none"/>
          <w14:textFill>
            <w14:solidFill>
              <w14:schemeClr w14:val="tx1"/>
            </w14:solidFill>
          </w14:textFill>
        </w:rPr>
        <w:t>月</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color w:val="000000" w:themeColor="text1"/>
          <w:kern w:val="2"/>
          <w:sz w:val="21"/>
          <w:szCs w:val="21"/>
          <w:highlight w:val="none"/>
          <w14:textFill>
            <w14:solidFill>
              <w14:schemeClr w14:val="tx1"/>
            </w14:solidFill>
          </w14:textFill>
        </w:rPr>
        <w:t>日9时30分至10时00分）投标人可以登录</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广西政府采购云平台</w:t>
      </w:r>
      <w:r>
        <w:rPr>
          <w:rFonts w:hint="eastAsia" w:ascii="宋体" w:hAnsi="宋体" w:eastAsia="宋体" w:cs="Times New Roman"/>
          <w:color w:val="000000" w:themeColor="text1"/>
          <w:kern w:val="2"/>
          <w:sz w:val="21"/>
          <w:szCs w:val="21"/>
          <w:highlight w:val="none"/>
          <w14:textFill>
            <w14:solidFill>
              <w14:schemeClr w14:val="tx1"/>
            </w14:solidFill>
          </w14:textFill>
        </w:rPr>
        <w:t>平台，用“项目采购-开标评标”功能进行解密投标文件。若投标人在规定时间内无法解密或解密失败或超时解密的，系统默认自动放</w:t>
      </w:r>
      <w:r>
        <w:rPr>
          <w:rFonts w:hint="eastAsia" w:ascii="宋体" w:hAnsi="宋体" w:eastAsia="宋体" w:cs="Times New Roman"/>
          <w:color w:val="auto"/>
          <w:kern w:val="2"/>
          <w:sz w:val="21"/>
          <w:szCs w:val="21"/>
          <w:highlight w:val="none"/>
        </w:rPr>
        <w:t>弃，投标文件按投标无效处理。</w:t>
      </w:r>
    </w:p>
    <w:p w14:paraId="2F12253C">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6. 在线投标（电子投标）说明</w:t>
      </w:r>
    </w:p>
    <w:p w14:paraId="2EF62E44">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6.1本项目实行全流程电子化采购，投标人通过</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平台参与在线响应（电子响应），并应做好以下相关准备工作：①在</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平台注册成为正式供应商（操作方法详见广西壮族自治区政府采购网—办事服务—办事指南）；②完成CA证书申领和绑定（费用由投标人自行承担，办理流程详见广西壮族自治区政府采购网—办事服务—下载专区，完成CA证书办理预计一周左右，建议投标人尽快办理）；③下载“广西壮族自治区全流程电子招投标项目管理系统--投标人客户端”（操作方法详见广西壮族自治区政府采购网—办事服务—下载专区，以下称“</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电子投标客户端”）并安装成功，投标人应当在提交投标文件截止时间前在</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平台完成的身份认证，确保能够对相关数据电文进行加密和使用电子签章；④自备计算机和网络设备并确保能接入互联网（费用由投标人自行承担，设备确保可进行视频通话和读取</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CA证书）。因投标人未做好相关准备工作等自身原因导致无法参加本项目在线响应（电子响应）或响应失败的，造成的一切后果，由投标人自行承担。</w:t>
      </w:r>
    </w:p>
    <w:p w14:paraId="1B16E65C">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6.2在线响应（电子响应）具体操作流程参考《政府采购项目电子交易管理操作指南-供应商》（详见桂林市政府采购网—采购资讯—重要通知）；如遇平台技术问题详询</w:t>
      </w:r>
      <w:r>
        <w:rPr>
          <w:rFonts w:hint="eastAsia" w:ascii="宋体" w:hAnsi="宋体" w:eastAsia="宋体" w:cs="Times New Roman"/>
          <w:color w:val="auto"/>
          <w:kern w:val="2"/>
          <w:sz w:val="21"/>
          <w:szCs w:val="21"/>
          <w:highlight w:val="none"/>
          <w:lang w:eastAsia="zh-CN"/>
        </w:rPr>
        <w:t>95763</w:t>
      </w:r>
      <w:r>
        <w:rPr>
          <w:rFonts w:hint="eastAsia" w:ascii="宋体" w:hAnsi="宋体" w:eastAsia="宋体" w:cs="Times New Roman"/>
          <w:color w:val="auto"/>
          <w:kern w:val="2"/>
          <w:sz w:val="21"/>
          <w:szCs w:val="21"/>
          <w:highlight w:val="none"/>
        </w:rPr>
        <w:t>。</w:t>
      </w:r>
    </w:p>
    <w:p w14:paraId="4074555A">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七、对本次招标提出询问，请按以下方式联系</w:t>
      </w:r>
    </w:p>
    <w:p w14:paraId="16CA407F">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 采购人信息：</w:t>
      </w:r>
    </w:p>
    <w:p w14:paraId="7C332C58">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名  称：</w:t>
      </w:r>
      <w:r>
        <w:rPr>
          <w:rFonts w:hint="eastAsia" w:ascii="宋体" w:hAnsi="宋体" w:eastAsia="宋体" w:cs="Times New Roman"/>
          <w:color w:val="auto"/>
          <w:kern w:val="2"/>
          <w:sz w:val="21"/>
          <w:szCs w:val="21"/>
          <w:highlight w:val="none"/>
          <w:lang w:eastAsia="zh-CN"/>
        </w:rPr>
        <w:t>灌阳县教育局</w:t>
      </w:r>
      <w:r>
        <w:rPr>
          <w:rFonts w:hint="eastAsia" w:ascii="宋体" w:hAnsi="宋体" w:eastAsia="宋体" w:cs="Times New Roman"/>
          <w:color w:val="auto"/>
          <w:kern w:val="2"/>
          <w:sz w:val="21"/>
          <w:szCs w:val="21"/>
          <w:highlight w:val="none"/>
        </w:rPr>
        <w:t xml:space="preserve">          </w:t>
      </w:r>
    </w:p>
    <w:p w14:paraId="3B38C0F5">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地  址：</w:t>
      </w:r>
      <w:r>
        <w:rPr>
          <w:rFonts w:hint="eastAsia" w:ascii="宋体" w:hAnsi="宋体" w:eastAsia="宋体" w:cs="Times New Roman"/>
          <w:color w:val="auto"/>
          <w:kern w:val="2"/>
          <w:sz w:val="21"/>
          <w:szCs w:val="21"/>
          <w:highlight w:val="none"/>
          <w:lang w:eastAsia="zh-CN"/>
        </w:rPr>
        <w:t>灌阳县灌阳镇灌江西路7号</w:t>
      </w:r>
      <w:r>
        <w:rPr>
          <w:rFonts w:hint="eastAsia" w:ascii="宋体" w:hAnsi="宋体" w:eastAsia="宋体" w:cs="Times New Roman"/>
          <w:color w:val="auto"/>
          <w:kern w:val="2"/>
          <w:sz w:val="21"/>
          <w:szCs w:val="21"/>
          <w:highlight w:val="none"/>
        </w:rPr>
        <w:t>　　　　　　　　　　</w:t>
      </w:r>
    </w:p>
    <w:p w14:paraId="5C9161F4">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项目联系人：卿工</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 xml:space="preserve">  </w:t>
      </w:r>
      <w:r>
        <w:rPr>
          <w:rFonts w:hint="eastAsia" w:ascii="宋体" w:hAnsi="宋体" w:eastAsia="宋体" w:cs="Times New Roman"/>
          <w:color w:val="000000" w:themeColor="text1"/>
          <w:kern w:val="2"/>
          <w:sz w:val="21"/>
          <w:szCs w:val="21"/>
          <w:highlight w:val="none"/>
          <w14:textFill>
            <w14:solidFill>
              <w14:schemeClr w14:val="tx1"/>
            </w14:solidFill>
          </w14:textFill>
        </w:rPr>
        <w:t xml:space="preserve">      </w:t>
      </w:r>
    </w:p>
    <w:p w14:paraId="76C6A58C">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000000" w:themeColor="text1"/>
          <w:kern w:val="2"/>
          <w:sz w:val="21"/>
          <w:szCs w:val="21"/>
          <w:highlight w:val="none"/>
          <w:lang w:eastAsia="zh-CN"/>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项目联系方式：0773-4219021</w:t>
      </w:r>
    </w:p>
    <w:p w14:paraId="08ED235E">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2.采购代理机构信息：</w:t>
      </w:r>
    </w:p>
    <w:p w14:paraId="16A4ECBE">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名  称：</w:t>
      </w:r>
      <w:r>
        <w:rPr>
          <w:rFonts w:hint="eastAsia" w:ascii="宋体" w:hAnsi="宋体" w:eastAsia="宋体" w:cs="Times New Roman"/>
          <w:color w:val="auto"/>
          <w:kern w:val="2"/>
          <w:sz w:val="21"/>
          <w:szCs w:val="21"/>
          <w:highlight w:val="none"/>
          <w:lang w:eastAsia="zh-CN"/>
        </w:rPr>
        <w:t>广西国兴项目管理有限公司</w:t>
      </w:r>
      <w:r>
        <w:rPr>
          <w:rFonts w:hint="eastAsia" w:ascii="宋体" w:hAnsi="宋体" w:eastAsia="宋体" w:cs="Times New Roman"/>
          <w:color w:val="auto"/>
          <w:kern w:val="2"/>
          <w:sz w:val="21"/>
          <w:szCs w:val="21"/>
          <w:highlight w:val="none"/>
        </w:rPr>
        <w:t xml:space="preserve">        </w:t>
      </w:r>
    </w:p>
    <w:p w14:paraId="0129A793">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地　址：</w:t>
      </w:r>
      <w:r>
        <w:rPr>
          <w:rFonts w:hint="eastAsia" w:ascii="宋体" w:hAnsi="宋体" w:eastAsia="宋体" w:cs="Times New Roman"/>
          <w:color w:val="auto"/>
          <w:kern w:val="2"/>
          <w:sz w:val="21"/>
          <w:szCs w:val="21"/>
          <w:highlight w:val="none"/>
          <w:lang w:eastAsia="zh-CN"/>
        </w:rPr>
        <w:t>桂林市临桂区临桂镇凤凰路13号金贸中心3-3#幢8层09号</w:t>
      </w:r>
      <w:r>
        <w:rPr>
          <w:rFonts w:hint="eastAsia" w:ascii="宋体" w:hAnsi="宋体" w:eastAsia="宋体" w:cs="Times New Roman"/>
          <w:color w:val="auto"/>
          <w:kern w:val="2"/>
          <w:sz w:val="21"/>
          <w:szCs w:val="21"/>
          <w:highlight w:val="none"/>
        </w:rPr>
        <w:t>　　　　　　　　　</w:t>
      </w:r>
    </w:p>
    <w:p w14:paraId="3F381E50">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rPr>
        <w:t>项目联系人：</w:t>
      </w:r>
      <w:r>
        <w:rPr>
          <w:rFonts w:hint="eastAsia" w:ascii="宋体" w:hAnsi="宋体" w:eastAsia="宋体" w:cs="Times New Roman"/>
          <w:color w:val="auto"/>
          <w:kern w:val="2"/>
          <w:sz w:val="21"/>
          <w:szCs w:val="21"/>
          <w:highlight w:val="none"/>
          <w:lang w:eastAsia="zh-CN"/>
        </w:rPr>
        <w:t>秦娟、唐斌</w:t>
      </w:r>
    </w:p>
    <w:p w14:paraId="700D92D9">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宋体"/>
          <w:color w:val="auto"/>
          <w:szCs w:val="21"/>
          <w:highlight w:val="none"/>
        </w:rPr>
      </w:pPr>
      <w:r>
        <w:rPr>
          <w:rFonts w:hint="eastAsia" w:ascii="宋体" w:hAnsi="宋体" w:eastAsia="宋体" w:cs="Times New Roman"/>
          <w:color w:val="auto"/>
          <w:kern w:val="2"/>
          <w:sz w:val="21"/>
          <w:szCs w:val="21"/>
          <w:highlight w:val="none"/>
        </w:rPr>
        <w:t>项目联系方式：15296810982　</w:t>
      </w:r>
      <w:r>
        <w:rPr>
          <w:rFonts w:hint="eastAsia" w:ascii="宋体" w:hAnsi="宋体" w:eastAsia="宋体" w:cs="宋体"/>
          <w:color w:val="auto"/>
          <w:szCs w:val="21"/>
          <w:highlight w:val="none"/>
        </w:rPr>
        <w:t>　　</w:t>
      </w:r>
    </w:p>
    <w:p w14:paraId="21CC9E98">
      <w:pPr>
        <w:keepNext w:val="0"/>
        <w:keepLines w:val="0"/>
        <w:pageBreakBefore w:val="0"/>
        <w:widowControl w:val="0"/>
        <w:kinsoku/>
        <w:wordWrap/>
        <w:overflowPunct/>
        <w:topLinePunct w:val="0"/>
        <w:autoSpaceDE/>
        <w:autoSpaceDN/>
        <w:bidi w:val="0"/>
        <w:adjustRightInd/>
        <w:snapToGrid/>
        <w:spacing w:line="320" w:lineRule="exact"/>
        <w:ind w:right="480"/>
        <w:textAlignment w:val="auto"/>
        <w:rPr>
          <w:rFonts w:hint="eastAsia" w:ascii="宋体" w:hAnsi="宋体" w:eastAsia="宋体" w:cs="宋体"/>
          <w:color w:val="auto"/>
          <w:szCs w:val="21"/>
          <w:highlight w:val="none"/>
        </w:rPr>
      </w:pPr>
    </w:p>
    <w:p w14:paraId="4CD3D5E2">
      <w:pPr>
        <w:keepNext w:val="0"/>
        <w:keepLines w:val="0"/>
        <w:pageBreakBefore w:val="0"/>
        <w:widowControl w:val="0"/>
        <w:kinsoku/>
        <w:wordWrap/>
        <w:overflowPunct/>
        <w:topLinePunct w:val="0"/>
        <w:autoSpaceDE/>
        <w:autoSpaceDN/>
        <w:bidi w:val="0"/>
        <w:adjustRightInd/>
        <w:snapToGrid/>
        <w:spacing w:line="320" w:lineRule="exact"/>
        <w:ind w:right="480" w:firstLine="5390" w:firstLineChars="2450"/>
        <w:textAlignment w:val="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广西国兴项目管理有限公司</w:t>
      </w:r>
    </w:p>
    <w:p w14:paraId="48FAD733">
      <w:pPr>
        <w:keepNext w:val="0"/>
        <w:keepLines w:val="0"/>
        <w:pageBreakBefore w:val="0"/>
        <w:widowControl w:val="0"/>
        <w:kinsoku/>
        <w:wordWrap/>
        <w:overflowPunct/>
        <w:topLinePunct w:val="0"/>
        <w:autoSpaceDE/>
        <w:autoSpaceDN/>
        <w:bidi w:val="0"/>
        <w:adjustRightInd/>
        <w:snapToGrid/>
        <w:spacing w:line="320" w:lineRule="exact"/>
        <w:ind w:firstLine="2860" w:firstLineChars="1300"/>
        <w:jc w:val="center"/>
        <w:textAlignment w:val="auto"/>
        <w:rPr>
          <w:rFonts w:hint="eastAsia" w:ascii="宋体" w:hAnsi="宋体"/>
          <w:b/>
          <w:color w:val="auto"/>
          <w:sz w:val="32"/>
          <w:szCs w:val="32"/>
          <w:highlight w:val="none"/>
        </w:rPr>
      </w:pPr>
      <w:r>
        <w:rPr>
          <w:rFonts w:hint="eastAsia" w:ascii="宋体" w:hAnsi="宋体" w:eastAsia="宋体" w:cs="宋体"/>
          <w:color w:val="auto"/>
          <w:szCs w:val="21"/>
          <w:highlight w:val="none"/>
        </w:rPr>
        <w:t xml:space="preserve">     </w:t>
      </w:r>
      <w:r>
        <w:rPr>
          <w:rFonts w:hint="eastAsia" w:ascii="宋体" w:hAnsi="宋体" w:eastAsia="宋体" w:cs="宋体"/>
          <w:b/>
          <w:bCs/>
          <w:color w:val="auto"/>
          <w:szCs w:val="21"/>
          <w:highlight w:val="none"/>
        </w:rPr>
        <w:t xml:space="preserve"> </w:t>
      </w:r>
      <w:r>
        <w:rPr>
          <w:rFonts w:hint="eastAsia" w:ascii="宋体" w:hAnsi="宋体" w:eastAsia="宋体" w:cs="宋体"/>
          <w:b w:val="0"/>
          <w:bCs w:val="0"/>
          <w:color w:val="auto"/>
          <w:szCs w:val="21"/>
          <w:highlight w:val="none"/>
        </w:rPr>
        <w:t xml:space="preserve">  </w:t>
      </w:r>
      <w:r>
        <w:rPr>
          <w:rFonts w:hint="eastAsia" w:ascii="宋体" w:hAnsi="宋体" w:eastAsia="宋体" w:cs="宋体"/>
          <w:b w:val="0"/>
          <w:bCs w:val="0"/>
          <w:color w:val="000000" w:themeColor="text1"/>
          <w:szCs w:val="21"/>
          <w:highlight w:val="none"/>
          <w14:textFill>
            <w14:solidFill>
              <w14:schemeClr w14:val="tx1"/>
            </w14:solidFill>
          </w14:textFill>
        </w:rPr>
        <w:t>202</w:t>
      </w:r>
      <w:r>
        <w:rPr>
          <w:rFonts w:hint="eastAsia" w:ascii="宋体" w:hAnsi="宋体" w:eastAsia="宋体" w:cs="宋体"/>
          <w:b w:val="0"/>
          <w:bCs w:val="0"/>
          <w:color w:val="000000" w:themeColor="text1"/>
          <w:szCs w:val="21"/>
          <w:highlight w:val="none"/>
          <w:lang w:val="en-US" w:eastAsia="zh-CN"/>
          <w14:textFill>
            <w14:solidFill>
              <w14:schemeClr w14:val="tx1"/>
            </w14:solidFill>
          </w14:textFill>
        </w:rPr>
        <w:t>4</w:t>
      </w:r>
      <w:r>
        <w:rPr>
          <w:rFonts w:hint="eastAsia" w:ascii="宋体" w:hAnsi="宋体" w:eastAsia="宋体" w:cs="宋体"/>
          <w:b w:val="0"/>
          <w:bCs w:val="0"/>
          <w:color w:val="000000" w:themeColor="text1"/>
          <w:szCs w:val="21"/>
          <w:highlight w:val="none"/>
          <w14:textFill>
            <w14:solidFill>
              <w14:schemeClr w14:val="tx1"/>
            </w14:solidFill>
          </w14:textFill>
        </w:rPr>
        <w:t>年</w:t>
      </w:r>
      <w:r>
        <w:rPr>
          <w:rFonts w:hint="eastAsia" w:ascii="宋体" w:hAnsi="宋体" w:eastAsia="宋体" w:cs="宋体"/>
          <w:b w:val="0"/>
          <w:bCs w:val="0"/>
          <w:color w:val="000000" w:themeColor="text1"/>
          <w:szCs w:val="21"/>
          <w:highlight w:val="none"/>
          <w:lang w:val="en-US" w:eastAsia="zh-CN"/>
          <w14:textFill>
            <w14:solidFill>
              <w14:schemeClr w14:val="tx1"/>
            </w14:solidFill>
          </w14:textFill>
        </w:rPr>
        <w:t>8</w:t>
      </w:r>
      <w:r>
        <w:rPr>
          <w:rFonts w:hint="eastAsia" w:ascii="宋体" w:hAnsi="宋体" w:eastAsia="宋体" w:cs="宋体"/>
          <w:b w:val="0"/>
          <w:bCs w:val="0"/>
          <w:color w:val="000000" w:themeColor="text1"/>
          <w:szCs w:val="21"/>
          <w:highlight w:val="none"/>
          <w14:textFill>
            <w14:solidFill>
              <w14:schemeClr w14:val="tx1"/>
            </w14:solidFill>
          </w14:textFill>
        </w:rPr>
        <w:t>月</w:t>
      </w:r>
      <w:r>
        <w:rPr>
          <w:rFonts w:hint="eastAsia" w:ascii="宋体" w:hAnsi="宋体" w:eastAsia="宋体" w:cs="宋体"/>
          <w:b w:val="0"/>
          <w:bCs w:val="0"/>
          <w:color w:val="000000" w:themeColor="text1"/>
          <w:szCs w:val="21"/>
          <w:highlight w:val="none"/>
          <w:lang w:val="en-US" w:eastAsia="zh-CN"/>
          <w14:textFill>
            <w14:solidFill>
              <w14:schemeClr w14:val="tx1"/>
            </w14:solidFill>
          </w14:textFill>
        </w:rPr>
        <w:t>14</w:t>
      </w:r>
      <w:r>
        <w:rPr>
          <w:rFonts w:hint="eastAsia" w:ascii="宋体" w:hAnsi="宋体" w:eastAsia="宋体" w:cs="宋体"/>
          <w:b w:val="0"/>
          <w:bCs w:val="0"/>
          <w:color w:val="000000" w:themeColor="text1"/>
          <w:szCs w:val="21"/>
          <w:highlight w:val="none"/>
          <w14:textFill>
            <w14:solidFill>
              <w14:schemeClr w14:val="tx1"/>
            </w14:solidFill>
          </w14:textFill>
        </w:rPr>
        <w:t>日</w:t>
      </w:r>
      <w:r>
        <w:rPr>
          <w:rFonts w:ascii="宋体" w:hAnsi="宋体"/>
          <w:b/>
          <w:color w:val="auto"/>
          <w:sz w:val="32"/>
          <w:szCs w:val="32"/>
          <w:highlight w:val="none"/>
        </w:rPr>
        <w:br w:type="page"/>
      </w:r>
    </w:p>
    <w:p w14:paraId="43083318">
      <w:pPr>
        <w:spacing w:line="340" w:lineRule="exact"/>
        <w:jc w:val="center"/>
        <w:outlineLvl w:val="0"/>
        <w:rPr>
          <w:rFonts w:ascii="宋体" w:hAnsi="宋体"/>
          <w:b/>
          <w:color w:val="auto"/>
          <w:sz w:val="32"/>
          <w:szCs w:val="32"/>
          <w:highlight w:val="none"/>
        </w:rPr>
      </w:pPr>
      <w:bookmarkStart w:id="1" w:name="_Toc15224"/>
      <w:r>
        <w:rPr>
          <w:rFonts w:hint="eastAsia" w:ascii="宋体" w:hAnsi="宋体"/>
          <w:b/>
          <w:color w:val="auto"/>
          <w:sz w:val="32"/>
          <w:szCs w:val="32"/>
          <w:highlight w:val="none"/>
        </w:rPr>
        <w:t>第二章  投标人须知</w:t>
      </w:r>
      <w:bookmarkEnd w:id="1"/>
    </w:p>
    <w:p w14:paraId="28DF9C35">
      <w:pPr>
        <w:tabs>
          <w:tab w:val="left" w:pos="1065"/>
          <w:tab w:val="center" w:pos="4411"/>
        </w:tabs>
        <w:spacing w:line="440" w:lineRule="atLeast"/>
        <w:jc w:val="center"/>
        <w:rPr>
          <w:rFonts w:ascii="宋体" w:hAnsi="宋体"/>
          <w:b/>
          <w:color w:val="auto"/>
          <w:sz w:val="24"/>
          <w:highlight w:val="none"/>
        </w:rPr>
      </w:pPr>
      <w:r>
        <w:rPr>
          <w:rFonts w:hint="eastAsia" w:ascii="宋体" w:hAnsi="宋体"/>
          <w:b/>
          <w:color w:val="auto"/>
          <w:sz w:val="24"/>
          <w:highlight w:val="none"/>
        </w:rPr>
        <w:t>投 标 人 须 知 前 附 表</w:t>
      </w:r>
    </w:p>
    <w:tbl>
      <w:tblPr>
        <w:tblStyle w:val="15"/>
        <w:tblW w:w="10117" w:type="dxa"/>
        <w:tblInd w:w="-23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5"/>
        <w:gridCol w:w="992"/>
        <w:gridCol w:w="1418"/>
        <w:gridCol w:w="7032"/>
      </w:tblGrid>
      <w:tr w14:paraId="316831A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1" w:hRule="atLeast"/>
        </w:trPr>
        <w:tc>
          <w:tcPr>
            <w:tcW w:w="675" w:type="dxa"/>
            <w:noWrap w:val="0"/>
            <w:vAlign w:val="center"/>
          </w:tcPr>
          <w:p w14:paraId="088D326F">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序号</w:t>
            </w:r>
          </w:p>
        </w:tc>
        <w:tc>
          <w:tcPr>
            <w:tcW w:w="992" w:type="dxa"/>
            <w:noWrap w:val="0"/>
            <w:vAlign w:val="center"/>
          </w:tcPr>
          <w:p w14:paraId="4444EA32">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条款号</w:t>
            </w:r>
          </w:p>
        </w:tc>
        <w:tc>
          <w:tcPr>
            <w:tcW w:w="1418" w:type="dxa"/>
            <w:noWrap w:val="0"/>
            <w:vAlign w:val="center"/>
          </w:tcPr>
          <w:p w14:paraId="4447099A">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条款名称</w:t>
            </w:r>
          </w:p>
        </w:tc>
        <w:tc>
          <w:tcPr>
            <w:tcW w:w="7032" w:type="dxa"/>
            <w:noWrap w:val="0"/>
            <w:vAlign w:val="center"/>
          </w:tcPr>
          <w:p w14:paraId="77CBC4AF">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内容、要求</w:t>
            </w:r>
          </w:p>
        </w:tc>
      </w:tr>
      <w:tr w14:paraId="5A43E2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675" w:type="dxa"/>
            <w:noWrap w:val="0"/>
            <w:vAlign w:val="center"/>
          </w:tcPr>
          <w:p w14:paraId="79FE4E36">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992" w:type="dxa"/>
            <w:noWrap w:val="0"/>
            <w:vAlign w:val="center"/>
          </w:tcPr>
          <w:p w14:paraId="6D98BDCD">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1418" w:type="dxa"/>
            <w:noWrap w:val="0"/>
            <w:vAlign w:val="center"/>
          </w:tcPr>
          <w:p w14:paraId="09182DD9">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项目名称及项目编号</w:t>
            </w:r>
          </w:p>
        </w:tc>
        <w:tc>
          <w:tcPr>
            <w:tcW w:w="7032" w:type="dxa"/>
            <w:noWrap w:val="0"/>
            <w:vAlign w:val="center"/>
          </w:tcPr>
          <w:p w14:paraId="6477343F">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auto"/>
                <w:kern w:val="2"/>
                <w:sz w:val="21"/>
                <w:szCs w:val="21"/>
                <w:highlight w:val="none"/>
              </w:rPr>
              <w:t>项</w:t>
            </w:r>
            <w:r>
              <w:rPr>
                <w:rFonts w:hint="eastAsia" w:ascii="宋体" w:hAnsi="宋体" w:eastAsia="宋体" w:cs="Times New Roman"/>
                <w:color w:val="000000" w:themeColor="text1"/>
                <w:kern w:val="2"/>
                <w:sz w:val="21"/>
                <w:szCs w:val="21"/>
                <w:highlight w:val="none"/>
                <w14:textFill>
                  <w14:solidFill>
                    <w14:schemeClr w14:val="tx1"/>
                  </w14:solidFill>
                </w14:textFill>
              </w:rPr>
              <w:t>目名称：</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灌阳县洞井民族小学教学仪器设备采购</w:t>
            </w:r>
            <w:r>
              <w:rPr>
                <w:rFonts w:hint="eastAsia" w:ascii="宋体" w:hAnsi="宋体" w:eastAsia="宋体" w:cs="Times New Roman"/>
                <w:color w:val="000000" w:themeColor="text1"/>
                <w:kern w:val="2"/>
                <w:sz w:val="21"/>
                <w:szCs w:val="21"/>
                <w:highlight w:val="none"/>
                <w14:textFill>
                  <w14:solidFill>
                    <w14:schemeClr w14:val="tx1"/>
                  </w14:solidFill>
                </w14:textFill>
              </w:rPr>
              <w:t xml:space="preserve">； </w:t>
            </w:r>
          </w:p>
          <w:p w14:paraId="645109F8">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宋体"/>
                <w:color w:val="auto"/>
                <w:szCs w:val="21"/>
                <w:highlight w:val="none"/>
                <w:lang w:eastAsia="zh-CN"/>
              </w:rPr>
            </w:pPr>
            <w:r>
              <w:rPr>
                <w:rFonts w:hint="eastAsia" w:ascii="宋体" w:hAnsi="宋体" w:eastAsia="宋体" w:cs="Times New Roman"/>
                <w:color w:val="000000" w:themeColor="text1"/>
                <w:kern w:val="2"/>
                <w:sz w:val="21"/>
                <w:szCs w:val="21"/>
                <w:highlight w:val="none"/>
                <w14:textFill>
                  <w14:solidFill>
                    <w14:schemeClr w14:val="tx1"/>
                  </w14:solidFill>
                </w14:textFill>
              </w:rPr>
              <w:t>项目编号：GLZC2024-G1-270182-GXGX</w:t>
            </w:r>
          </w:p>
        </w:tc>
      </w:tr>
      <w:tr w14:paraId="0B19F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675" w:type="dxa"/>
            <w:noWrap w:val="0"/>
            <w:vAlign w:val="center"/>
          </w:tcPr>
          <w:p w14:paraId="2D347215">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992" w:type="dxa"/>
            <w:noWrap w:val="0"/>
            <w:vAlign w:val="center"/>
          </w:tcPr>
          <w:p w14:paraId="4F2F7CDD">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5</w:t>
            </w:r>
          </w:p>
        </w:tc>
        <w:tc>
          <w:tcPr>
            <w:tcW w:w="1418" w:type="dxa"/>
            <w:noWrap w:val="0"/>
            <w:vAlign w:val="center"/>
          </w:tcPr>
          <w:p w14:paraId="15930A40">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投标人资格</w:t>
            </w:r>
          </w:p>
        </w:tc>
        <w:tc>
          <w:tcPr>
            <w:tcW w:w="7032" w:type="dxa"/>
            <w:noWrap w:val="0"/>
            <w:vAlign w:val="center"/>
          </w:tcPr>
          <w:p w14:paraId="29AC50C9">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5.1满足《中华人民共和国政府采购法》第二十二条规定；</w:t>
            </w:r>
          </w:p>
          <w:p w14:paraId="5E432542">
            <w:pPr>
              <w:keepNext w:val="0"/>
              <w:keepLines w:val="0"/>
              <w:pageBreakBefore w:val="0"/>
              <w:widowControl w:val="0"/>
              <w:kinsoku/>
              <w:wordWrap/>
              <w:overflowPunct/>
              <w:topLinePunct w:val="0"/>
              <w:autoSpaceDE/>
              <w:autoSpaceDN/>
              <w:bidi w:val="0"/>
              <w:adjustRightInd/>
              <w:snapToGrid/>
              <w:spacing w:after="0" w:line="320" w:lineRule="exact"/>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5.2落实政府采购政策需满足的资格要求：</w:t>
            </w:r>
          </w:p>
          <w:p w14:paraId="51851E41">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宋体"/>
                <w:b w:val="0"/>
                <w:bCs w:val="0"/>
                <w:color w:val="auto"/>
                <w:kern w:val="2"/>
                <w:sz w:val="21"/>
                <w:szCs w:val="21"/>
                <w:highlight w:val="none"/>
              </w:rPr>
            </w:pPr>
            <w:r>
              <w:rPr>
                <w:rFonts w:hint="eastAsia" w:ascii="宋体" w:hAnsi="宋体" w:eastAsia="宋体" w:cs="宋体"/>
                <w:b w:val="0"/>
                <w:bCs w:val="0"/>
                <w:color w:val="auto"/>
                <w:kern w:val="2"/>
                <w:sz w:val="21"/>
                <w:szCs w:val="21"/>
                <w:highlight w:val="none"/>
              </w:rPr>
              <w:t>（1</w:t>
            </w:r>
            <w:r>
              <w:rPr>
                <w:rFonts w:hint="eastAsia" w:ascii="宋体" w:hAnsi="宋体" w:eastAsia="宋体" w:cs="宋体"/>
                <w:b w:val="0"/>
                <w:bCs w:val="0"/>
                <w:color w:val="000000" w:themeColor="text1"/>
                <w:kern w:val="2"/>
                <w:sz w:val="21"/>
                <w:szCs w:val="21"/>
                <w:highlight w:val="none"/>
                <w14:textFill>
                  <w14:solidFill>
                    <w14:schemeClr w14:val="tx1"/>
                  </w14:solidFill>
                </w14:textFill>
              </w:rPr>
              <w:t>）</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标项一（</w:t>
            </w:r>
            <w:r>
              <w:rPr>
                <w:rFonts w:hint="eastAsia" w:ascii="宋体" w:hAnsi="宋体" w:eastAsia="宋体" w:cs="宋体"/>
                <w:b w:val="0"/>
                <w:bCs w:val="0"/>
                <w:color w:val="000000" w:themeColor="text1"/>
                <w:kern w:val="2"/>
                <w:sz w:val="21"/>
                <w:szCs w:val="21"/>
                <w:highlight w:val="none"/>
                <w14:textFill>
                  <w14:solidFill>
                    <w14:schemeClr w14:val="tx1"/>
                  </w14:solidFill>
                </w14:textFill>
              </w:rPr>
              <w:t>A分标</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宋体"/>
                <w:b w:val="0"/>
                <w:bCs w:val="0"/>
                <w:color w:val="000000" w:themeColor="text1"/>
                <w:kern w:val="2"/>
                <w:sz w:val="21"/>
                <w:szCs w:val="21"/>
                <w:highlight w:val="none"/>
                <w14:textFill>
                  <w14:solidFill>
                    <w14:schemeClr w14:val="tx1"/>
                  </w14:solidFill>
                </w14:textFill>
              </w:rPr>
              <w:t>：预留部分份额专门面向中小企业采购</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宋体"/>
                <w:b w:val="0"/>
                <w:bCs w:val="0"/>
                <w:color w:val="000000" w:themeColor="text1"/>
                <w:kern w:val="2"/>
                <w:sz w:val="21"/>
                <w:szCs w:val="21"/>
                <w:highlight w:val="none"/>
                <w14:textFill>
                  <w14:solidFill>
                    <w14:schemeClr w14:val="tx1"/>
                  </w14:solidFill>
                </w14:textFill>
              </w:rPr>
              <w:t>预留给中小企业的比例不低于合同价款总额的3</w:t>
            </w:r>
            <w:r>
              <w:rPr>
                <w:rFonts w:hint="eastAsia" w:ascii="宋体" w:hAnsi="宋体" w:eastAsia="宋体" w:cs="宋体"/>
                <w:b w:val="0"/>
                <w:bCs w:val="0"/>
                <w:color w:val="000000" w:themeColor="text1"/>
                <w:kern w:val="2"/>
                <w:sz w:val="21"/>
                <w:szCs w:val="21"/>
                <w:highlight w:val="none"/>
                <w:lang w:val="en-US" w:eastAsia="zh-CN"/>
                <w14:textFill>
                  <w14:solidFill>
                    <w14:schemeClr w14:val="tx1"/>
                  </w14:solidFill>
                </w14:textFill>
              </w:rPr>
              <w:t>0</w:t>
            </w:r>
            <w:r>
              <w:rPr>
                <w:rFonts w:hint="eastAsia" w:ascii="宋体" w:hAnsi="宋体" w:eastAsia="宋体" w:cs="宋体"/>
                <w:b w:val="0"/>
                <w:bCs w:val="0"/>
                <w:color w:val="000000" w:themeColor="text1"/>
                <w:kern w:val="2"/>
                <w:sz w:val="21"/>
                <w:szCs w:val="21"/>
                <w:highlight w:val="none"/>
                <w14:textFill>
                  <w14:solidFill>
                    <w14:schemeClr w14:val="tx1"/>
                  </w14:solidFill>
                </w14:textFill>
              </w:rPr>
              <w:t>%，其中预留给小微企业的比例不低于预留额度的6</w:t>
            </w:r>
            <w:r>
              <w:rPr>
                <w:rFonts w:hint="eastAsia" w:ascii="宋体" w:hAnsi="宋体" w:eastAsia="宋体" w:cs="宋体"/>
                <w:b w:val="0"/>
                <w:bCs w:val="0"/>
                <w:color w:val="000000" w:themeColor="text1"/>
                <w:kern w:val="2"/>
                <w:sz w:val="21"/>
                <w:szCs w:val="21"/>
                <w:highlight w:val="none"/>
                <w:lang w:val="en-US" w:eastAsia="zh-CN"/>
                <w14:textFill>
                  <w14:solidFill>
                    <w14:schemeClr w14:val="tx1"/>
                  </w14:solidFill>
                </w14:textFill>
              </w:rPr>
              <w:t>0</w:t>
            </w:r>
            <w:r>
              <w:rPr>
                <w:rFonts w:hint="eastAsia" w:ascii="宋体" w:hAnsi="宋体" w:eastAsia="宋体" w:cs="宋体"/>
                <w:b w:val="0"/>
                <w:bCs w:val="0"/>
                <w:color w:val="000000" w:themeColor="text1"/>
                <w:kern w:val="2"/>
                <w:sz w:val="21"/>
                <w:szCs w:val="21"/>
                <w:highlight w:val="none"/>
                <w14:textFill>
                  <w14:solidFill>
                    <w14:schemeClr w14:val="tx1"/>
                  </w14:solidFill>
                </w14:textFill>
              </w:rPr>
              <w:t>%。</w:t>
            </w:r>
          </w:p>
          <w:p w14:paraId="4F746FEF">
            <w:pPr>
              <w:keepNext w:val="0"/>
              <w:keepLines w:val="0"/>
              <w:pageBreakBefore w:val="0"/>
              <w:widowControl w:val="0"/>
              <w:kinsoku/>
              <w:wordWrap/>
              <w:overflowPunct/>
              <w:topLinePunct w:val="0"/>
              <w:autoSpaceDE/>
              <w:autoSpaceDN/>
              <w:bidi w:val="0"/>
              <w:adjustRightInd/>
              <w:snapToGrid/>
              <w:spacing w:after="0" w:line="320" w:lineRule="exact"/>
              <w:ind w:firstLine="435"/>
              <w:jc w:val="both"/>
              <w:textAlignment w:val="auto"/>
              <w:rPr>
                <w:rFonts w:hint="eastAsia" w:ascii="宋体" w:hAnsi="宋体" w:eastAsia="宋体" w:cs="Times New Roman"/>
                <w:color w:val="auto"/>
                <w:kern w:val="2"/>
                <w:sz w:val="21"/>
                <w:szCs w:val="21"/>
                <w:highlight w:val="none"/>
              </w:rPr>
            </w:pPr>
            <w:r>
              <w:rPr>
                <w:rFonts w:hint="eastAsia" w:ascii="宋体" w:hAnsi="宋体" w:eastAsia="宋体" w:cs="宋体"/>
                <w:color w:val="auto"/>
                <w:kern w:val="2"/>
                <w:sz w:val="21"/>
                <w:szCs w:val="21"/>
                <w:highlight w:val="none"/>
              </w:rPr>
              <w:t>（2）</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标项二（</w:t>
            </w:r>
            <w:r>
              <w:rPr>
                <w:rFonts w:hint="eastAsia" w:ascii="宋体" w:hAnsi="宋体" w:eastAsia="宋体" w:cs="宋体"/>
                <w:b w:val="0"/>
                <w:bCs w:val="0"/>
                <w:color w:val="000000" w:themeColor="text1"/>
                <w:kern w:val="2"/>
                <w:sz w:val="21"/>
                <w:szCs w:val="21"/>
                <w:highlight w:val="none"/>
                <w:lang w:val="en-US" w:eastAsia="zh-CN"/>
                <w14:textFill>
                  <w14:solidFill>
                    <w14:schemeClr w14:val="tx1"/>
                  </w14:solidFill>
                </w14:textFill>
              </w:rPr>
              <w:t>B</w:t>
            </w:r>
            <w:r>
              <w:rPr>
                <w:rFonts w:hint="eastAsia" w:ascii="宋体" w:hAnsi="宋体" w:eastAsia="宋体" w:cs="宋体"/>
                <w:b w:val="0"/>
                <w:bCs w:val="0"/>
                <w:color w:val="000000" w:themeColor="text1"/>
                <w:kern w:val="2"/>
                <w:sz w:val="21"/>
                <w:szCs w:val="21"/>
                <w:highlight w:val="none"/>
                <w14:textFill>
                  <w14:solidFill>
                    <w14:schemeClr w14:val="tx1"/>
                  </w14:solidFill>
                </w14:textFill>
              </w:rPr>
              <w:t>分标</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宋体"/>
                <w:b w:val="0"/>
                <w:bCs w:val="0"/>
                <w:color w:val="000000" w:themeColor="text1"/>
                <w:kern w:val="2"/>
                <w:sz w:val="21"/>
                <w:szCs w:val="21"/>
                <w:highlight w:val="none"/>
                <w14:textFill>
                  <w14:solidFill>
                    <w14:schemeClr w14:val="tx1"/>
                  </w14:solidFill>
                </w14:textFill>
              </w:rPr>
              <w:t>：预留部分份额专门面向中小企业采购</w:t>
            </w:r>
            <w:r>
              <w:rPr>
                <w:rFonts w:hint="eastAsia" w:ascii="宋体" w:hAnsi="宋体" w:eastAsia="宋体" w:cs="宋体"/>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宋体"/>
                <w:b w:val="0"/>
                <w:bCs w:val="0"/>
                <w:color w:val="000000" w:themeColor="text1"/>
                <w:kern w:val="2"/>
                <w:sz w:val="21"/>
                <w:szCs w:val="21"/>
                <w:highlight w:val="none"/>
                <w14:textFill>
                  <w14:solidFill>
                    <w14:schemeClr w14:val="tx1"/>
                  </w14:solidFill>
                </w14:textFill>
              </w:rPr>
              <w:t>预留给中小企业的比例不低于合同价款总额的</w:t>
            </w:r>
            <w:r>
              <w:rPr>
                <w:rFonts w:hint="eastAsia" w:ascii="宋体" w:hAnsi="宋体" w:eastAsia="宋体" w:cs="宋体"/>
                <w:b w:val="0"/>
                <w:bCs w:val="0"/>
                <w:color w:val="000000" w:themeColor="text1"/>
                <w:kern w:val="2"/>
                <w:sz w:val="21"/>
                <w:szCs w:val="21"/>
                <w:highlight w:val="none"/>
                <w:lang w:val="en-US" w:eastAsia="zh-CN"/>
                <w14:textFill>
                  <w14:solidFill>
                    <w14:schemeClr w14:val="tx1"/>
                  </w14:solidFill>
                </w14:textFill>
              </w:rPr>
              <w:t>5</w:t>
            </w:r>
            <w:r>
              <w:rPr>
                <w:rFonts w:hint="eastAsia" w:ascii="宋体" w:hAnsi="宋体" w:eastAsia="宋体" w:cs="宋体"/>
                <w:b w:val="0"/>
                <w:bCs w:val="0"/>
                <w:color w:val="000000" w:themeColor="text1"/>
                <w:kern w:val="2"/>
                <w:sz w:val="21"/>
                <w:szCs w:val="21"/>
                <w:highlight w:val="none"/>
                <w14:textFill>
                  <w14:solidFill>
                    <w14:schemeClr w14:val="tx1"/>
                  </w14:solidFill>
                </w14:textFill>
              </w:rPr>
              <w:t>0%，其中预留给小微企业的比例不低于预留额度的</w:t>
            </w:r>
            <w:r>
              <w:rPr>
                <w:rFonts w:hint="eastAsia" w:ascii="宋体" w:hAnsi="宋体" w:eastAsia="宋体" w:cs="宋体"/>
                <w:b w:val="0"/>
                <w:bCs w:val="0"/>
                <w:color w:val="000000" w:themeColor="text1"/>
                <w:kern w:val="2"/>
                <w:sz w:val="21"/>
                <w:szCs w:val="21"/>
                <w:highlight w:val="none"/>
                <w:lang w:val="en-US" w:eastAsia="zh-CN"/>
                <w14:textFill>
                  <w14:solidFill>
                    <w14:schemeClr w14:val="tx1"/>
                  </w14:solidFill>
                </w14:textFill>
              </w:rPr>
              <w:t>75</w:t>
            </w:r>
            <w:r>
              <w:rPr>
                <w:rFonts w:hint="eastAsia" w:ascii="宋体" w:hAnsi="宋体" w:eastAsia="宋体" w:cs="宋体"/>
                <w:b w:val="0"/>
                <w:bCs w:val="0"/>
                <w:color w:val="000000" w:themeColor="text1"/>
                <w:kern w:val="2"/>
                <w:sz w:val="21"/>
                <w:szCs w:val="21"/>
                <w:highlight w:val="none"/>
                <w14:textFill>
                  <w14:solidFill>
                    <w14:schemeClr w14:val="tx1"/>
                  </w14:solidFill>
                </w14:textFill>
              </w:rPr>
              <w:t>%。</w:t>
            </w:r>
          </w:p>
          <w:p w14:paraId="0C0B17CC">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宋体"/>
                <w:color w:val="auto"/>
                <w:szCs w:val="21"/>
                <w:highlight w:val="none"/>
              </w:rPr>
            </w:pPr>
            <w:r>
              <w:rPr>
                <w:rFonts w:hint="eastAsia" w:ascii="宋体" w:hAnsi="宋体" w:eastAsia="宋体" w:cs="Times New Roman"/>
                <w:color w:val="auto"/>
                <w:kern w:val="2"/>
                <w:sz w:val="21"/>
                <w:szCs w:val="21"/>
                <w:highlight w:val="none"/>
              </w:rPr>
              <w:t>5.3本项目的特定资格要求：无。</w:t>
            </w:r>
          </w:p>
        </w:tc>
      </w:tr>
      <w:tr w14:paraId="68D225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675" w:type="dxa"/>
            <w:noWrap w:val="0"/>
            <w:vAlign w:val="center"/>
          </w:tcPr>
          <w:p w14:paraId="2DE0A90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w:t>
            </w:r>
          </w:p>
        </w:tc>
        <w:tc>
          <w:tcPr>
            <w:tcW w:w="992" w:type="dxa"/>
            <w:noWrap w:val="0"/>
            <w:vAlign w:val="center"/>
          </w:tcPr>
          <w:p w14:paraId="449B2202">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6</w:t>
            </w:r>
          </w:p>
        </w:tc>
        <w:tc>
          <w:tcPr>
            <w:tcW w:w="1418" w:type="dxa"/>
            <w:noWrap w:val="0"/>
            <w:vAlign w:val="center"/>
          </w:tcPr>
          <w:p w14:paraId="4DC5D6FC">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position w:val="-2"/>
                <w:szCs w:val="21"/>
                <w:highlight w:val="none"/>
              </w:rPr>
            </w:pPr>
            <w:r>
              <w:rPr>
                <w:rFonts w:hint="eastAsia" w:ascii="宋体" w:hAnsi="宋体" w:eastAsia="宋体" w:cs="宋体"/>
                <w:color w:val="auto"/>
                <w:szCs w:val="21"/>
                <w:highlight w:val="none"/>
              </w:rPr>
              <w:t>投标费用</w:t>
            </w:r>
          </w:p>
        </w:tc>
        <w:tc>
          <w:tcPr>
            <w:tcW w:w="7032" w:type="dxa"/>
            <w:noWrap w:val="0"/>
            <w:vAlign w:val="center"/>
          </w:tcPr>
          <w:p w14:paraId="5F3BD6A1">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本项目实行网上评审，采用电子投标文件；若投标人参与项目投标的，不论投标结果如何，均应自行承担所有与投标有关的全部费用。</w:t>
            </w:r>
          </w:p>
        </w:tc>
      </w:tr>
      <w:tr w14:paraId="1930D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675" w:type="dxa"/>
            <w:noWrap w:val="0"/>
            <w:vAlign w:val="center"/>
          </w:tcPr>
          <w:p w14:paraId="37945158">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4</w:t>
            </w:r>
          </w:p>
        </w:tc>
        <w:tc>
          <w:tcPr>
            <w:tcW w:w="992" w:type="dxa"/>
            <w:noWrap w:val="0"/>
            <w:vAlign w:val="center"/>
          </w:tcPr>
          <w:p w14:paraId="2816EA32">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position w:val="-2"/>
                <w:szCs w:val="21"/>
                <w:highlight w:val="none"/>
              </w:rPr>
            </w:pPr>
            <w:r>
              <w:rPr>
                <w:rFonts w:hint="eastAsia" w:ascii="宋体" w:hAnsi="宋体" w:eastAsia="宋体" w:cs="宋体"/>
                <w:color w:val="auto"/>
                <w:position w:val="-2"/>
                <w:szCs w:val="21"/>
                <w:highlight w:val="none"/>
              </w:rPr>
              <w:t>15</w:t>
            </w:r>
          </w:p>
        </w:tc>
        <w:tc>
          <w:tcPr>
            <w:tcW w:w="1418" w:type="dxa"/>
            <w:noWrap w:val="0"/>
            <w:vAlign w:val="center"/>
          </w:tcPr>
          <w:p w14:paraId="2DC194F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投标报价及采购预算金额</w:t>
            </w:r>
          </w:p>
        </w:tc>
        <w:tc>
          <w:tcPr>
            <w:tcW w:w="7032" w:type="dxa"/>
            <w:noWrap w:val="0"/>
            <w:vAlign w:val="center"/>
          </w:tcPr>
          <w:p w14:paraId="70364026">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15.2投标人必须就“货物采购需求”中</w:t>
            </w:r>
            <w:r>
              <w:rPr>
                <w:rFonts w:hint="eastAsia" w:ascii="宋体" w:hAnsi="宋体" w:eastAsia="宋体" w:cs="Times New Roman"/>
                <w:color w:val="auto"/>
                <w:kern w:val="2"/>
                <w:sz w:val="21"/>
                <w:szCs w:val="21"/>
                <w:highlight w:val="none"/>
                <w:lang w:eastAsia="zh-CN"/>
              </w:rPr>
              <w:t>所有货物和服务内容作完整唯一报价</w:t>
            </w:r>
            <w:r>
              <w:rPr>
                <w:rFonts w:hint="eastAsia" w:ascii="宋体" w:hAnsi="宋体" w:eastAsia="宋体" w:cs="Times New Roman"/>
                <w:color w:val="auto"/>
                <w:kern w:val="2"/>
                <w:sz w:val="21"/>
                <w:szCs w:val="21"/>
                <w:highlight w:val="none"/>
              </w:rPr>
              <w:t>，否则，其投标将被拒绝；投标文件只允许有一个报价，有选择的或有条件的报价将不予接受。</w:t>
            </w:r>
          </w:p>
          <w:p w14:paraId="4FC491CA">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b/>
                <w:bCs/>
                <w:color w:val="auto"/>
                <w:kern w:val="2"/>
                <w:sz w:val="21"/>
                <w:szCs w:val="21"/>
                <w:highlight w:val="none"/>
                <w:lang w:eastAsia="zh-CN"/>
              </w:rPr>
            </w:pPr>
            <w:r>
              <w:rPr>
                <w:rFonts w:hint="eastAsia" w:ascii="宋体" w:hAnsi="宋体" w:eastAsia="宋体" w:cs="Times New Roman"/>
                <w:b/>
                <w:bCs/>
                <w:color w:val="auto"/>
                <w:kern w:val="2"/>
                <w:sz w:val="21"/>
                <w:szCs w:val="21"/>
                <w:highlight w:val="none"/>
              </w:rPr>
              <w:t>15.3本项目</w:t>
            </w:r>
            <w:r>
              <w:rPr>
                <w:rFonts w:hint="eastAsia" w:ascii="宋体" w:hAnsi="宋体" w:eastAsia="宋体" w:cs="Times New Roman"/>
                <w:b/>
                <w:bCs/>
                <w:color w:val="auto"/>
                <w:kern w:val="2"/>
                <w:sz w:val="21"/>
                <w:szCs w:val="21"/>
                <w:highlight w:val="none"/>
                <w:lang w:eastAsia="zh-CN"/>
              </w:rPr>
              <w:t>标项一（</w:t>
            </w:r>
            <w:r>
              <w:rPr>
                <w:rFonts w:hint="eastAsia" w:ascii="宋体" w:hAnsi="宋体" w:eastAsia="宋体" w:cs="Times New Roman"/>
                <w:b/>
                <w:bCs/>
                <w:color w:val="auto"/>
                <w:kern w:val="2"/>
                <w:sz w:val="21"/>
                <w:szCs w:val="21"/>
                <w:highlight w:val="none"/>
                <w:lang w:val="en-US" w:eastAsia="zh-CN"/>
              </w:rPr>
              <w:t>A分标</w:t>
            </w:r>
            <w:r>
              <w:rPr>
                <w:rFonts w:hint="eastAsia" w:ascii="宋体" w:hAnsi="宋体" w:eastAsia="宋体" w:cs="Times New Roman"/>
                <w:b/>
                <w:bCs/>
                <w:color w:val="auto"/>
                <w:kern w:val="2"/>
                <w:sz w:val="21"/>
                <w:szCs w:val="21"/>
                <w:highlight w:val="none"/>
                <w:lang w:eastAsia="zh-CN"/>
              </w:rPr>
              <w:t>）</w:t>
            </w:r>
            <w:r>
              <w:rPr>
                <w:rFonts w:hint="eastAsia" w:ascii="宋体" w:hAnsi="宋体" w:eastAsia="宋体" w:cs="Times New Roman"/>
                <w:b/>
                <w:bCs/>
                <w:color w:val="auto"/>
                <w:kern w:val="2"/>
                <w:sz w:val="21"/>
                <w:szCs w:val="21"/>
                <w:highlight w:val="none"/>
              </w:rPr>
              <w:t>采购预算金额（人民币）：</w:t>
            </w:r>
            <w:r>
              <w:rPr>
                <w:rFonts w:hint="eastAsia" w:ascii="宋体" w:hAnsi="宋体" w:eastAsia="宋体" w:cs="Times New Roman"/>
                <w:b/>
                <w:bCs/>
                <w:color w:val="auto"/>
                <w:kern w:val="2"/>
                <w:sz w:val="21"/>
                <w:szCs w:val="21"/>
                <w:highlight w:val="none"/>
                <w:lang w:val="en-US" w:eastAsia="zh-CN"/>
              </w:rPr>
              <w:t>2300000</w:t>
            </w:r>
            <w:r>
              <w:rPr>
                <w:rFonts w:hint="eastAsia" w:ascii="宋体" w:hAnsi="宋体" w:eastAsia="宋体" w:cs="Times New Roman"/>
                <w:b/>
                <w:bCs/>
                <w:color w:val="auto"/>
                <w:kern w:val="2"/>
                <w:sz w:val="21"/>
                <w:szCs w:val="21"/>
                <w:highlight w:val="none"/>
                <w:lang w:eastAsia="zh-CN"/>
              </w:rPr>
              <w:t>.00</w:t>
            </w:r>
            <w:r>
              <w:rPr>
                <w:rFonts w:hint="eastAsia" w:ascii="宋体" w:hAnsi="宋体" w:eastAsia="宋体" w:cs="Times New Roman"/>
                <w:b/>
                <w:bCs/>
                <w:color w:val="auto"/>
                <w:kern w:val="2"/>
                <w:sz w:val="21"/>
                <w:szCs w:val="21"/>
                <w:highlight w:val="none"/>
              </w:rPr>
              <w:t>元</w:t>
            </w:r>
            <w:r>
              <w:rPr>
                <w:rFonts w:hint="eastAsia" w:ascii="宋体" w:hAnsi="宋体" w:eastAsia="宋体" w:cs="Times New Roman"/>
                <w:b/>
                <w:bCs/>
                <w:color w:val="auto"/>
                <w:kern w:val="2"/>
                <w:sz w:val="21"/>
                <w:szCs w:val="21"/>
                <w:highlight w:val="none"/>
                <w:lang w:eastAsia="zh-CN"/>
              </w:rPr>
              <w:t>，最高限价：</w:t>
            </w:r>
            <w:r>
              <w:rPr>
                <w:rFonts w:hint="eastAsia" w:ascii="宋体" w:hAnsi="宋体" w:eastAsia="宋体" w:cs="Times New Roman"/>
                <w:b/>
                <w:bCs/>
                <w:color w:val="auto"/>
                <w:kern w:val="2"/>
                <w:sz w:val="21"/>
                <w:szCs w:val="21"/>
                <w:highlight w:val="none"/>
                <w:lang w:val="en-US" w:eastAsia="zh-CN"/>
              </w:rPr>
              <w:t>2300000.00</w:t>
            </w:r>
            <w:r>
              <w:rPr>
                <w:rFonts w:hint="eastAsia" w:ascii="宋体" w:hAnsi="宋体" w:eastAsia="宋体" w:cs="Times New Roman"/>
                <w:b/>
                <w:bCs/>
                <w:color w:val="auto"/>
                <w:kern w:val="2"/>
                <w:sz w:val="21"/>
                <w:szCs w:val="21"/>
                <w:highlight w:val="none"/>
                <w:lang w:eastAsia="zh-CN"/>
              </w:rPr>
              <w:t>元，</w:t>
            </w:r>
            <w:r>
              <w:rPr>
                <w:rFonts w:hint="eastAsia" w:ascii="宋体" w:hAnsi="宋体" w:eastAsia="宋体" w:cs="Times New Roman"/>
                <w:b/>
                <w:bCs/>
                <w:color w:val="auto"/>
                <w:kern w:val="2"/>
                <w:sz w:val="21"/>
                <w:szCs w:val="21"/>
                <w:highlight w:val="none"/>
              </w:rPr>
              <w:t>投标报价超出</w:t>
            </w:r>
            <w:r>
              <w:rPr>
                <w:rFonts w:hint="eastAsia" w:ascii="宋体" w:hAnsi="宋体" w:eastAsia="宋体" w:cs="Times New Roman"/>
                <w:b/>
                <w:bCs/>
                <w:color w:val="auto"/>
                <w:kern w:val="2"/>
                <w:sz w:val="21"/>
                <w:szCs w:val="21"/>
                <w:highlight w:val="none"/>
                <w:lang w:eastAsia="zh-CN"/>
              </w:rPr>
              <w:t>所投标项的</w:t>
            </w:r>
            <w:r>
              <w:rPr>
                <w:rFonts w:hint="eastAsia" w:ascii="宋体" w:hAnsi="宋体" w:eastAsia="宋体" w:cs="Times New Roman"/>
                <w:b/>
                <w:bCs/>
                <w:color w:val="auto"/>
                <w:kern w:val="2"/>
                <w:sz w:val="21"/>
                <w:szCs w:val="21"/>
                <w:highlight w:val="none"/>
              </w:rPr>
              <w:t>采购</w:t>
            </w:r>
            <w:r>
              <w:rPr>
                <w:rFonts w:hint="eastAsia" w:ascii="宋体" w:hAnsi="宋体" w:eastAsia="宋体" w:cs="Times New Roman"/>
                <w:b/>
                <w:bCs/>
                <w:color w:val="auto"/>
                <w:kern w:val="2"/>
                <w:sz w:val="21"/>
                <w:szCs w:val="21"/>
                <w:highlight w:val="none"/>
                <w:lang w:eastAsia="zh-CN"/>
              </w:rPr>
              <w:t>最高限价</w:t>
            </w:r>
            <w:r>
              <w:rPr>
                <w:rFonts w:hint="eastAsia" w:ascii="宋体" w:hAnsi="宋体" w:eastAsia="宋体" w:cs="Times New Roman"/>
                <w:b/>
                <w:bCs/>
                <w:color w:val="auto"/>
                <w:kern w:val="2"/>
                <w:sz w:val="21"/>
                <w:szCs w:val="21"/>
                <w:highlight w:val="none"/>
              </w:rPr>
              <w:t>的将被视为无效投标</w:t>
            </w:r>
            <w:r>
              <w:rPr>
                <w:rFonts w:hint="eastAsia" w:ascii="宋体" w:hAnsi="宋体" w:eastAsia="宋体" w:cs="Times New Roman"/>
                <w:b/>
                <w:bCs/>
                <w:color w:val="auto"/>
                <w:kern w:val="2"/>
                <w:sz w:val="21"/>
                <w:szCs w:val="21"/>
                <w:highlight w:val="none"/>
                <w:lang w:eastAsia="zh-CN"/>
              </w:rPr>
              <w:t>；</w:t>
            </w:r>
            <w:r>
              <w:rPr>
                <w:rFonts w:hint="eastAsia" w:ascii="宋体" w:hAnsi="宋体" w:eastAsia="宋体" w:cs="宋体"/>
                <w:b/>
                <w:bCs/>
                <w:color w:val="000000"/>
                <w:kern w:val="0"/>
                <w:sz w:val="20"/>
                <w:szCs w:val="20"/>
                <w:lang w:val="en-US" w:eastAsia="zh-CN" w:bidi="ar"/>
              </w:rPr>
              <w:t>投标货物中，属于中小企业生产的产品占本分标投标报价的比例不低于30%，其中小微企业生产的产品占中小企业生产的产品的投标报价比例不低于60%，否则</w:t>
            </w:r>
            <w:r>
              <w:rPr>
                <w:rFonts w:hint="eastAsia" w:ascii="宋体" w:hAnsi="宋体" w:eastAsia="宋体" w:cs="Times New Roman"/>
                <w:b/>
                <w:bCs/>
                <w:color w:val="auto"/>
                <w:kern w:val="2"/>
                <w:sz w:val="21"/>
                <w:szCs w:val="21"/>
                <w:highlight w:val="none"/>
              </w:rPr>
              <w:t>视为无效投标</w:t>
            </w:r>
            <w:r>
              <w:rPr>
                <w:rFonts w:hint="eastAsia" w:ascii="宋体" w:hAnsi="宋体" w:eastAsia="宋体" w:cs="Times New Roman"/>
                <w:b/>
                <w:bCs/>
                <w:color w:val="auto"/>
                <w:kern w:val="2"/>
                <w:sz w:val="21"/>
                <w:szCs w:val="21"/>
                <w:highlight w:val="none"/>
                <w:lang w:eastAsia="zh-CN"/>
              </w:rPr>
              <w:t>；</w:t>
            </w:r>
          </w:p>
          <w:p w14:paraId="15151EA3">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宋体"/>
                <w:color w:val="auto"/>
                <w:szCs w:val="21"/>
                <w:highlight w:val="none"/>
              </w:rPr>
            </w:pPr>
            <w:r>
              <w:rPr>
                <w:rFonts w:hint="eastAsia" w:ascii="宋体" w:hAnsi="宋体" w:eastAsia="宋体" w:cs="Times New Roman"/>
                <w:b/>
                <w:bCs/>
                <w:color w:val="auto"/>
                <w:kern w:val="2"/>
                <w:sz w:val="21"/>
                <w:szCs w:val="21"/>
                <w:highlight w:val="none"/>
                <w:lang w:eastAsia="zh-CN"/>
              </w:rPr>
              <w:t>标项二（</w:t>
            </w:r>
            <w:r>
              <w:rPr>
                <w:rFonts w:hint="eastAsia" w:ascii="宋体" w:hAnsi="宋体" w:eastAsia="宋体" w:cs="Times New Roman"/>
                <w:b/>
                <w:bCs/>
                <w:color w:val="auto"/>
                <w:kern w:val="2"/>
                <w:sz w:val="21"/>
                <w:szCs w:val="21"/>
                <w:highlight w:val="none"/>
                <w:lang w:val="en-US" w:eastAsia="zh-CN"/>
              </w:rPr>
              <w:t>B分标</w:t>
            </w:r>
            <w:r>
              <w:rPr>
                <w:rFonts w:hint="eastAsia" w:ascii="宋体" w:hAnsi="宋体" w:eastAsia="宋体" w:cs="Times New Roman"/>
                <w:b/>
                <w:bCs/>
                <w:color w:val="auto"/>
                <w:kern w:val="2"/>
                <w:sz w:val="21"/>
                <w:szCs w:val="21"/>
                <w:highlight w:val="none"/>
                <w:lang w:eastAsia="zh-CN"/>
              </w:rPr>
              <w:t>）</w:t>
            </w:r>
            <w:r>
              <w:rPr>
                <w:rFonts w:hint="eastAsia" w:ascii="宋体" w:hAnsi="宋体" w:eastAsia="宋体" w:cs="Times New Roman"/>
                <w:b/>
                <w:bCs/>
                <w:color w:val="auto"/>
                <w:kern w:val="2"/>
                <w:sz w:val="21"/>
                <w:szCs w:val="21"/>
                <w:highlight w:val="none"/>
              </w:rPr>
              <w:t>采购预算金额（人民币）：</w:t>
            </w:r>
            <w:r>
              <w:rPr>
                <w:rFonts w:hint="eastAsia" w:ascii="宋体" w:hAnsi="宋体" w:eastAsia="宋体" w:cs="Times New Roman"/>
                <w:b/>
                <w:bCs/>
                <w:color w:val="auto"/>
                <w:kern w:val="2"/>
                <w:sz w:val="21"/>
                <w:szCs w:val="21"/>
                <w:highlight w:val="none"/>
                <w:lang w:val="en-US" w:eastAsia="zh-CN"/>
              </w:rPr>
              <w:t>1004000</w:t>
            </w:r>
            <w:r>
              <w:rPr>
                <w:rFonts w:hint="eastAsia" w:ascii="宋体" w:hAnsi="宋体" w:eastAsia="宋体" w:cs="Times New Roman"/>
                <w:b/>
                <w:bCs/>
                <w:color w:val="auto"/>
                <w:kern w:val="2"/>
                <w:sz w:val="21"/>
                <w:szCs w:val="21"/>
                <w:highlight w:val="none"/>
                <w:lang w:eastAsia="zh-CN"/>
              </w:rPr>
              <w:t>.00</w:t>
            </w:r>
            <w:r>
              <w:rPr>
                <w:rFonts w:hint="eastAsia" w:ascii="宋体" w:hAnsi="宋体" w:eastAsia="宋体" w:cs="Times New Roman"/>
                <w:b/>
                <w:bCs/>
                <w:color w:val="auto"/>
                <w:kern w:val="2"/>
                <w:sz w:val="21"/>
                <w:szCs w:val="21"/>
                <w:highlight w:val="none"/>
              </w:rPr>
              <w:t>元</w:t>
            </w:r>
            <w:r>
              <w:rPr>
                <w:rFonts w:hint="eastAsia" w:ascii="宋体" w:hAnsi="宋体" w:eastAsia="宋体" w:cs="Times New Roman"/>
                <w:b/>
                <w:bCs/>
                <w:color w:val="auto"/>
                <w:kern w:val="2"/>
                <w:sz w:val="21"/>
                <w:szCs w:val="21"/>
                <w:highlight w:val="none"/>
                <w:lang w:eastAsia="zh-CN"/>
              </w:rPr>
              <w:t>，最高限价：</w:t>
            </w:r>
            <w:r>
              <w:rPr>
                <w:rFonts w:hint="eastAsia" w:ascii="宋体" w:hAnsi="宋体" w:eastAsia="宋体" w:cs="Times New Roman"/>
                <w:b/>
                <w:bCs/>
                <w:color w:val="auto"/>
                <w:kern w:val="2"/>
                <w:sz w:val="21"/>
                <w:szCs w:val="21"/>
                <w:highlight w:val="none"/>
                <w:lang w:val="en-US" w:eastAsia="zh-CN"/>
              </w:rPr>
              <w:t>1004000.00</w:t>
            </w:r>
            <w:r>
              <w:rPr>
                <w:rFonts w:hint="eastAsia" w:ascii="宋体" w:hAnsi="宋体" w:eastAsia="宋体" w:cs="Times New Roman"/>
                <w:b/>
                <w:bCs/>
                <w:color w:val="auto"/>
                <w:kern w:val="2"/>
                <w:sz w:val="21"/>
                <w:szCs w:val="21"/>
                <w:highlight w:val="none"/>
                <w:lang w:eastAsia="zh-CN"/>
              </w:rPr>
              <w:t>元，</w:t>
            </w:r>
            <w:r>
              <w:rPr>
                <w:rFonts w:hint="eastAsia" w:ascii="宋体" w:hAnsi="宋体" w:eastAsia="宋体" w:cs="Times New Roman"/>
                <w:b/>
                <w:bCs/>
                <w:color w:val="auto"/>
                <w:kern w:val="2"/>
                <w:sz w:val="21"/>
                <w:szCs w:val="21"/>
                <w:highlight w:val="none"/>
              </w:rPr>
              <w:t>投标报价超出</w:t>
            </w:r>
            <w:r>
              <w:rPr>
                <w:rFonts w:hint="eastAsia" w:ascii="宋体" w:hAnsi="宋体" w:eastAsia="宋体" w:cs="Times New Roman"/>
                <w:b/>
                <w:bCs/>
                <w:color w:val="auto"/>
                <w:kern w:val="2"/>
                <w:sz w:val="21"/>
                <w:szCs w:val="21"/>
                <w:highlight w:val="none"/>
                <w:lang w:eastAsia="zh-CN"/>
              </w:rPr>
              <w:t>所投标项的</w:t>
            </w:r>
            <w:r>
              <w:rPr>
                <w:rFonts w:hint="eastAsia" w:ascii="宋体" w:hAnsi="宋体" w:eastAsia="宋体" w:cs="Times New Roman"/>
                <w:b/>
                <w:bCs/>
                <w:color w:val="auto"/>
                <w:kern w:val="2"/>
                <w:sz w:val="21"/>
                <w:szCs w:val="21"/>
                <w:highlight w:val="none"/>
              </w:rPr>
              <w:t>采购</w:t>
            </w:r>
            <w:r>
              <w:rPr>
                <w:rFonts w:hint="eastAsia" w:ascii="宋体" w:hAnsi="宋体" w:eastAsia="宋体" w:cs="Times New Roman"/>
                <w:b/>
                <w:bCs/>
                <w:color w:val="auto"/>
                <w:kern w:val="2"/>
                <w:sz w:val="21"/>
                <w:szCs w:val="21"/>
                <w:highlight w:val="none"/>
                <w:lang w:eastAsia="zh-CN"/>
              </w:rPr>
              <w:t>最高限价</w:t>
            </w:r>
            <w:r>
              <w:rPr>
                <w:rFonts w:hint="eastAsia" w:ascii="宋体" w:hAnsi="宋体" w:eastAsia="宋体" w:cs="Times New Roman"/>
                <w:b/>
                <w:bCs/>
                <w:color w:val="auto"/>
                <w:kern w:val="2"/>
                <w:sz w:val="21"/>
                <w:szCs w:val="21"/>
                <w:highlight w:val="none"/>
              </w:rPr>
              <w:t>的将被视为无效投标</w:t>
            </w:r>
            <w:r>
              <w:rPr>
                <w:rFonts w:hint="eastAsia" w:ascii="宋体" w:hAnsi="宋体" w:eastAsia="宋体" w:cs="Times New Roman"/>
                <w:b/>
                <w:bCs/>
                <w:color w:val="auto"/>
                <w:kern w:val="2"/>
                <w:sz w:val="21"/>
                <w:szCs w:val="21"/>
                <w:highlight w:val="none"/>
                <w:lang w:eastAsia="zh-CN"/>
              </w:rPr>
              <w:t>；</w:t>
            </w:r>
            <w:r>
              <w:rPr>
                <w:rFonts w:hint="eastAsia" w:ascii="宋体" w:hAnsi="宋体" w:eastAsia="宋体" w:cs="宋体"/>
                <w:b/>
                <w:bCs/>
                <w:color w:val="000000"/>
                <w:kern w:val="0"/>
                <w:sz w:val="20"/>
                <w:szCs w:val="20"/>
                <w:lang w:val="en-US" w:eastAsia="zh-CN" w:bidi="ar"/>
              </w:rPr>
              <w:t>投标货物中，属于中小企业生产的产品占本分标投标报价的比例不低于50%，其中小微企业生产的产品占中小企业生产的产品的投标报价比例不低于75%，否则</w:t>
            </w:r>
            <w:r>
              <w:rPr>
                <w:rFonts w:hint="eastAsia" w:ascii="宋体" w:hAnsi="宋体" w:eastAsia="宋体" w:cs="Times New Roman"/>
                <w:b/>
                <w:bCs/>
                <w:color w:val="auto"/>
                <w:kern w:val="2"/>
                <w:sz w:val="21"/>
                <w:szCs w:val="21"/>
                <w:highlight w:val="none"/>
              </w:rPr>
              <w:t>视为无效投标。</w:t>
            </w:r>
          </w:p>
        </w:tc>
      </w:tr>
      <w:tr w14:paraId="368792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675" w:type="dxa"/>
            <w:noWrap w:val="0"/>
            <w:vAlign w:val="center"/>
          </w:tcPr>
          <w:p w14:paraId="42FA9BAD">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5</w:t>
            </w:r>
          </w:p>
        </w:tc>
        <w:tc>
          <w:tcPr>
            <w:tcW w:w="992" w:type="dxa"/>
            <w:noWrap w:val="0"/>
            <w:vAlign w:val="center"/>
          </w:tcPr>
          <w:p w14:paraId="5A0EDF08">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16.1</w:t>
            </w:r>
          </w:p>
        </w:tc>
        <w:tc>
          <w:tcPr>
            <w:tcW w:w="1418" w:type="dxa"/>
            <w:noWrap w:val="0"/>
            <w:vAlign w:val="center"/>
          </w:tcPr>
          <w:p w14:paraId="312342AC">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投标有效期</w:t>
            </w:r>
          </w:p>
        </w:tc>
        <w:tc>
          <w:tcPr>
            <w:tcW w:w="7032" w:type="dxa"/>
            <w:noWrap w:val="0"/>
            <w:vAlign w:val="center"/>
          </w:tcPr>
          <w:p w14:paraId="2586218B">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投标截止时间之日起90天，有效期不足的投标文件将被拒绝。</w:t>
            </w:r>
          </w:p>
        </w:tc>
      </w:tr>
      <w:tr w14:paraId="7C9B29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675" w:type="dxa"/>
            <w:noWrap w:val="0"/>
            <w:vAlign w:val="center"/>
          </w:tcPr>
          <w:p w14:paraId="1B820EA3">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6</w:t>
            </w:r>
          </w:p>
        </w:tc>
        <w:tc>
          <w:tcPr>
            <w:tcW w:w="992" w:type="dxa"/>
            <w:noWrap w:val="0"/>
            <w:vAlign w:val="center"/>
          </w:tcPr>
          <w:p w14:paraId="13F5F08A">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17</w:t>
            </w:r>
          </w:p>
        </w:tc>
        <w:tc>
          <w:tcPr>
            <w:tcW w:w="1418" w:type="dxa"/>
            <w:noWrap w:val="0"/>
            <w:vAlign w:val="center"/>
          </w:tcPr>
          <w:p w14:paraId="035EFA4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投标文件的制作</w:t>
            </w:r>
          </w:p>
        </w:tc>
        <w:tc>
          <w:tcPr>
            <w:tcW w:w="7032" w:type="dxa"/>
            <w:noWrap w:val="0"/>
            <w:vAlign w:val="center"/>
          </w:tcPr>
          <w:p w14:paraId="603C9B9A">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17.1 电子投标文件中须加盖投标人公章部分均采用 CA 电子签章，并根据“政府采购项目电子交易管理操作指南-供应商” 及本招标文件规定的格式和顺序编制电子投标文件并进行关联定位，以便评标委员会在评审时，点击评审项可直接定位到该评审项内容。如对招标文件的某项要求，投标人的电子投标文件未能关联定位提供相应的内容与其对应，则评标委员会在评审时如做出对投标人不利的评审判断或结果由投标人自行承担。电子投标文件如内容不完整、编排混乱导致投标文件被误读、 漏读，或者在按招标文件规定的部位查找不到相关内容的，由投标人自行承担。</w:t>
            </w:r>
          </w:p>
          <w:p w14:paraId="61DCD6E1">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17.2 投标人的法定代表人（负责人）或授权代表持有</w:t>
            </w:r>
            <w:r>
              <w:rPr>
                <w:rFonts w:hint="eastAsia" w:ascii="宋体" w:hAnsi="宋体" w:eastAsia="宋体" w:cs="Times New Roman"/>
                <w:b/>
                <w:bCs/>
                <w:color w:val="auto"/>
                <w:kern w:val="2"/>
                <w:sz w:val="21"/>
                <w:szCs w:val="21"/>
                <w:highlight w:val="none"/>
                <w:lang w:eastAsia="zh-CN"/>
              </w:rPr>
              <w:t>广西政府采购云平台</w:t>
            </w:r>
            <w:r>
              <w:rPr>
                <w:rFonts w:hint="eastAsia" w:ascii="宋体" w:hAnsi="宋体" w:eastAsia="宋体" w:cs="Times New Roman"/>
                <w:b/>
                <w:bCs/>
                <w:color w:val="auto"/>
                <w:kern w:val="2"/>
                <w:sz w:val="21"/>
                <w:szCs w:val="21"/>
                <w:highlight w:val="none"/>
              </w:rPr>
              <w:t>个人CA签章的，应在投标文件中涉及到签字的位置使用个人CA签章，没有办理</w:t>
            </w:r>
            <w:r>
              <w:rPr>
                <w:rFonts w:hint="eastAsia" w:ascii="宋体" w:hAnsi="宋体" w:eastAsia="宋体" w:cs="Times New Roman"/>
                <w:b/>
                <w:bCs/>
                <w:color w:val="auto"/>
                <w:kern w:val="2"/>
                <w:sz w:val="21"/>
                <w:szCs w:val="21"/>
                <w:highlight w:val="none"/>
                <w:lang w:eastAsia="zh-CN"/>
              </w:rPr>
              <w:t>广西政府采购云平台</w:t>
            </w:r>
            <w:r>
              <w:rPr>
                <w:rFonts w:hint="eastAsia" w:ascii="宋体" w:hAnsi="宋体" w:eastAsia="宋体" w:cs="Times New Roman"/>
                <w:b/>
                <w:bCs/>
                <w:color w:val="auto"/>
                <w:kern w:val="2"/>
                <w:sz w:val="21"/>
                <w:szCs w:val="21"/>
                <w:highlight w:val="none"/>
              </w:rPr>
              <w:t xml:space="preserve">个人CA签章的可在投标文件中涉及到签字的位置手写签字后扫描或者拍照做成 PDF 的格式上传即可。 </w:t>
            </w:r>
          </w:p>
          <w:p w14:paraId="340794B6">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17.3 投标文件不得涂改，若有修改错漏处，须由法定代表人（负责人）或授权委托人签字（或个人CA签章）。投标文件因字迹潦草或表达不清所引起的后果由投标人负责。</w:t>
            </w:r>
          </w:p>
          <w:p w14:paraId="02781A0D">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17.4特别说明：</w:t>
            </w:r>
          </w:p>
          <w:p w14:paraId="3BDA82DF">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17.4.1各投标人应在投标截止前确保成为</w:t>
            </w:r>
            <w:r>
              <w:rPr>
                <w:rFonts w:hint="eastAsia" w:ascii="宋体" w:hAnsi="宋体" w:eastAsia="宋体" w:cs="Times New Roman"/>
                <w:b/>
                <w:bCs/>
                <w:color w:val="auto"/>
                <w:kern w:val="2"/>
                <w:sz w:val="21"/>
                <w:szCs w:val="21"/>
                <w:highlight w:val="none"/>
                <w:lang w:eastAsia="zh-CN"/>
              </w:rPr>
              <w:t>广西政府采购云平台</w:t>
            </w:r>
            <w:r>
              <w:rPr>
                <w:rFonts w:hint="eastAsia" w:ascii="宋体" w:hAnsi="宋体" w:eastAsia="宋体" w:cs="Times New Roman"/>
                <w:b/>
                <w:bCs/>
                <w:color w:val="auto"/>
                <w:kern w:val="2"/>
                <w:sz w:val="21"/>
                <w:szCs w:val="21"/>
                <w:highlight w:val="none"/>
              </w:rPr>
              <w:t>平台正式注册入库</w:t>
            </w:r>
            <w:r>
              <w:rPr>
                <w:rFonts w:hint="eastAsia" w:ascii="宋体" w:hAnsi="宋体" w:eastAsia="宋体" w:cs="Times New Roman"/>
                <w:b/>
                <w:bCs/>
                <w:color w:val="auto"/>
                <w:kern w:val="2"/>
                <w:sz w:val="21"/>
                <w:szCs w:val="21"/>
                <w:highlight w:val="none"/>
                <w:lang w:eastAsia="zh-CN"/>
              </w:rPr>
              <w:t>供应商</w:t>
            </w:r>
            <w:r>
              <w:rPr>
                <w:rFonts w:hint="eastAsia" w:ascii="宋体" w:hAnsi="宋体" w:eastAsia="宋体" w:cs="Times New Roman"/>
                <w:b/>
                <w:bCs/>
                <w:color w:val="auto"/>
                <w:kern w:val="2"/>
                <w:sz w:val="21"/>
                <w:szCs w:val="21"/>
                <w:highlight w:val="none"/>
              </w:rPr>
              <w:t xml:space="preserve">，并完成CA数字证书申领。因未注册入库、未办理CA数字证书等原因造成无法投标或投标失败等后果由投标人自行承担。 </w:t>
            </w:r>
          </w:p>
          <w:p w14:paraId="75615278">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宋体"/>
                <w:b/>
                <w:bCs/>
                <w:color w:val="auto"/>
                <w:szCs w:val="21"/>
                <w:highlight w:val="none"/>
              </w:rPr>
            </w:pPr>
            <w:r>
              <w:rPr>
                <w:rFonts w:hint="eastAsia" w:ascii="宋体" w:hAnsi="宋体" w:eastAsia="宋体" w:cs="Times New Roman"/>
                <w:b/>
                <w:bCs/>
                <w:color w:val="auto"/>
                <w:kern w:val="2"/>
                <w:sz w:val="21"/>
                <w:szCs w:val="21"/>
                <w:highlight w:val="none"/>
              </w:rPr>
              <w:t>17.4.2投标人将</w:t>
            </w:r>
            <w:r>
              <w:rPr>
                <w:rFonts w:hint="eastAsia" w:ascii="宋体" w:hAnsi="宋体" w:eastAsia="宋体" w:cs="Times New Roman"/>
                <w:b/>
                <w:bCs/>
                <w:color w:val="auto"/>
                <w:kern w:val="2"/>
                <w:sz w:val="21"/>
                <w:szCs w:val="21"/>
                <w:highlight w:val="none"/>
                <w:lang w:eastAsia="zh-CN"/>
              </w:rPr>
              <w:t>广西政府采购云平台</w:t>
            </w:r>
            <w:r>
              <w:rPr>
                <w:rFonts w:hint="eastAsia" w:ascii="宋体" w:hAnsi="宋体" w:eastAsia="宋体" w:cs="Times New Roman"/>
                <w:b/>
                <w:bCs/>
                <w:color w:val="auto"/>
                <w:kern w:val="2"/>
                <w:sz w:val="21"/>
                <w:szCs w:val="21"/>
                <w:highlight w:val="none"/>
              </w:rPr>
              <w:t>电子交易客户端下载、安装完成后，可通过账号密码或CA登录客户端进行投标文件制作。客户端请至网站下载专区查看，如有问题可拨打</w:t>
            </w:r>
            <w:r>
              <w:rPr>
                <w:rFonts w:hint="eastAsia" w:ascii="宋体" w:hAnsi="宋体" w:eastAsia="宋体" w:cs="Times New Roman"/>
                <w:b/>
                <w:bCs/>
                <w:color w:val="auto"/>
                <w:kern w:val="2"/>
                <w:sz w:val="21"/>
                <w:szCs w:val="21"/>
                <w:highlight w:val="none"/>
                <w:lang w:eastAsia="zh-CN"/>
              </w:rPr>
              <w:t>广西政府采购云平台</w:t>
            </w:r>
            <w:r>
              <w:rPr>
                <w:rFonts w:hint="eastAsia" w:ascii="宋体" w:hAnsi="宋体" w:eastAsia="宋体" w:cs="Times New Roman"/>
                <w:b/>
                <w:bCs/>
                <w:color w:val="auto"/>
                <w:kern w:val="2"/>
                <w:sz w:val="21"/>
                <w:szCs w:val="21"/>
                <w:highlight w:val="none"/>
              </w:rPr>
              <w:t xml:space="preserve">客户服务热线 </w:t>
            </w:r>
            <w:r>
              <w:rPr>
                <w:rFonts w:hint="eastAsia" w:ascii="宋体" w:hAnsi="宋体" w:eastAsia="宋体" w:cs="Times New Roman"/>
                <w:b/>
                <w:bCs/>
                <w:color w:val="auto"/>
                <w:kern w:val="2"/>
                <w:sz w:val="21"/>
                <w:szCs w:val="21"/>
                <w:highlight w:val="none"/>
                <w:lang w:eastAsia="zh-CN"/>
              </w:rPr>
              <w:t>95763</w:t>
            </w:r>
            <w:r>
              <w:rPr>
                <w:rFonts w:hint="eastAsia" w:ascii="宋体" w:hAnsi="宋体" w:eastAsia="宋体" w:cs="Times New Roman"/>
                <w:b/>
                <w:bCs/>
                <w:color w:val="auto"/>
                <w:kern w:val="2"/>
                <w:sz w:val="21"/>
                <w:szCs w:val="21"/>
                <w:highlight w:val="none"/>
              </w:rPr>
              <w:t xml:space="preserve"> 进行咨询。</w:t>
            </w:r>
          </w:p>
        </w:tc>
      </w:tr>
      <w:tr w14:paraId="4D46BB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trPr>
        <w:tc>
          <w:tcPr>
            <w:tcW w:w="675" w:type="dxa"/>
            <w:noWrap w:val="0"/>
            <w:vAlign w:val="center"/>
          </w:tcPr>
          <w:p w14:paraId="1A4F4558">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7</w:t>
            </w:r>
          </w:p>
        </w:tc>
        <w:tc>
          <w:tcPr>
            <w:tcW w:w="992" w:type="dxa"/>
            <w:noWrap w:val="0"/>
            <w:vAlign w:val="center"/>
          </w:tcPr>
          <w:p w14:paraId="515FB9E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18.1</w:t>
            </w:r>
          </w:p>
        </w:tc>
        <w:tc>
          <w:tcPr>
            <w:tcW w:w="1418" w:type="dxa"/>
            <w:noWrap w:val="0"/>
            <w:vAlign w:val="center"/>
          </w:tcPr>
          <w:p w14:paraId="0E71852A">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投标文件的补充、修改和撤回</w:t>
            </w:r>
          </w:p>
        </w:tc>
        <w:tc>
          <w:tcPr>
            <w:tcW w:w="7032" w:type="dxa"/>
            <w:noWrap w:val="0"/>
            <w:vAlign w:val="center"/>
          </w:tcPr>
          <w:p w14:paraId="682E98CF">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18.1投标文件递交截止时间前可以撤回电子投标文件。补充或者修改电子投标文件的，应当先行撤回原文件，补充、修改后重新上传递交，在投标文件递交截止时间前未完成传输的，视为撤回投标文件。</w:t>
            </w:r>
          </w:p>
        </w:tc>
      </w:tr>
      <w:tr w14:paraId="675AB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17" w:hRule="atLeast"/>
        </w:trPr>
        <w:tc>
          <w:tcPr>
            <w:tcW w:w="675" w:type="dxa"/>
            <w:noWrap w:val="0"/>
            <w:vAlign w:val="center"/>
          </w:tcPr>
          <w:p w14:paraId="0B7A62E5">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8</w:t>
            </w:r>
          </w:p>
        </w:tc>
        <w:tc>
          <w:tcPr>
            <w:tcW w:w="992" w:type="dxa"/>
            <w:noWrap w:val="0"/>
            <w:vAlign w:val="center"/>
          </w:tcPr>
          <w:p w14:paraId="5DCEDF1F">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position w:val="-2"/>
                <w:szCs w:val="21"/>
                <w:highlight w:val="none"/>
              </w:rPr>
            </w:pPr>
            <w:r>
              <w:rPr>
                <w:rFonts w:hint="eastAsia" w:ascii="宋体" w:hAnsi="宋体" w:eastAsia="宋体" w:cs="宋体"/>
                <w:color w:val="auto"/>
                <w:szCs w:val="21"/>
                <w:highlight w:val="none"/>
              </w:rPr>
              <w:t>19.1</w:t>
            </w:r>
          </w:p>
        </w:tc>
        <w:tc>
          <w:tcPr>
            <w:tcW w:w="1418" w:type="dxa"/>
            <w:noWrap w:val="0"/>
            <w:vAlign w:val="center"/>
          </w:tcPr>
          <w:p w14:paraId="43622C47">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position w:val="-2"/>
                <w:szCs w:val="21"/>
                <w:highlight w:val="none"/>
              </w:rPr>
            </w:pPr>
            <w:r>
              <w:rPr>
                <w:rFonts w:hint="eastAsia" w:ascii="宋体" w:hAnsi="宋体" w:eastAsia="宋体" w:cs="宋体"/>
                <w:color w:val="auto"/>
                <w:szCs w:val="21"/>
                <w:highlight w:val="none"/>
              </w:rPr>
              <w:t>提交投标文件截止时间</w:t>
            </w:r>
          </w:p>
        </w:tc>
        <w:tc>
          <w:tcPr>
            <w:tcW w:w="7032" w:type="dxa"/>
            <w:noWrap w:val="0"/>
            <w:vAlign w:val="center"/>
          </w:tcPr>
          <w:p w14:paraId="25F4ED07">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b w:val="0"/>
                <w:bCs w:val="0"/>
                <w:color w:val="000000" w:themeColor="text1"/>
                <w:kern w:val="2"/>
                <w:sz w:val="21"/>
                <w:szCs w:val="21"/>
                <w:highlight w:val="none"/>
                <w14:textFill>
                  <w14:solidFill>
                    <w14:schemeClr w14:val="tx1"/>
                  </w14:solidFill>
                </w14:textFill>
              </w:rPr>
            </w:pPr>
            <w:r>
              <w:rPr>
                <w:rFonts w:hint="eastAsia" w:ascii="宋体" w:hAnsi="宋体" w:eastAsia="宋体" w:cs="Times New Roman"/>
                <w:color w:val="auto"/>
                <w:kern w:val="2"/>
                <w:sz w:val="21"/>
                <w:szCs w:val="21"/>
                <w:highlight w:val="none"/>
              </w:rPr>
              <w:t>提交投标文件截</w:t>
            </w:r>
            <w:r>
              <w:rPr>
                <w:rFonts w:hint="eastAsia" w:ascii="宋体" w:hAnsi="宋体" w:eastAsia="宋体" w:cs="Times New Roman"/>
                <w:color w:val="000000" w:themeColor="text1"/>
                <w:kern w:val="2"/>
                <w:sz w:val="21"/>
                <w:szCs w:val="21"/>
                <w:highlight w:val="none"/>
                <w14:textFill>
                  <w14:solidFill>
                    <w14:schemeClr w14:val="tx1"/>
                  </w14:solidFill>
                </w14:textFill>
              </w:rPr>
              <w:t>止时</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间：202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年</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9</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月</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日9时30分（北京时间）。</w:t>
            </w:r>
          </w:p>
          <w:p w14:paraId="7953077D">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宋体"/>
                <w:color w:val="auto"/>
                <w:szCs w:val="21"/>
                <w:highlight w:val="none"/>
              </w:rPr>
            </w:pP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投标人应于202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年</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9</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月</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日9</w:t>
            </w:r>
            <w:r>
              <w:rPr>
                <w:rFonts w:hint="eastAsia" w:ascii="宋体" w:hAnsi="宋体" w:eastAsia="宋体" w:cs="Times New Roman"/>
                <w:color w:val="000000" w:themeColor="text1"/>
                <w:kern w:val="2"/>
                <w:sz w:val="21"/>
                <w:szCs w:val="21"/>
                <w:highlight w:val="none"/>
                <w14:textFill>
                  <w14:solidFill>
                    <w14:schemeClr w14:val="tx1"/>
                  </w14:solidFill>
                </w14:textFill>
              </w:rPr>
              <w:t>时30分（北京时间）之前将电子投标文件上传到广西政府采购云平台，并按照本项目招标</w:t>
            </w:r>
            <w:r>
              <w:rPr>
                <w:rFonts w:hint="eastAsia" w:ascii="宋体" w:hAnsi="宋体" w:eastAsia="宋体" w:cs="Times New Roman"/>
                <w:color w:val="auto"/>
                <w:kern w:val="2"/>
                <w:sz w:val="21"/>
                <w:szCs w:val="21"/>
                <w:highlight w:val="none"/>
              </w:rPr>
              <w:t>文件要求和</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平台要求编制、制作、加密传输投标文件。投标人在使用系统进行投标的过程中遇到涉及平台使用的任何问题，可致电</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平台技术支持热线咨询，联系方式：</w:t>
            </w:r>
            <w:r>
              <w:rPr>
                <w:rFonts w:hint="eastAsia" w:ascii="宋体" w:hAnsi="宋体" w:eastAsia="宋体" w:cs="Times New Roman"/>
                <w:color w:val="auto"/>
                <w:kern w:val="2"/>
                <w:sz w:val="21"/>
                <w:szCs w:val="21"/>
                <w:highlight w:val="none"/>
                <w:lang w:eastAsia="zh-CN"/>
              </w:rPr>
              <w:t>95763</w:t>
            </w:r>
            <w:r>
              <w:rPr>
                <w:rFonts w:hint="eastAsia" w:ascii="宋体" w:hAnsi="宋体" w:eastAsia="宋体" w:cs="Times New Roman"/>
                <w:color w:val="auto"/>
                <w:kern w:val="2"/>
                <w:sz w:val="21"/>
                <w:szCs w:val="21"/>
                <w:highlight w:val="none"/>
              </w:rPr>
              <w:t>。投标截止时间后递交的电子投标文件，电子交易平台将拒收。</w:t>
            </w:r>
          </w:p>
        </w:tc>
      </w:tr>
      <w:tr w14:paraId="52FA47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6" w:hRule="atLeast"/>
        </w:trPr>
        <w:tc>
          <w:tcPr>
            <w:tcW w:w="675" w:type="dxa"/>
            <w:noWrap w:val="0"/>
            <w:vAlign w:val="center"/>
          </w:tcPr>
          <w:p w14:paraId="3E85264D">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9</w:t>
            </w:r>
          </w:p>
        </w:tc>
        <w:tc>
          <w:tcPr>
            <w:tcW w:w="992" w:type="dxa"/>
            <w:noWrap w:val="0"/>
            <w:vAlign w:val="center"/>
          </w:tcPr>
          <w:p w14:paraId="14D09F3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position w:val="-2"/>
                <w:szCs w:val="21"/>
                <w:highlight w:val="none"/>
              </w:rPr>
            </w:pPr>
            <w:r>
              <w:rPr>
                <w:rFonts w:hint="eastAsia" w:ascii="宋体" w:hAnsi="宋体" w:eastAsia="宋体" w:cs="宋体"/>
                <w:color w:val="auto"/>
                <w:szCs w:val="21"/>
                <w:highlight w:val="none"/>
              </w:rPr>
              <w:t>19.2</w:t>
            </w:r>
          </w:p>
        </w:tc>
        <w:tc>
          <w:tcPr>
            <w:tcW w:w="1418" w:type="dxa"/>
            <w:noWrap w:val="0"/>
            <w:vAlign w:val="center"/>
          </w:tcPr>
          <w:p w14:paraId="30E669B1">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投标文件递交地点</w:t>
            </w:r>
          </w:p>
        </w:tc>
        <w:tc>
          <w:tcPr>
            <w:tcW w:w="7032" w:type="dxa"/>
            <w:noWrap w:val="0"/>
            <w:vAlign w:val="center"/>
          </w:tcPr>
          <w:p w14:paraId="09114393">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通过</w:t>
            </w:r>
            <w:r>
              <w:rPr>
                <w:rFonts w:hint="eastAsia" w:ascii="宋体" w:hAnsi="宋体" w:eastAsia="宋体" w:cs="宋体"/>
                <w:color w:val="auto"/>
                <w:szCs w:val="21"/>
                <w:highlight w:val="none"/>
                <w:lang w:eastAsia="zh-CN"/>
              </w:rPr>
              <w:t>广西政府采购云平台</w:t>
            </w:r>
            <w:r>
              <w:rPr>
                <w:rFonts w:hint="eastAsia" w:ascii="宋体" w:hAnsi="宋体" w:eastAsia="宋体" w:cs="宋体"/>
                <w:color w:val="auto"/>
                <w:szCs w:val="21"/>
                <w:highlight w:val="none"/>
              </w:rPr>
              <w:t>平台实行在线投标。</w:t>
            </w:r>
          </w:p>
        </w:tc>
      </w:tr>
      <w:tr w14:paraId="77F2A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3" w:hRule="atLeast"/>
        </w:trPr>
        <w:tc>
          <w:tcPr>
            <w:tcW w:w="675" w:type="dxa"/>
            <w:noWrap w:val="0"/>
            <w:vAlign w:val="center"/>
          </w:tcPr>
          <w:p w14:paraId="2CC875F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10</w:t>
            </w:r>
          </w:p>
        </w:tc>
        <w:tc>
          <w:tcPr>
            <w:tcW w:w="992" w:type="dxa"/>
            <w:noWrap w:val="0"/>
            <w:vAlign w:val="center"/>
          </w:tcPr>
          <w:p w14:paraId="06638CC6">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19.3</w:t>
            </w:r>
          </w:p>
        </w:tc>
        <w:tc>
          <w:tcPr>
            <w:tcW w:w="1418" w:type="dxa"/>
            <w:noWrap w:val="0"/>
            <w:vAlign w:val="center"/>
          </w:tcPr>
          <w:p w14:paraId="0E22F11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投标文件解密</w:t>
            </w:r>
          </w:p>
        </w:tc>
        <w:tc>
          <w:tcPr>
            <w:tcW w:w="7032" w:type="dxa"/>
            <w:noWrap w:val="0"/>
            <w:vAlign w:val="center"/>
          </w:tcPr>
          <w:p w14:paraId="2FB7CB9D">
            <w:pPr>
              <w:keepNext w:val="0"/>
              <w:keepLines w:val="0"/>
              <w:pageBreakBefore w:val="0"/>
              <w:kinsoku/>
              <w:wordWrap/>
              <w:overflowPunct/>
              <w:topLinePunct w:val="0"/>
              <w:autoSpaceDE/>
              <w:autoSpaceDN/>
              <w:bidi w:val="0"/>
              <w:adjustRightInd w:val="0"/>
              <w:snapToGrid w:val="0"/>
              <w:spacing w:line="360" w:lineRule="exact"/>
              <w:ind w:firstLine="420" w:firstLineChars="200"/>
              <w:textAlignment w:val="auto"/>
              <w:rPr>
                <w:rFonts w:hint="eastAsia" w:ascii="宋体" w:hAnsi="宋体" w:eastAsia="宋体" w:cs="宋体"/>
                <w:color w:val="auto"/>
                <w:szCs w:val="21"/>
                <w:highlight w:val="none"/>
              </w:rPr>
            </w:pPr>
            <w:r>
              <w:rPr>
                <w:rFonts w:hint="eastAsia" w:ascii="宋体" w:hAnsi="宋体" w:eastAsia="宋体" w:cs="Times New Roman"/>
                <w:color w:val="auto"/>
                <w:kern w:val="2"/>
                <w:sz w:val="21"/>
                <w:szCs w:val="21"/>
                <w:highlight w:val="none"/>
              </w:rPr>
              <w:t>投标文件解密时间：投标截止时间后</w:t>
            </w:r>
            <w:r>
              <w:rPr>
                <w:rFonts w:hint="eastAsia" w:ascii="宋体" w:hAnsi="宋体" w:eastAsia="宋体" w:cs="Times New Roman"/>
                <w:color w:val="000000" w:themeColor="text1"/>
                <w:kern w:val="2"/>
                <w:sz w:val="21"/>
                <w:szCs w:val="21"/>
                <w:highlight w:val="none"/>
                <w14:textFill>
                  <w14:solidFill>
                    <w14:schemeClr w14:val="tx1"/>
                  </w14:solidFill>
                </w14:textFill>
              </w:rPr>
              <w:t>30分钟内</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年</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9</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月</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日</w:t>
            </w:r>
            <w:r>
              <w:rPr>
                <w:rFonts w:hint="eastAsia" w:ascii="宋体" w:hAnsi="宋体" w:eastAsia="宋体" w:cs="Times New Roman"/>
                <w:color w:val="000000" w:themeColor="text1"/>
                <w:kern w:val="2"/>
                <w:sz w:val="21"/>
                <w:szCs w:val="21"/>
                <w:highlight w:val="none"/>
                <w14:textFill>
                  <w14:solidFill>
                    <w14:schemeClr w14:val="tx1"/>
                  </w14:solidFill>
                </w14:textFill>
              </w:rPr>
              <w:t>9时30分至10时00分）投标人可以登录</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广西政府采购云平台</w:t>
            </w:r>
            <w:r>
              <w:rPr>
                <w:rFonts w:hint="eastAsia" w:ascii="宋体" w:hAnsi="宋体" w:eastAsia="宋体" w:cs="Times New Roman"/>
                <w:color w:val="000000" w:themeColor="text1"/>
                <w:kern w:val="2"/>
                <w:sz w:val="21"/>
                <w:szCs w:val="21"/>
                <w:highlight w:val="none"/>
                <w14:textFill>
                  <w14:solidFill>
                    <w14:schemeClr w14:val="tx1"/>
                  </w14:solidFill>
                </w14:textFill>
              </w:rPr>
              <w:t>平台，用“项目采购-开标评标”功能进行解密投标文件。</w:t>
            </w:r>
            <w:r>
              <w:rPr>
                <w:rFonts w:hint="eastAsia" w:ascii="宋体" w:hAnsi="宋体" w:eastAsia="宋体" w:cs="Times New Roman"/>
                <w:color w:val="auto"/>
                <w:kern w:val="2"/>
                <w:sz w:val="21"/>
                <w:szCs w:val="21"/>
                <w:highlight w:val="none"/>
              </w:rPr>
              <w:t>若投标人在规定时间内无法解密或解密失败或超时解密的，系统默认自动放弃，投标文件按投标无效处理。</w:t>
            </w:r>
          </w:p>
        </w:tc>
      </w:tr>
      <w:tr w14:paraId="394D4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2" w:hRule="atLeast"/>
        </w:trPr>
        <w:tc>
          <w:tcPr>
            <w:tcW w:w="675" w:type="dxa"/>
            <w:noWrap w:val="0"/>
            <w:vAlign w:val="center"/>
          </w:tcPr>
          <w:p w14:paraId="79F55877">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11</w:t>
            </w:r>
          </w:p>
        </w:tc>
        <w:tc>
          <w:tcPr>
            <w:tcW w:w="992" w:type="dxa"/>
            <w:noWrap w:val="0"/>
            <w:vAlign w:val="center"/>
          </w:tcPr>
          <w:p w14:paraId="089B9926">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2</w:t>
            </w:r>
            <w:r>
              <w:rPr>
                <w:rFonts w:hint="eastAsia" w:ascii="宋体" w:hAnsi="宋体" w:eastAsia="宋体" w:cs="宋体"/>
                <w:color w:val="auto"/>
                <w:szCs w:val="21"/>
                <w:highlight w:val="none"/>
                <w:lang w:val="en-US" w:eastAsia="zh-CN"/>
              </w:rPr>
              <w:t>0</w:t>
            </w:r>
          </w:p>
        </w:tc>
        <w:tc>
          <w:tcPr>
            <w:tcW w:w="1418" w:type="dxa"/>
            <w:noWrap w:val="0"/>
            <w:vAlign w:val="center"/>
          </w:tcPr>
          <w:p w14:paraId="55BB3CD7">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rPr>
              <w:t>开标时间</w:t>
            </w:r>
            <w:r>
              <w:rPr>
                <w:rFonts w:hint="eastAsia" w:ascii="宋体" w:hAnsi="宋体" w:eastAsia="宋体" w:cs="宋体"/>
                <w:color w:val="auto"/>
                <w:szCs w:val="21"/>
                <w:highlight w:val="none"/>
                <w:lang w:eastAsia="zh-CN"/>
              </w:rPr>
              <w:t>和</w:t>
            </w:r>
            <w:r>
              <w:rPr>
                <w:rFonts w:hint="eastAsia" w:ascii="宋体" w:hAnsi="宋体" w:eastAsia="宋体" w:cs="宋体"/>
                <w:color w:val="auto"/>
                <w:szCs w:val="21"/>
                <w:highlight w:val="none"/>
              </w:rPr>
              <w:t>地点</w:t>
            </w:r>
            <w:r>
              <w:rPr>
                <w:rFonts w:hint="eastAsia" w:ascii="宋体" w:hAnsi="宋体" w:eastAsia="宋体" w:cs="宋体"/>
                <w:color w:val="auto"/>
                <w:szCs w:val="21"/>
                <w:highlight w:val="none"/>
                <w:lang w:eastAsia="zh-CN"/>
              </w:rPr>
              <w:t>、评标地点</w:t>
            </w:r>
          </w:p>
        </w:tc>
        <w:tc>
          <w:tcPr>
            <w:tcW w:w="7032" w:type="dxa"/>
            <w:noWrap w:val="0"/>
            <w:vAlign w:val="top"/>
          </w:tcPr>
          <w:p w14:paraId="6D37B274">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auto"/>
                <w:kern w:val="2"/>
                <w:sz w:val="21"/>
                <w:szCs w:val="21"/>
                <w:highlight w:val="none"/>
              </w:rPr>
              <w:t>开标时</w:t>
            </w:r>
            <w:r>
              <w:rPr>
                <w:rFonts w:hint="eastAsia" w:ascii="宋体" w:hAnsi="宋体" w:eastAsia="宋体" w:cs="Times New Roman"/>
                <w:color w:val="000000" w:themeColor="text1"/>
                <w:kern w:val="2"/>
                <w:sz w:val="21"/>
                <w:szCs w:val="21"/>
                <w:highlight w:val="none"/>
                <w14:textFill>
                  <w14:solidFill>
                    <w14:schemeClr w14:val="tx1"/>
                  </w14:solidFill>
                </w14:textFill>
              </w:rPr>
              <w:t>间：</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年</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9</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月</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日9</w:t>
            </w:r>
            <w:r>
              <w:rPr>
                <w:rFonts w:hint="eastAsia" w:ascii="宋体" w:hAnsi="宋体" w:eastAsia="宋体" w:cs="Times New Roman"/>
                <w:color w:val="000000" w:themeColor="text1"/>
                <w:kern w:val="2"/>
                <w:sz w:val="21"/>
                <w:szCs w:val="21"/>
                <w:highlight w:val="none"/>
                <w14:textFill>
                  <w14:solidFill>
                    <w14:schemeClr w14:val="tx1"/>
                  </w14:solidFill>
                </w14:textFill>
              </w:rPr>
              <w:t>时30分（北京时间）；</w:t>
            </w:r>
          </w:p>
          <w:p w14:paraId="009A7810">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000000" w:themeColor="text1"/>
                <w:kern w:val="2"/>
                <w:sz w:val="21"/>
                <w:szCs w:val="21"/>
                <w:highlight w:val="none"/>
                <w14:textFill>
                  <w14:solidFill>
                    <w14:schemeClr w14:val="tx1"/>
                  </w14:solidFill>
                </w14:textFill>
              </w:rPr>
              <w:t>开标地点：通过</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“广西政府采购云平台”</w:t>
            </w:r>
            <w:r>
              <w:rPr>
                <w:rFonts w:hint="eastAsia" w:ascii="宋体" w:hAnsi="宋体" w:eastAsia="宋体" w:cs="Times New Roman"/>
                <w:color w:val="000000" w:themeColor="text1"/>
                <w:kern w:val="2"/>
                <w:sz w:val="21"/>
                <w:szCs w:val="21"/>
                <w:highlight w:val="none"/>
                <w14:textFill>
                  <w14:solidFill>
                    <w14:schemeClr w14:val="tx1"/>
                  </w14:solidFill>
                </w14:textFill>
              </w:rPr>
              <w:t>平台在线</w:t>
            </w:r>
            <w:r>
              <w:rPr>
                <w:rFonts w:hint="eastAsia" w:ascii="宋体" w:hAnsi="宋体" w:eastAsia="宋体" w:cs="Times New Roman"/>
                <w:color w:val="auto"/>
                <w:kern w:val="2"/>
                <w:sz w:val="21"/>
                <w:szCs w:val="21"/>
                <w:highlight w:val="none"/>
              </w:rPr>
              <w:t>解密开启</w:t>
            </w:r>
            <w:r>
              <w:rPr>
                <w:rFonts w:hint="eastAsia" w:ascii="宋体" w:hAnsi="宋体" w:eastAsia="宋体" w:cs="Times New Roman"/>
                <w:color w:val="auto"/>
                <w:kern w:val="2"/>
                <w:sz w:val="21"/>
                <w:szCs w:val="21"/>
                <w:highlight w:val="none"/>
                <w:lang w:eastAsia="zh-CN"/>
              </w:rPr>
              <w:t>；</w:t>
            </w:r>
          </w:p>
          <w:p w14:paraId="52A90F45">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宋体"/>
                <w:color w:val="auto"/>
                <w:highlight w:val="none"/>
                <w:lang w:eastAsia="zh-CN"/>
              </w:rPr>
            </w:pPr>
            <w:r>
              <w:rPr>
                <w:rFonts w:hint="eastAsia" w:ascii="宋体" w:hAnsi="宋体" w:eastAsia="宋体" w:cs="Times New Roman"/>
                <w:color w:val="auto"/>
                <w:kern w:val="2"/>
                <w:sz w:val="21"/>
                <w:szCs w:val="21"/>
                <w:highlight w:val="none"/>
                <w:lang w:eastAsia="zh-CN"/>
              </w:rPr>
              <w:t>评标地点：桂林市公共资源交易中心评标室。</w:t>
            </w:r>
          </w:p>
        </w:tc>
      </w:tr>
      <w:tr w14:paraId="0521EC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6" w:hRule="atLeast"/>
        </w:trPr>
        <w:tc>
          <w:tcPr>
            <w:tcW w:w="675" w:type="dxa"/>
            <w:noWrap w:val="0"/>
            <w:vAlign w:val="center"/>
          </w:tcPr>
          <w:p w14:paraId="08F35F8F">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12</w:t>
            </w:r>
          </w:p>
        </w:tc>
        <w:tc>
          <w:tcPr>
            <w:tcW w:w="992" w:type="dxa"/>
            <w:noWrap w:val="0"/>
            <w:vAlign w:val="center"/>
          </w:tcPr>
          <w:p w14:paraId="55CC99FC">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23</w:t>
            </w:r>
          </w:p>
        </w:tc>
        <w:tc>
          <w:tcPr>
            <w:tcW w:w="1418" w:type="dxa"/>
            <w:noWrap w:val="0"/>
            <w:vAlign w:val="center"/>
          </w:tcPr>
          <w:p w14:paraId="1344F662">
            <w:pPr>
              <w:pStyle w:val="9"/>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kern w:val="0"/>
                <w:szCs w:val="21"/>
                <w:highlight w:val="none"/>
              </w:rPr>
            </w:pPr>
            <w:r>
              <w:rPr>
                <w:rFonts w:hint="eastAsia" w:ascii="宋体" w:hAnsi="宋体" w:eastAsia="宋体" w:cs="宋体"/>
                <w:color w:val="auto"/>
                <w:kern w:val="0"/>
                <w:szCs w:val="21"/>
                <w:highlight w:val="none"/>
              </w:rPr>
              <w:t>评标委员会组成</w:t>
            </w:r>
          </w:p>
        </w:tc>
        <w:tc>
          <w:tcPr>
            <w:tcW w:w="7032" w:type="dxa"/>
            <w:noWrap w:val="0"/>
            <w:vAlign w:val="center"/>
          </w:tcPr>
          <w:p w14:paraId="10BB8BC9">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Times New Roman"/>
                <w:color w:val="auto"/>
                <w:kern w:val="2"/>
                <w:sz w:val="21"/>
                <w:szCs w:val="21"/>
                <w:highlight w:val="none"/>
              </w:rPr>
              <w:t>评标委员会由采购人代表1人和评审专家4人组成，成员人数共5人。</w:t>
            </w:r>
          </w:p>
        </w:tc>
      </w:tr>
      <w:tr w14:paraId="2114F5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675" w:type="dxa"/>
            <w:noWrap w:val="0"/>
            <w:vAlign w:val="center"/>
          </w:tcPr>
          <w:p w14:paraId="4783389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13</w:t>
            </w:r>
          </w:p>
        </w:tc>
        <w:tc>
          <w:tcPr>
            <w:tcW w:w="992" w:type="dxa"/>
            <w:noWrap w:val="0"/>
            <w:vAlign w:val="center"/>
          </w:tcPr>
          <w:p w14:paraId="18BFA7CA">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24.1</w:t>
            </w:r>
          </w:p>
        </w:tc>
        <w:tc>
          <w:tcPr>
            <w:tcW w:w="1418" w:type="dxa"/>
            <w:noWrap w:val="0"/>
            <w:vAlign w:val="center"/>
          </w:tcPr>
          <w:p w14:paraId="7CFCC8B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评标办法</w:t>
            </w:r>
          </w:p>
        </w:tc>
        <w:tc>
          <w:tcPr>
            <w:tcW w:w="7032" w:type="dxa"/>
            <w:noWrap w:val="0"/>
            <w:vAlign w:val="center"/>
          </w:tcPr>
          <w:p w14:paraId="6C45FE95">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综合评分法，具体评标内容及标准详见第四章：评标办法。</w:t>
            </w:r>
          </w:p>
        </w:tc>
      </w:tr>
      <w:tr w14:paraId="1FA83A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0" w:hRule="atLeast"/>
        </w:trPr>
        <w:tc>
          <w:tcPr>
            <w:tcW w:w="675" w:type="dxa"/>
            <w:noWrap w:val="0"/>
            <w:vAlign w:val="center"/>
          </w:tcPr>
          <w:p w14:paraId="1B9C62BC">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14</w:t>
            </w:r>
          </w:p>
        </w:tc>
        <w:tc>
          <w:tcPr>
            <w:tcW w:w="992" w:type="dxa"/>
            <w:noWrap w:val="0"/>
            <w:vAlign w:val="center"/>
          </w:tcPr>
          <w:p w14:paraId="743208A0">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31</w:t>
            </w:r>
          </w:p>
        </w:tc>
        <w:tc>
          <w:tcPr>
            <w:tcW w:w="1418" w:type="dxa"/>
            <w:noWrap w:val="0"/>
            <w:vAlign w:val="center"/>
          </w:tcPr>
          <w:p w14:paraId="3DBF9F23">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中标人信用信息查询</w:t>
            </w:r>
          </w:p>
        </w:tc>
        <w:tc>
          <w:tcPr>
            <w:tcW w:w="7032" w:type="dxa"/>
            <w:noWrap w:val="0"/>
            <w:vAlign w:val="center"/>
          </w:tcPr>
          <w:p w14:paraId="3C0B5313">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根据《关于做好政府采购有关信用主体标识码登记及在政府采购活动中查询使用信用记录有关问题的通知》桂财采〔2016〕37号的通知，采购代理机构对中标人进行信用查询：</w:t>
            </w:r>
          </w:p>
          <w:p w14:paraId="009A9C20">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（1）查询渠道：“信用中国”网站（www.creditchina.gov.cn）、中国政府采购网（www.ccgp.gov.cn）等；</w:t>
            </w:r>
          </w:p>
          <w:p w14:paraId="19B45558">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（2）查询截止时点：中标通知书发出前；</w:t>
            </w:r>
          </w:p>
          <w:p w14:paraId="0FBDA745">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（3）信用信息查询记录和证据留存方式：在查询网站中直接打印查询记录，打印材料作为采购活动资料保存。</w:t>
            </w:r>
          </w:p>
          <w:p w14:paraId="38B73B66">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宋体"/>
                <w:color w:val="auto"/>
                <w:szCs w:val="21"/>
                <w:highlight w:val="none"/>
              </w:rPr>
            </w:pPr>
            <w:r>
              <w:rPr>
                <w:rFonts w:hint="eastAsia" w:ascii="宋体" w:hAnsi="宋体" w:eastAsia="宋体" w:cs="Times New Roman"/>
                <w:color w:val="auto"/>
                <w:kern w:val="2"/>
                <w:sz w:val="21"/>
                <w:szCs w:val="21"/>
                <w:highlight w:val="none"/>
              </w:rPr>
              <w:t>（4）信用信息使用规则：在“信用中国”网站（www.creditchina.gov.cn）、中国政府采购网（www.ccgp.gov.cn）等渠道列入失信被执行人、</w:t>
            </w:r>
            <w:r>
              <w:rPr>
                <w:rFonts w:hint="eastAsia" w:ascii="宋体" w:hAnsi="宋体" w:eastAsia="宋体" w:cs="Times New Roman"/>
                <w:color w:val="auto"/>
                <w:kern w:val="2"/>
                <w:sz w:val="21"/>
                <w:szCs w:val="21"/>
                <w:highlight w:val="none"/>
                <w:lang w:eastAsia="zh-CN"/>
              </w:rPr>
              <w:t>重大税收违法失信主体</w:t>
            </w:r>
            <w:r>
              <w:rPr>
                <w:rFonts w:hint="eastAsia" w:ascii="宋体" w:hAnsi="宋体" w:eastAsia="宋体" w:cs="Times New Roman"/>
                <w:color w:val="auto"/>
                <w:kern w:val="2"/>
                <w:sz w:val="21"/>
                <w:szCs w:val="21"/>
                <w:highlight w:val="none"/>
              </w:rPr>
              <w:t>、政府采购严重违法失信行为记录名单及其他不符合《中华人民共和国政府采购法》第二十二条规定条件的</w:t>
            </w:r>
            <w:r>
              <w:rPr>
                <w:rFonts w:hint="eastAsia" w:ascii="宋体" w:hAnsi="宋体" w:eastAsia="宋体" w:cs="Times New Roman"/>
                <w:color w:val="auto"/>
                <w:kern w:val="2"/>
                <w:sz w:val="21"/>
                <w:szCs w:val="21"/>
                <w:highlight w:val="none"/>
                <w:lang w:eastAsia="zh-CN"/>
              </w:rPr>
              <w:t>投标人</w:t>
            </w:r>
            <w:r>
              <w:rPr>
                <w:rFonts w:hint="eastAsia" w:ascii="宋体" w:hAnsi="宋体" w:eastAsia="宋体" w:cs="Times New Roman"/>
                <w:color w:val="auto"/>
                <w:kern w:val="2"/>
                <w:sz w:val="21"/>
                <w:szCs w:val="21"/>
                <w:highlight w:val="none"/>
              </w:rPr>
              <w:t>，不得参与政府采购活动，取消其中标候选人资格。采购人依法按照评标报告中评标委员会推荐中标候选人排序表确定排名第二的中标候选人为中标</w:t>
            </w:r>
            <w:r>
              <w:rPr>
                <w:rFonts w:hint="eastAsia" w:ascii="宋体" w:hAnsi="宋体" w:eastAsia="宋体" w:cs="Times New Roman"/>
                <w:color w:val="auto"/>
                <w:kern w:val="2"/>
                <w:sz w:val="21"/>
                <w:szCs w:val="21"/>
                <w:highlight w:val="none"/>
                <w:lang w:val="en-US" w:eastAsia="zh-CN"/>
              </w:rPr>
              <w:t>人</w:t>
            </w:r>
            <w:r>
              <w:rPr>
                <w:rFonts w:hint="eastAsia" w:ascii="宋体" w:hAnsi="宋体" w:eastAsia="宋体" w:cs="Times New Roman"/>
                <w:color w:val="auto"/>
                <w:kern w:val="2"/>
                <w:sz w:val="21"/>
                <w:szCs w:val="21"/>
                <w:highlight w:val="none"/>
              </w:rPr>
              <w:t>或者重新组织采购。</w:t>
            </w:r>
          </w:p>
        </w:tc>
      </w:tr>
      <w:tr w14:paraId="5BCF8A8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675" w:type="dxa"/>
            <w:noWrap w:val="0"/>
            <w:vAlign w:val="center"/>
          </w:tcPr>
          <w:p w14:paraId="616C963A">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15</w:t>
            </w:r>
          </w:p>
        </w:tc>
        <w:tc>
          <w:tcPr>
            <w:tcW w:w="992" w:type="dxa"/>
            <w:noWrap w:val="0"/>
            <w:vAlign w:val="center"/>
          </w:tcPr>
          <w:p w14:paraId="14BC1BC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32</w:t>
            </w:r>
          </w:p>
        </w:tc>
        <w:tc>
          <w:tcPr>
            <w:tcW w:w="1418" w:type="dxa"/>
            <w:noWrap w:val="0"/>
            <w:vAlign w:val="center"/>
          </w:tcPr>
          <w:p w14:paraId="7CC74A0C">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中标公告及中标通知书</w:t>
            </w:r>
          </w:p>
        </w:tc>
        <w:tc>
          <w:tcPr>
            <w:tcW w:w="7032" w:type="dxa"/>
            <w:noWrap w:val="0"/>
            <w:vAlign w:val="top"/>
          </w:tcPr>
          <w:p w14:paraId="1C30B873">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宋体"/>
                <w:color w:val="auto"/>
                <w:szCs w:val="21"/>
                <w:highlight w:val="none"/>
              </w:rPr>
            </w:pPr>
            <w:r>
              <w:rPr>
                <w:rFonts w:hint="eastAsia" w:ascii="宋体" w:hAnsi="宋体" w:eastAsia="宋体" w:cs="Times New Roman"/>
                <w:color w:val="auto"/>
                <w:kern w:val="2"/>
                <w:sz w:val="21"/>
                <w:szCs w:val="21"/>
                <w:highlight w:val="none"/>
              </w:rPr>
              <w:t>32.</w:t>
            </w:r>
            <w:r>
              <w:rPr>
                <w:rFonts w:hint="eastAsia" w:ascii="宋体" w:hAnsi="宋体" w:eastAsia="宋体" w:cs="Times New Roman"/>
                <w:color w:val="auto"/>
                <w:kern w:val="2"/>
                <w:sz w:val="21"/>
                <w:szCs w:val="21"/>
                <w:highlight w:val="none"/>
                <w:lang w:val="en-US" w:eastAsia="zh-CN"/>
              </w:rPr>
              <w:t>1</w:t>
            </w:r>
            <w:r>
              <w:rPr>
                <w:rFonts w:hint="eastAsia" w:ascii="宋体" w:hAnsi="宋体" w:eastAsia="宋体" w:cs="Times New Roman"/>
                <w:color w:val="auto"/>
                <w:kern w:val="2"/>
                <w:sz w:val="21"/>
                <w:szCs w:val="21"/>
                <w:highlight w:val="none"/>
              </w:rPr>
              <w:t>采购代理机构于评标结束后两个工作日内将评标报告送交采购人，采购人应当自收到评标报告五个工作日内在评标报告推荐的中标候选人中按顺序确定中标</w:t>
            </w:r>
            <w:r>
              <w:rPr>
                <w:rFonts w:hint="eastAsia" w:ascii="宋体" w:hAnsi="宋体" w:eastAsia="宋体" w:cs="Times New Roman"/>
                <w:color w:val="auto"/>
                <w:kern w:val="2"/>
                <w:sz w:val="21"/>
                <w:szCs w:val="21"/>
                <w:highlight w:val="none"/>
                <w:lang w:val="en-US" w:eastAsia="zh-CN"/>
              </w:rPr>
              <w:t>人</w:t>
            </w:r>
            <w:r>
              <w:rPr>
                <w:rFonts w:hint="eastAsia" w:ascii="宋体" w:hAnsi="宋体" w:eastAsia="宋体" w:cs="Times New Roman"/>
                <w:color w:val="auto"/>
                <w:kern w:val="2"/>
                <w:sz w:val="21"/>
                <w:szCs w:val="21"/>
                <w:highlight w:val="none"/>
              </w:rPr>
              <w:t>，采购代理机构在中标</w:t>
            </w:r>
            <w:r>
              <w:rPr>
                <w:rFonts w:hint="eastAsia" w:ascii="宋体" w:hAnsi="宋体" w:eastAsia="宋体" w:cs="Times New Roman"/>
                <w:color w:val="auto"/>
                <w:kern w:val="2"/>
                <w:sz w:val="21"/>
                <w:szCs w:val="21"/>
                <w:highlight w:val="none"/>
                <w:lang w:val="en-US" w:eastAsia="zh-CN"/>
              </w:rPr>
              <w:t>人</w:t>
            </w:r>
            <w:r>
              <w:rPr>
                <w:rFonts w:hint="eastAsia" w:ascii="宋体" w:hAnsi="宋体" w:eastAsia="宋体" w:cs="Times New Roman"/>
                <w:color w:val="auto"/>
                <w:kern w:val="2"/>
                <w:sz w:val="21"/>
                <w:szCs w:val="21"/>
                <w:highlight w:val="none"/>
              </w:rPr>
              <w:t>确定之日起两个工作日内发出中标通知书，并在指定媒体上公告中标信息，中标公告期限为1个工作日。</w:t>
            </w:r>
          </w:p>
        </w:tc>
      </w:tr>
      <w:tr w14:paraId="2882D7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trPr>
        <w:tc>
          <w:tcPr>
            <w:tcW w:w="675" w:type="dxa"/>
            <w:noWrap w:val="0"/>
            <w:vAlign w:val="center"/>
          </w:tcPr>
          <w:p w14:paraId="30E74182">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16</w:t>
            </w:r>
          </w:p>
        </w:tc>
        <w:tc>
          <w:tcPr>
            <w:tcW w:w="992" w:type="dxa"/>
            <w:noWrap w:val="0"/>
            <w:vAlign w:val="center"/>
          </w:tcPr>
          <w:p w14:paraId="4A9F2111">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33</w:t>
            </w:r>
          </w:p>
        </w:tc>
        <w:tc>
          <w:tcPr>
            <w:tcW w:w="1418" w:type="dxa"/>
            <w:noWrap w:val="0"/>
            <w:vAlign w:val="center"/>
          </w:tcPr>
          <w:p w14:paraId="6E37BBC6">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履约保证金</w:t>
            </w:r>
          </w:p>
        </w:tc>
        <w:tc>
          <w:tcPr>
            <w:tcW w:w="7032" w:type="dxa"/>
            <w:noWrap w:val="0"/>
            <w:vAlign w:val="top"/>
          </w:tcPr>
          <w:p w14:paraId="0F7552C8">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highlight w:val="none"/>
              </w:rPr>
            </w:pPr>
            <w:r>
              <w:rPr>
                <w:rFonts w:hint="eastAsia" w:ascii="宋体" w:hAnsi="宋体" w:eastAsia="宋体" w:cs="宋体"/>
                <w:color w:val="auto"/>
                <w:szCs w:val="21"/>
                <w:highlight w:val="none"/>
              </w:rPr>
              <w:t>33.1履约保证金：根据《桂林市财政局关于贯彻落实政府采购优化营商环境百日攻坚行动方案的通知》（市财采〔2020〕24号）第四条的规定，本项目免收履约保证金。</w:t>
            </w:r>
          </w:p>
        </w:tc>
      </w:tr>
      <w:tr w14:paraId="56EA3A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0" w:hRule="atLeast"/>
        </w:trPr>
        <w:tc>
          <w:tcPr>
            <w:tcW w:w="675" w:type="dxa"/>
            <w:noWrap w:val="0"/>
            <w:vAlign w:val="center"/>
          </w:tcPr>
          <w:p w14:paraId="0D785B6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17</w:t>
            </w:r>
          </w:p>
        </w:tc>
        <w:tc>
          <w:tcPr>
            <w:tcW w:w="992" w:type="dxa"/>
            <w:noWrap w:val="0"/>
            <w:vAlign w:val="center"/>
          </w:tcPr>
          <w:p w14:paraId="2EC1042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34.1</w:t>
            </w:r>
          </w:p>
        </w:tc>
        <w:tc>
          <w:tcPr>
            <w:tcW w:w="1418" w:type="dxa"/>
            <w:noWrap w:val="0"/>
            <w:vAlign w:val="center"/>
          </w:tcPr>
          <w:p w14:paraId="32EF58D5">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签订合同</w:t>
            </w:r>
          </w:p>
        </w:tc>
        <w:tc>
          <w:tcPr>
            <w:tcW w:w="7032" w:type="dxa"/>
            <w:noWrap w:val="0"/>
            <w:vAlign w:val="center"/>
          </w:tcPr>
          <w:p w14:paraId="745666B0">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中标通知书发出之日起</w:t>
            </w:r>
            <w:r>
              <w:rPr>
                <w:rFonts w:hint="eastAsia" w:ascii="宋体" w:hAnsi="宋体" w:eastAsia="宋体" w:cs="宋体"/>
                <w:color w:val="auto"/>
                <w:szCs w:val="21"/>
                <w:highlight w:val="none"/>
                <w:lang w:val="en-US" w:eastAsia="zh-CN"/>
              </w:rPr>
              <w:t>8个工作</w:t>
            </w:r>
            <w:r>
              <w:rPr>
                <w:rFonts w:hint="eastAsia" w:ascii="宋体" w:hAnsi="宋体" w:eastAsia="宋体" w:cs="宋体"/>
                <w:color w:val="auto"/>
                <w:szCs w:val="21"/>
                <w:highlight w:val="none"/>
              </w:rPr>
              <w:t>日内。中标</w:t>
            </w:r>
            <w:r>
              <w:rPr>
                <w:rFonts w:hint="eastAsia" w:ascii="宋体" w:hAnsi="宋体" w:eastAsia="宋体" w:cs="Times New Roman"/>
                <w:color w:val="auto"/>
                <w:kern w:val="2"/>
                <w:sz w:val="21"/>
                <w:szCs w:val="21"/>
                <w:highlight w:val="none"/>
                <w:lang w:val="en-US" w:eastAsia="zh-CN"/>
              </w:rPr>
              <w:t>人</w:t>
            </w:r>
            <w:r>
              <w:rPr>
                <w:rFonts w:hint="eastAsia" w:ascii="宋体" w:hAnsi="宋体" w:eastAsia="宋体" w:cs="宋体"/>
                <w:color w:val="auto"/>
                <w:szCs w:val="21"/>
                <w:highlight w:val="none"/>
              </w:rPr>
              <w:t>领取中标通知书后，应按规定与采购人签订合同。</w:t>
            </w:r>
          </w:p>
        </w:tc>
      </w:tr>
      <w:tr w14:paraId="152819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675" w:type="dxa"/>
            <w:noWrap w:val="0"/>
            <w:vAlign w:val="center"/>
          </w:tcPr>
          <w:p w14:paraId="72EF955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18</w:t>
            </w:r>
          </w:p>
        </w:tc>
        <w:tc>
          <w:tcPr>
            <w:tcW w:w="992" w:type="dxa"/>
            <w:noWrap w:val="0"/>
            <w:vAlign w:val="center"/>
          </w:tcPr>
          <w:p w14:paraId="68D0B774">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34.3</w:t>
            </w:r>
          </w:p>
        </w:tc>
        <w:tc>
          <w:tcPr>
            <w:tcW w:w="1418" w:type="dxa"/>
            <w:noWrap w:val="0"/>
            <w:vAlign w:val="center"/>
          </w:tcPr>
          <w:p w14:paraId="1F79CB7A">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合同备案存档</w:t>
            </w:r>
          </w:p>
        </w:tc>
        <w:tc>
          <w:tcPr>
            <w:tcW w:w="7032" w:type="dxa"/>
            <w:noWrap w:val="0"/>
            <w:vAlign w:val="center"/>
          </w:tcPr>
          <w:p w14:paraId="04DC46E3">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政府采购合同双方自签订之日起1个工作日内将合同原件</w:t>
            </w:r>
            <w:r>
              <w:rPr>
                <w:rFonts w:hint="eastAsia" w:ascii="宋体" w:hAnsi="宋体" w:eastAsia="宋体" w:cs="宋体"/>
                <w:color w:val="auto"/>
                <w:szCs w:val="21"/>
                <w:highlight w:val="none"/>
                <w:lang w:val="en-US" w:eastAsia="zh-CN"/>
              </w:rPr>
              <w:t>1</w:t>
            </w:r>
            <w:r>
              <w:rPr>
                <w:rFonts w:hint="eastAsia" w:ascii="宋体" w:hAnsi="宋体" w:eastAsia="宋体" w:cs="宋体"/>
                <w:color w:val="auto"/>
                <w:szCs w:val="21"/>
                <w:highlight w:val="none"/>
              </w:rPr>
              <w:t>份交采购代理机构存档。采购代理机构将政府采购合同在省级以上人民政府财政部门指定媒体上公告。</w:t>
            </w:r>
          </w:p>
        </w:tc>
      </w:tr>
      <w:tr w14:paraId="3C691B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9" w:hRule="atLeast"/>
        </w:trPr>
        <w:tc>
          <w:tcPr>
            <w:tcW w:w="675" w:type="dxa"/>
            <w:noWrap w:val="0"/>
            <w:vAlign w:val="center"/>
          </w:tcPr>
          <w:p w14:paraId="65ABA2F2">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19</w:t>
            </w:r>
          </w:p>
        </w:tc>
        <w:tc>
          <w:tcPr>
            <w:tcW w:w="992" w:type="dxa"/>
            <w:noWrap w:val="0"/>
            <w:vAlign w:val="center"/>
          </w:tcPr>
          <w:p w14:paraId="7A3EC5A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35</w:t>
            </w:r>
          </w:p>
        </w:tc>
        <w:tc>
          <w:tcPr>
            <w:tcW w:w="1418" w:type="dxa"/>
            <w:noWrap w:val="0"/>
            <w:vAlign w:val="center"/>
          </w:tcPr>
          <w:p w14:paraId="2FA88DB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招标代理服务费</w:t>
            </w:r>
          </w:p>
        </w:tc>
        <w:tc>
          <w:tcPr>
            <w:tcW w:w="7032" w:type="dxa"/>
            <w:noWrap w:val="0"/>
            <w:vAlign w:val="center"/>
          </w:tcPr>
          <w:p w14:paraId="2B8F318A">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本项目的采购代理服务费：参照计价格[2002]1980号《招标代理服务收费管理暂行办法》货物类收费标准计取。在领取中标通知书前，由中标人向</w:t>
            </w:r>
            <w:r>
              <w:rPr>
                <w:rFonts w:hint="eastAsia" w:ascii="宋体" w:hAnsi="宋体" w:eastAsia="宋体" w:cs="Times New Roman"/>
                <w:color w:val="auto"/>
                <w:kern w:val="2"/>
                <w:sz w:val="21"/>
                <w:szCs w:val="21"/>
                <w:highlight w:val="none"/>
                <w:lang w:eastAsia="zh-CN"/>
              </w:rPr>
              <w:t>广西国兴项目管理有限公司</w:t>
            </w:r>
            <w:r>
              <w:rPr>
                <w:rFonts w:hint="eastAsia" w:ascii="宋体" w:hAnsi="宋体" w:eastAsia="宋体" w:cs="Times New Roman"/>
                <w:color w:val="auto"/>
                <w:kern w:val="2"/>
                <w:sz w:val="21"/>
                <w:szCs w:val="21"/>
                <w:highlight w:val="none"/>
              </w:rPr>
              <w:t xml:space="preserve">一次性付清代理服务费。 </w:t>
            </w:r>
          </w:p>
          <w:p w14:paraId="3ADF8901">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代理服务费的缴纳账户：</w:t>
            </w:r>
          </w:p>
          <w:p w14:paraId="1D03A583">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rPr>
              <w:t>账户名称：</w:t>
            </w:r>
            <w:r>
              <w:rPr>
                <w:rFonts w:hint="eastAsia" w:ascii="宋体" w:hAnsi="宋体" w:eastAsia="宋体" w:cs="宋体"/>
                <w:color w:val="auto"/>
                <w:spacing w:val="-4"/>
                <w:sz w:val="21"/>
                <w:szCs w:val="21"/>
                <w:lang w:eastAsia="zh-CN"/>
              </w:rPr>
              <w:t>广西国兴项目管理有限公司</w:t>
            </w:r>
            <w:r>
              <w:rPr>
                <w:rFonts w:hint="eastAsia" w:ascii="宋体" w:hAnsi="宋体" w:eastAsia="宋体" w:cs="宋体"/>
                <w:color w:val="auto"/>
                <w:spacing w:val="-4"/>
                <w:sz w:val="21"/>
                <w:szCs w:val="21"/>
              </w:rPr>
              <w:t>桂林分公司</w:t>
            </w:r>
          </w:p>
          <w:p w14:paraId="6CC52673">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开户银行：桂林银行股份有限公司临桂支行</w:t>
            </w:r>
          </w:p>
          <w:p w14:paraId="0E12DD9E">
            <w:pPr>
              <w:keepNext w:val="0"/>
              <w:keepLines w:val="0"/>
              <w:pageBreakBefore w:val="0"/>
              <w:widowControl w:val="0"/>
              <w:kinsoku/>
              <w:wordWrap/>
              <w:overflowPunct/>
              <w:topLinePunct w:val="0"/>
              <w:autoSpaceDE/>
              <w:autoSpaceDN/>
              <w:bidi w:val="0"/>
              <w:adjustRightInd/>
              <w:snapToGrid/>
              <w:spacing w:after="0" w:line="360" w:lineRule="exact"/>
              <w:jc w:val="left"/>
              <w:textAlignment w:val="auto"/>
              <w:rPr>
                <w:rFonts w:hint="eastAsia" w:ascii="宋体" w:hAnsi="宋体" w:eastAsia="宋体" w:cs="宋体"/>
                <w:color w:val="auto"/>
                <w:szCs w:val="21"/>
                <w:highlight w:val="none"/>
              </w:rPr>
            </w:pPr>
            <w:r>
              <w:rPr>
                <w:rFonts w:hint="eastAsia" w:ascii="宋体" w:hAnsi="宋体" w:eastAsia="宋体" w:cs="Times New Roman"/>
                <w:color w:val="auto"/>
                <w:kern w:val="2"/>
                <w:sz w:val="21"/>
                <w:szCs w:val="21"/>
                <w:highlight w:val="none"/>
              </w:rPr>
              <w:t>银行账号：660000021548700019</w:t>
            </w:r>
          </w:p>
        </w:tc>
      </w:tr>
      <w:tr w14:paraId="49C84F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8" w:hRule="atLeast"/>
        </w:trPr>
        <w:tc>
          <w:tcPr>
            <w:tcW w:w="675" w:type="dxa"/>
            <w:noWrap w:val="0"/>
            <w:vAlign w:val="center"/>
          </w:tcPr>
          <w:p w14:paraId="1C7343FA">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20</w:t>
            </w:r>
          </w:p>
        </w:tc>
        <w:tc>
          <w:tcPr>
            <w:tcW w:w="992" w:type="dxa"/>
            <w:noWrap w:val="0"/>
            <w:vAlign w:val="center"/>
          </w:tcPr>
          <w:p w14:paraId="59BD54CA">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37</w:t>
            </w:r>
          </w:p>
        </w:tc>
        <w:tc>
          <w:tcPr>
            <w:tcW w:w="1418" w:type="dxa"/>
            <w:noWrap w:val="0"/>
            <w:vAlign w:val="center"/>
          </w:tcPr>
          <w:p w14:paraId="0C67F090">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解释权</w:t>
            </w:r>
          </w:p>
        </w:tc>
        <w:tc>
          <w:tcPr>
            <w:tcW w:w="7032" w:type="dxa"/>
            <w:noWrap w:val="0"/>
            <w:vAlign w:val="center"/>
          </w:tcPr>
          <w:p w14:paraId="29C48B7B">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本招标文件是根据《中华人民共和国政府采购法》、《中华人民共和国政府采购法实施条例》及</w:t>
            </w:r>
            <w:r>
              <w:rPr>
                <w:rStyle w:val="17"/>
                <w:rFonts w:hint="eastAsia" w:ascii="宋体" w:hAnsi="宋体" w:eastAsia="宋体" w:cs="宋体"/>
                <w:b w:val="0"/>
                <w:color w:val="auto"/>
                <w:szCs w:val="21"/>
                <w:highlight w:val="none"/>
              </w:rPr>
              <w:t>财政部令第87号</w:t>
            </w:r>
            <w:r>
              <w:rPr>
                <w:rFonts w:hint="eastAsia" w:ascii="宋体" w:hAnsi="宋体" w:eastAsia="宋体" w:cs="宋体"/>
                <w:color w:val="auto"/>
                <w:szCs w:val="21"/>
                <w:highlight w:val="none"/>
              </w:rPr>
              <w:t>《政府采购货物和服务招标投标管理办法》等相关规定编制，本招标文件的解释权属于采购代理机构。</w:t>
            </w:r>
          </w:p>
        </w:tc>
      </w:tr>
      <w:tr w14:paraId="7EE06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0" w:hRule="atLeast"/>
        </w:trPr>
        <w:tc>
          <w:tcPr>
            <w:tcW w:w="675" w:type="dxa"/>
            <w:noWrap w:val="0"/>
            <w:vAlign w:val="center"/>
          </w:tcPr>
          <w:p w14:paraId="0A33AEDF">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21</w:t>
            </w:r>
          </w:p>
        </w:tc>
        <w:tc>
          <w:tcPr>
            <w:tcW w:w="992" w:type="dxa"/>
            <w:noWrap w:val="0"/>
            <w:vAlign w:val="center"/>
          </w:tcPr>
          <w:p w14:paraId="71E7544E">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38</w:t>
            </w:r>
          </w:p>
        </w:tc>
        <w:tc>
          <w:tcPr>
            <w:tcW w:w="1418" w:type="dxa"/>
            <w:noWrap w:val="0"/>
            <w:vAlign w:val="center"/>
          </w:tcPr>
          <w:p w14:paraId="6C9FE86B">
            <w:pPr>
              <w:keepNext w:val="0"/>
              <w:keepLines w:val="0"/>
              <w:pageBreakBefore w:val="0"/>
              <w:kinsoku/>
              <w:wordWrap/>
              <w:overflowPunct/>
              <w:topLinePunct w:val="0"/>
              <w:autoSpaceDE/>
              <w:autoSpaceDN/>
              <w:bidi w:val="0"/>
              <w:adjustRightInd w:val="0"/>
              <w:snapToGrid w:val="0"/>
              <w:spacing w:line="360" w:lineRule="exact"/>
              <w:jc w:val="center"/>
              <w:textAlignment w:val="auto"/>
              <w:rPr>
                <w:rFonts w:hint="eastAsia" w:ascii="宋体" w:hAnsi="宋体" w:eastAsia="宋体" w:cs="宋体"/>
                <w:color w:val="auto"/>
                <w:position w:val="10"/>
                <w:szCs w:val="21"/>
                <w:highlight w:val="none"/>
              </w:rPr>
            </w:pPr>
            <w:r>
              <w:rPr>
                <w:rFonts w:hint="eastAsia" w:ascii="宋体" w:hAnsi="宋体" w:eastAsia="宋体" w:cs="宋体"/>
                <w:color w:val="auto"/>
                <w:szCs w:val="21"/>
                <w:highlight w:val="none"/>
              </w:rPr>
              <w:t>监督管理机构</w:t>
            </w:r>
          </w:p>
        </w:tc>
        <w:tc>
          <w:tcPr>
            <w:tcW w:w="7032" w:type="dxa"/>
            <w:noWrap w:val="0"/>
            <w:vAlign w:val="center"/>
          </w:tcPr>
          <w:p w14:paraId="7F5496D9">
            <w:pPr>
              <w:keepNext w:val="0"/>
              <w:keepLines w:val="0"/>
              <w:pageBreakBefore w:val="0"/>
              <w:kinsoku/>
              <w:wordWrap/>
              <w:overflowPunct/>
              <w:topLinePunct w:val="0"/>
              <w:autoSpaceDE/>
              <w:autoSpaceDN/>
              <w:bidi w:val="0"/>
              <w:adjustRightInd w:val="0"/>
              <w:snapToGrid w:val="0"/>
              <w:spacing w:line="36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灌阳县财政局政府采购监督管理股    联系电话：0773-4250206</w:t>
            </w:r>
          </w:p>
        </w:tc>
      </w:tr>
    </w:tbl>
    <w:p w14:paraId="17895430">
      <w:pPr>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br w:type="page"/>
      </w:r>
    </w:p>
    <w:p w14:paraId="18396655">
      <w:pPr>
        <w:keepNext w:val="0"/>
        <w:keepLines w:val="0"/>
        <w:pageBreakBefore w:val="0"/>
        <w:kinsoku/>
        <w:wordWrap/>
        <w:overflowPunct/>
        <w:topLinePunct w:val="0"/>
        <w:bidi w:val="0"/>
        <w:adjustRightInd w:val="0"/>
        <w:snapToGrid w:val="0"/>
        <w:spacing w:line="320" w:lineRule="exact"/>
        <w:jc w:val="center"/>
        <w:textAlignment w:val="auto"/>
        <w:outlineLvl w:val="9"/>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一、总则</w:t>
      </w:r>
    </w:p>
    <w:p w14:paraId="49AEB50E">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1、项目名称及项目编号</w:t>
      </w:r>
    </w:p>
    <w:p w14:paraId="521A7E6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项目名称：</w:t>
      </w:r>
      <w:r>
        <w:rPr>
          <w:rFonts w:hint="eastAsia" w:ascii="宋体" w:hAnsi="宋体" w:eastAsia="宋体" w:cs="Times New Roman"/>
          <w:color w:val="auto"/>
          <w:kern w:val="2"/>
          <w:sz w:val="21"/>
          <w:szCs w:val="21"/>
          <w:highlight w:val="none"/>
          <w:lang w:eastAsia="zh-CN"/>
        </w:rPr>
        <w:t>灌阳县洞井民族小学教学仪器设备采购</w:t>
      </w:r>
      <w:r>
        <w:rPr>
          <w:rFonts w:hint="eastAsia" w:ascii="宋体" w:hAnsi="宋体" w:eastAsia="宋体" w:cs="Times New Roman"/>
          <w:color w:val="auto"/>
          <w:kern w:val="2"/>
          <w:sz w:val="21"/>
          <w:szCs w:val="21"/>
          <w:highlight w:val="none"/>
        </w:rPr>
        <w:t>；</w:t>
      </w:r>
    </w:p>
    <w:p w14:paraId="143670F8">
      <w:pPr>
        <w:widowControl w:val="0"/>
        <w:adjustRightInd/>
        <w:snapToGrid/>
        <w:spacing w:after="0" w:line="380" w:lineRule="exact"/>
        <w:ind w:firstLine="435"/>
        <w:jc w:val="both"/>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项目编号：GLZC2024-G1-270182-GXGX</w:t>
      </w:r>
    </w:p>
    <w:p w14:paraId="486F1F67">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2、适应范围</w:t>
      </w:r>
    </w:p>
    <w:p w14:paraId="34C0C133">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本招标文件适用本招标采购项目的招标、投标、评标、合同履约、验收、付款等行为（法律、法规另有规定的，从其规定）。</w:t>
      </w:r>
    </w:p>
    <w:p w14:paraId="223A1418">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3、定义</w:t>
      </w:r>
    </w:p>
    <w:p w14:paraId="4E8A0DC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3.1“招标采购单位”是指组织本次招标的采购人和采购代理机构。</w:t>
      </w:r>
    </w:p>
    <w:p w14:paraId="111B4A6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3.2“投标人”是指向招标方提交投标文件的供应商或自然人或其他组织。</w:t>
      </w:r>
    </w:p>
    <w:p w14:paraId="58C18C8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3.3“货物”系指按招标文件规定，投标人须向采购人提供的一切设备、保险、税金、备品备件、工具、手册及其它有关技术资料和材料。</w:t>
      </w:r>
    </w:p>
    <w:p w14:paraId="5175136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3.4“服务”系指按招标文件规定，投标人须承担的安装、调试、技术协助、校准、培训、技术指导以及其他类似的义务。</w:t>
      </w:r>
    </w:p>
    <w:p w14:paraId="633D77FE">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3.5“项目”系指按招标文件规定向采购人提供的货物和服务。</w:t>
      </w:r>
    </w:p>
    <w:p w14:paraId="13DFDB8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3.6“书面形式”包括信函、传真、电报等。</w:t>
      </w:r>
    </w:p>
    <w:p w14:paraId="0B88026A">
      <w:pPr>
        <w:widowControl w:val="0"/>
        <w:adjustRightInd/>
        <w:snapToGrid/>
        <w:spacing w:after="0" w:line="380" w:lineRule="exact"/>
        <w:ind w:firstLine="435"/>
        <w:jc w:val="both"/>
        <w:rPr>
          <w:rFonts w:hint="eastAsia" w:ascii="宋体" w:hAnsi="宋体" w:eastAsia="宋体" w:cs="宋体"/>
          <w:b/>
          <w:bCs/>
          <w:color w:val="auto"/>
          <w:sz w:val="24"/>
          <w:szCs w:val="24"/>
          <w:highlight w:val="none"/>
        </w:rPr>
      </w:pPr>
      <w:r>
        <w:rPr>
          <w:rFonts w:hint="eastAsia" w:ascii="宋体" w:hAnsi="宋体" w:eastAsia="宋体" w:cs="宋体"/>
          <w:b/>
          <w:bCs/>
          <w:color w:val="auto"/>
          <w:kern w:val="2"/>
          <w:sz w:val="24"/>
          <w:szCs w:val="24"/>
          <w:highlight w:val="none"/>
        </w:rPr>
        <w:t>3.7实质性要求：本项目招标文件中涉及“必须</w:t>
      </w:r>
      <w:r>
        <w:rPr>
          <w:rFonts w:hint="eastAsia" w:ascii="宋体" w:hAnsi="宋体" w:eastAsia="宋体" w:cs="宋体"/>
          <w:b/>
          <w:bCs/>
          <w:color w:val="auto"/>
          <w:sz w:val="24"/>
          <w:szCs w:val="24"/>
          <w:highlight w:val="none"/>
        </w:rPr>
        <w:t>提供”、《货物采购需求》中标注★号项的条款及商务要求均为实质性要求，</w:t>
      </w:r>
      <w:r>
        <w:rPr>
          <w:rFonts w:hint="eastAsia" w:ascii="宋体" w:hAnsi="宋体" w:eastAsia="宋体" w:cs="宋体"/>
          <w:b/>
          <w:bCs/>
          <w:color w:val="auto"/>
          <w:sz w:val="24"/>
          <w:szCs w:val="24"/>
          <w:highlight w:val="none"/>
          <w:lang w:eastAsia="zh-CN"/>
        </w:rPr>
        <w:t>不允许负偏离，否则投标无效</w:t>
      </w:r>
      <w:r>
        <w:rPr>
          <w:rFonts w:hint="eastAsia" w:ascii="宋体" w:hAnsi="宋体" w:eastAsia="宋体" w:cs="宋体"/>
          <w:b/>
          <w:bCs/>
          <w:color w:val="auto"/>
          <w:sz w:val="24"/>
          <w:szCs w:val="24"/>
          <w:highlight w:val="none"/>
        </w:rPr>
        <w:t>。</w:t>
      </w:r>
    </w:p>
    <w:p w14:paraId="66E717F5">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4、招标方式</w:t>
      </w:r>
    </w:p>
    <w:p w14:paraId="23EDD1B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公开招标方式。</w:t>
      </w:r>
    </w:p>
    <w:p w14:paraId="15F9E03B">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5、投标人资格</w:t>
      </w:r>
    </w:p>
    <w:p w14:paraId="0C6069D7">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 xml:space="preserve">  详见《投标人须知前附表》第2条。</w:t>
      </w:r>
    </w:p>
    <w:p w14:paraId="57B3D4BA">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6、投标费用</w:t>
      </w:r>
    </w:p>
    <w:p w14:paraId="6CC38FB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本项目实行网上评审，采用电子投标文件；若投标人参与项目投标的，不论投标结果如何，均应自行承担所有与投标有关的全部费用。</w:t>
      </w:r>
    </w:p>
    <w:p w14:paraId="201E76A4">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b/>
          <w:bCs/>
          <w:color w:val="000000" w:themeColor="text1"/>
          <w:kern w:val="2"/>
          <w:sz w:val="21"/>
          <w:szCs w:val="21"/>
          <w:highlight w:val="none"/>
          <w14:textFill>
            <w14:solidFill>
              <w14:schemeClr w14:val="tx1"/>
            </w14:solidFill>
          </w14:textFill>
        </w:rPr>
        <w:t>7、联合体投标要求</w:t>
      </w:r>
    </w:p>
    <w:p w14:paraId="7DDB8640">
      <w:pPr>
        <w:widowControl w:val="0"/>
        <w:adjustRightInd/>
        <w:snapToGrid/>
        <w:spacing w:after="0" w:line="380" w:lineRule="exact"/>
        <w:ind w:firstLine="435"/>
        <w:jc w:val="both"/>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本项目</w:t>
      </w:r>
      <w:r>
        <w:rPr>
          <w:rFonts w:hint="eastAsia" w:ascii="宋体" w:hAnsi="宋体" w:eastAsia="宋体" w:cs="宋体"/>
          <w:color w:val="000000" w:themeColor="text1"/>
          <w:sz w:val="21"/>
          <w:szCs w:val="21"/>
          <w:highlight w:val="none"/>
          <w:u w:val="none"/>
          <w14:textFill>
            <w14:solidFill>
              <w14:schemeClr w14:val="tx1"/>
            </w14:solidFill>
          </w14:textFill>
        </w:rPr>
        <w:t>（否）</w:t>
      </w:r>
      <w:r>
        <w:rPr>
          <w:rFonts w:hint="eastAsia" w:ascii="宋体" w:hAnsi="宋体" w:eastAsia="宋体" w:cs="Times New Roman"/>
          <w:color w:val="000000" w:themeColor="text1"/>
          <w:kern w:val="2"/>
          <w:sz w:val="21"/>
          <w:szCs w:val="21"/>
          <w:highlight w:val="none"/>
          <w14:textFill>
            <w14:solidFill>
              <w14:schemeClr w14:val="tx1"/>
            </w14:solidFill>
          </w14:textFill>
        </w:rPr>
        <w:t>接受联合体投标。</w:t>
      </w:r>
    </w:p>
    <w:p w14:paraId="171A67D2">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8、转包与分包</w:t>
      </w:r>
    </w:p>
    <w:p w14:paraId="40B879C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8.1本项目不允许转包。</w:t>
      </w:r>
    </w:p>
    <w:p w14:paraId="29CCD343">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8.2本项目不可以分包。</w:t>
      </w:r>
    </w:p>
    <w:p w14:paraId="00420B62">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9、特别说明</w:t>
      </w:r>
    </w:p>
    <w:p w14:paraId="565473A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9.1单位负责人为同一人或者存在直接控股、管理关系的，不得参加同一分标或未划分分标的同一项目的投标，否则，投标文件无效。</w:t>
      </w:r>
    </w:p>
    <w:p w14:paraId="5FF2062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9.2除单一来源采购项目外，为本采购项目提供整体设计、规范编制或者项目管理、监理、检测等服务的投标人，不得再参加该采购项目的其他采购活动，否则投标文件无效。</w:t>
      </w:r>
    </w:p>
    <w:p w14:paraId="65EC011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9.3使用综合评分法的采购项目，提供相同品牌产品且通过资格审查、符合性审查的不同投标人参加同一合同项下投标的，按一家投标人计算，评审后得分最高的同品牌投标人获得中标人推荐资格；评审得分相同的，评标价最低的同品牌投标人获得中标人推荐资格；评标价也相同的，投标报价最低的同品牌投标人获得中标人推荐资格；投标报价也相同的，由评标委员会以抽签方式确定一个中标人推荐资格，其他同品牌投标人不作为中标候选人。</w:t>
      </w:r>
    </w:p>
    <w:p w14:paraId="61E683A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非单一产品采购项目中，多家投标人提供的核心产品品牌相同的，视为提供相同品牌产品，按前款规定处理。本项目的核心产品详见第三章《货物采购需求》。</w:t>
      </w:r>
    </w:p>
    <w:p w14:paraId="1082AA00">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eastAsia="zh-CN"/>
        </w:rPr>
      </w:pPr>
      <w:r>
        <w:rPr>
          <w:rFonts w:hint="eastAsia" w:ascii="宋体" w:hAnsi="宋体" w:eastAsia="宋体" w:cs="Times New Roman"/>
          <w:b/>
          <w:bCs/>
          <w:color w:val="auto"/>
          <w:kern w:val="2"/>
          <w:sz w:val="21"/>
          <w:szCs w:val="21"/>
          <w:highlight w:val="none"/>
          <w:lang w:val="en-US" w:eastAsia="zh-CN"/>
        </w:rPr>
        <w:t>9.4</w:t>
      </w:r>
      <w:r>
        <w:rPr>
          <w:rFonts w:hint="eastAsia" w:ascii="宋体" w:hAnsi="宋体" w:eastAsia="宋体" w:cs="Times New Roman"/>
          <w:b/>
          <w:bCs/>
          <w:color w:val="auto"/>
          <w:kern w:val="2"/>
          <w:sz w:val="21"/>
          <w:szCs w:val="21"/>
          <w:highlight w:val="none"/>
        </w:rPr>
        <w:t>本项目</w:t>
      </w:r>
      <w:r>
        <w:rPr>
          <w:rFonts w:hint="eastAsia" w:ascii="宋体" w:hAnsi="宋体" w:eastAsia="宋体" w:cs="Times New Roman"/>
          <w:b/>
          <w:bCs/>
          <w:color w:val="auto"/>
          <w:kern w:val="2"/>
          <w:sz w:val="21"/>
          <w:szCs w:val="21"/>
          <w:highlight w:val="none"/>
          <w:lang w:eastAsia="zh-CN"/>
        </w:rPr>
        <w:t>标项一</w:t>
      </w:r>
      <w:r>
        <w:rPr>
          <w:rFonts w:hint="eastAsia" w:ascii="宋体" w:hAnsi="宋体" w:eastAsia="宋体" w:cs="Times New Roman"/>
          <w:b/>
          <w:bCs/>
          <w:color w:val="auto"/>
          <w:kern w:val="2"/>
          <w:sz w:val="21"/>
          <w:szCs w:val="21"/>
          <w:highlight w:val="none"/>
        </w:rPr>
        <w:t>预留部分份额专门面向中小企业采购，预留给中小企业的比例</w:t>
      </w:r>
      <w:r>
        <w:rPr>
          <w:rFonts w:hint="eastAsia" w:ascii="宋体" w:hAnsi="宋体" w:eastAsia="宋体" w:cs="Times New Roman"/>
          <w:b/>
          <w:bCs/>
          <w:color w:val="auto"/>
          <w:kern w:val="2"/>
          <w:sz w:val="21"/>
          <w:szCs w:val="21"/>
          <w:highlight w:val="none"/>
          <w:lang w:eastAsia="zh-CN"/>
        </w:rPr>
        <w:t>不低于</w:t>
      </w:r>
      <w:r>
        <w:rPr>
          <w:rFonts w:hint="eastAsia" w:ascii="宋体" w:hAnsi="宋体" w:eastAsia="宋体" w:cs="Times New Roman"/>
          <w:b/>
          <w:bCs/>
          <w:color w:val="auto"/>
          <w:kern w:val="2"/>
          <w:sz w:val="21"/>
          <w:szCs w:val="21"/>
          <w:highlight w:val="none"/>
        </w:rPr>
        <w:t>合同价款总额的30%，其中预留给小微企业的比例不低于预留额度的60%</w:t>
      </w:r>
      <w:r>
        <w:rPr>
          <w:rFonts w:hint="eastAsia" w:ascii="宋体" w:hAnsi="宋体" w:eastAsia="宋体" w:cs="Times New Roman"/>
          <w:b/>
          <w:bCs/>
          <w:color w:val="auto"/>
          <w:kern w:val="2"/>
          <w:sz w:val="21"/>
          <w:szCs w:val="21"/>
          <w:highlight w:val="none"/>
          <w:lang w:eastAsia="zh-CN"/>
        </w:rPr>
        <w:t>。</w:t>
      </w:r>
    </w:p>
    <w:p w14:paraId="6CD247F9">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eastAsia="zh-CN"/>
        </w:rPr>
      </w:pPr>
      <w:r>
        <w:rPr>
          <w:rFonts w:hint="eastAsia" w:ascii="宋体" w:hAnsi="宋体" w:eastAsia="宋体" w:cs="Times New Roman"/>
          <w:b/>
          <w:bCs/>
          <w:color w:val="auto"/>
          <w:kern w:val="2"/>
          <w:sz w:val="21"/>
          <w:szCs w:val="21"/>
          <w:highlight w:val="none"/>
          <w:lang w:eastAsia="zh-CN"/>
        </w:rPr>
        <w:t>标项二均</w:t>
      </w:r>
      <w:r>
        <w:rPr>
          <w:rFonts w:hint="eastAsia" w:ascii="宋体" w:hAnsi="宋体" w:eastAsia="宋体" w:cs="Times New Roman"/>
          <w:b/>
          <w:bCs/>
          <w:color w:val="auto"/>
          <w:kern w:val="2"/>
          <w:sz w:val="21"/>
          <w:szCs w:val="21"/>
          <w:highlight w:val="none"/>
        </w:rPr>
        <w:t>预留部分份额专门面向中小企业采购，预留给中小企业的比例</w:t>
      </w:r>
      <w:r>
        <w:rPr>
          <w:rFonts w:hint="eastAsia" w:ascii="宋体" w:hAnsi="宋体" w:eastAsia="宋体" w:cs="Times New Roman"/>
          <w:b/>
          <w:bCs/>
          <w:color w:val="auto"/>
          <w:kern w:val="2"/>
          <w:sz w:val="21"/>
          <w:szCs w:val="21"/>
          <w:highlight w:val="none"/>
          <w:lang w:eastAsia="zh-CN"/>
        </w:rPr>
        <w:t>不低于</w:t>
      </w:r>
      <w:r>
        <w:rPr>
          <w:rFonts w:hint="eastAsia" w:ascii="宋体" w:hAnsi="宋体" w:eastAsia="宋体" w:cs="Times New Roman"/>
          <w:b/>
          <w:bCs/>
          <w:color w:val="auto"/>
          <w:kern w:val="2"/>
          <w:sz w:val="21"/>
          <w:szCs w:val="21"/>
          <w:highlight w:val="none"/>
        </w:rPr>
        <w:t>合同价款总额的</w:t>
      </w:r>
      <w:r>
        <w:rPr>
          <w:rFonts w:hint="eastAsia" w:ascii="宋体" w:hAnsi="宋体" w:eastAsia="宋体" w:cs="Times New Roman"/>
          <w:b/>
          <w:bCs/>
          <w:color w:val="auto"/>
          <w:kern w:val="2"/>
          <w:sz w:val="21"/>
          <w:szCs w:val="21"/>
          <w:highlight w:val="none"/>
          <w:lang w:val="en-US" w:eastAsia="zh-CN"/>
        </w:rPr>
        <w:t>50</w:t>
      </w:r>
      <w:r>
        <w:rPr>
          <w:rFonts w:hint="eastAsia" w:ascii="宋体" w:hAnsi="宋体" w:eastAsia="宋体" w:cs="Times New Roman"/>
          <w:b/>
          <w:bCs/>
          <w:color w:val="auto"/>
          <w:kern w:val="2"/>
          <w:sz w:val="21"/>
          <w:szCs w:val="21"/>
          <w:highlight w:val="none"/>
        </w:rPr>
        <w:t>%，其中预留给小微企业的比例不低于预留额度的</w:t>
      </w:r>
      <w:r>
        <w:rPr>
          <w:rFonts w:hint="eastAsia" w:ascii="宋体" w:hAnsi="宋体" w:eastAsia="宋体" w:cs="Times New Roman"/>
          <w:b/>
          <w:bCs/>
          <w:color w:val="auto"/>
          <w:kern w:val="2"/>
          <w:sz w:val="21"/>
          <w:szCs w:val="21"/>
          <w:highlight w:val="none"/>
          <w:lang w:val="en-US" w:eastAsia="zh-CN"/>
        </w:rPr>
        <w:t xml:space="preserve">75 </w:t>
      </w:r>
      <w:r>
        <w:rPr>
          <w:rFonts w:hint="eastAsia" w:ascii="宋体" w:hAnsi="宋体" w:eastAsia="宋体" w:cs="Times New Roman"/>
          <w:b/>
          <w:bCs/>
          <w:color w:val="auto"/>
          <w:kern w:val="2"/>
          <w:sz w:val="21"/>
          <w:szCs w:val="21"/>
          <w:highlight w:val="none"/>
        </w:rPr>
        <w:t>%</w:t>
      </w:r>
      <w:r>
        <w:rPr>
          <w:rFonts w:hint="eastAsia" w:ascii="宋体" w:hAnsi="宋体" w:eastAsia="宋体" w:cs="Times New Roman"/>
          <w:b/>
          <w:bCs/>
          <w:color w:val="auto"/>
          <w:kern w:val="2"/>
          <w:sz w:val="21"/>
          <w:szCs w:val="21"/>
          <w:highlight w:val="none"/>
          <w:lang w:eastAsia="zh-CN"/>
        </w:rPr>
        <w:t>。</w:t>
      </w:r>
    </w:p>
    <w:p w14:paraId="7C07F4A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b/>
          <w:bCs/>
          <w:color w:val="auto"/>
          <w:kern w:val="2"/>
          <w:sz w:val="21"/>
          <w:szCs w:val="21"/>
          <w:highlight w:val="none"/>
        </w:rPr>
        <w:t>在货物采购项目中，投标人提供的货物由中小企业制造，即货物由中小企业生产且使用该中小企业商号或者注册商标。</w:t>
      </w:r>
    </w:p>
    <w:p w14:paraId="74BD77A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w:t>
      </w:r>
      <w:r>
        <w:rPr>
          <w:rFonts w:hint="eastAsia" w:ascii="宋体" w:hAnsi="宋体" w:eastAsia="宋体" w:cs="Times New Roman"/>
          <w:color w:val="auto"/>
          <w:kern w:val="2"/>
          <w:sz w:val="21"/>
          <w:szCs w:val="21"/>
          <w:highlight w:val="none"/>
          <w:lang w:val="en-US" w:eastAsia="zh-CN"/>
        </w:rPr>
        <w:t>5</w:t>
      </w:r>
      <w:r>
        <w:rPr>
          <w:rFonts w:hint="eastAsia" w:ascii="宋体" w:hAnsi="宋体" w:eastAsia="宋体" w:cs="Times New Roman"/>
          <w:b w:val="0"/>
          <w:bCs w:val="0"/>
          <w:color w:val="auto"/>
          <w:kern w:val="2"/>
          <w:sz w:val="21"/>
          <w:szCs w:val="21"/>
          <w:highlight w:val="none"/>
        </w:rPr>
        <w:t>根据财库〔2017〕141号《三部门联合发布关于促进残疾人就业政府采购政策的通知》第三条规定，在政府采购活动中，残疾人福利性单位视同小型、微型企业，享受预留份额、评审中价格扣除等促进中小企业发展的政府采购政策。向残疾人福利性单位采购的金额，计入面向中小企业采购的统计数据。残疾人福利性单位属于小型、微型企业的，不重复享受政策。</w:t>
      </w:r>
    </w:p>
    <w:p w14:paraId="59079CF6">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w:t>
      </w:r>
      <w:r>
        <w:rPr>
          <w:rFonts w:hint="eastAsia" w:ascii="宋体" w:hAnsi="宋体" w:eastAsia="宋体" w:cs="Times New Roman"/>
          <w:color w:val="auto"/>
          <w:kern w:val="2"/>
          <w:sz w:val="21"/>
          <w:szCs w:val="21"/>
          <w:highlight w:val="none"/>
          <w:lang w:val="en-US" w:eastAsia="zh-CN"/>
        </w:rPr>
        <w:t>5</w:t>
      </w:r>
      <w:r>
        <w:rPr>
          <w:rFonts w:hint="eastAsia" w:ascii="宋体" w:hAnsi="宋体" w:eastAsia="宋体" w:cs="Times New Roman"/>
          <w:color w:val="auto"/>
          <w:kern w:val="2"/>
          <w:sz w:val="21"/>
          <w:szCs w:val="21"/>
          <w:highlight w:val="none"/>
        </w:rPr>
        <w:t>.1符合条件的残疾人福利性单位在参加政府采购活动时，应当提供本通知规定的《残疾人福利性单位声明函》（见本招标文件第六章附件），并对声明的真实性负责。</w:t>
      </w:r>
    </w:p>
    <w:p w14:paraId="2E119FE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w:t>
      </w:r>
      <w:r>
        <w:rPr>
          <w:rFonts w:hint="eastAsia" w:ascii="宋体" w:hAnsi="宋体" w:eastAsia="宋体" w:cs="Times New Roman"/>
          <w:color w:val="auto"/>
          <w:kern w:val="2"/>
          <w:sz w:val="21"/>
          <w:szCs w:val="21"/>
          <w:highlight w:val="none"/>
          <w:lang w:val="en-US" w:eastAsia="zh-CN"/>
        </w:rPr>
        <w:t>5</w:t>
      </w:r>
      <w:r>
        <w:rPr>
          <w:rFonts w:hint="eastAsia" w:ascii="宋体" w:hAnsi="宋体" w:eastAsia="宋体" w:cs="Times New Roman"/>
          <w:color w:val="auto"/>
          <w:kern w:val="2"/>
          <w:sz w:val="21"/>
          <w:szCs w:val="21"/>
          <w:highlight w:val="none"/>
        </w:rPr>
        <w:t>.2投标人提供的《残疾人福利性单位声明函》与事实不符的，依照《政府采购法》第七十七条第一款的规定追究法律责任。</w:t>
      </w:r>
    </w:p>
    <w:p w14:paraId="7D468BC0">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w:t>
      </w:r>
      <w:r>
        <w:rPr>
          <w:rFonts w:hint="eastAsia" w:ascii="宋体" w:hAnsi="宋体" w:eastAsia="宋体" w:cs="Times New Roman"/>
          <w:color w:val="auto"/>
          <w:kern w:val="2"/>
          <w:sz w:val="21"/>
          <w:szCs w:val="21"/>
          <w:highlight w:val="none"/>
          <w:lang w:val="en-US" w:eastAsia="zh-CN"/>
        </w:rPr>
        <w:t>5</w:t>
      </w:r>
      <w:r>
        <w:rPr>
          <w:rFonts w:hint="eastAsia" w:ascii="宋体" w:hAnsi="宋体" w:eastAsia="宋体" w:cs="Times New Roman"/>
          <w:color w:val="auto"/>
          <w:kern w:val="2"/>
          <w:sz w:val="21"/>
          <w:szCs w:val="21"/>
          <w:highlight w:val="none"/>
        </w:rPr>
        <w:t>.3享受政府采购支持政策的残疾人福利性单位应当同时满足以下条件：</w:t>
      </w:r>
    </w:p>
    <w:p w14:paraId="09FE8A3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（1）安置的残疾人占本单位在职职工人数的比例不低于25%（含25%），并且安置的残疾人人数不少于10人（含10人）；</w:t>
      </w:r>
    </w:p>
    <w:p w14:paraId="66539133">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（2）依法与安置的每位残疾人签订了一年以上（含一年）的劳动合同或服务协议；</w:t>
      </w:r>
    </w:p>
    <w:p w14:paraId="6E7F706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（3）为安置的每位残疾人按月足额缴纳了基本养老保险、基本医疗保险、失业保险、工伤保险和生育保险等社会保险费；</w:t>
      </w:r>
    </w:p>
    <w:p w14:paraId="0D001CA6">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（4）通过银行等金融机构向安置的每位残疾人，按月支付了不低于单位所在区县适用的经省级人民政府批准的月最低工资标准的工资；</w:t>
      </w:r>
    </w:p>
    <w:p w14:paraId="112CBEED">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（5）提供本单位制造的货物、承担的工程或者服务（以下简称产品），或者提供其他残疾人福利性单位制造的货物（不包括使用非残疾人福利性单位注册商标的货物）。</w:t>
      </w:r>
    </w:p>
    <w:p w14:paraId="7EA9781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 xml:space="preserve">本文件所称残疾人是指法定劳动年龄内，持有《中华人民共和国残疾人证》或者《中华人民共和国残疾军人证（1至8级）》的自然人，包括具有劳动条件和劳动意愿的精神残疾人。在职职工人数是指与残疾人福利性单位建立劳动关系并依法签订劳动合同或者服务协议的雇员人数。 </w:t>
      </w:r>
    </w:p>
    <w:p w14:paraId="350021E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w:t>
      </w:r>
      <w:r>
        <w:rPr>
          <w:rFonts w:hint="eastAsia" w:ascii="宋体" w:hAnsi="宋体" w:eastAsia="宋体" w:cs="Times New Roman"/>
          <w:color w:val="auto"/>
          <w:kern w:val="2"/>
          <w:sz w:val="21"/>
          <w:szCs w:val="21"/>
          <w:highlight w:val="none"/>
          <w:lang w:val="en-US" w:eastAsia="zh-CN"/>
        </w:rPr>
        <w:t>6</w:t>
      </w:r>
      <w:r>
        <w:rPr>
          <w:rFonts w:hint="eastAsia" w:ascii="宋体" w:hAnsi="宋体" w:eastAsia="宋体" w:cs="Times New Roman"/>
          <w:color w:val="auto"/>
          <w:kern w:val="2"/>
          <w:sz w:val="21"/>
          <w:szCs w:val="21"/>
          <w:highlight w:val="none"/>
        </w:rPr>
        <w:t>投标人应仔细阅读招标文件的所有内容，按照招标文件的要求提交投标文件，并对所提供的全部资料的真实性承担法律责任。</w:t>
      </w:r>
    </w:p>
    <w:p w14:paraId="07842FC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w:t>
      </w:r>
      <w:r>
        <w:rPr>
          <w:rFonts w:hint="eastAsia" w:ascii="宋体" w:hAnsi="宋体" w:eastAsia="宋体" w:cs="Times New Roman"/>
          <w:color w:val="auto"/>
          <w:kern w:val="2"/>
          <w:sz w:val="21"/>
          <w:szCs w:val="21"/>
          <w:highlight w:val="none"/>
          <w:lang w:val="en-US" w:eastAsia="zh-CN"/>
        </w:rPr>
        <w:t>7</w:t>
      </w:r>
      <w:r>
        <w:rPr>
          <w:rFonts w:hint="eastAsia" w:ascii="宋体" w:hAnsi="宋体" w:eastAsia="宋体" w:cs="Times New Roman"/>
          <w:color w:val="auto"/>
          <w:kern w:val="2"/>
          <w:sz w:val="21"/>
          <w:szCs w:val="21"/>
          <w:highlight w:val="none"/>
        </w:rPr>
        <w:t>投标人在投标活动中提供任何虚假材料，其投标无效，并报监管部门查处；中标后发现的，中标人须依照《中华人民共和国消费者权益保护法》赔偿采购人，且民事赔偿并不免除违法投标人的行政与刑事责任。</w:t>
      </w:r>
    </w:p>
    <w:p w14:paraId="594C4273">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9.</w:t>
      </w:r>
      <w:r>
        <w:rPr>
          <w:rFonts w:hint="eastAsia" w:ascii="宋体" w:hAnsi="宋体" w:eastAsia="宋体" w:cs="Times New Roman"/>
          <w:color w:val="auto"/>
          <w:kern w:val="2"/>
          <w:sz w:val="21"/>
          <w:szCs w:val="21"/>
          <w:highlight w:val="none"/>
          <w:lang w:val="en-US" w:eastAsia="zh-CN"/>
        </w:rPr>
        <w:t>8</w:t>
      </w:r>
      <w:r>
        <w:rPr>
          <w:rFonts w:hint="eastAsia" w:ascii="宋体" w:hAnsi="宋体" w:eastAsia="宋体" w:cs="Times New Roman"/>
          <w:color w:val="auto"/>
          <w:kern w:val="2"/>
          <w:sz w:val="21"/>
          <w:szCs w:val="21"/>
          <w:highlight w:val="none"/>
        </w:rPr>
        <w:t>投标人投标所使用的资格、信誉、荣誉、业绩与企业认证必须为本法人（负责人、自然人）所拥有。</w:t>
      </w:r>
    </w:p>
    <w:p w14:paraId="15EF8285">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10、询问、质疑和投诉</w:t>
      </w:r>
    </w:p>
    <w:p w14:paraId="6A4D5889">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10.1投标人对政府采购活动事项有疑问的，可以向采购人、采购代理机构提出询问。</w:t>
      </w:r>
      <w:r>
        <w:rPr>
          <w:rFonts w:hint="eastAsia" w:ascii="宋体" w:hAnsi="宋体" w:eastAsia="宋体" w:cs="Times New Roman"/>
          <w:color w:val="auto"/>
          <w:kern w:val="2"/>
          <w:sz w:val="21"/>
          <w:szCs w:val="21"/>
          <w:highlight w:val="none"/>
        </w:rPr>
        <w:tab/>
      </w:r>
    </w:p>
    <w:p w14:paraId="1574C91E">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10.2投标人认为招标文件使自己的合法权益受到损害的，应当在招标公告期限届满之日起7个工作日内以书面形式向采购代理机构提出质疑。投标人认为招标过程或中标结果使自己的合法权益受到损害的，应当在各采购程序环节结束之日或中标公告期限届满之日起七个工作日内，以书面形式向采购代理机构提出质疑。采购代理机构应认真做好质疑处理工作。</w:t>
      </w:r>
    </w:p>
    <w:p w14:paraId="43BF15D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10.3投标人对采购代理机构的答复不满意或者采购代理机构未在规定的时间内作出答复的，可以在答复期满后十五个工作日内向</w:t>
      </w:r>
      <w:r>
        <w:rPr>
          <w:rFonts w:hint="eastAsia" w:ascii="宋体" w:hAnsi="宋体" w:eastAsia="宋体" w:cs="Times New Roman"/>
          <w:color w:val="auto"/>
          <w:kern w:val="2"/>
          <w:sz w:val="21"/>
          <w:szCs w:val="21"/>
          <w:highlight w:val="none"/>
          <w:lang w:eastAsia="zh-CN"/>
        </w:rPr>
        <w:t>灌阳</w:t>
      </w:r>
      <w:r>
        <w:rPr>
          <w:rFonts w:hint="eastAsia" w:ascii="宋体" w:hAnsi="宋体" w:eastAsia="宋体" w:cs="Times New Roman"/>
          <w:color w:val="auto"/>
          <w:kern w:val="2"/>
          <w:sz w:val="21"/>
          <w:szCs w:val="21"/>
          <w:highlight w:val="none"/>
        </w:rPr>
        <w:t>县政府采购管理办公室投诉。</w:t>
      </w:r>
    </w:p>
    <w:p w14:paraId="18D8DB6F">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10.4质疑、投诉应当采用书面形式，质疑书、投诉书实行实名制，均应明确阐述招标文件、招标过程或中标结果中使自己合法权益受到损害的实质性内容，提供相关事实、依据和证据及其来源或线索，必要的证明材料，便于有关单位调查、答复和处理。质疑函格式详见附件1。</w:t>
      </w:r>
    </w:p>
    <w:p w14:paraId="7F385C2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10.5质疑联系部门：</w:t>
      </w:r>
      <w:r>
        <w:rPr>
          <w:rFonts w:hint="eastAsia" w:ascii="宋体" w:hAnsi="宋体" w:eastAsia="宋体" w:cs="Times New Roman"/>
          <w:color w:val="auto"/>
          <w:kern w:val="2"/>
          <w:sz w:val="21"/>
          <w:szCs w:val="21"/>
          <w:highlight w:val="none"/>
          <w:lang w:eastAsia="zh-CN"/>
        </w:rPr>
        <w:t>广西国兴项目管理有限公司</w:t>
      </w:r>
      <w:r>
        <w:rPr>
          <w:rFonts w:hint="eastAsia" w:ascii="宋体" w:hAnsi="宋体" w:eastAsia="宋体" w:cs="Times New Roman"/>
          <w:color w:val="auto"/>
          <w:kern w:val="2"/>
          <w:sz w:val="21"/>
          <w:szCs w:val="21"/>
          <w:highlight w:val="none"/>
        </w:rPr>
        <w:t>；联系电话：</w:t>
      </w:r>
      <w:r>
        <w:rPr>
          <w:rFonts w:hint="eastAsia" w:ascii="宋体" w:hAnsi="宋体" w:eastAsia="宋体" w:cs="Times New Roman"/>
          <w:color w:val="auto"/>
          <w:kern w:val="2"/>
          <w:sz w:val="21"/>
          <w:szCs w:val="21"/>
          <w:highlight w:val="none"/>
          <w:lang w:eastAsia="zh-CN"/>
        </w:rPr>
        <w:t>15296810982</w:t>
      </w:r>
      <w:r>
        <w:rPr>
          <w:rFonts w:hint="eastAsia" w:ascii="宋体" w:hAnsi="宋体" w:eastAsia="宋体" w:cs="Times New Roman"/>
          <w:color w:val="auto"/>
          <w:kern w:val="2"/>
          <w:sz w:val="21"/>
          <w:szCs w:val="21"/>
          <w:highlight w:val="none"/>
        </w:rPr>
        <w:t>；</w:t>
      </w:r>
    </w:p>
    <w:p w14:paraId="4093AFC9">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通讯地址：</w:t>
      </w:r>
      <w:r>
        <w:rPr>
          <w:rFonts w:hint="eastAsia" w:ascii="宋体" w:hAnsi="宋体" w:eastAsia="宋体" w:cs="Times New Roman"/>
          <w:color w:val="auto"/>
          <w:kern w:val="2"/>
          <w:sz w:val="21"/>
          <w:szCs w:val="21"/>
          <w:highlight w:val="none"/>
          <w:lang w:eastAsia="zh-CN"/>
        </w:rPr>
        <w:t>桂林市临桂区临桂镇凤凰路13号金贸中心3-3#幢8层09号</w:t>
      </w:r>
      <w:r>
        <w:rPr>
          <w:rFonts w:hint="eastAsia" w:ascii="宋体" w:hAnsi="宋体" w:eastAsia="宋体" w:cs="Times New Roman"/>
          <w:color w:val="auto"/>
          <w:kern w:val="2"/>
          <w:sz w:val="21"/>
          <w:szCs w:val="21"/>
          <w:highlight w:val="none"/>
        </w:rPr>
        <w:t>。</w:t>
      </w:r>
    </w:p>
    <w:p w14:paraId="3378B6B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10.6投诉联系部门：灌阳县财政局政府采购监督管理股    联系电话：0773-4250206；</w:t>
      </w:r>
    </w:p>
    <w:p w14:paraId="0EC6EE41">
      <w:pPr>
        <w:keepNext w:val="0"/>
        <w:keepLines w:val="0"/>
        <w:pageBreakBefore w:val="0"/>
        <w:tabs>
          <w:tab w:val="left" w:pos="2190"/>
        </w:tabs>
        <w:kinsoku/>
        <w:wordWrap/>
        <w:overflowPunct/>
        <w:topLinePunct w:val="0"/>
        <w:bidi w:val="0"/>
        <w:adjustRightInd w:val="0"/>
        <w:snapToGrid w:val="0"/>
        <w:spacing w:line="320" w:lineRule="exact"/>
        <w:ind w:firstLine="435"/>
        <w:jc w:val="center"/>
        <w:textAlignment w:val="auto"/>
        <w:outlineLvl w:val="9"/>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二、招标文件</w:t>
      </w:r>
    </w:p>
    <w:p w14:paraId="2DA62934">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11、招标文件的构成</w:t>
      </w:r>
    </w:p>
    <w:p w14:paraId="5DED4CAE">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（1）招标公告；</w:t>
      </w:r>
    </w:p>
    <w:p w14:paraId="21D0BB65">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（2）投标人须知；</w:t>
      </w:r>
    </w:p>
    <w:p w14:paraId="20DC9470">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（3）货物采购需求；</w:t>
      </w:r>
    </w:p>
    <w:p w14:paraId="462760A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（4）评标办法；</w:t>
      </w:r>
    </w:p>
    <w:p w14:paraId="3559BFA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（5）采购合同（合同主要条款及格式）；</w:t>
      </w:r>
    </w:p>
    <w:p w14:paraId="6F896A1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（6）投标文件格式。</w:t>
      </w:r>
    </w:p>
    <w:p w14:paraId="026B266E">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12、招标文件的澄清与修改</w:t>
      </w:r>
    </w:p>
    <w:p w14:paraId="6D9DEDB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12.1投标人应认真阅读招标文件，发现其中有误或有不合理要求的，投标人必须在招标公告期限届满之日起7个工作日内以书面形式要求采购代理机构澄清。</w:t>
      </w:r>
    </w:p>
    <w:p w14:paraId="5BC6284D">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12.2采购代理机构可以对已发出的招标文件进行必要澄清、修改。澄清或者修改的内容可能影响投标文件编制的，代理机构应当在投标截止时间至少十五日前在本招标项目招标公告发布的同一媒体上发布更正公告</w:t>
      </w:r>
      <w:r>
        <w:rPr>
          <w:rFonts w:hint="eastAsia" w:ascii="宋体" w:hAnsi="宋体" w:eastAsia="宋体" w:cs="Times New Roman"/>
          <w:color w:val="auto"/>
          <w:kern w:val="2"/>
          <w:sz w:val="21"/>
          <w:szCs w:val="21"/>
          <w:highlight w:val="none"/>
          <w:lang w:eastAsia="zh-CN"/>
        </w:rPr>
        <w:t>（不涉及招标文件实质性内容修改的除外）</w:t>
      </w:r>
      <w:r>
        <w:rPr>
          <w:rFonts w:hint="eastAsia" w:ascii="宋体" w:hAnsi="宋体" w:eastAsia="宋体" w:cs="Times New Roman"/>
          <w:color w:val="auto"/>
          <w:kern w:val="2"/>
          <w:sz w:val="21"/>
          <w:szCs w:val="21"/>
          <w:highlight w:val="none"/>
        </w:rPr>
        <w:t>，投标人应自行登录招标公告发布的相关网站查询，不足十五日的，应当顺延首次投标文件递交截止时间。</w:t>
      </w:r>
    </w:p>
    <w:p w14:paraId="310ADFC5">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12.3采购代理机构在招标公告发布的相关网站发布更正公告的同时，视同投标人已知晓招标文件的澄清或者修改，投标人应将澄清或者修改的内容考虑在投标文件中。投标人在投标文件递交截止前未登录招标公告发布的相关网站查看澄清或者修改的，造成投标人的投标文件不符合招标文件要求或废标的，由投标人自行承担责任。</w:t>
      </w:r>
    </w:p>
    <w:p w14:paraId="2A9A4945">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12.4投标人应实时关注相关网站了解澄清、修改等与项目有关的内容，如因投标人未及时登录相关网站了解澄清、修改等与项目有关的内容，从而导致投标无效的，由投标人自行承担责任。</w:t>
      </w:r>
    </w:p>
    <w:p w14:paraId="2EF9766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12.5澄清、答复、修改、补充的内容为招标文件的组成部分。当澄清、答复、修改、补充通知就同一内容的表述不一致时，以最后发出的文件为准。</w:t>
      </w:r>
    </w:p>
    <w:p w14:paraId="64B9EDFD">
      <w:pPr>
        <w:keepNext w:val="0"/>
        <w:keepLines w:val="0"/>
        <w:pageBreakBefore w:val="0"/>
        <w:tabs>
          <w:tab w:val="left" w:pos="2190"/>
        </w:tabs>
        <w:kinsoku/>
        <w:wordWrap/>
        <w:overflowPunct/>
        <w:topLinePunct w:val="0"/>
        <w:bidi w:val="0"/>
        <w:adjustRightInd w:val="0"/>
        <w:snapToGrid w:val="0"/>
        <w:spacing w:line="320" w:lineRule="exact"/>
        <w:ind w:firstLine="437"/>
        <w:textAlignment w:val="auto"/>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12.6招</w:t>
      </w:r>
      <w:r>
        <w:rPr>
          <w:rFonts w:hint="eastAsia" w:ascii="宋体" w:hAnsi="宋体" w:eastAsia="宋体" w:cs="宋体"/>
          <w:color w:val="auto"/>
          <w:szCs w:val="21"/>
          <w:highlight w:val="none"/>
        </w:rPr>
        <w:t>标文件的澄清、答复、修改或补充都应该通过本项目采购代理机构以法定形式发布，采购人非通过本机构，不得擅自澄清、答复、修改或补充招标文件。</w:t>
      </w:r>
    </w:p>
    <w:p w14:paraId="12A47A3B">
      <w:pPr>
        <w:keepNext w:val="0"/>
        <w:keepLines w:val="0"/>
        <w:pageBreakBefore w:val="0"/>
        <w:tabs>
          <w:tab w:val="left" w:pos="2190"/>
        </w:tabs>
        <w:kinsoku/>
        <w:wordWrap/>
        <w:overflowPunct/>
        <w:topLinePunct w:val="0"/>
        <w:bidi w:val="0"/>
        <w:adjustRightInd w:val="0"/>
        <w:snapToGrid w:val="0"/>
        <w:spacing w:line="320" w:lineRule="exact"/>
        <w:ind w:firstLine="435"/>
        <w:jc w:val="center"/>
        <w:textAlignment w:val="auto"/>
        <w:outlineLvl w:val="9"/>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三、投标文件的编制</w:t>
      </w:r>
    </w:p>
    <w:p w14:paraId="65614090">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13、投标文件的组成及要求</w:t>
      </w:r>
    </w:p>
    <w:p w14:paraId="01B7C4F8">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13.1本项目实行电子投标，投标人应提交电子投标文件；电子投标文件应按照本招标文件要求及</w:t>
      </w:r>
      <w:r>
        <w:rPr>
          <w:rFonts w:hint="eastAsia" w:ascii="宋体" w:hAnsi="宋体" w:eastAsia="宋体" w:cs="Times New Roman"/>
          <w:b/>
          <w:bCs/>
          <w:color w:val="auto"/>
          <w:kern w:val="2"/>
          <w:sz w:val="21"/>
          <w:szCs w:val="21"/>
          <w:highlight w:val="none"/>
          <w:lang w:eastAsia="zh-CN"/>
        </w:rPr>
        <w:t>广西政府采购云平台</w:t>
      </w:r>
      <w:r>
        <w:rPr>
          <w:rFonts w:hint="eastAsia" w:ascii="宋体" w:hAnsi="宋体" w:eastAsia="宋体" w:cs="Times New Roman"/>
          <w:b/>
          <w:bCs/>
          <w:color w:val="auto"/>
          <w:kern w:val="2"/>
          <w:sz w:val="21"/>
          <w:szCs w:val="21"/>
          <w:highlight w:val="none"/>
        </w:rPr>
        <w:t>平台要求编辑、制作、加密并递交。</w:t>
      </w:r>
    </w:p>
    <w:p w14:paraId="446C61EB">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具体操作流程可参考《政府采购项目电子交易管理操作指南-供应商》指南可在 “http://www.ccgp-guangxi.gov.cn/PurchaseAdvisory/ImportantNotice/2866753.html”下载。</w:t>
      </w:r>
    </w:p>
    <w:p w14:paraId="519A2556">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13.2投标文件的组成（格式见第六章投标文件格式）</w:t>
      </w:r>
    </w:p>
    <w:p w14:paraId="5092DA97">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b/>
          <w:bCs/>
          <w:color w:val="000000" w:themeColor="text1"/>
          <w:kern w:val="2"/>
          <w:sz w:val="21"/>
          <w:szCs w:val="21"/>
          <w:highlight w:val="none"/>
          <w14:textFill>
            <w14:solidFill>
              <w14:schemeClr w14:val="tx1"/>
            </w14:solidFill>
          </w14:textFill>
        </w:rPr>
        <w:t>13.2.1资格性响应证明材料：</w:t>
      </w:r>
    </w:p>
    <w:p w14:paraId="1ED7D760">
      <w:pPr>
        <w:widowControl w:val="0"/>
        <w:adjustRightInd/>
        <w:snapToGrid/>
        <w:spacing w:after="0" w:line="380" w:lineRule="exact"/>
        <w:ind w:firstLine="435"/>
        <w:jc w:val="both"/>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（1）投标人相应的法定代表人或负责人或自然人身份证正反面扫描件</w:t>
      </w:r>
      <w:r>
        <w:rPr>
          <w:rFonts w:hint="eastAsia" w:ascii="宋体" w:hAnsi="宋体" w:eastAsia="宋体" w:cs="Times New Roman"/>
          <w:b/>
          <w:bCs/>
          <w:color w:val="000000" w:themeColor="text1"/>
          <w:kern w:val="2"/>
          <w:sz w:val="21"/>
          <w:szCs w:val="21"/>
          <w:highlight w:val="none"/>
          <w14:textFill>
            <w14:solidFill>
              <w14:schemeClr w14:val="tx1"/>
            </w14:solidFill>
          </w14:textFill>
        </w:rPr>
        <w:t>（必须提供）；</w:t>
      </w:r>
    </w:p>
    <w:p w14:paraId="5A13D3A3">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（2）投标人的授权委托书原件（格式见附件）、委托代理人身份证正反面扫描件以及由县级以上（含县级）社会养老保险经办机构出具的投标人为委托代理人交纳</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的</w:t>
      </w:r>
      <w:r>
        <w:rPr>
          <w:rFonts w:hint="eastAsia" w:ascii="宋体" w:hAnsi="宋体" w:eastAsia="宋体" w:cs="Times New Roman"/>
          <w:color w:val="000000" w:themeColor="text1"/>
          <w:kern w:val="2"/>
          <w:sz w:val="21"/>
          <w:szCs w:val="21"/>
          <w:highlight w:val="none"/>
          <w14:textFill>
            <w14:solidFill>
              <w14:schemeClr w14:val="tx1"/>
            </w14:solidFill>
          </w14:textFill>
        </w:rPr>
        <w:t>202</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color w:val="000000" w:themeColor="text1"/>
          <w:kern w:val="2"/>
          <w:sz w:val="21"/>
          <w:szCs w:val="21"/>
          <w:highlight w:val="none"/>
          <w14:textFill>
            <w14:solidFill>
              <w14:schemeClr w14:val="tx1"/>
            </w14:solidFill>
          </w14:textFill>
        </w:rPr>
        <w:t>年以来任意一个月社保证明扫描件【自然人投标的应提供由县级以上（含县级）社会养老保险经办机构出具的自然人本人及委托代理人所交纳的202</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color w:val="000000" w:themeColor="text1"/>
          <w:kern w:val="2"/>
          <w:sz w:val="21"/>
          <w:szCs w:val="21"/>
          <w:highlight w:val="none"/>
          <w14:textFill>
            <w14:solidFill>
              <w14:schemeClr w14:val="tx1"/>
            </w14:solidFill>
          </w14:textFill>
        </w:rPr>
        <w:t>年以来任意一个月社保证明扫描件】</w:t>
      </w:r>
      <w:r>
        <w:rPr>
          <w:rFonts w:hint="eastAsia" w:ascii="宋体" w:hAnsi="宋体" w:eastAsia="宋体" w:cs="Times New Roman"/>
          <w:b/>
          <w:bCs/>
          <w:color w:val="000000" w:themeColor="text1"/>
          <w:kern w:val="2"/>
          <w:sz w:val="21"/>
          <w:szCs w:val="21"/>
          <w:highlight w:val="none"/>
          <w14:textFill>
            <w14:solidFill>
              <w14:schemeClr w14:val="tx1"/>
            </w14:solidFill>
          </w14:textFill>
        </w:rPr>
        <w:t xml:space="preserve">（委托代理时必须提供；若为2024年以来新成立的企业，请根据实际情况提供劳务合同扫描件）； </w:t>
      </w:r>
    </w:p>
    <w:p w14:paraId="00D71310">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（3）投标人的法人或者其他组织营业执照等证明文件扫描件</w:t>
      </w:r>
      <w:r>
        <w:rPr>
          <w:rFonts w:hint="eastAsia" w:ascii="宋体" w:hAnsi="宋体" w:eastAsia="宋体" w:cs="Times New Roman"/>
          <w:b/>
          <w:bCs/>
          <w:color w:val="000000" w:themeColor="text1"/>
          <w:kern w:val="2"/>
          <w:sz w:val="21"/>
          <w:szCs w:val="21"/>
          <w:highlight w:val="none"/>
          <w14:textFill>
            <w14:solidFill>
              <w14:schemeClr w14:val="tx1"/>
            </w14:solidFill>
          </w14:textFill>
        </w:rPr>
        <w:t>（必须提供，自然人除外）；</w:t>
      </w:r>
    </w:p>
    <w:p w14:paraId="5CE6FE09">
      <w:pPr>
        <w:widowControl w:val="0"/>
        <w:adjustRightInd/>
        <w:snapToGrid/>
        <w:spacing w:after="0" w:line="380" w:lineRule="exact"/>
        <w:ind w:firstLine="435"/>
        <w:jc w:val="both"/>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注：投标人为企业（包括合伙企业），应提供工商部门注册的有效“企业法人营业执照”或“营业执照；投标人为事业单位，应提供有效的“事业单位法人证书”；投标人为非企业专业服务机构的，应提供执业许可证等证明文件；投标人为个体工商户，应提供有效的“个体工商户营业执照”。</w:t>
      </w:r>
    </w:p>
    <w:p w14:paraId="2894C40F">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）投标人2022年度以来任意一个年度内的财务状况报告</w:t>
      </w:r>
      <w:r>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Times New Roman"/>
          <w:color w:val="000000" w:themeColor="text1"/>
          <w:kern w:val="2"/>
          <w:sz w:val="21"/>
          <w:szCs w:val="21"/>
          <w:highlight w:val="none"/>
          <w14:textFill>
            <w14:solidFill>
              <w14:schemeClr w14:val="tx1"/>
            </w14:solidFill>
          </w14:textFill>
        </w:rPr>
        <w:t>提供第三方出具的财务审计报告，或</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投标人</w:t>
      </w:r>
      <w:r>
        <w:rPr>
          <w:rFonts w:hint="eastAsia" w:ascii="宋体" w:hAnsi="宋体" w:eastAsia="宋体" w:cs="Times New Roman"/>
          <w:color w:val="000000" w:themeColor="text1"/>
          <w:kern w:val="2"/>
          <w:sz w:val="21"/>
          <w:szCs w:val="21"/>
          <w:highlight w:val="none"/>
          <w14:textFill>
            <w14:solidFill>
              <w14:schemeClr w14:val="tx1"/>
            </w14:solidFill>
          </w14:textFill>
        </w:rPr>
        <w:t>出具的财务报表（格式自拟），</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或2023年以来</w:t>
      </w:r>
      <w:r>
        <w:rPr>
          <w:rFonts w:hint="eastAsia" w:ascii="宋体" w:hAnsi="宋体" w:eastAsia="宋体" w:cs="Times New Roman"/>
          <w:color w:val="000000" w:themeColor="text1"/>
          <w:kern w:val="2"/>
          <w:sz w:val="21"/>
          <w:szCs w:val="21"/>
          <w:highlight w:val="none"/>
          <w14:textFill>
            <w14:solidFill>
              <w14:schemeClr w14:val="tx1"/>
            </w14:solidFill>
          </w14:textFill>
        </w:rPr>
        <w:t>其基本开户银行出具的资信证明</w:t>
      </w:r>
      <w:r>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Times New Roman"/>
          <w:color w:val="000000" w:themeColor="text1"/>
          <w:kern w:val="2"/>
          <w:sz w:val="21"/>
          <w:szCs w:val="21"/>
          <w:highlight w:val="none"/>
          <w14:textFill>
            <w14:solidFill>
              <w14:schemeClr w14:val="tx1"/>
            </w14:solidFill>
          </w14:textFill>
        </w:rPr>
        <w:t>扫描件</w:t>
      </w:r>
      <w:r>
        <w:rPr>
          <w:rFonts w:hint="eastAsia" w:ascii="宋体" w:hAnsi="宋体" w:eastAsia="宋体" w:cs="Times New Roman"/>
          <w:b/>
          <w:bCs/>
          <w:color w:val="000000" w:themeColor="text1"/>
          <w:kern w:val="2"/>
          <w:sz w:val="21"/>
          <w:szCs w:val="21"/>
          <w:highlight w:val="none"/>
          <w14:textFill>
            <w14:solidFill>
              <w14:schemeClr w14:val="tx1"/>
            </w14:solidFill>
          </w14:textFill>
        </w:rPr>
        <w:t>（必须提供）；</w:t>
      </w:r>
    </w:p>
    <w:p w14:paraId="34BD4BF0">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5</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）投标人202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年以来任意一个月依法缴纳税收</w:t>
      </w:r>
      <w:r>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t>或依法免税</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的相关材料</w:t>
      </w:r>
      <w:r>
        <w:rPr>
          <w:rFonts w:hint="eastAsia" w:ascii="宋体" w:hAnsi="宋体" w:eastAsia="宋体" w:cs="Times New Roman"/>
          <w:color w:val="000000" w:themeColor="text1"/>
          <w:kern w:val="2"/>
          <w:sz w:val="21"/>
          <w:szCs w:val="21"/>
          <w:highlight w:val="none"/>
          <w14:textFill>
            <w14:solidFill>
              <w14:schemeClr w14:val="tx1"/>
            </w14:solidFill>
          </w14:textFill>
        </w:rPr>
        <w:t>扫描件</w:t>
      </w:r>
      <w:r>
        <w:rPr>
          <w:rFonts w:hint="eastAsia" w:ascii="宋体" w:hAnsi="宋体" w:eastAsia="宋体" w:cs="Times New Roman"/>
          <w:b/>
          <w:bCs/>
          <w:color w:val="000000" w:themeColor="text1"/>
          <w:kern w:val="2"/>
          <w:sz w:val="21"/>
          <w:szCs w:val="21"/>
          <w:highlight w:val="none"/>
          <w14:textFill>
            <w14:solidFill>
              <w14:schemeClr w14:val="tx1"/>
            </w14:solidFill>
          </w14:textFill>
        </w:rPr>
        <w:t>（必须提供）；</w:t>
      </w:r>
    </w:p>
    <w:p w14:paraId="5D92EE94">
      <w:pPr>
        <w:widowControl w:val="0"/>
        <w:adjustRightInd/>
        <w:snapToGrid/>
        <w:spacing w:after="0" w:line="380" w:lineRule="exact"/>
        <w:ind w:firstLine="435"/>
        <w:jc w:val="both"/>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pPr>
      <w:r>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6</w:t>
      </w:r>
      <w:r>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t>）</w:t>
      </w:r>
      <w:r>
        <w:rPr>
          <w:rFonts w:hint="eastAsia" w:ascii="宋体" w:hAnsi="宋体" w:eastAsia="宋体" w:cs="Times New Roman"/>
          <w:b w:val="0"/>
          <w:bCs w:val="0"/>
          <w:color w:val="000000" w:themeColor="text1"/>
          <w:kern w:val="2"/>
          <w:sz w:val="21"/>
          <w:szCs w:val="21"/>
          <w:highlight w:val="none"/>
          <w14:textFill>
            <w14:solidFill>
              <w14:schemeClr w14:val="tx1"/>
            </w14:solidFill>
          </w14:textFill>
        </w:rPr>
        <w:t>投标人</w:t>
      </w:r>
      <w:r>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t>202</w:t>
      </w:r>
      <w:r>
        <w:rPr>
          <w:rFonts w:hint="eastAsia" w:ascii="宋体" w:hAnsi="宋体" w:eastAsia="宋体" w:cs="Times New Roman"/>
          <w:b w:val="0"/>
          <w:bCs w:val="0"/>
          <w:color w:val="000000" w:themeColor="text1"/>
          <w:kern w:val="2"/>
          <w:sz w:val="21"/>
          <w:szCs w:val="21"/>
          <w:highlight w:val="none"/>
          <w:lang w:val="en-US" w:eastAsia="zh-CN"/>
          <w14:textFill>
            <w14:solidFill>
              <w14:schemeClr w14:val="tx1"/>
            </w14:solidFill>
          </w14:textFill>
        </w:rPr>
        <w:t>4</w:t>
      </w:r>
      <w:r>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t xml:space="preserve"> 年以来任意一个月依法缴纳社会保障资金的相关证明材料</w:t>
      </w:r>
      <w:r>
        <w:rPr>
          <w:rFonts w:hint="eastAsia" w:ascii="宋体" w:hAnsi="宋体" w:eastAsia="宋体" w:cs="Times New Roman"/>
          <w:color w:val="000000" w:themeColor="text1"/>
          <w:kern w:val="2"/>
          <w:sz w:val="21"/>
          <w:szCs w:val="21"/>
          <w:highlight w:val="none"/>
          <w14:textFill>
            <w14:solidFill>
              <w14:schemeClr w14:val="tx1"/>
            </w14:solidFill>
          </w14:textFill>
        </w:rPr>
        <w:t>扫描件</w:t>
      </w:r>
      <w:r>
        <w:rPr>
          <w:rFonts w:hint="eastAsia" w:ascii="宋体" w:hAnsi="宋体" w:eastAsia="宋体" w:cs="Times New Roman"/>
          <w:b/>
          <w:bCs/>
          <w:color w:val="000000" w:themeColor="text1"/>
          <w:kern w:val="2"/>
          <w:sz w:val="21"/>
          <w:szCs w:val="21"/>
          <w:highlight w:val="none"/>
          <w:lang w:eastAsia="zh-CN"/>
          <w14:textFill>
            <w14:solidFill>
              <w14:schemeClr w14:val="tx1"/>
            </w14:solidFill>
          </w14:textFill>
        </w:rPr>
        <w:t>（必须提供）</w:t>
      </w:r>
      <w:r>
        <w:rPr>
          <w:rFonts w:hint="eastAsia" w:ascii="宋体" w:hAnsi="宋体" w:eastAsia="宋体" w:cs="Times New Roman"/>
          <w:b w:val="0"/>
          <w:bCs w:val="0"/>
          <w:color w:val="000000" w:themeColor="text1"/>
          <w:kern w:val="2"/>
          <w:sz w:val="21"/>
          <w:szCs w:val="21"/>
          <w:highlight w:val="none"/>
          <w:lang w:eastAsia="zh-CN"/>
          <w14:textFill>
            <w14:solidFill>
              <w14:schemeClr w14:val="tx1"/>
            </w14:solidFill>
          </w14:textFill>
        </w:rPr>
        <w:t>；</w:t>
      </w:r>
    </w:p>
    <w:p w14:paraId="2FB4ED39">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w:t>
      </w:r>
      <w:r>
        <w:rPr>
          <w:rFonts w:hint="eastAsia" w:ascii="宋体" w:hAnsi="宋体" w:eastAsia="宋体" w:cs="Times New Roman"/>
          <w:color w:val="000000" w:themeColor="text1"/>
          <w:kern w:val="2"/>
          <w:sz w:val="21"/>
          <w:szCs w:val="21"/>
          <w:highlight w:val="none"/>
          <w:lang w:val="en-US" w:eastAsia="zh-CN"/>
          <w14:textFill>
            <w14:solidFill>
              <w14:schemeClr w14:val="tx1"/>
            </w14:solidFill>
          </w14:textFill>
        </w:rPr>
        <w:t>7</w:t>
      </w:r>
      <w:r>
        <w:rPr>
          <w:rFonts w:hint="eastAsia" w:ascii="宋体" w:hAnsi="宋体" w:eastAsia="宋体" w:cs="Times New Roman"/>
          <w:color w:val="000000" w:themeColor="text1"/>
          <w:kern w:val="2"/>
          <w:sz w:val="21"/>
          <w:szCs w:val="21"/>
          <w:highlight w:val="none"/>
          <w14:textFill>
            <w14:solidFill>
              <w14:schemeClr w14:val="tx1"/>
            </w14:solidFill>
          </w14:textFill>
        </w:rPr>
        <w:t>）</w:t>
      </w:r>
      <w:r>
        <w:rPr>
          <w:rFonts w:hint="eastAsia" w:ascii="宋体" w:hAnsi="宋体" w:eastAsia="宋体" w:cs="Times New Roman"/>
          <w:color w:val="000000" w:themeColor="text1"/>
          <w:kern w:val="2"/>
          <w:sz w:val="21"/>
          <w:szCs w:val="21"/>
          <w:highlight w:val="none"/>
          <w:lang w:eastAsia="zh-CN"/>
          <w14:textFill>
            <w14:solidFill>
              <w14:schemeClr w14:val="tx1"/>
            </w14:solidFill>
          </w14:textFill>
        </w:rPr>
        <w:t>投标人</w:t>
      </w:r>
      <w:r>
        <w:rPr>
          <w:rFonts w:hint="eastAsia" w:ascii="宋体" w:hAnsi="宋体" w:eastAsia="宋体" w:cs="Times New Roman"/>
          <w:color w:val="000000" w:themeColor="text1"/>
          <w:kern w:val="2"/>
          <w:sz w:val="21"/>
          <w:szCs w:val="21"/>
          <w:highlight w:val="none"/>
          <w14:textFill>
            <w14:solidFill>
              <w14:schemeClr w14:val="tx1"/>
            </w14:solidFill>
          </w14:textFill>
        </w:rPr>
        <w:t>参加政府采购活动前三年内在经营活动中没有重大违法记录及有关信用信息、前期服务情况的书面声明</w:t>
      </w:r>
      <w:r>
        <w:rPr>
          <w:rFonts w:hint="eastAsia" w:ascii="宋体" w:hAnsi="宋体" w:eastAsia="宋体" w:cs="Times New Roman"/>
          <w:b/>
          <w:bCs/>
          <w:color w:val="000000" w:themeColor="text1"/>
          <w:kern w:val="2"/>
          <w:sz w:val="21"/>
          <w:szCs w:val="21"/>
          <w:highlight w:val="none"/>
          <w14:textFill>
            <w14:solidFill>
              <w14:schemeClr w14:val="tx1"/>
            </w14:solidFill>
          </w14:textFill>
        </w:rPr>
        <w:t>（格式见附件，必须提供）；</w:t>
      </w:r>
    </w:p>
    <w:p w14:paraId="725B1B61">
      <w:pPr>
        <w:pStyle w:val="9"/>
        <w:spacing w:line="400" w:lineRule="exact"/>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w:t>
      </w:r>
      <w:r>
        <w:rPr>
          <w:rFonts w:hint="eastAsia" w:ascii="宋体" w:hAnsi="宋体" w:eastAsia="宋体" w:cs="宋体"/>
          <w:color w:val="auto"/>
          <w:sz w:val="21"/>
          <w:szCs w:val="21"/>
          <w:lang w:val="en-US" w:eastAsia="zh-CN"/>
        </w:rPr>
        <w:t>8</w:t>
      </w:r>
      <w:r>
        <w:rPr>
          <w:rFonts w:hint="eastAsia" w:ascii="宋体" w:hAnsi="宋体" w:eastAsia="宋体" w:cs="宋体"/>
          <w:color w:val="auto"/>
          <w:sz w:val="21"/>
          <w:szCs w:val="21"/>
        </w:rPr>
        <w:t>）中小企业相应有效的证明文件</w:t>
      </w:r>
      <w:r>
        <w:rPr>
          <w:rFonts w:hint="eastAsia" w:ascii="宋体" w:hAnsi="宋体" w:eastAsia="宋体" w:cs="宋体"/>
          <w:b/>
          <w:color w:val="auto"/>
          <w:sz w:val="21"/>
          <w:szCs w:val="21"/>
        </w:rPr>
        <w:t>（必须提供）</w:t>
      </w:r>
      <w:r>
        <w:rPr>
          <w:rFonts w:hint="eastAsia" w:ascii="宋体" w:hAnsi="宋体" w:eastAsia="宋体" w:cs="宋体"/>
          <w:b/>
          <w:color w:val="auto"/>
          <w:sz w:val="21"/>
          <w:szCs w:val="21"/>
          <w:lang w:eastAsia="zh-CN"/>
        </w:rPr>
        <w:t>，</w:t>
      </w:r>
      <w:r>
        <w:rPr>
          <w:rFonts w:hint="eastAsia" w:ascii="宋体" w:hAnsi="宋体" w:eastAsia="宋体" w:cs="宋体"/>
          <w:b/>
          <w:color w:val="auto"/>
          <w:sz w:val="21"/>
          <w:szCs w:val="21"/>
        </w:rPr>
        <w:t>根据企业所属类型，必须提供以下材料之一</w:t>
      </w:r>
      <w:r>
        <w:rPr>
          <w:rFonts w:hint="eastAsia" w:ascii="宋体" w:hAnsi="宋体" w:eastAsia="宋体" w:cs="宋体"/>
          <w:color w:val="auto"/>
          <w:sz w:val="21"/>
          <w:szCs w:val="21"/>
        </w:rPr>
        <w:t>：</w:t>
      </w:r>
    </w:p>
    <w:p w14:paraId="7B58E9AB">
      <w:pPr>
        <w:pStyle w:val="9"/>
        <w:spacing w:line="400" w:lineRule="exact"/>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①</w:t>
      </w:r>
      <w:r>
        <w:rPr>
          <w:rFonts w:hint="eastAsia" w:ascii="宋体" w:hAnsi="宋体" w:eastAsia="宋体" w:cs="Times New Roman"/>
          <w:color w:val="auto"/>
          <w:kern w:val="2"/>
          <w:sz w:val="21"/>
          <w:szCs w:val="21"/>
          <w:highlight w:val="none"/>
        </w:rPr>
        <w:t>中小企业声明函（如投标人提供的货物由小型、微型企业（中小微型企业划分标准按照《国家统计局关于印发《统计上大中小微型企业划分办法〔2017〕》的通知》（国统字〔2017〕213号）执行）制造的，投标人应如实声明并对出具声明函的真实性负责。中标、成交结果将同时公告该企业《中小企业声明函》，接受社会监督。格式见附件）</w:t>
      </w:r>
    </w:p>
    <w:p w14:paraId="4700CE0F">
      <w:pPr>
        <w:keepNext w:val="0"/>
        <w:keepLines w:val="0"/>
        <w:pageBreakBefore w:val="0"/>
        <w:widowControl/>
        <w:kinsoku/>
        <w:wordWrap/>
        <w:overflowPunct/>
        <w:topLinePunct w:val="0"/>
        <w:autoSpaceDE/>
        <w:autoSpaceDN/>
        <w:bidi w:val="0"/>
        <w:adjustRightInd w:val="0"/>
        <w:snapToGrid w:val="0"/>
        <w:spacing w:after="0" w:line="400" w:lineRule="exact"/>
        <w:ind w:firstLine="420" w:firstLineChars="200"/>
        <w:textAlignment w:val="auto"/>
        <w:rPr>
          <w:rFonts w:hint="eastAsia" w:ascii="宋体" w:hAnsi="宋体" w:eastAsia="宋体" w:cs="宋体"/>
          <w:color w:val="auto"/>
          <w:sz w:val="21"/>
          <w:szCs w:val="21"/>
        </w:rPr>
      </w:pPr>
      <w:r>
        <w:rPr>
          <w:rFonts w:hint="eastAsia" w:ascii="宋体" w:hAnsi="宋体" w:eastAsia="宋体" w:cs="宋体"/>
          <w:color w:val="auto"/>
          <w:sz w:val="21"/>
          <w:szCs w:val="21"/>
        </w:rPr>
        <w:t>②</w:t>
      </w:r>
      <w:r>
        <w:rPr>
          <w:rFonts w:hint="eastAsia" w:ascii="宋体" w:hAnsi="宋体" w:eastAsia="宋体" w:cs="Times New Roman"/>
          <w:color w:val="auto"/>
          <w:kern w:val="2"/>
          <w:sz w:val="21"/>
          <w:szCs w:val="21"/>
          <w:highlight w:val="none"/>
        </w:rPr>
        <w:t>监狱企业的证明文件【属于监狱企业的，以提供由省级以上监狱管理局、戒毒管理局（含新疆生产建设兵团）出具的属于监狱企业的证明文件为准, 否则不予享受优惠政策】</w:t>
      </w:r>
      <w:r>
        <w:rPr>
          <w:rFonts w:hint="eastAsia" w:ascii="宋体" w:hAnsi="宋体" w:eastAsia="宋体" w:cs="宋体"/>
          <w:color w:val="auto"/>
          <w:sz w:val="21"/>
          <w:szCs w:val="21"/>
        </w:rPr>
        <w:t>；</w:t>
      </w:r>
    </w:p>
    <w:p w14:paraId="1D5E4060">
      <w:pPr>
        <w:keepNext w:val="0"/>
        <w:keepLines w:val="0"/>
        <w:pageBreakBefore w:val="0"/>
        <w:widowControl/>
        <w:tabs>
          <w:tab w:val="left" w:pos="1305"/>
        </w:tabs>
        <w:kinsoku/>
        <w:wordWrap/>
        <w:overflowPunct/>
        <w:topLinePunct w:val="0"/>
        <w:autoSpaceDE/>
        <w:autoSpaceDN/>
        <w:bidi w:val="0"/>
        <w:adjustRightInd w:val="0"/>
        <w:snapToGrid w:val="0"/>
        <w:spacing w:after="0" w:line="400" w:lineRule="exact"/>
        <w:ind w:firstLine="420" w:firstLineChars="200"/>
        <w:textAlignment w:val="auto"/>
        <w:rPr>
          <w:rFonts w:hint="eastAsia"/>
        </w:rPr>
      </w:pPr>
      <w:r>
        <w:rPr>
          <w:rFonts w:hint="eastAsia" w:ascii="宋体" w:hAnsi="宋体" w:eastAsia="宋体" w:cs="宋体"/>
          <w:color w:val="auto"/>
          <w:sz w:val="21"/>
          <w:szCs w:val="21"/>
        </w:rPr>
        <w:t>③</w:t>
      </w:r>
      <w:r>
        <w:rPr>
          <w:rFonts w:hint="eastAsia" w:ascii="宋体" w:hAnsi="宋体" w:eastAsia="宋体" w:cs="Times New Roman"/>
          <w:color w:val="auto"/>
          <w:kern w:val="2"/>
          <w:sz w:val="21"/>
          <w:szCs w:val="21"/>
          <w:highlight w:val="none"/>
        </w:rPr>
        <w:t>残疾人福利性单位声明函（如投标人为残疾人福利性单位的，采购人或者其委托的采购代理机构应当随中标、成交结果同时公告企业《残疾人福利性单位声明函》，接受社会监督）</w:t>
      </w:r>
      <w:r>
        <w:rPr>
          <w:rFonts w:hint="eastAsia" w:ascii="宋体" w:hAnsi="宋体" w:eastAsia="宋体" w:cs="宋体"/>
          <w:color w:val="auto"/>
          <w:sz w:val="21"/>
          <w:szCs w:val="21"/>
        </w:rPr>
        <w:t>。</w:t>
      </w:r>
    </w:p>
    <w:p w14:paraId="7F342F00">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b/>
          <w:bCs/>
          <w:color w:val="000000" w:themeColor="text1"/>
          <w:kern w:val="2"/>
          <w:sz w:val="21"/>
          <w:szCs w:val="21"/>
          <w:highlight w:val="none"/>
          <w14:textFill>
            <w14:solidFill>
              <w14:schemeClr w14:val="tx1"/>
            </w14:solidFill>
          </w14:textFill>
        </w:rPr>
        <w:t>13.2.2商务、技术性响应及其他证明材料：</w:t>
      </w:r>
    </w:p>
    <w:p w14:paraId="40354645">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b/>
          <w:bCs/>
          <w:color w:val="000000" w:themeColor="text1"/>
          <w:kern w:val="2"/>
          <w:sz w:val="21"/>
          <w:szCs w:val="21"/>
          <w:highlight w:val="none"/>
          <w14:textFill>
            <w14:solidFill>
              <w14:schemeClr w14:val="tx1"/>
            </w14:solidFill>
          </w14:textFill>
        </w:rPr>
        <w:t>符合性响应证明材料：</w:t>
      </w:r>
    </w:p>
    <w:p w14:paraId="4E27FA57">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（1）投标报价表</w:t>
      </w:r>
      <w:r>
        <w:rPr>
          <w:rFonts w:hint="eastAsia" w:ascii="宋体" w:hAnsi="宋体" w:eastAsia="宋体" w:cs="Times New Roman"/>
          <w:b/>
          <w:bCs/>
          <w:color w:val="000000" w:themeColor="text1"/>
          <w:kern w:val="2"/>
          <w:sz w:val="21"/>
          <w:szCs w:val="21"/>
          <w:highlight w:val="none"/>
          <w14:textFill>
            <w14:solidFill>
              <w14:schemeClr w14:val="tx1"/>
            </w14:solidFill>
          </w14:textFill>
        </w:rPr>
        <w:t>（格式见附件，必须提供）；</w:t>
      </w:r>
    </w:p>
    <w:p w14:paraId="547545AB">
      <w:pPr>
        <w:widowControl w:val="0"/>
        <w:adjustRightInd/>
        <w:snapToGrid/>
        <w:spacing w:after="0" w:line="380" w:lineRule="exact"/>
        <w:ind w:firstLine="435"/>
        <w:jc w:val="both"/>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（2）技术规格响应偏离表</w:t>
      </w:r>
      <w:r>
        <w:rPr>
          <w:rFonts w:hint="eastAsia" w:ascii="宋体" w:hAnsi="宋体" w:eastAsia="宋体" w:cs="Times New Roman"/>
          <w:b/>
          <w:bCs/>
          <w:color w:val="000000" w:themeColor="text1"/>
          <w:kern w:val="2"/>
          <w:sz w:val="21"/>
          <w:szCs w:val="21"/>
          <w:highlight w:val="none"/>
          <w14:textFill>
            <w14:solidFill>
              <w14:schemeClr w14:val="tx1"/>
            </w14:solidFill>
          </w14:textFill>
        </w:rPr>
        <w:t>（格式见附件，必须提供）；</w:t>
      </w:r>
    </w:p>
    <w:p w14:paraId="13DCE65D">
      <w:pPr>
        <w:widowControl w:val="0"/>
        <w:adjustRightInd/>
        <w:snapToGrid/>
        <w:spacing w:after="0" w:line="380" w:lineRule="exact"/>
        <w:ind w:firstLine="435"/>
        <w:jc w:val="both"/>
        <w:rPr>
          <w:rFonts w:hint="eastAsia" w:ascii="宋体" w:hAnsi="宋体" w:eastAsia="宋体" w:cs="Times New Roman"/>
          <w:b/>
          <w:bCs/>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（3）商务响应偏离表</w:t>
      </w:r>
      <w:r>
        <w:rPr>
          <w:rFonts w:hint="eastAsia" w:ascii="宋体" w:hAnsi="宋体" w:eastAsia="宋体" w:cs="Times New Roman"/>
          <w:b/>
          <w:bCs/>
          <w:color w:val="000000" w:themeColor="text1"/>
          <w:kern w:val="2"/>
          <w:sz w:val="21"/>
          <w:szCs w:val="21"/>
          <w:highlight w:val="none"/>
          <w14:textFill>
            <w14:solidFill>
              <w14:schemeClr w14:val="tx1"/>
            </w14:solidFill>
          </w14:textFill>
        </w:rPr>
        <w:t>（格式见附件，必须提供）；</w:t>
      </w:r>
    </w:p>
    <w:p w14:paraId="7E9654D5">
      <w:pPr>
        <w:widowControl w:val="0"/>
        <w:adjustRightInd/>
        <w:snapToGrid/>
        <w:spacing w:after="0" w:line="380" w:lineRule="exact"/>
        <w:ind w:firstLine="435"/>
        <w:jc w:val="both"/>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（4）投标人的售后服务承诺书（</w:t>
      </w:r>
      <w:r>
        <w:rPr>
          <w:rFonts w:hint="eastAsia" w:ascii="宋体" w:hAnsi="宋体" w:eastAsia="宋体" w:cs="Times New Roman"/>
          <w:color w:val="auto"/>
          <w:kern w:val="2"/>
          <w:sz w:val="21"/>
          <w:szCs w:val="21"/>
          <w:highlight w:val="none"/>
        </w:rPr>
        <w:t>根据评标方法自行编写，格式自拟</w:t>
      </w:r>
      <w:r>
        <w:rPr>
          <w:rFonts w:hint="eastAsia" w:ascii="宋体" w:hAnsi="宋体" w:eastAsia="宋体" w:cs="Times New Roman"/>
          <w:color w:val="000000" w:themeColor="text1"/>
          <w:kern w:val="2"/>
          <w:sz w:val="21"/>
          <w:szCs w:val="21"/>
          <w:highlight w:val="none"/>
          <w14:textFill>
            <w14:solidFill>
              <w14:schemeClr w14:val="tx1"/>
            </w14:solidFill>
          </w14:textFill>
        </w:rPr>
        <w:t>）</w:t>
      </w:r>
      <w:r>
        <w:rPr>
          <w:rFonts w:hint="eastAsia" w:ascii="宋体" w:hAnsi="宋体" w:eastAsia="宋体" w:cs="Times New Roman"/>
          <w:b/>
          <w:bCs/>
          <w:color w:val="000000" w:themeColor="text1"/>
          <w:kern w:val="2"/>
          <w:sz w:val="21"/>
          <w:szCs w:val="21"/>
          <w:highlight w:val="none"/>
          <w14:textFill>
            <w14:solidFill>
              <w14:schemeClr w14:val="tx1"/>
            </w14:solidFill>
          </w14:textFill>
        </w:rPr>
        <w:t>（必须提供）；</w:t>
      </w:r>
    </w:p>
    <w:p w14:paraId="0CDA6DB8">
      <w:pPr>
        <w:widowControl w:val="0"/>
        <w:adjustRightInd/>
        <w:snapToGrid/>
        <w:spacing w:after="0" w:line="380" w:lineRule="exact"/>
        <w:ind w:firstLine="435"/>
        <w:jc w:val="both"/>
        <w:rPr>
          <w:rFonts w:hint="eastAsia" w:ascii="宋体" w:hAnsi="宋体" w:eastAsia="宋体" w:cs="Times New Roman"/>
          <w:color w:val="000000" w:themeColor="text1"/>
          <w:kern w:val="2"/>
          <w:sz w:val="21"/>
          <w:szCs w:val="21"/>
          <w:highlight w:val="none"/>
          <w14:textFill>
            <w14:solidFill>
              <w14:schemeClr w14:val="tx1"/>
            </w14:solidFill>
          </w14:textFill>
        </w:rPr>
      </w:pPr>
      <w:r>
        <w:rPr>
          <w:rFonts w:hint="eastAsia" w:ascii="宋体" w:hAnsi="宋体" w:eastAsia="宋体" w:cs="Times New Roman"/>
          <w:color w:val="000000" w:themeColor="text1"/>
          <w:kern w:val="2"/>
          <w:sz w:val="21"/>
          <w:szCs w:val="21"/>
          <w:highlight w:val="none"/>
          <w14:textFill>
            <w14:solidFill>
              <w14:schemeClr w14:val="tx1"/>
            </w14:solidFill>
          </w14:textFill>
        </w:rPr>
        <w:t>（5）“货物采购需求”中要求必须提供的有效证明文件</w:t>
      </w:r>
      <w:r>
        <w:rPr>
          <w:rFonts w:hint="eastAsia" w:ascii="宋体" w:hAnsi="宋体" w:eastAsia="宋体" w:cs="Times New Roman"/>
          <w:b/>
          <w:bCs/>
          <w:color w:val="000000" w:themeColor="text1"/>
          <w:kern w:val="2"/>
          <w:sz w:val="21"/>
          <w:szCs w:val="21"/>
          <w:highlight w:val="none"/>
          <w14:textFill>
            <w14:solidFill>
              <w14:schemeClr w14:val="tx1"/>
            </w14:solidFill>
          </w14:textFill>
        </w:rPr>
        <w:t>（按其要求提供）；</w:t>
      </w:r>
    </w:p>
    <w:p w14:paraId="63B441DD">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其他响应证明材料：</w:t>
      </w:r>
    </w:p>
    <w:p w14:paraId="2808924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6</w:t>
      </w:r>
      <w:r>
        <w:rPr>
          <w:rFonts w:hint="eastAsia" w:ascii="宋体" w:hAnsi="宋体" w:eastAsia="宋体" w:cs="Times New Roman"/>
          <w:color w:val="auto"/>
          <w:kern w:val="2"/>
          <w:sz w:val="21"/>
          <w:szCs w:val="21"/>
          <w:highlight w:val="none"/>
        </w:rPr>
        <w:t>）项目实施方案（根据评标方法自行编写，格式自拟）（如有，请提供）；</w:t>
      </w:r>
    </w:p>
    <w:p w14:paraId="73A5D0EE">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7</w:t>
      </w:r>
      <w:r>
        <w:rPr>
          <w:rFonts w:hint="eastAsia" w:ascii="宋体" w:hAnsi="宋体" w:eastAsia="宋体" w:cs="Times New Roman"/>
          <w:color w:val="auto"/>
          <w:kern w:val="2"/>
          <w:sz w:val="21"/>
          <w:szCs w:val="21"/>
          <w:highlight w:val="none"/>
        </w:rPr>
        <w:t>）项目实施人员一览表（如有，请提供）；</w:t>
      </w:r>
    </w:p>
    <w:p w14:paraId="767E68F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8</w:t>
      </w:r>
      <w:r>
        <w:rPr>
          <w:rFonts w:hint="eastAsia" w:ascii="宋体" w:hAnsi="宋体" w:eastAsia="宋体" w:cs="Times New Roman"/>
          <w:color w:val="auto"/>
          <w:kern w:val="2"/>
          <w:sz w:val="21"/>
          <w:szCs w:val="21"/>
          <w:highlight w:val="none"/>
        </w:rPr>
        <w:t>）节能方面的证书原件的扫描件（如有，请提供）；</w:t>
      </w:r>
    </w:p>
    <w:p w14:paraId="6A6F13B6">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9</w:t>
      </w:r>
      <w:r>
        <w:rPr>
          <w:rFonts w:hint="eastAsia" w:ascii="宋体" w:hAnsi="宋体" w:eastAsia="宋体" w:cs="Times New Roman"/>
          <w:color w:val="auto"/>
          <w:kern w:val="2"/>
          <w:sz w:val="21"/>
          <w:szCs w:val="21"/>
          <w:highlight w:val="none"/>
        </w:rPr>
        <w:t>）环保方面的证书原件的扫描件（如有，请提供）；</w:t>
      </w:r>
    </w:p>
    <w:p w14:paraId="4E5212C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10</w:t>
      </w:r>
      <w:r>
        <w:rPr>
          <w:rFonts w:hint="eastAsia" w:ascii="宋体" w:hAnsi="宋体" w:eastAsia="宋体" w:cs="Times New Roman"/>
          <w:color w:val="auto"/>
          <w:kern w:val="2"/>
          <w:sz w:val="21"/>
          <w:szCs w:val="21"/>
          <w:highlight w:val="none"/>
        </w:rPr>
        <w:t>）投标人202</w:t>
      </w:r>
      <w:r>
        <w:rPr>
          <w:rFonts w:hint="eastAsia" w:ascii="宋体" w:hAnsi="宋体" w:eastAsia="宋体" w:cs="Times New Roman"/>
          <w:color w:val="auto"/>
          <w:kern w:val="2"/>
          <w:sz w:val="21"/>
          <w:szCs w:val="21"/>
          <w:highlight w:val="none"/>
          <w:lang w:val="en-US" w:eastAsia="zh-CN"/>
        </w:rPr>
        <w:t>1</w:t>
      </w:r>
      <w:r>
        <w:rPr>
          <w:rFonts w:hint="eastAsia" w:ascii="宋体" w:hAnsi="宋体" w:eastAsia="宋体" w:cs="Times New Roman"/>
          <w:color w:val="auto"/>
          <w:kern w:val="2"/>
          <w:sz w:val="21"/>
          <w:szCs w:val="21"/>
          <w:highlight w:val="none"/>
        </w:rPr>
        <w:t>年以来具有</w:t>
      </w:r>
      <w:r>
        <w:rPr>
          <w:rFonts w:hint="eastAsia" w:ascii="宋体" w:hAnsi="宋体" w:eastAsia="宋体" w:cs="Times New Roman"/>
          <w:color w:val="auto"/>
          <w:kern w:val="2"/>
          <w:sz w:val="21"/>
          <w:szCs w:val="21"/>
          <w:highlight w:val="none"/>
          <w:lang w:eastAsia="zh-CN"/>
        </w:rPr>
        <w:t>类似或同类产品的销售业绩</w:t>
      </w:r>
      <w:r>
        <w:rPr>
          <w:rFonts w:hint="eastAsia" w:ascii="宋体" w:hAnsi="宋体" w:eastAsia="宋体" w:cs="Times New Roman"/>
          <w:color w:val="auto"/>
          <w:kern w:val="2"/>
          <w:sz w:val="21"/>
          <w:szCs w:val="21"/>
          <w:highlight w:val="none"/>
        </w:rPr>
        <w:t>的相关证明材料【无不良记录，</w:t>
      </w:r>
      <w:r>
        <w:rPr>
          <w:rFonts w:hint="eastAsia" w:ascii="宋体" w:hAnsi="宋体" w:eastAsia="宋体" w:cs="Times New Roman"/>
          <w:color w:val="auto"/>
          <w:kern w:val="2"/>
          <w:sz w:val="21"/>
          <w:szCs w:val="21"/>
          <w:highlight w:val="none"/>
          <w:lang w:eastAsia="zh-CN"/>
        </w:rPr>
        <w:t>以销售合同扫描件为准</w:t>
      </w:r>
      <w:r>
        <w:rPr>
          <w:rFonts w:hint="eastAsia" w:ascii="宋体" w:hAnsi="宋体" w:eastAsia="宋体" w:cs="Times New Roman"/>
          <w:color w:val="auto"/>
          <w:kern w:val="2"/>
          <w:sz w:val="21"/>
          <w:szCs w:val="21"/>
          <w:highlight w:val="none"/>
        </w:rPr>
        <w:t>，并能清晰反映所销售的货物名称、种类、时间等内容】（如有，请提供）；</w:t>
      </w:r>
    </w:p>
    <w:p w14:paraId="160308FD">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w:t>
      </w:r>
      <w:r>
        <w:rPr>
          <w:rFonts w:hint="eastAsia" w:ascii="宋体" w:hAnsi="宋体" w:eastAsia="宋体" w:cs="Times New Roman"/>
          <w:color w:val="auto"/>
          <w:kern w:val="2"/>
          <w:sz w:val="21"/>
          <w:szCs w:val="21"/>
          <w:highlight w:val="none"/>
          <w:lang w:val="en-US" w:eastAsia="zh-CN"/>
        </w:rPr>
        <w:t>1</w:t>
      </w:r>
      <w:r>
        <w:rPr>
          <w:rFonts w:hint="eastAsia" w:ascii="宋体" w:hAnsi="宋体" w:eastAsia="宋体" w:cs="Times New Roman"/>
          <w:color w:val="auto"/>
          <w:kern w:val="2"/>
          <w:sz w:val="21"/>
          <w:szCs w:val="21"/>
          <w:highlight w:val="none"/>
        </w:rPr>
        <w:t>）投标人为生产厂家的，投标人的生产制造设备清单及专业技术能力说明（如有，请提供）；</w:t>
      </w:r>
    </w:p>
    <w:p w14:paraId="75792A2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w:t>
      </w:r>
      <w:r>
        <w:rPr>
          <w:rFonts w:hint="eastAsia" w:ascii="宋体" w:hAnsi="宋体" w:eastAsia="宋体" w:cs="Times New Roman"/>
          <w:color w:val="auto"/>
          <w:kern w:val="2"/>
          <w:sz w:val="21"/>
          <w:szCs w:val="21"/>
          <w:highlight w:val="none"/>
          <w:lang w:val="en-US" w:eastAsia="zh-CN"/>
        </w:rPr>
        <w:t>2</w:t>
      </w:r>
      <w:r>
        <w:rPr>
          <w:rFonts w:hint="eastAsia" w:ascii="宋体" w:hAnsi="宋体" w:eastAsia="宋体" w:cs="Times New Roman"/>
          <w:color w:val="auto"/>
          <w:kern w:val="2"/>
          <w:sz w:val="21"/>
          <w:szCs w:val="21"/>
          <w:highlight w:val="none"/>
        </w:rPr>
        <w:t>）投标人相关获奖证书、认证证书等原件的扫描件（如有，请提供）；</w:t>
      </w:r>
    </w:p>
    <w:p w14:paraId="03653B4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13</w:t>
      </w:r>
      <w:r>
        <w:rPr>
          <w:rFonts w:hint="eastAsia" w:ascii="宋体" w:hAnsi="宋体" w:eastAsia="宋体" w:cs="Times New Roman"/>
          <w:color w:val="auto"/>
          <w:kern w:val="2"/>
          <w:sz w:val="21"/>
          <w:szCs w:val="21"/>
          <w:highlight w:val="none"/>
        </w:rPr>
        <w:t>）投标人可结合本项目的评标办法视自身情况自行提交相关证明材料（如有，请提供）。</w:t>
      </w:r>
    </w:p>
    <w:p w14:paraId="6AB4C783">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投标人提供的以上相关证明材料应真实有效，属于“必须提供”的文件必须于本项目截标前作为投标文件的一部分提交，并加盖投标人公章（CA签章）/自然人签字或加盖个人CA签章，否则投标无效。</w:t>
      </w:r>
    </w:p>
    <w:p w14:paraId="1A4492B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13.3投标人应按招标文件第六章投标文件格式编制投标文件。</w:t>
      </w:r>
    </w:p>
    <w:p w14:paraId="7698021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13.4投标文件应当对招标文件提出的要求和条件作出明确响应。</w:t>
      </w:r>
    </w:p>
    <w:p w14:paraId="482FDB87">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特别说明：</w:t>
      </w:r>
    </w:p>
    <w:p w14:paraId="3A00989D">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投标文件（电子投标文件）中须加盖投标人公章部分均采用CA电子签章。若投标文件中有专门标注的某关联点，并要求投标人在电子投标系统中作出投标响应，如投标人未对关联点进行响应或者在投标文件其它内容中进行描述，造成电子评审不能查询到的责任由投标人自行承担。</w:t>
      </w:r>
    </w:p>
    <w:p w14:paraId="2D1571F2">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（2）招标文件中要求由法定代表人（负责人）或委托代理人签字的部分必须签字（然后扫描或者拍照做成PDF格式上传）或加盖个人CA签章，无签字或个人CA签章的，视为投标无效。</w:t>
      </w:r>
    </w:p>
    <w:p w14:paraId="2781515F">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14、投标文件的语言及计量</w:t>
      </w:r>
    </w:p>
    <w:p w14:paraId="3066897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14.1投标文件以及投标人与招标采购单位就有关投标事宜的所有来往函电，均应以中文汉语书写。投标人提交的支持文件和印刷的文献可以使用别的语言，但其相应内容必须附有中文翻译文本，在解释投标文件时以中文翻译文本为主。</w:t>
      </w:r>
    </w:p>
    <w:p w14:paraId="14DFEB9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14.2投标计量单位，招标文件已有明确规定的，使用招标文件规定的计量单位；招标文件没有规定的，应采用中华人民共和国法定计量单位（货币单位：人民币元），否则视同未响应。</w:t>
      </w:r>
    </w:p>
    <w:p w14:paraId="5702355F">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15、投标报价及采购预算金额</w:t>
      </w:r>
    </w:p>
    <w:p w14:paraId="3E16D72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15.1投标报价应按招标文件中第六章投标文件格式填写。</w:t>
      </w:r>
    </w:p>
    <w:p w14:paraId="6D6DB75E">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15.2投标人必须就“货物采购需求”中所有货物和服务内容作完整唯一报价，否则，其投标将被拒绝；投标文件只允许有一个报价，有选择的或有条件的报价将不予接受。</w:t>
      </w:r>
    </w:p>
    <w:p w14:paraId="6C763D5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15.3本项目采购预算金额：详见投标人须知前附表第4条。</w:t>
      </w:r>
    </w:p>
    <w:p w14:paraId="797E80CE">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15.4投标报价包括本次招标采购范围内货物价款、货物随配标准附件、包装、运输、装卸、保险、税金、货到位以及安装、安装所需辅材、调试、检验、售后服务、培训、保修及其他所有成本费用的总和，投标人应综合考虑在报价中。</w:t>
      </w:r>
    </w:p>
    <w:p w14:paraId="77291C19">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16、投标有效期</w:t>
      </w:r>
    </w:p>
    <w:p w14:paraId="631F86A6">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16.1投标有效期：投标截止时间之日起90天，有效期不足的投标文件将被拒绝。</w:t>
      </w:r>
    </w:p>
    <w:p w14:paraId="19DF0656">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16.2出现特殊情况下，需要延长投标有效期的，采购代理机构以书面形式通知所有投标人延长投标有效期。投标人同意延长的，投标文件为有效文件，但不能修改投标文件。投标人拒绝延长的，其投标无效。</w:t>
      </w:r>
    </w:p>
    <w:p w14:paraId="032B196D">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17、投标文件的制作</w:t>
      </w:r>
    </w:p>
    <w:p w14:paraId="3D5FEFCE">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17.1 电子投标文件中须加盖投标人公章部分均采用 CA 电子签章，并根据“政府采购项目电子交易管理操作指南-供应商” 及本招标文件规定的格式和顺序编制电子投标文件并进行关联定位，以便评标委员会在评审时，点击评审项可直接定位到该评审项内容。如对招标文件的某项要求，投标人的电子投标文件未能关联定位提供相应的内容与其对应，则评标委员会在评审时如做出对投标人不利的评审判断或结果由投标人自行承担。电子投标文件如内容不完整、编排混乱导致投标文件被误读、 漏读，或者在按招标文件规定的部位查找不到相关内容的，由投标人自行承担。</w:t>
      </w:r>
    </w:p>
    <w:p w14:paraId="299509D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17.2 投标人的法定代表人（负责人）或授权代表持有</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个人CA签章的，应在投标文件中涉及到签字的位置使用个人CA签章，没有办理</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 xml:space="preserve">个人CA签章的可在投标文件中涉及到签字的位置手写签字后扫描或者拍照做成 PDF 的格式上传即可。 </w:t>
      </w:r>
    </w:p>
    <w:p w14:paraId="50BDE51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17.3 投标文件不得涂改，若有修改错漏处，须由法定代表人（负责人）或授权委托人签字（或个人CA签章）。投标文件因字迹潦草或表达不清所引起的后果由投标人负责。</w:t>
      </w:r>
    </w:p>
    <w:p w14:paraId="372C6BED">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17.4特别说明：</w:t>
      </w:r>
    </w:p>
    <w:p w14:paraId="5AC0687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17.4.1各投标人应在投标截止前确保成为</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 xml:space="preserve">平台正式注册入库供应商，并完成CA数字证书申领。因未注册入库、未办理CA数字证书等原因造成无法投标或投标失败等后果由投标人自行承担。 </w:t>
      </w:r>
    </w:p>
    <w:p w14:paraId="1084732D">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17.4.2投标人将</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电子交易客户端下载、安装完成后，可通过账号密码或CA登录客户端进行投标文件制作。客户端请至网站下载专区查看，如有问题可拨打</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 xml:space="preserve">客户服务热线 </w:t>
      </w:r>
      <w:r>
        <w:rPr>
          <w:rFonts w:hint="eastAsia" w:ascii="宋体" w:hAnsi="宋体" w:eastAsia="宋体" w:cs="Times New Roman"/>
          <w:color w:val="auto"/>
          <w:kern w:val="2"/>
          <w:sz w:val="21"/>
          <w:szCs w:val="21"/>
          <w:highlight w:val="none"/>
          <w:lang w:eastAsia="zh-CN"/>
        </w:rPr>
        <w:t>95763</w:t>
      </w:r>
      <w:r>
        <w:rPr>
          <w:rFonts w:hint="eastAsia" w:ascii="宋体" w:hAnsi="宋体" w:eastAsia="宋体" w:cs="Times New Roman"/>
          <w:color w:val="auto"/>
          <w:kern w:val="2"/>
          <w:sz w:val="21"/>
          <w:szCs w:val="21"/>
          <w:highlight w:val="none"/>
        </w:rPr>
        <w:t xml:space="preserve"> 进行咨询。</w:t>
      </w:r>
    </w:p>
    <w:p w14:paraId="27F63008">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18、投标文件的补充、修改和撤回</w:t>
      </w:r>
    </w:p>
    <w:p w14:paraId="2AE9042F">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18.1投标文件递交截止时间前可以撤回电子投标文件。补充或者修改电子投标文件的，应当先行撤回原文件，补充、修改后重新上传递交，在投标文件递交截止时间前未完成传输的，视为撤回投标文件。</w:t>
      </w:r>
    </w:p>
    <w:p w14:paraId="4AE7FF13">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18.2在投标文件递交截止时间后的投标文件有效期内，投标人不得撤回其投标文件。</w:t>
      </w:r>
    </w:p>
    <w:p w14:paraId="5EB64DD4">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19、投标文件的递交和解密</w:t>
      </w:r>
    </w:p>
    <w:p w14:paraId="46F11CE7">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19.1提交投标文件截止时间：详见《投标人须知前附表》第8条。</w:t>
      </w:r>
    </w:p>
    <w:p w14:paraId="5C767E67">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19.2投标文件递交地点：详见《投标人须知前附表》第9条。</w:t>
      </w:r>
    </w:p>
    <w:p w14:paraId="23FD97B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19.3投标文件解密：详见《投标人须知前附表》第10条。</w:t>
      </w:r>
    </w:p>
    <w:p w14:paraId="3EC072FC">
      <w:pPr>
        <w:keepNext w:val="0"/>
        <w:keepLines w:val="0"/>
        <w:pageBreakBefore w:val="0"/>
        <w:kinsoku/>
        <w:wordWrap/>
        <w:overflowPunct/>
        <w:topLinePunct w:val="0"/>
        <w:bidi w:val="0"/>
        <w:adjustRightInd w:val="0"/>
        <w:snapToGrid w:val="0"/>
        <w:spacing w:line="320" w:lineRule="exact"/>
        <w:ind w:firstLine="440" w:firstLineChars="20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19.4 除招标文件另有规定外，投标人所递交的投标文件不予退还。</w:t>
      </w:r>
    </w:p>
    <w:p w14:paraId="46434FD6">
      <w:pPr>
        <w:keepNext w:val="0"/>
        <w:keepLines w:val="0"/>
        <w:pageBreakBefore w:val="0"/>
        <w:tabs>
          <w:tab w:val="left" w:pos="1305"/>
        </w:tabs>
        <w:kinsoku/>
        <w:wordWrap/>
        <w:overflowPunct/>
        <w:topLinePunct w:val="0"/>
        <w:bidi w:val="0"/>
        <w:adjustRightInd w:val="0"/>
        <w:snapToGrid w:val="0"/>
        <w:spacing w:line="320" w:lineRule="exact"/>
        <w:ind w:firstLine="562" w:firstLineChars="200"/>
        <w:jc w:val="center"/>
        <w:textAlignment w:val="auto"/>
        <w:outlineLvl w:val="9"/>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四、开标</w:t>
      </w:r>
    </w:p>
    <w:p w14:paraId="3623696C">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eastAsia="zh-CN"/>
        </w:rPr>
      </w:pPr>
      <w:r>
        <w:rPr>
          <w:rFonts w:hint="eastAsia" w:ascii="宋体" w:hAnsi="宋体" w:eastAsia="宋体" w:cs="Times New Roman"/>
          <w:b/>
          <w:bCs/>
          <w:color w:val="auto"/>
          <w:kern w:val="2"/>
          <w:sz w:val="21"/>
          <w:szCs w:val="21"/>
          <w:highlight w:val="none"/>
        </w:rPr>
        <w:t>20、开标的时间和地点</w:t>
      </w:r>
      <w:r>
        <w:rPr>
          <w:rFonts w:hint="eastAsia" w:ascii="宋体" w:hAnsi="宋体" w:eastAsia="宋体" w:cs="Times New Roman"/>
          <w:b/>
          <w:bCs/>
          <w:color w:val="auto"/>
          <w:kern w:val="2"/>
          <w:sz w:val="21"/>
          <w:szCs w:val="21"/>
          <w:highlight w:val="none"/>
          <w:lang w:eastAsia="zh-CN"/>
        </w:rPr>
        <w:t>、评标地点</w:t>
      </w:r>
    </w:p>
    <w:p w14:paraId="6B7A2A9F">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20.1开标时间：详见《投标人须知前附表》第11条；</w:t>
      </w:r>
    </w:p>
    <w:p w14:paraId="2EB45539">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eastAsia="zh-CN"/>
        </w:rPr>
      </w:pPr>
      <w:r>
        <w:rPr>
          <w:rFonts w:hint="eastAsia" w:ascii="宋体" w:hAnsi="宋体" w:eastAsia="宋体" w:cs="Times New Roman"/>
          <w:color w:val="auto"/>
          <w:kern w:val="2"/>
          <w:sz w:val="21"/>
          <w:szCs w:val="21"/>
          <w:highlight w:val="none"/>
        </w:rPr>
        <w:t>20.2开标地点：详见《投标人须知前附表》第11条</w:t>
      </w:r>
      <w:r>
        <w:rPr>
          <w:rFonts w:hint="eastAsia" w:ascii="宋体" w:hAnsi="宋体" w:eastAsia="宋体" w:cs="Times New Roman"/>
          <w:color w:val="auto"/>
          <w:kern w:val="2"/>
          <w:sz w:val="21"/>
          <w:szCs w:val="21"/>
          <w:highlight w:val="none"/>
          <w:lang w:eastAsia="zh-CN"/>
        </w:rPr>
        <w:t>；</w:t>
      </w:r>
    </w:p>
    <w:p w14:paraId="3BD6C956">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本项目使用电子开标，并通过</w:t>
      </w:r>
      <w:r>
        <w:rPr>
          <w:rFonts w:hint="eastAsia" w:ascii="宋体" w:hAnsi="宋体" w:eastAsia="宋体" w:cs="Times New Roman"/>
          <w:color w:val="auto"/>
          <w:kern w:val="2"/>
          <w:sz w:val="21"/>
          <w:szCs w:val="21"/>
          <w:highlight w:val="none"/>
          <w:lang w:eastAsia="zh-CN"/>
        </w:rPr>
        <w:t>广西政府采购云平台</w:t>
      </w:r>
      <w:r>
        <w:rPr>
          <w:rFonts w:hint="eastAsia" w:ascii="宋体" w:hAnsi="宋体" w:eastAsia="宋体" w:cs="Times New Roman"/>
          <w:color w:val="auto"/>
          <w:kern w:val="2"/>
          <w:sz w:val="21"/>
          <w:szCs w:val="21"/>
          <w:highlight w:val="none"/>
        </w:rPr>
        <w:t>平台实行在线解密开启。</w:t>
      </w:r>
    </w:p>
    <w:p w14:paraId="5833A050">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20.</w:t>
      </w:r>
      <w:r>
        <w:rPr>
          <w:rFonts w:hint="eastAsia" w:ascii="宋体" w:hAnsi="宋体" w:eastAsia="宋体" w:cs="Times New Roman"/>
          <w:color w:val="auto"/>
          <w:kern w:val="2"/>
          <w:sz w:val="21"/>
          <w:szCs w:val="21"/>
          <w:highlight w:val="none"/>
          <w:lang w:val="en-US" w:eastAsia="zh-CN"/>
        </w:rPr>
        <w:t>3</w:t>
      </w:r>
      <w:r>
        <w:rPr>
          <w:rFonts w:hint="eastAsia" w:ascii="宋体" w:hAnsi="宋体" w:eastAsia="宋体" w:cs="Times New Roman"/>
          <w:color w:val="auto"/>
          <w:kern w:val="2"/>
          <w:sz w:val="21"/>
          <w:szCs w:val="21"/>
          <w:highlight w:val="none"/>
        </w:rPr>
        <w:t>投标人可以由法定代表人（负责人、自然人）或其委托代理人出席开标会议。</w:t>
      </w:r>
    </w:p>
    <w:p w14:paraId="323DB4B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20.</w:t>
      </w:r>
      <w:r>
        <w:rPr>
          <w:rFonts w:hint="eastAsia" w:ascii="宋体" w:hAnsi="宋体" w:eastAsia="宋体" w:cs="Times New Roman"/>
          <w:color w:val="auto"/>
          <w:kern w:val="2"/>
          <w:sz w:val="21"/>
          <w:szCs w:val="21"/>
          <w:highlight w:val="none"/>
          <w:lang w:val="en-US" w:eastAsia="zh-CN"/>
        </w:rPr>
        <w:t>4</w:t>
      </w:r>
      <w:r>
        <w:rPr>
          <w:rFonts w:hint="eastAsia" w:ascii="宋体" w:hAnsi="宋体" w:eastAsia="宋体" w:cs="Times New Roman"/>
          <w:color w:val="auto"/>
          <w:kern w:val="2"/>
          <w:sz w:val="21"/>
          <w:szCs w:val="21"/>
          <w:highlight w:val="none"/>
        </w:rPr>
        <w:t>投标人少于3家的，不得开标，采购人或者采购代理机构应当重新组织采购。</w:t>
      </w:r>
    </w:p>
    <w:p w14:paraId="15156C7E">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lang w:val="en-US" w:eastAsia="zh-CN"/>
        </w:rPr>
        <w:t>20.5 评标地点：详见《投标人须知前附表》第11条。</w:t>
      </w:r>
    </w:p>
    <w:p w14:paraId="6EB7B080">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21、开标程序</w:t>
      </w:r>
    </w:p>
    <w:p w14:paraId="2546529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21.1开标的准备工作由采购代理机构负责落实；</w:t>
      </w:r>
    </w:p>
    <w:p w14:paraId="6AD2FAA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21.2采购代理机构将按照招标文件规定的时间通过“</w:t>
      </w:r>
      <w:r>
        <w:rPr>
          <w:rFonts w:hint="eastAsia" w:ascii="宋体" w:hAnsi="宋体" w:eastAsia="宋体" w:cs="宋体"/>
          <w:b w:val="0"/>
          <w:bCs/>
          <w:color w:val="auto"/>
          <w:sz w:val="21"/>
          <w:szCs w:val="21"/>
          <w:highlight w:val="none"/>
          <w:lang w:eastAsia="zh-CN"/>
        </w:rPr>
        <w:t>广西</w:t>
      </w:r>
      <w:r>
        <w:rPr>
          <w:rFonts w:hint="eastAsia" w:ascii="宋体" w:hAnsi="宋体" w:eastAsia="宋体" w:cs="Times New Roman"/>
          <w:color w:val="auto"/>
          <w:kern w:val="2"/>
          <w:sz w:val="21"/>
          <w:szCs w:val="21"/>
          <w:highlight w:val="none"/>
        </w:rPr>
        <w:t>政府采购云平台”组织开标、开启投标文件，所有投标人均应当准时在线参加。投标人如不参加开标会的，视同认可开标结果，事后不得对采购相关人员、开标过程和开标结果提出异议，同时投标人因未在线参加开标而导致投标文件无法按时解密等一切后果由投标人自己承担。</w:t>
      </w:r>
    </w:p>
    <w:p w14:paraId="227F0CBD">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21.3开标程序</w:t>
      </w:r>
    </w:p>
    <w:p w14:paraId="18B2929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21.3.1系统向各投标人发出电子加密投标文件【开始解密】通知，由投标人按招标文件规定的时间内对投标文件进行自行解密。若投标人在规定时间内无法解密或解密失败或超时解密的，系统默认自动放弃，投标文件按投标无效处理。在线解密时间为30分钟。</w:t>
      </w:r>
    </w:p>
    <w:p w14:paraId="7E3E3C05">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21.3.2投标文件解密结束后，开标活动组织人员在线开启投标文件。</w:t>
      </w:r>
    </w:p>
    <w:p w14:paraId="16F3896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w:t>
      </w:r>
      <w:r>
        <w:rPr>
          <w:rFonts w:hint="eastAsia" w:ascii="宋体" w:hAnsi="宋体" w:eastAsia="宋体" w:cs="Times New Roman"/>
          <w:color w:val="auto"/>
          <w:kern w:val="2"/>
          <w:sz w:val="21"/>
          <w:szCs w:val="21"/>
          <w:highlight w:val="none"/>
          <w:lang w:val="en-US" w:eastAsia="zh-CN"/>
        </w:rPr>
        <w:t>1</w:t>
      </w: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3</w:t>
      </w:r>
      <w:r>
        <w:rPr>
          <w:rFonts w:hint="eastAsia" w:ascii="宋体" w:hAnsi="宋体" w:eastAsia="宋体" w:cs="Times New Roman"/>
          <w:color w:val="auto"/>
          <w:kern w:val="2"/>
          <w:sz w:val="21"/>
          <w:szCs w:val="21"/>
          <w:highlight w:val="none"/>
        </w:rPr>
        <w:t>.3开启投标人报价文件，电子开标大厅记录显示并记录投标人投标报价表的投标报价、折扣等。</w:t>
      </w:r>
    </w:p>
    <w:p w14:paraId="326FF9C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w:t>
      </w:r>
      <w:r>
        <w:rPr>
          <w:rFonts w:hint="eastAsia" w:ascii="宋体" w:hAnsi="宋体" w:eastAsia="宋体" w:cs="Times New Roman"/>
          <w:color w:val="auto"/>
          <w:kern w:val="2"/>
          <w:sz w:val="21"/>
          <w:szCs w:val="21"/>
          <w:highlight w:val="none"/>
          <w:lang w:val="en-US" w:eastAsia="zh-CN"/>
        </w:rPr>
        <w:t>1</w:t>
      </w: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3</w:t>
      </w:r>
      <w:r>
        <w:rPr>
          <w:rFonts w:hint="eastAsia" w:ascii="宋体" w:hAnsi="宋体" w:eastAsia="宋体" w:cs="Times New Roman"/>
          <w:color w:val="auto"/>
          <w:kern w:val="2"/>
          <w:sz w:val="21"/>
          <w:szCs w:val="21"/>
          <w:highlight w:val="none"/>
        </w:rPr>
        <w:t>.4开标结束后，投标人线上确认投标报价。</w:t>
      </w:r>
    </w:p>
    <w:p w14:paraId="4A6DFED7">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w:t>
      </w:r>
      <w:r>
        <w:rPr>
          <w:rFonts w:hint="eastAsia" w:ascii="宋体" w:hAnsi="宋体" w:eastAsia="宋体" w:cs="Times New Roman"/>
          <w:color w:val="auto"/>
          <w:kern w:val="2"/>
          <w:sz w:val="21"/>
          <w:szCs w:val="21"/>
          <w:highlight w:val="none"/>
          <w:lang w:val="en-US" w:eastAsia="zh-CN"/>
        </w:rPr>
        <w:t>1</w:t>
      </w: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3</w:t>
      </w:r>
      <w:r>
        <w:rPr>
          <w:rFonts w:hint="eastAsia" w:ascii="宋体" w:hAnsi="宋体" w:eastAsia="宋体" w:cs="Times New Roman"/>
          <w:color w:val="auto"/>
          <w:kern w:val="2"/>
          <w:sz w:val="21"/>
          <w:szCs w:val="21"/>
          <w:highlight w:val="none"/>
        </w:rPr>
        <w:t>.</w:t>
      </w:r>
      <w:r>
        <w:rPr>
          <w:rFonts w:hint="eastAsia" w:ascii="宋体" w:hAnsi="宋体" w:eastAsia="宋体" w:cs="Times New Roman"/>
          <w:color w:val="auto"/>
          <w:kern w:val="2"/>
          <w:sz w:val="21"/>
          <w:szCs w:val="21"/>
          <w:highlight w:val="none"/>
          <w:lang w:val="en-US" w:eastAsia="zh-CN"/>
        </w:rPr>
        <w:t>5</w:t>
      </w:r>
      <w:r>
        <w:rPr>
          <w:rFonts w:hint="eastAsia" w:ascii="宋体" w:hAnsi="宋体" w:eastAsia="宋体" w:cs="Times New Roman"/>
          <w:color w:val="auto"/>
          <w:kern w:val="2"/>
          <w:sz w:val="21"/>
          <w:szCs w:val="21"/>
          <w:highlight w:val="none"/>
        </w:rPr>
        <w:t>投标人代表对开标过程和开标记录有疑义，以及认为采购人、采购代理机构相关工作人员有需要回避的情形的，应当场提出询问或者回避申请。采购人、采购代理机构对投标人代表提出的询问或者回避申请应当及时处理。</w:t>
      </w:r>
    </w:p>
    <w:p w14:paraId="71F2A76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lang w:val="en-US" w:eastAsia="zh-CN"/>
        </w:rPr>
        <w:t>21.3.6</w:t>
      </w:r>
      <w:r>
        <w:rPr>
          <w:rFonts w:hint="eastAsia" w:ascii="宋体" w:hAnsi="宋体" w:eastAsia="宋体" w:cs="Times New Roman"/>
          <w:color w:val="auto"/>
          <w:kern w:val="2"/>
          <w:sz w:val="21"/>
          <w:szCs w:val="21"/>
          <w:highlight w:val="none"/>
        </w:rPr>
        <w:t>开标结束后，如发现开标结果与</w:t>
      </w:r>
      <w:r>
        <w:rPr>
          <w:rFonts w:hint="eastAsia" w:ascii="宋体" w:hAnsi="宋体" w:eastAsia="宋体" w:cs="Times New Roman"/>
          <w:color w:val="auto"/>
          <w:kern w:val="2"/>
          <w:sz w:val="21"/>
          <w:szCs w:val="21"/>
          <w:highlight w:val="none"/>
          <w:lang w:eastAsia="zh-CN"/>
        </w:rPr>
        <w:t>投标</w:t>
      </w:r>
      <w:r>
        <w:rPr>
          <w:rFonts w:hint="eastAsia" w:ascii="宋体" w:hAnsi="宋体" w:eastAsia="宋体" w:cs="Times New Roman"/>
          <w:color w:val="auto"/>
          <w:kern w:val="2"/>
          <w:sz w:val="21"/>
          <w:szCs w:val="21"/>
          <w:highlight w:val="none"/>
        </w:rPr>
        <w:t>文件不一致者，由评标委员会根据</w:t>
      </w:r>
      <w:r>
        <w:rPr>
          <w:rFonts w:hint="eastAsia" w:ascii="宋体" w:hAnsi="宋体" w:eastAsia="宋体" w:cs="Times New Roman"/>
          <w:color w:val="auto"/>
          <w:kern w:val="2"/>
          <w:sz w:val="21"/>
          <w:szCs w:val="21"/>
          <w:highlight w:val="none"/>
          <w:lang w:eastAsia="zh-CN"/>
        </w:rPr>
        <w:t>投标</w:t>
      </w:r>
      <w:r>
        <w:rPr>
          <w:rFonts w:hint="eastAsia" w:ascii="宋体" w:hAnsi="宋体" w:eastAsia="宋体" w:cs="Times New Roman"/>
          <w:color w:val="auto"/>
          <w:kern w:val="2"/>
          <w:sz w:val="21"/>
          <w:szCs w:val="21"/>
          <w:highlight w:val="none"/>
        </w:rPr>
        <w:t>文件内容进行修正。</w:t>
      </w:r>
    </w:p>
    <w:p w14:paraId="6606CDDD">
      <w:pPr>
        <w:keepNext w:val="0"/>
        <w:keepLines w:val="0"/>
        <w:pageBreakBefore w:val="0"/>
        <w:kinsoku/>
        <w:wordWrap/>
        <w:overflowPunct/>
        <w:topLinePunct w:val="0"/>
        <w:bidi w:val="0"/>
        <w:adjustRightInd w:val="0"/>
        <w:snapToGrid w:val="0"/>
        <w:spacing w:line="320" w:lineRule="exact"/>
        <w:ind w:firstLine="442" w:firstLineChars="200"/>
        <w:textAlignment w:val="auto"/>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特别说明：如遇“</w:t>
      </w:r>
      <w:r>
        <w:rPr>
          <w:rFonts w:hint="eastAsia" w:ascii="宋体" w:hAnsi="宋体" w:eastAsia="宋体" w:cs="宋体"/>
          <w:b/>
          <w:bCs/>
          <w:color w:val="auto"/>
          <w:szCs w:val="21"/>
          <w:highlight w:val="none"/>
          <w:lang w:eastAsia="zh-CN"/>
        </w:rPr>
        <w:t>广西</w:t>
      </w:r>
      <w:r>
        <w:rPr>
          <w:rFonts w:hint="eastAsia" w:ascii="宋体" w:hAnsi="宋体" w:eastAsia="宋体" w:cs="宋体"/>
          <w:b/>
          <w:bCs/>
          <w:color w:val="auto"/>
          <w:szCs w:val="21"/>
          <w:highlight w:val="none"/>
        </w:rPr>
        <w:t>政府采购云平台”电子化开标或评审程序调整的，按调整后程序执行。</w:t>
      </w:r>
    </w:p>
    <w:p w14:paraId="135B98D4">
      <w:pPr>
        <w:pStyle w:val="23"/>
        <w:keepNext w:val="0"/>
        <w:keepLines w:val="0"/>
        <w:pageBreakBefore w:val="0"/>
        <w:kinsoku/>
        <w:wordWrap/>
        <w:overflowPunct/>
        <w:topLinePunct w:val="0"/>
        <w:bidi w:val="0"/>
        <w:adjustRightInd w:val="0"/>
        <w:snapToGrid w:val="0"/>
        <w:spacing w:line="320" w:lineRule="exact"/>
        <w:ind w:firstLine="480"/>
        <w:textAlignment w:val="auto"/>
        <w:rPr>
          <w:rFonts w:hint="eastAsia" w:ascii="宋体" w:hAnsi="宋体" w:eastAsia="宋体" w:cs="宋体"/>
          <w:color w:val="auto"/>
          <w:highlight w:val="none"/>
        </w:rPr>
      </w:pPr>
    </w:p>
    <w:p w14:paraId="59A90BF5">
      <w:pPr>
        <w:keepNext w:val="0"/>
        <w:keepLines w:val="0"/>
        <w:pageBreakBefore w:val="0"/>
        <w:tabs>
          <w:tab w:val="left" w:pos="1305"/>
        </w:tabs>
        <w:kinsoku/>
        <w:wordWrap/>
        <w:overflowPunct/>
        <w:topLinePunct w:val="0"/>
        <w:bidi w:val="0"/>
        <w:adjustRightInd w:val="0"/>
        <w:snapToGrid w:val="0"/>
        <w:spacing w:line="320" w:lineRule="exact"/>
        <w:ind w:firstLine="562" w:firstLineChars="200"/>
        <w:jc w:val="center"/>
        <w:textAlignment w:val="auto"/>
        <w:outlineLvl w:val="9"/>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五、资格性审查</w:t>
      </w:r>
    </w:p>
    <w:p w14:paraId="0CD66151">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22、资格性审查</w:t>
      </w:r>
    </w:p>
    <w:p w14:paraId="732ED69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22.1公开招标采购项目开标结束后，采购人或者采购代理机构应当依法对投标人的资格进行审查。合格投标人不足3家的，不得评标。</w:t>
      </w:r>
    </w:p>
    <w:p w14:paraId="3C5C4749">
      <w:pPr>
        <w:widowControl w:val="0"/>
        <w:adjustRightInd/>
        <w:snapToGrid/>
        <w:spacing w:after="0" w:line="380" w:lineRule="exact"/>
        <w:ind w:firstLine="435"/>
        <w:jc w:val="both"/>
        <w:rPr>
          <w:rFonts w:hint="eastAsia" w:ascii="宋体" w:hAnsi="宋体" w:eastAsia="宋体" w:cs="宋体"/>
          <w:b/>
          <w:bCs/>
          <w:color w:val="auto"/>
          <w:szCs w:val="21"/>
          <w:highlight w:val="none"/>
        </w:rPr>
      </w:pPr>
      <w:r>
        <w:rPr>
          <w:rFonts w:hint="eastAsia" w:ascii="宋体" w:hAnsi="宋体" w:eastAsia="宋体" w:cs="Times New Roman"/>
          <w:b/>
          <w:bCs/>
          <w:color w:val="auto"/>
          <w:kern w:val="2"/>
          <w:sz w:val="21"/>
          <w:szCs w:val="21"/>
          <w:highlight w:val="none"/>
        </w:rPr>
        <w:t>22.2采购人或采购代理机构在对投标人进行资格性审查时，将对投标人企业股东及出资等信息进行查询。根据《中华人民共和国政府采购法实施条例》第十八条第一款规定，审查中如发现投标人存在单位负责人为同一人或者存在直接控股、管理关系的不同投标人参加同一合同项下的政府采购活动的，按投标无效处理。</w:t>
      </w:r>
    </w:p>
    <w:p w14:paraId="3AFAFBA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查询渠道：《国家企业信用信息公示系统》（网址：</w:t>
      </w:r>
      <w:r>
        <w:rPr>
          <w:rFonts w:hint="eastAsia" w:ascii="宋体" w:hAnsi="宋体" w:eastAsia="宋体" w:cs="Times New Roman"/>
          <w:color w:val="auto"/>
          <w:kern w:val="2"/>
          <w:sz w:val="21"/>
          <w:szCs w:val="21"/>
          <w:highlight w:val="none"/>
        </w:rPr>
        <w:fldChar w:fldCharType="begin"/>
      </w:r>
      <w:r>
        <w:rPr>
          <w:rFonts w:hint="eastAsia" w:ascii="宋体" w:hAnsi="宋体" w:eastAsia="宋体" w:cs="Times New Roman"/>
          <w:color w:val="auto"/>
          <w:kern w:val="2"/>
          <w:sz w:val="21"/>
          <w:szCs w:val="21"/>
          <w:highlight w:val="none"/>
        </w:rPr>
        <w:instrText xml:space="preserve"> HYPERLINK "http://www.gsxt.gov.cn/index.html" </w:instrText>
      </w:r>
      <w:r>
        <w:rPr>
          <w:rFonts w:hint="eastAsia" w:ascii="宋体" w:hAnsi="宋体" w:eastAsia="宋体" w:cs="Times New Roman"/>
          <w:color w:val="auto"/>
          <w:kern w:val="2"/>
          <w:sz w:val="21"/>
          <w:szCs w:val="21"/>
          <w:highlight w:val="none"/>
        </w:rPr>
        <w:fldChar w:fldCharType="separate"/>
      </w:r>
      <w:r>
        <w:rPr>
          <w:rFonts w:hint="eastAsia" w:ascii="宋体" w:hAnsi="宋体" w:eastAsia="宋体" w:cs="Times New Roman"/>
          <w:color w:val="auto"/>
          <w:kern w:val="2"/>
          <w:sz w:val="21"/>
          <w:szCs w:val="21"/>
          <w:highlight w:val="none"/>
        </w:rPr>
        <w:t>http://www.gsxt.gov.cn/index.html</w:t>
      </w:r>
      <w:r>
        <w:rPr>
          <w:rFonts w:hint="eastAsia" w:ascii="宋体" w:hAnsi="宋体" w:eastAsia="宋体" w:cs="Times New Roman"/>
          <w:color w:val="auto"/>
          <w:kern w:val="2"/>
          <w:sz w:val="21"/>
          <w:szCs w:val="21"/>
          <w:highlight w:val="none"/>
        </w:rPr>
        <w:fldChar w:fldCharType="end"/>
      </w:r>
      <w:r>
        <w:rPr>
          <w:rFonts w:hint="eastAsia" w:ascii="宋体" w:hAnsi="宋体" w:eastAsia="宋体" w:cs="Times New Roman"/>
          <w:color w:val="auto"/>
          <w:kern w:val="2"/>
          <w:sz w:val="21"/>
          <w:szCs w:val="21"/>
          <w:highlight w:val="none"/>
        </w:rPr>
        <w:t>）</w:t>
      </w:r>
    </w:p>
    <w:p w14:paraId="04C6346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审查流程：</w:t>
      </w:r>
    </w:p>
    <w:p w14:paraId="414A1B6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（1）进入《国家企业信用信息公示系统》（网址：http://www.gsxt.gov.cn/index.html），输入企业名称，进入企业信息主页面；</w:t>
      </w:r>
    </w:p>
    <w:p w14:paraId="4F00308D">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（2）查看主页“股东及出资信息”栏，或年报中的“股东及出资信息”栏信息；</w:t>
      </w:r>
    </w:p>
    <w:p w14:paraId="49DC6EE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（3）将各投标人的股东及出资信息进行比对，得出审查结论；</w:t>
      </w:r>
    </w:p>
    <w:p w14:paraId="0CF6EDAB">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（4）将相关资料作为评审资料打印存档。</w:t>
      </w:r>
    </w:p>
    <w:p w14:paraId="311DA994">
      <w:pPr>
        <w:pStyle w:val="9"/>
        <w:keepNext w:val="0"/>
        <w:keepLines w:val="0"/>
        <w:pageBreakBefore w:val="0"/>
        <w:kinsoku/>
        <w:wordWrap/>
        <w:overflowPunct/>
        <w:topLinePunct w:val="0"/>
        <w:bidi w:val="0"/>
        <w:adjustRightInd w:val="0"/>
        <w:snapToGrid w:val="0"/>
        <w:spacing w:line="320" w:lineRule="exact"/>
        <w:ind w:firstLine="413" w:firstLineChars="196"/>
        <w:textAlignment w:val="auto"/>
        <w:outlineLvl w:val="1"/>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22.3对未通过资格性审查的投标人，采购人或者采购代理机构应当以电话或通过</w:t>
      </w:r>
      <w:r>
        <w:rPr>
          <w:rFonts w:hint="eastAsia" w:hAnsi="宋体" w:cs="宋体"/>
          <w:b/>
          <w:color w:val="auto"/>
          <w:szCs w:val="21"/>
          <w:highlight w:val="none"/>
          <w:lang w:eastAsia="zh-CN"/>
        </w:rPr>
        <w:t>“广西政府采购云平台”</w:t>
      </w:r>
      <w:r>
        <w:rPr>
          <w:rFonts w:hint="eastAsia" w:ascii="宋体" w:hAnsi="宋体" w:eastAsia="宋体" w:cs="宋体"/>
          <w:b/>
          <w:color w:val="auto"/>
          <w:szCs w:val="21"/>
          <w:highlight w:val="none"/>
        </w:rPr>
        <w:t>平台告知投标人未通过的原因并做相应记录。</w:t>
      </w:r>
    </w:p>
    <w:p w14:paraId="04409758">
      <w:pPr>
        <w:keepNext w:val="0"/>
        <w:keepLines w:val="0"/>
        <w:pageBreakBefore w:val="0"/>
        <w:tabs>
          <w:tab w:val="center" w:pos="4411"/>
          <w:tab w:val="left" w:pos="5475"/>
        </w:tabs>
        <w:kinsoku/>
        <w:wordWrap/>
        <w:overflowPunct/>
        <w:topLinePunct w:val="0"/>
        <w:bidi w:val="0"/>
        <w:adjustRightInd w:val="0"/>
        <w:snapToGrid w:val="0"/>
        <w:spacing w:line="320" w:lineRule="exact"/>
        <w:jc w:val="center"/>
        <w:textAlignment w:val="auto"/>
        <w:outlineLvl w:val="9"/>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六、评标</w:t>
      </w:r>
    </w:p>
    <w:p w14:paraId="0D4BA426">
      <w:pPr>
        <w:keepNext w:val="0"/>
        <w:keepLines w:val="0"/>
        <w:pageBreakBefore w:val="0"/>
        <w:tabs>
          <w:tab w:val="center" w:pos="4411"/>
          <w:tab w:val="left" w:pos="5475"/>
        </w:tabs>
        <w:kinsoku/>
        <w:wordWrap/>
        <w:overflowPunct/>
        <w:topLinePunct w:val="0"/>
        <w:bidi w:val="0"/>
        <w:adjustRightInd w:val="0"/>
        <w:snapToGrid w:val="0"/>
        <w:spacing w:line="320" w:lineRule="exact"/>
        <w:ind w:firstLine="442" w:firstLineChars="200"/>
        <w:jc w:val="left"/>
        <w:textAlignment w:val="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23、评标委员会组成</w:t>
      </w:r>
    </w:p>
    <w:p w14:paraId="5EE9FB39">
      <w:pPr>
        <w:keepNext w:val="0"/>
        <w:keepLines w:val="0"/>
        <w:pageBreakBefore w:val="0"/>
        <w:tabs>
          <w:tab w:val="left" w:pos="1140"/>
        </w:tabs>
        <w:kinsoku/>
        <w:wordWrap/>
        <w:overflowPunct/>
        <w:topLinePunct w:val="0"/>
        <w:bidi w:val="0"/>
        <w:adjustRightInd w:val="0"/>
        <w:snapToGrid w:val="0"/>
        <w:spacing w:line="320" w:lineRule="exact"/>
        <w:ind w:left="439" w:leftChars="172" w:hanging="61" w:hangingChars="28"/>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评标委员会由采购人代表1人和评审专家4人组成，成员人数共5人。</w:t>
      </w:r>
    </w:p>
    <w:p w14:paraId="008E1ACD">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val="en-US" w:eastAsia="zh-CN"/>
        </w:rPr>
      </w:pPr>
      <w:r>
        <w:rPr>
          <w:rFonts w:hint="eastAsia" w:ascii="宋体" w:hAnsi="宋体" w:eastAsia="宋体" w:cs="Times New Roman"/>
          <w:b/>
          <w:bCs/>
          <w:color w:val="auto"/>
          <w:kern w:val="2"/>
          <w:sz w:val="21"/>
          <w:szCs w:val="21"/>
          <w:highlight w:val="none"/>
        </w:rPr>
        <w:t>24、评标办法</w:t>
      </w:r>
    </w:p>
    <w:p w14:paraId="429B8E5D">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24.1评标办法：综合评分法，具体评标内容及标准详见第四章。</w:t>
      </w:r>
    </w:p>
    <w:p w14:paraId="711247B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24.2评标委员会应按招标文件进行评标，不得擅自更改评标办法。　　　　　　　　　　　　　　　　　　　　　　　　　　　　　　　　　　　　　　　　　　　　　　　　　　　　　　　　　　</w:t>
      </w:r>
    </w:p>
    <w:p w14:paraId="0C7A8A81">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rPr>
      </w:pPr>
      <w:r>
        <w:rPr>
          <w:rFonts w:hint="eastAsia" w:ascii="宋体" w:hAnsi="宋体" w:eastAsia="宋体" w:cs="Times New Roman"/>
          <w:b/>
          <w:bCs/>
          <w:color w:val="auto"/>
          <w:kern w:val="2"/>
          <w:sz w:val="21"/>
          <w:szCs w:val="21"/>
          <w:highlight w:val="none"/>
        </w:rPr>
        <w:t>25、评标</w:t>
      </w:r>
    </w:p>
    <w:p w14:paraId="1A164E57">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25.1采购代理机构负责评标组织工作；评标委员会自行登录评标系统阅读评标工作职责与纪律，确认回避原则，评标委员会推选评标组长，采购人代表不得担任组长；公布投标人名单；在评标期间由桂林市公共资源交易中心采取必要的通讯管理措施并保证评标活动不受外界干扰；采购代理机构根据评标委员会的要求介绍政府采购相关政策法规、招标文件；维护评标秩序，监督评标委员会依照招标文件规定的评标程序、方法和标准进行独立评审，及时制止和纠正采购人代表、评标专家的倾向性言论或者违法违规行为；核对评标结果，有投标无效情形的，要求评标委员会复核或者书面说明理由，评标委员会拒绝的，应予记录并向本级财政部门报告；评审工作完成后，按照规定向评审专家支付劳务报酬和异地评审差旅费，不得向评审专家以外的其他人员支付评审劳务报酬；</w:t>
      </w:r>
    </w:p>
    <w:p w14:paraId="204248D6">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25.2评标委员会负责具体评标事务；审查、评价投标文件是否符合招标文件的商务、技术等实质性要求；要求投标人对投标文件有关事项作出澄清或者说明；对投标文件进行比较和评价；确定中标候选人名单，以及根据采购人委托直接确定中标人；向采购人、采购代理机构或者有关部门报告评标中发现的违法行为。</w:t>
      </w:r>
    </w:p>
    <w:p w14:paraId="132A0D3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25.3在评标过程中，评标委员会任何人不得对某个投标人发表任何倾向性意见，不得向其他专家评委明示或者暗示自己的评审意见。</w:t>
      </w:r>
    </w:p>
    <w:p w14:paraId="045CA673">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25.4评标委员会应当对符合资格的投标人的投标文件进行符合性审查，以确定其是否满足招标文件的实质性要求。</w:t>
      </w:r>
    </w:p>
    <w:p w14:paraId="4C229499">
      <w:pPr>
        <w:pStyle w:val="9"/>
        <w:keepNext w:val="0"/>
        <w:keepLines w:val="0"/>
        <w:pageBreakBefore w:val="0"/>
        <w:kinsoku/>
        <w:wordWrap/>
        <w:overflowPunct/>
        <w:topLinePunct w:val="0"/>
        <w:bidi w:val="0"/>
        <w:adjustRightInd w:val="0"/>
        <w:snapToGrid w:val="0"/>
        <w:spacing w:line="320" w:lineRule="exact"/>
        <w:ind w:firstLine="413" w:firstLineChars="196"/>
        <w:textAlignment w:val="auto"/>
        <w:outlineLvl w:val="1"/>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对未通过符合性审查的投标人，评标委员会应当以电话或通过</w:t>
      </w:r>
      <w:r>
        <w:rPr>
          <w:rFonts w:hint="eastAsia" w:hAnsi="宋体" w:cs="宋体"/>
          <w:b/>
          <w:color w:val="auto"/>
          <w:szCs w:val="21"/>
          <w:highlight w:val="none"/>
          <w:lang w:eastAsia="zh-CN"/>
        </w:rPr>
        <w:t>“广西政府采购云平台”</w:t>
      </w:r>
      <w:r>
        <w:rPr>
          <w:rFonts w:hint="eastAsia" w:ascii="宋体" w:hAnsi="宋体" w:eastAsia="宋体" w:cs="宋体"/>
          <w:b/>
          <w:color w:val="auto"/>
          <w:szCs w:val="21"/>
          <w:highlight w:val="none"/>
        </w:rPr>
        <w:t>平台告知投标人未通过的原因并做相应记录。</w:t>
      </w:r>
    </w:p>
    <w:p w14:paraId="6A01FEC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25.5对于投标文件中含义不明确、同类问题表述不一致或者有明显文字和计算错误的内容，评标委员会应当以书面形式要求投标人作出必要的澄清、说明或者补正。</w:t>
      </w:r>
    </w:p>
    <w:p w14:paraId="0828934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投标人的澄清、说明或者补正应当采用书面形式，并加盖投标人公章（CA签章），或者由法定代表人或其授权的代表签字或个人公章CA签章。投标人的澄清、说明或者补正不得超出投标文件的范围或者改变投标文件的实质性内容。</w:t>
      </w:r>
    </w:p>
    <w:p w14:paraId="7478F126">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rPr>
      </w:pPr>
      <w:r>
        <w:rPr>
          <w:rFonts w:hint="eastAsia" w:ascii="宋体" w:hAnsi="宋体" w:eastAsia="宋体" w:cs="Times New Roman"/>
          <w:color w:val="auto"/>
          <w:kern w:val="2"/>
          <w:sz w:val="21"/>
          <w:szCs w:val="21"/>
          <w:highlight w:val="none"/>
        </w:rPr>
        <w:t>25.6评标委员会应当按照招标文件中规定的评标方法和标准，对符合性审查合格的投标文件进行商务和技术评估，综合比较与评价。</w:t>
      </w:r>
    </w:p>
    <w:p w14:paraId="273B8CF5">
      <w:pPr>
        <w:pStyle w:val="12"/>
        <w:keepNext w:val="0"/>
        <w:keepLines w:val="0"/>
        <w:pageBreakBefore w:val="0"/>
        <w:shd w:val="clear" w:color="auto" w:fill="FFFFFF"/>
        <w:kinsoku/>
        <w:wordWrap/>
        <w:overflowPunct/>
        <w:topLinePunct w:val="0"/>
        <w:bidi w:val="0"/>
        <w:adjustRightInd w:val="0"/>
        <w:snapToGrid w:val="0"/>
        <w:spacing w:before="0" w:beforeAutospacing="0" w:after="0" w:afterAutospacing="0" w:line="320" w:lineRule="exact"/>
        <w:ind w:firstLine="422" w:firstLineChars="200"/>
        <w:textAlignment w:val="auto"/>
        <w:rPr>
          <w:rFonts w:hint="eastAsia"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rPr>
        <w:t>25.7投标文件报价出现前后不一致的，除招标文件另有规定外，按照下列规定修正：</w:t>
      </w:r>
    </w:p>
    <w:p w14:paraId="2C574EED">
      <w:pPr>
        <w:pStyle w:val="12"/>
        <w:keepNext w:val="0"/>
        <w:keepLines w:val="0"/>
        <w:pageBreakBefore w:val="0"/>
        <w:shd w:val="clear" w:color="auto" w:fill="FFFFFF"/>
        <w:kinsoku/>
        <w:wordWrap/>
        <w:overflowPunct/>
        <w:topLinePunct w:val="0"/>
        <w:bidi w:val="0"/>
        <w:adjustRightInd w:val="0"/>
        <w:snapToGrid w:val="0"/>
        <w:spacing w:before="0" w:beforeAutospacing="0" w:after="0" w:afterAutospacing="0" w:line="320" w:lineRule="exact"/>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　　（1）投标文件中投标报价表内容与投标文件中相应内容不一致的，以投标报价表为准；</w:t>
      </w:r>
    </w:p>
    <w:p w14:paraId="3A299A86">
      <w:pPr>
        <w:pStyle w:val="12"/>
        <w:keepNext w:val="0"/>
        <w:keepLines w:val="0"/>
        <w:pageBreakBefore w:val="0"/>
        <w:shd w:val="clear" w:color="auto" w:fill="FFFFFF"/>
        <w:kinsoku/>
        <w:wordWrap/>
        <w:overflowPunct/>
        <w:topLinePunct w:val="0"/>
        <w:bidi w:val="0"/>
        <w:adjustRightInd w:val="0"/>
        <w:snapToGrid w:val="0"/>
        <w:spacing w:before="0" w:beforeAutospacing="0" w:after="0" w:afterAutospacing="0" w:line="320" w:lineRule="exact"/>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　　（2）大写金额和小写金额不一致的，以大写金额为准；</w:t>
      </w:r>
    </w:p>
    <w:p w14:paraId="4F345508">
      <w:pPr>
        <w:pStyle w:val="12"/>
        <w:keepNext w:val="0"/>
        <w:keepLines w:val="0"/>
        <w:pageBreakBefore w:val="0"/>
        <w:shd w:val="clear" w:color="auto" w:fill="FFFFFF"/>
        <w:kinsoku/>
        <w:wordWrap/>
        <w:overflowPunct/>
        <w:topLinePunct w:val="0"/>
        <w:bidi w:val="0"/>
        <w:adjustRightInd w:val="0"/>
        <w:snapToGrid w:val="0"/>
        <w:spacing w:before="0" w:beforeAutospacing="0" w:after="0" w:afterAutospacing="0" w:line="320" w:lineRule="exact"/>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　　（3）单价金额小数点或者百分比有明显错位的，以报价表的总价为准，并修改单价；</w:t>
      </w:r>
    </w:p>
    <w:p w14:paraId="5E7B2C83">
      <w:pPr>
        <w:pStyle w:val="12"/>
        <w:keepNext w:val="0"/>
        <w:keepLines w:val="0"/>
        <w:pageBreakBefore w:val="0"/>
        <w:shd w:val="clear" w:color="auto" w:fill="FFFFFF"/>
        <w:kinsoku/>
        <w:wordWrap/>
        <w:overflowPunct/>
        <w:topLinePunct w:val="0"/>
        <w:bidi w:val="0"/>
        <w:adjustRightInd w:val="0"/>
        <w:snapToGrid w:val="0"/>
        <w:spacing w:before="0" w:beforeAutospacing="0" w:after="0" w:afterAutospacing="0" w:line="320" w:lineRule="exact"/>
        <w:textAlignment w:val="auto"/>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　　（4）总价金额与按单价汇总金额不一致的，以单价金额计算结果为准。</w:t>
      </w:r>
    </w:p>
    <w:p w14:paraId="65C0B599">
      <w:pPr>
        <w:pStyle w:val="12"/>
        <w:keepNext w:val="0"/>
        <w:keepLines w:val="0"/>
        <w:pageBreakBefore w:val="0"/>
        <w:shd w:val="clear" w:color="auto" w:fill="FFFFFF"/>
        <w:kinsoku/>
        <w:wordWrap/>
        <w:overflowPunct/>
        <w:topLinePunct w:val="0"/>
        <w:bidi w:val="0"/>
        <w:adjustRightInd w:val="0"/>
        <w:snapToGrid w:val="0"/>
        <w:spacing w:before="0" w:beforeAutospacing="0" w:after="0" w:afterAutospacing="0" w:line="320" w:lineRule="exact"/>
        <w:textAlignment w:val="auto"/>
        <w:rPr>
          <w:rFonts w:hint="eastAsia" w:ascii="宋体" w:hAnsi="宋体" w:eastAsia="宋体" w:cs="宋体"/>
          <w:b/>
          <w:color w:val="auto"/>
          <w:kern w:val="2"/>
          <w:sz w:val="21"/>
          <w:szCs w:val="21"/>
          <w:highlight w:val="none"/>
        </w:rPr>
      </w:pPr>
      <w:r>
        <w:rPr>
          <w:rFonts w:hint="eastAsia" w:ascii="宋体" w:hAnsi="宋体" w:eastAsia="宋体" w:cs="宋体"/>
          <w:color w:val="auto"/>
          <w:kern w:val="2"/>
          <w:sz w:val="21"/>
          <w:szCs w:val="21"/>
          <w:highlight w:val="none"/>
        </w:rPr>
        <w:t>　　</w:t>
      </w:r>
      <w:r>
        <w:rPr>
          <w:rFonts w:hint="eastAsia" w:ascii="宋体" w:hAnsi="宋体" w:eastAsia="宋体" w:cs="宋体"/>
          <w:b/>
          <w:color w:val="auto"/>
          <w:kern w:val="2"/>
          <w:sz w:val="21"/>
          <w:szCs w:val="21"/>
          <w:highlight w:val="none"/>
        </w:rPr>
        <w:t>同时出现两种以上不一致的，按照前款规定的顺序修正。修正后的报价（不得超出投标文件的范围或者改变投标文件的实质性内容）经投标人确认后产生约束力，投标人不确认的，其投标无效。</w:t>
      </w:r>
    </w:p>
    <w:p w14:paraId="304E34DB">
      <w:pPr>
        <w:pStyle w:val="9"/>
        <w:keepNext w:val="0"/>
        <w:keepLines w:val="0"/>
        <w:pageBreakBefore w:val="0"/>
        <w:kinsoku/>
        <w:wordWrap/>
        <w:overflowPunct/>
        <w:topLinePunct w:val="0"/>
        <w:bidi w:val="0"/>
        <w:adjustRightInd w:val="0"/>
        <w:snapToGrid w:val="0"/>
        <w:spacing w:line="320" w:lineRule="exact"/>
        <w:ind w:firstLine="413" w:firstLineChars="196"/>
        <w:textAlignment w:val="auto"/>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25.8评标委员会认为投标人的报价明显低于其他通过符合性审查投标人的报价，有可能影响产品质量或者不能诚信履约的，应当要求其在评标现场合理的时间内提供书面说明，必要时提交相关证明材料（通过</w:t>
      </w:r>
      <w:r>
        <w:rPr>
          <w:rFonts w:hint="eastAsia" w:hAnsi="宋体" w:cs="宋体"/>
          <w:b/>
          <w:color w:val="auto"/>
          <w:szCs w:val="21"/>
          <w:highlight w:val="none"/>
          <w:lang w:eastAsia="zh-CN"/>
        </w:rPr>
        <w:t>“广西政府采购云平台”</w:t>
      </w:r>
      <w:r>
        <w:rPr>
          <w:rFonts w:hint="eastAsia" w:ascii="宋体" w:hAnsi="宋体" w:eastAsia="宋体" w:cs="宋体"/>
          <w:b/>
          <w:color w:val="auto"/>
          <w:szCs w:val="21"/>
          <w:highlight w:val="none"/>
        </w:rPr>
        <w:t>平台提交）；投标人不能证明其报价合理性的，评标委员会应当将其作为无效投标处理。</w:t>
      </w:r>
    </w:p>
    <w:p w14:paraId="1786F8F3">
      <w:pPr>
        <w:pStyle w:val="9"/>
        <w:keepNext w:val="0"/>
        <w:keepLines w:val="0"/>
        <w:pageBreakBefore w:val="0"/>
        <w:kinsoku/>
        <w:wordWrap/>
        <w:overflowPunct/>
        <w:topLinePunct w:val="0"/>
        <w:bidi w:val="0"/>
        <w:adjustRightInd w:val="0"/>
        <w:snapToGrid w:val="0"/>
        <w:spacing w:line="320" w:lineRule="exact"/>
        <w:ind w:firstLine="411" w:firstLineChars="196"/>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25.9评标委员会成员对需要共同认定的事项存在争议的，应当按照少数服从多数的原则作出结论。持不同意见的评标委员会成员应当在评标报告上签署不同意见及理由，否则视为同意评标报告。</w:t>
      </w:r>
    </w:p>
    <w:p w14:paraId="3F2DDBBD">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25.10评标结果汇总完成后，除下列情形外，任何人不得修改评标结果：</w:t>
      </w:r>
    </w:p>
    <w:p w14:paraId="458A43DE">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（一）分值汇总计算错误的；</w:t>
      </w:r>
    </w:p>
    <w:p w14:paraId="22B0AD2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（二）分项评分超出评分标准范围的；</w:t>
      </w:r>
    </w:p>
    <w:p w14:paraId="53691F5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（三）评标委员会成员对客观评审因素评分不一致的；</w:t>
      </w:r>
    </w:p>
    <w:p w14:paraId="1D8BD72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（四）经评标委员会认定评分畸高、畸低的。</w:t>
      </w:r>
    </w:p>
    <w:p w14:paraId="71DD9E60">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评标报告签署前，经复核发现存在以上情形之一的，评标委员会应当当场修改评标结果，并在评标报告中记载；评标报告签署后，采购人或者采购代理机构发现存在以上情形之一的，应当组织原评标委员会进行重新评审，重新评审改变评标结果的，书面报告本级财政部门。</w:t>
      </w:r>
    </w:p>
    <w:p w14:paraId="008D4C9D">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投标人对本条第一款情形提出质疑的，采购人或者采购代理机构可以组织原评标委员会进行重新评审，重新评审改变评标结果的，应当书面报告本级财政部门。</w:t>
      </w:r>
    </w:p>
    <w:p w14:paraId="4639C01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25.11采购代理机构发现评标委员会有明显的违规倾向或歧视现象，或不按评标办法进行，或其他不正常行为的，应当及时制止。如制止无效，应及时向灌阳县财政局报告。</w:t>
      </w:r>
    </w:p>
    <w:p w14:paraId="76AA70F9">
      <w:pPr>
        <w:pStyle w:val="9"/>
        <w:keepNext w:val="0"/>
        <w:keepLines w:val="0"/>
        <w:pageBreakBefore w:val="0"/>
        <w:tabs>
          <w:tab w:val="left" w:pos="4214"/>
        </w:tabs>
        <w:kinsoku/>
        <w:wordWrap/>
        <w:overflowPunct/>
        <w:topLinePunct w:val="0"/>
        <w:bidi w:val="0"/>
        <w:adjustRightInd w:val="0"/>
        <w:snapToGrid w:val="0"/>
        <w:spacing w:line="320" w:lineRule="exact"/>
        <w:ind w:firstLine="422" w:firstLineChars="200"/>
        <w:textAlignment w:val="auto"/>
        <w:rPr>
          <w:rFonts w:hint="eastAsia" w:ascii="宋体" w:hAnsi="宋体" w:eastAsia="宋体" w:cs="宋体"/>
          <w:b/>
          <w:color w:val="auto"/>
          <w:highlight w:val="none"/>
        </w:rPr>
      </w:pPr>
      <w:r>
        <w:rPr>
          <w:rFonts w:hint="eastAsia" w:ascii="宋体" w:hAnsi="宋体" w:eastAsia="宋体" w:cs="宋体"/>
          <w:b/>
          <w:color w:val="auto"/>
          <w:highlight w:val="none"/>
        </w:rPr>
        <w:t>26</w:t>
      </w:r>
      <w:r>
        <w:rPr>
          <w:rFonts w:hint="eastAsia" w:ascii="宋体" w:hAnsi="宋体" w:eastAsia="宋体" w:cs="宋体"/>
          <w:color w:val="auto"/>
          <w:highlight w:val="none"/>
        </w:rPr>
        <w:t>、</w:t>
      </w:r>
      <w:r>
        <w:rPr>
          <w:rFonts w:hint="eastAsia" w:ascii="宋体" w:hAnsi="宋体" w:eastAsia="宋体" w:cs="宋体"/>
          <w:b/>
          <w:color w:val="auto"/>
          <w:highlight w:val="none"/>
        </w:rPr>
        <w:t>推荐及确定中标候选</w:t>
      </w:r>
      <w:r>
        <w:rPr>
          <w:rFonts w:hint="eastAsia" w:hAnsi="宋体" w:cs="宋体"/>
          <w:b/>
          <w:color w:val="auto"/>
          <w:highlight w:val="none"/>
          <w:lang w:eastAsia="zh-CN"/>
        </w:rPr>
        <w:t>人</w:t>
      </w:r>
      <w:r>
        <w:rPr>
          <w:rFonts w:hint="eastAsia" w:ascii="宋体" w:hAnsi="宋体" w:eastAsia="宋体" w:cs="宋体"/>
          <w:b/>
          <w:color w:val="auto"/>
          <w:highlight w:val="none"/>
        </w:rPr>
        <w:t>原则</w:t>
      </w:r>
    </w:p>
    <w:p w14:paraId="579F041D">
      <w:pPr>
        <w:pStyle w:val="9"/>
        <w:keepNext w:val="0"/>
        <w:keepLines w:val="0"/>
        <w:pageBreakBefore w:val="0"/>
        <w:tabs>
          <w:tab w:val="left" w:pos="4214"/>
        </w:tabs>
        <w:kinsoku/>
        <w:wordWrap/>
        <w:overflowPunct/>
        <w:topLinePunct w:val="0"/>
        <w:bidi w:val="0"/>
        <w:adjustRightInd w:val="0"/>
        <w:snapToGrid w:val="0"/>
        <w:spacing w:line="320" w:lineRule="exact"/>
        <w:ind w:firstLine="420" w:firstLineChars="20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26.1评标委员会根据综合得分由高到低排列次序；若得分相同时，按投标报价由低到高顺序排列；若相同的，则依次按技术分、项目实施方案分、履约能力得分、售后服务能力由高到低的顺序排列并推荐中标候选</w:t>
      </w:r>
      <w:r>
        <w:rPr>
          <w:rFonts w:hint="eastAsia" w:hAnsi="宋体" w:cs="宋体"/>
          <w:color w:val="auto"/>
          <w:szCs w:val="21"/>
          <w:highlight w:val="none"/>
          <w:lang w:eastAsia="zh-CN"/>
        </w:rPr>
        <w:t>人</w:t>
      </w:r>
      <w:r>
        <w:rPr>
          <w:rFonts w:hint="eastAsia" w:ascii="宋体" w:hAnsi="宋体" w:eastAsia="宋体" w:cs="宋体"/>
          <w:color w:val="auto"/>
          <w:sz w:val="22"/>
          <w:szCs w:val="22"/>
          <w:highlight w:val="none"/>
        </w:rPr>
        <w:t>。</w:t>
      </w:r>
    </w:p>
    <w:p w14:paraId="55061484">
      <w:pPr>
        <w:pStyle w:val="9"/>
        <w:keepNext w:val="0"/>
        <w:keepLines w:val="0"/>
        <w:pageBreakBefore w:val="0"/>
        <w:tabs>
          <w:tab w:val="left" w:pos="4214"/>
        </w:tabs>
        <w:kinsoku/>
        <w:wordWrap/>
        <w:overflowPunct/>
        <w:topLinePunct w:val="0"/>
        <w:bidi w:val="0"/>
        <w:adjustRightInd w:val="0"/>
        <w:snapToGrid w:val="0"/>
        <w:spacing w:line="320" w:lineRule="exact"/>
        <w:ind w:firstLine="420" w:firstLineChars="20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26.2评标委员会可推荐前三名为中标候选人，采购人应当确定评标委员会推荐排名第一的中标候选人为中标人。</w:t>
      </w:r>
    </w:p>
    <w:p w14:paraId="1F654F95">
      <w:pPr>
        <w:pStyle w:val="9"/>
        <w:keepNext w:val="0"/>
        <w:keepLines w:val="0"/>
        <w:pageBreakBefore w:val="0"/>
        <w:kinsoku/>
        <w:wordWrap/>
        <w:overflowPunct/>
        <w:topLinePunct w:val="0"/>
        <w:bidi w:val="0"/>
        <w:adjustRightInd w:val="0"/>
        <w:snapToGrid w:val="0"/>
        <w:spacing w:line="320" w:lineRule="exact"/>
        <w:ind w:firstLine="447" w:firstLineChars="213"/>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26.3排名第一的中标候选人放弃中标、因不可抗力提出不能履行合同，或者招标文件规定应当提交履约保证金而在规定的期限内未能提交的，或因失信行为被取消中标候选人资格的，采购人可以确定排名第二的中标候选人为中标人或重新招标，并依此类推。</w:t>
      </w:r>
    </w:p>
    <w:p w14:paraId="7C20CEDC">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val="en-US" w:eastAsia="zh-CN"/>
        </w:rPr>
      </w:pPr>
      <w:r>
        <w:rPr>
          <w:rFonts w:hint="eastAsia" w:ascii="宋体" w:hAnsi="宋体" w:eastAsia="宋体" w:cs="Times New Roman"/>
          <w:b/>
          <w:bCs/>
          <w:color w:val="auto"/>
          <w:kern w:val="2"/>
          <w:sz w:val="21"/>
          <w:szCs w:val="21"/>
          <w:highlight w:val="none"/>
          <w:lang w:val="en-US" w:eastAsia="zh-CN"/>
        </w:rPr>
        <w:t>27、属于下列情况之一者，投标无效：</w:t>
      </w:r>
    </w:p>
    <w:p w14:paraId="54B9DEE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（1）未按照招标文件规定要求签字、盖章的；</w:t>
      </w:r>
    </w:p>
    <w:p w14:paraId="13561433">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（2）报价超过招标文件中规定的</w:t>
      </w:r>
      <w:r>
        <w:rPr>
          <w:rFonts w:hint="eastAsia" w:ascii="宋体" w:hAnsi="宋体" w:eastAsia="宋体" w:cs="Times New Roman"/>
          <w:b/>
          <w:bCs/>
          <w:color w:val="auto"/>
          <w:kern w:val="2"/>
          <w:sz w:val="21"/>
          <w:szCs w:val="21"/>
          <w:highlight w:val="none"/>
          <w:lang w:eastAsia="zh-CN"/>
        </w:rPr>
        <w:t>最高限价</w:t>
      </w:r>
      <w:r>
        <w:rPr>
          <w:rFonts w:hint="eastAsia" w:ascii="宋体" w:hAnsi="宋体" w:eastAsia="宋体" w:cs="Times New Roman"/>
          <w:color w:val="auto"/>
          <w:kern w:val="2"/>
          <w:sz w:val="21"/>
          <w:szCs w:val="21"/>
          <w:highlight w:val="none"/>
          <w:lang w:val="en-US" w:eastAsia="zh-CN"/>
        </w:rPr>
        <w:t>的；</w:t>
      </w:r>
    </w:p>
    <w:p w14:paraId="3CF0E107">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（3）不具备招标文件中规定的资格要求的；</w:t>
      </w:r>
    </w:p>
    <w:p w14:paraId="18F9518F">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（4）投标文件含有采购人不能接受的附加条件的；</w:t>
      </w:r>
    </w:p>
    <w:p w14:paraId="32CC617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（5）投标文件未按招标文件的内容和要求编制，或提供虚假或无效材料的；</w:t>
      </w:r>
    </w:p>
    <w:p w14:paraId="622EDB1D">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（6）投标文件有效期、交货时间、免费保修期、售后服务不能满足招标文件要求的；</w:t>
      </w:r>
    </w:p>
    <w:p w14:paraId="2781D63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（7）投标人未就“货物采购需求”中所投所有货物和服务内容作完整唯一报价的；</w:t>
      </w:r>
    </w:p>
    <w:p w14:paraId="1F695DC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（8）未完全响应招标文件实质性要求的；</w:t>
      </w:r>
    </w:p>
    <w:p w14:paraId="34187A0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（9）单位负责人为同一人或者存在直接控股、管理关系的不同投标人参加同一合同项下分标或未划分分标的同一合同项下的政府采购活动；</w:t>
      </w:r>
    </w:p>
    <w:p w14:paraId="6E03C56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（10）法律、法规和招标文件规定的其他无效情形。</w:t>
      </w:r>
    </w:p>
    <w:p w14:paraId="12A2249E">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val="en-US" w:eastAsia="zh-CN"/>
        </w:rPr>
      </w:pPr>
      <w:r>
        <w:rPr>
          <w:rFonts w:hint="eastAsia" w:ascii="宋体" w:hAnsi="宋体" w:eastAsia="宋体" w:cs="Times New Roman"/>
          <w:b/>
          <w:bCs/>
          <w:color w:val="auto"/>
          <w:kern w:val="2"/>
          <w:sz w:val="21"/>
          <w:szCs w:val="21"/>
          <w:highlight w:val="none"/>
          <w:lang w:val="en-US" w:eastAsia="zh-CN"/>
        </w:rPr>
        <w:t>28、投标人有下列情形之一的，视为串通投标，投标文件将被视为无效：</w:t>
      </w:r>
    </w:p>
    <w:p w14:paraId="28C0B49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（1）不同投标人的投标文件由同一单位或者个人编制；或不同投标人报名的IP地址一致的；</w:t>
      </w:r>
    </w:p>
    <w:p w14:paraId="224EDCA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（2）不同投标人委托同一单位或者个人办理投标事宜；</w:t>
      </w:r>
    </w:p>
    <w:p w14:paraId="28501C1C">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（3）不同的投标人的投标文件载明的项目管理员或者联系人员为同一个人；</w:t>
      </w:r>
    </w:p>
    <w:p w14:paraId="56351DF3">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 xml:space="preserve">（4）不同投标人的投标文件异常一致或投标报价呈规律性差异； </w:t>
      </w:r>
    </w:p>
    <w:p w14:paraId="41FC91D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（5）不同投标人的投标文件相互混装。</w:t>
      </w:r>
    </w:p>
    <w:p w14:paraId="38CDF903">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val="en-US" w:eastAsia="zh-CN"/>
        </w:rPr>
      </w:pPr>
      <w:r>
        <w:rPr>
          <w:rFonts w:hint="eastAsia" w:ascii="宋体" w:hAnsi="宋体" w:eastAsia="宋体" w:cs="Times New Roman"/>
          <w:b/>
          <w:bCs/>
          <w:color w:val="auto"/>
          <w:kern w:val="2"/>
          <w:sz w:val="21"/>
          <w:szCs w:val="21"/>
          <w:highlight w:val="none"/>
          <w:lang w:val="en-US" w:eastAsia="zh-CN"/>
        </w:rPr>
        <w:t>29、属于下列情形之一的，应予废标：</w:t>
      </w:r>
    </w:p>
    <w:p w14:paraId="36C9A924">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（1）符合专业条件的</w:t>
      </w:r>
      <w:r>
        <w:rPr>
          <w:rFonts w:hint="eastAsia" w:ascii="宋体" w:hAnsi="宋体" w:eastAsia="宋体" w:cs="Times New Roman"/>
          <w:color w:val="auto"/>
          <w:kern w:val="2"/>
          <w:sz w:val="21"/>
          <w:szCs w:val="21"/>
          <w:highlight w:val="none"/>
        </w:rPr>
        <w:t>投标人</w:t>
      </w:r>
      <w:r>
        <w:rPr>
          <w:rFonts w:hint="eastAsia" w:ascii="宋体" w:hAnsi="宋体" w:eastAsia="宋体" w:cs="Times New Roman"/>
          <w:color w:val="auto"/>
          <w:kern w:val="2"/>
          <w:sz w:val="21"/>
          <w:szCs w:val="21"/>
          <w:highlight w:val="none"/>
          <w:lang w:val="en-US" w:eastAsia="zh-CN"/>
        </w:rPr>
        <w:t>或者对招标文件作实质响应的</w:t>
      </w:r>
      <w:r>
        <w:rPr>
          <w:rFonts w:hint="eastAsia" w:ascii="宋体" w:hAnsi="宋体" w:eastAsia="宋体" w:cs="Times New Roman"/>
          <w:color w:val="auto"/>
          <w:kern w:val="2"/>
          <w:sz w:val="21"/>
          <w:szCs w:val="21"/>
          <w:highlight w:val="none"/>
        </w:rPr>
        <w:t>投标人</w:t>
      </w:r>
      <w:r>
        <w:rPr>
          <w:rFonts w:hint="eastAsia" w:ascii="宋体" w:hAnsi="宋体" w:eastAsia="宋体" w:cs="Times New Roman"/>
          <w:color w:val="auto"/>
          <w:kern w:val="2"/>
          <w:sz w:val="21"/>
          <w:szCs w:val="21"/>
          <w:highlight w:val="none"/>
          <w:lang w:val="en-US" w:eastAsia="zh-CN"/>
        </w:rPr>
        <w:t>不足3家的；</w:t>
      </w:r>
    </w:p>
    <w:p w14:paraId="7CB0A73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（2）出现影响采购公正的违法、违规行为的；</w:t>
      </w:r>
    </w:p>
    <w:p w14:paraId="3E8AFAB5">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（3）采购文件内容违反国家有关强制性规定的；</w:t>
      </w:r>
    </w:p>
    <w:p w14:paraId="00A459F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（4）因重大变故，采购任务取消的。</w:t>
      </w:r>
    </w:p>
    <w:p w14:paraId="4049EFB8">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val="en-US" w:eastAsia="zh-CN"/>
        </w:rPr>
      </w:pPr>
      <w:r>
        <w:rPr>
          <w:rFonts w:hint="eastAsia" w:ascii="宋体" w:hAnsi="宋体" w:eastAsia="宋体" w:cs="Times New Roman"/>
          <w:b/>
          <w:bCs/>
          <w:color w:val="auto"/>
          <w:kern w:val="2"/>
          <w:sz w:val="21"/>
          <w:szCs w:val="21"/>
          <w:highlight w:val="none"/>
          <w:lang w:val="en-US" w:eastAsia="zh-CN"/>
        </w:rPr>
        <w:t>30、开标、评标过程的监控</w:t>
      </w:r>
    </w:p>
    <w:p w14:paraId="25E69C89">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本项目开标、评标过程实行全程录音、录像监控，投标人在评标过程中所进行的试图影响评标结果的不公正活动，可能导致其投标被拒绝。</w:t>
      </w:r>
    </w:p>
    <w:p w14:paraId="0DFB9425">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val="en-US" w:eastAsia="zh-CN"/>
        </w:rPr>
      </w:pPr>
      <w:r>
        <w:rPr>
          <w:rFonts w:hint="eastAsia" w:ascii="宋体" w:hAnsi="宋体" w:eastAsia="宋体" w:cs="Times New Roman"/>
          <w:b/>
          <w:bCs/>
          <w:color w:val="auto"/>
          <w:kern w:val="2"/>
          <w:sz w:val="21"/>
          <w:szCs w:val="21"/>
          <w:highlight w:val="none"/>
          <w:lang w:val="en-US" w:eastAsia="zh-CN"/>
        </w:rPr>
        <w:t>31、中标人信用信息查询</w:t>
      </w:r>
    </w:p>
    <w:p w14:paraId="46AE5150">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根据《关于做好政府采购有关信用主体标识码登记及在政府采购活动中查询使用信用记录有关问题的通知》桂财采〔2016〕37号的通知，采购代理机构对中标人进行信用查询：</w:t>
      </w:r>
    </w:p>
    <w:p w14:paraId="5C1A171F">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（1）查询渠道：“信用中国”网站（www.creditchina.gov.cn）、中国政府采购网（www.ccgp.gov.cn）等；</w:t>
      </w:r>
    </w:p>
    <w:p w14:paraId="270D0DF8">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（2）查询截止时间：中标通知书发出前；</w:t>
      </w:r>
    </w:p>
    <w:p w14:paraId="0307C4B0">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（3）信用信息查询记录和证据留存方式：在查询网站中直接打印查询记录，打印材料作为采购活动资料保存；</w:t>
      </w:r>
    </w:p>
    <w:p w14:paraId="6F3393E6">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4）信用信息使用规则：在“信用中国”网站（www.creditchina.gov.cn）、中国政府采购网（www.ccgp.gov.cn）等渠道列入失信被执行人、重大税收违法失信主体、政府采购严重违法失信行为记录名单及其他不符合《中华人民共和国政府采购法》第二十二条规定条件的</w:t>
      </w:r>
      <w:r>
        <w:rPr>
          <w:rFonts w:hint="eastAsia" w:ascii="宋体" w:hAnsi="宋体" w:eastAsia="宋体" w:cs="Times New Roman"/>
          <w:color w:val="auto"/>
          <w:kern w:val="2"/>
          <w:sz w:val="21"/>
          <w:szCs w:val="21"/>
          <w:highlight w:val="none"/>
        </w:rPr>
        <w:t>投标人</w:t>
      </w:r>
      <w:r>
        <w:rPr>
          <w:rFonts w:hint="eastAsia" w:ascii="宋体" w:hAnsi="宋体" w:eastAsia="宋体" w:cs="Times New Roman"/>
          <w:color w:val="auto"/>
          <w:kern w:val="2"/>
          <w:sz w:val="21"/>
          <w:szCs w:val="21"/>
          <w:highlight w:val="none"/>
          <w:lang w:val="en-US" w:eastAsia="zh-CN"/>
        </w:rPr>
        <w:t>，不得参与政府采购活动，取消其中标候选人资格。采购人依法按照评标报告中评标委员会推荐中标候选人排序表确定排名第二的中标候选人为中标人或者重新组织采购。</w:t>
      </w:r>
    </w:p>
    <w:p w14:paraId="6A38084A">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val="en-US" w:eastAsia="zh-CN"/>
        </w:rPr>
      </w:pPr>
      <w:r>
        <w:rPr>
          <w:rFonts w:hint="eastAsia" w:ascii="宋体" w:hAnsi="宋体" w:eastAsia="宋体" w:cs="Times New Roman"/>
          <w:b/>
          <w:bCs/>
          <w:color w:val="auto"/>
          <w:kern w:val="2"/>
          <w:sz w:val="21"/>
          <w:szCs w:val="21"/>
          <w:highlight w:val="none"/>
          <w:lang w:val="en-US" w:eastAsia="zh-CN"/>
        </w:rPr>
        <w:t>32、 中标公告及中标通知书</w:t>
      </w:r>
    </w:p>
    <w:p w14:paraId="2BF1370A">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32.1采购代理机构于评标结束后两个工作日内将评标报告送交采购人，采购人应当自收到评标报告五个工作日内在评标报告推荐的中标候选人中按顺序确定中标人；采购代理机构在中标人确定之日起两个工作日内在指定媒体上公告中标结果，中标公告期限为1个工作日。</w:t>
      </w:r>
    </w:p>
    <w:p w14:paraId="5914C10C">
      <w:pPr>
        <w:keepNext w:val="0"/>
        <w:keepLines w:val="0"/>
        <w:pageBreakBefore w:val="0"/>
        <w:tabs>
          <w:tab w:val="left" w:pos="1140"/>
        </w:tabs>
        <w:kinsoku/>
        <w:wordWrap/>
        <w:overflowPunct/>
        <w:topLinePunct w:val="0"/>
        <w:bidi w:val="0"/>
        <w:adjustRightInd w:val="0"/>
        <w:snapToGrid w:val="0"/>
        <w:spacing w:line="320" w:lineRule="exact"/>
        <w:ind w:left="440" w:leftChars="200"/>
        <w:jc w:val="center"/>
        <w:textAlignment w:val="auto"/>
        <w:outlineLvl w:val="9"/>
        <w:rPr>
          <w:rFonts w:hint="eastAsia" w:ascii="宋体" w:hAnsi="宋体" w:eastAsia="宋体" w:cs="宋体"/>
          <w:b/>
          <w:color w:val="auto"/>
          <w:sz w:val="28"/>
          <w:szCs w:val="28"/>
          <w:highlight w:val="none"/>
        </w:rPr>
      </w:pPr>
    </w:p>
    <w:p w14:paraId="2DADF77B">
      <w:pPr>
        <w:keepNext w:val="0"/>
        <w:keepLines w:val="0"/>
        <w:pageBreakBefore w:val="0"/>
        <w:tabs>
          <w:tab w:val="left" w:pos="1140"/>
        </w:tabs>
        <w:kinsoku/>
        <w:wordWrap/>
        <w:overflowPunct/>
        <w:topLinePunct w:val="0"/>
        <w:bidi w:val="0"/>
        <w:adjustRightInd w:val="0"/>
        <w:snapToGrid w:val="0"/>
        <w:spacing w:line="320" w:lineRule="exact"/>
        <w:ind w:left="440" w:leftChars="200"/>
        <w:jc w:val="center"/>
        <w:textAlignment w:val="auto"/>
        <w:outlineLvl w:val="9"/>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七、履约保证金及签订合同</w:t>
      </w:r>
    </w:p>
    <w:p w14:paraId="01DC0981">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val="en-US" w:eastAsia="zh-CN"/>
        </w:rPr>
      </w:pPr>
      <w:r>
        <w:rPr>
          <w:rFonts w:hint="eastAsia" w:ascii="宋体" w:hAnsi="宋体" w:eastAsia="宋体" w:cs="Times New Roman"/>
          <w:b/>
          <w:bCs/>
          <w:color w:val="auto"/>
          <w:kern w:val="2"/>
          <w:sz w:val="21"/>
          <w:szCs w:val="21"/>
          <w:highlight w:val="none"/>
          <w:lang w:val="en-US" w:eastAsia="zh-CN"/>
        </w:rPr>
        <w:t>33、履约保证金</w:t>
      </w:r>
    </w:p>
    <w:p w14:paraId="1396B557">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33.1履约保证金：根据《桂林市财政局关于贯彻落实政府采购优化营商环境百日攻坚行动方案的通知》（市财采〔2020〕24号）第四条的规定，本项目免收履约保证金。</w:t>
      </w:r>
    </w:p>
    <w:p w14:paraId="475602E2">
      <w:pPr>
        <w:widowControl w:val="0"/>
        <w:adjustRightInd/>
        <w:snapToGrid/>
        <w:spacing w:after="0" w:line="380" w:lineRule="exact"/>
        <w:ind w:firstLine="435"/>
        <w:jc w:val="both"/>
        <w:rPr>
          <w:rFonts w:hint="eastAsia" w:ascii="宋体" w:hAnsi="宋体" w:eastAsia="宋体" w:cs="Times New Roman"/>
          <w:b/>
          <w:bCs/>
          <w:color w:val="auto"/>
          <w:kern w:val="2"/>
          <w:sz w:val="21"/>
          <w:szCs w:val="21"/>
          <w:highlight w:val="none"/>
          <w:lang w:val="en-US" w:eastAsia="zh-CN"/>
        </w:rPr>
      </w:pPr>
      <w:r>
        <w:rPr>
          <w:rFonts w:hint="eastAsia" w:ascii="宋体" w:hAnsi="宋体" w:eastAsia="宋体" w:cs="Times New Roman"/>
          <w:b/>
          <w:bCs/>
          <w:color w:val="auto"/>
          <w:kern w:val="2"/>
          <w:sz w:val="21"/>
          <w:szCs w:val="21"/>
          <w:highlight w:val="none"/>
          <w:lang w:val="en-US" w:eastAsia="zh-CN"/>
        </w:rPr>
        <w:t>34、签订合同</w:t>
      </w:r>
    </w:p>
    <w:p w14:paraId="20475542">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34.1签订合同时间：中标通知书发出之日起八个工作日内。中标人领取中标通知书后，应按规定与采购人签订合同。</w:t>
      </w:r>
    </w:p>
    <w:p w14:paraId="098C9E41">
      <w:pPr>
        <w:widowControl w:val="0"/>
        <w:adjustRightInd/>
        <w:snapToGrid/>
        <w:spacing w:after="0" w:line="380" w:lineRule="exact"/>
        <w:ind w:firstLine="435"/>
        <w:jc w:val="both"/>
        <w:rPr>
          <w:rFonts w:hint="eastAsia" w:ascii="宋体" w:hAnsi="宋体" w:eastAsia="宋体" w:cs="Times New Roman"/>
          <w:color w:val="auto"/>
          <w:kern w:val="2"/>
          <w:sz w:val="21"/>
          <w:szCs w:val="21"/>
          <w:highlight w:val="none"/>
          <w:lang w:val="en-US" w:eastAsia="zh-CN"/>
        </w:rPr>
      </w:pPr>
      <w:r>
        <w:rPr>
          <w:rFonts w:hint="eastAsia" w:ascii="宋体" w:hAnsi="宋体" w:eastAsia="宋体" w:cs="Times New Roman"/>
          <w:color w:val="auto"/>
          <w:kern w:val="2"/>
          <w:sz w:val="21"/>
          <w:szCs w:val="21"/>
          <w:highlight w:val="none"/>
          <w:lang w:val="en-US" w:eastAsia="zh-CN"/>
        </w:rPr>
        <w:t>34.2如中标人有下列情形之一的，对其处以采购金额千分之五以上千分之十以下的罚款，情节严重的，由财政部门将其列入不良行为记录名单，在一至三年内禁止参加政府采购活动，并予以通报。采购人或者采购代理机构可从评标委员会推荐的中标候选人中按顺序重新确定中标人或重新组织招标。</w:t>
      </w:r>
    </w:p>
    <w:p w14:paraId="37179AD5">
      <w:pPr>
        <w:pStyle w:val="9"/>
        <w:keepNext w:val="0"/>
        <w:keepLines w:val="0"/>
        <w:pageBreakBefore w:val="0"/>
        <w:kinsoku/>
        <w:wordWrap/>
        <w:overflowPunct/>
        <w:topLinePunct w:val="0"/>
        <w:bidi w:val="0"/>
        <w:adjustRightInd w:val="0"/>
        <w:snapToGrid w:val="0"/>
        <w:spacing w:line="320" w:lineRule="exact"/>
        <w:ind w:firstLine="315" w:firstLineChars="15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（1）中标后不与采购人签订合同的（不可抗力除外）；</w:t>
      </w:r>
    </w:p>
    <w:p w14:paraId="2F334E3D">
      <w:pPr>
        <w:pStyle w:val="9"/>
        <w:keepNext w:val="0"/>
        <w:keepLines w:val="0"/>
        <w:pageBreakBefore w:val="0"/>
        <w:kinsoku/>
        <w:wordWrap/>
        <w:overflowPunct/>
        <w:topLinePunct w:val="0"/>
        <w:bidi w:val="0"/>
        <w:adjustRightInd w:val="0"/>
        <w:snapToGrid w:val="0"/>
        <w:spacing w:line="320" w:lineRule="exact"/>
        <w:ind w:left="2" w:leftChars="1" w:firstLine="315" w:firstLineChars="15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（2）将中标项目转让给他人，或者在投标文件中未说明，且未经采购人同意，将中标项目分包给他人的；</w:t>
      </w:r>
    </w:p>
    <w:p w14:paraId="6072E140">
      <w:pPr>
        <w:pStyle w:val="9"/>
        <w:keepNext w:val="0"/>
        <w:keepLines w:val="0"/>
        <w:pageBreakBefore w:val="0"/>
        <w:kinsoku/>
        <w:wordWrap/>
        <w:overflowPunct/>
        <w:topLinePunct w:val="0"/>
        <w:bidi w:val="0"/>
        <w:adjustRightInd w:val="0"/>
        <w:snapToGrid w:val="0"/>
        <w:spacing w:line="320" w:lineRule="exact"/>
        <w:ind w:firstLine="315" w:firstLineChars="15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（3）拒绝履行合同义务的。</w:t>
      </w:r>
    </w:p>
    <w:p w14:paraId="15468478">
      <w:pPr>
        <w:pStyle w:val="9"/>
        <w:keepNext w:val="0"/>
        <w:keepLines w:val="0"/>
        <w:pageBreakBefore w:val="0"/>
        <w:kinsoku/>
        <w:wordWrap/>
        <w:overflowPunct/>
        <w:topLinePunct w:val="0"/>
        <w:bidi w:val="0"/>
        <w:adjustRightInd w:val="0"/>
        <w:snapToGrid w:val="0"/>
        <w:spacing w:line="320" w:lineRule="exact"/>
        <w:ind w:left="2" w:leftChars="1" w:firstLine="420" w:firstLineChars="20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 34.3合同备案存档：政府采购合同双方自签订之日起1个工作日内将合同原件</w:t>
      </w:r>
      <w:r>
        <w:rPr>
          <w:rFonts w:hint="eastAsia" w:hAnsi="宋体" w:cs="宋体"/>
          <w:color w:val="auto"/>
          <w:szCs w:val="21"/>
          <w:highlight w:val="none"/>
          <w:lang w:val="en-US" w:eastAsia="zh-CN"/>
        </w:rPr>
        <w:t>1</w:t>
      </w:r>
      <w:r>
        <w:rPr>
          <w:rFonts w:hint="eastAsia" w:ascii="宋体" w:hAnsi="宋体" w:eastAsia="宋体" w:cs="宋体"/>
          <w:color w:val="auto"/>
          <w:szCs w:val="21"/>
          <w:highlight w:val="none"/>
        </w:rPr>
        <w:t>份交采购代理机构存档。采购代理机构将政府采购合同在省级以上人民政府财政部门指定媒体上公告。</w:t>
      </w:r>
    </w:p>
    <w:p w14:paraId="39A38ABE">
      <w:pPr>
        <w:pStyle w:val="9"/>
        <w:keepNext w:val="0"/>
        <w:keepLines w:val="0"/>
        <w:pageBreakBefore w:val="0"/>
        <w:kinsoku/>
        <w:wordWrap/>
        <w:overflowPunct/>
        <w:topLinePunct w:val="0"/>
        <w:bidi w:val="0"/>
        <w:adjustRightInd w:val="0"/>
        <w:snapToGrid w:val="0"/>
        <w:spacing w:line="320" w:lineRule="exact"/>
        <w:ind w:left="3"/>
        <w:jc w:val="center"/>
        <w:textAlignment w:val="auto"/>
        <w:outlineLvl w:val="9"/>
        <w:rPr>
          <w:rFonts w:hint="eastAsia" w:ascii="宋体" w:hAnsi="宋体" w:eastAsia="宋体" w:cs="宋体"/>
          <w:b/>
          <w:color w:val="auto"/>
          <w:sz w:val="28"/>
          <w:szCs w:val="28"/>
          <w:highlight w:val="none"/>
        </w:rPr>
      </w:pPr>
    </w:p>
    <w:p w14:paraId="3E37B25E">
      <w:pPr>
        <w:pStyle w:val="9"/>
        <w:keepNext w:val="0"/>
        <w:keepLines w:val="0"/>
        <w:pageBreakBefore w:val="0"/>
        <w:kinsoku/>
        <w:wordWrap/>
        <w:overflowPunct/>
        <w:topLinePunct w:val="0"/>
        <w:bidi w:val="0"/>
        <w:adjustRightInd w:val="0"/>
        <w:snapToGrid w:val="0"/>
        <w:spacing w:line="320" w:lineRule="exact"/>
        <w:ind w:left="3"/>
        <w:jc w:val="center"/>
        <w:textAlignment w:val="auto"/>
        <w:outlineLvl w:val="9"/>
        <w:rPr>
          <w:rFonts w:hint="eastAsia" w:ascii="宋体" w:hAnsi="宋体" w:eastAsia="宋体" w:cs="宋体"/>
          <w:b/>
          <w:color w:val="auto"/>
          <w:sz w:val="28"/>
          <w:szCs w:val="28"/>
          <w:highlight w:val="none"/>
        </w:rPr>
      </w:pPr>
      <w:r>
        <w:rPr>
          <w:rFonts w:hint="eastAsia" w:ascii="宋体" w:hAnsi="宋体" w:eastAsia="宋体" w:cs="宋体"/>
          <w:b/>
          <w:color w:val="auto"/>
          <w:sz w:val="28"/>
          <w:szCs w:val="28"/>
          <w:highlight w:val="none"/>
        </w:rPr>
        <w:t>八 、其他事项</w:t>
      </w:r>
    </w:p>
    <w:p w14:paraId="13BAA233">
      <w:pPr>
        <w:pStyle w:val="9"/>
        <w:keepNext w:val="0"/>
        <w:keepLines w:val="0"/>
        <w:pageBreakBefore w:val="0"/>
        <w:kinsoku/>
        <w:wordWrap/>
        <w:overflowPunct/>
        <w:topLinePunct w:val="0"/>
        <w:bidi w:val="0"/>
        <w:adjustRightInd w:val="0"/>
        <w:snapToGrid w:val="0"/>
        <w:spacing w:line="320" w:lineRule="exact"/>
        <w:ind w:firstLine="422" w:firstLineChars="200"/>
        <w:textAlignment w:val="auto"/>
        <w:rPr>
          <w:rFonts w:hint="eastAsia" w:ascii="宋体" w:hAnsi="宋体" w:eastAsia="宋体" w:cs="宋体"/>
          <w:b/>
          <w:color w:val="auto"/>
          <w:highlight w:val="none"/>
        </w:rPr>
      </w:pPr>
      <w:r>
        <w:rPr>
          <w:rFonts w:hint="eastAsia" w:ascii="宋体" w:hAnsi="宋体" w:eastAsia="宋体" w:cs="宋体"/>
          <w:b/>
          <w:color w:val="auto"/>
          <w:highlight w:val="none"/>
        </w:rPr>
        <w:t>35</w:t>
      </w:r>
      <w:r>
        <w:rPr>
          <w:rFonts w:hint="eastAsia" w:ascii="宋体" w:hAnsi="宋体" w:eastAsia="宋体" w:cs="宋体"/>
          <w:b/>
          <w:color w:val="auto"/>
          <w:szCs w:val="21"/>
          <w:highlight w:val="none"/>
        </w:rPr>
        <w:t>、</w:t>
      </w:r>
      <w:r>
        <w:rPr>
          <w:rFonts w:hint="eastAsia" w:ascii="宋体" w:hAnsi="宋体" w:eastAsia="宋体" w:cs="宋体"/>
          <w:b/>
          <w:color w:val="auto"/>
          <w:highlight w:val="none"/>
        </w:rPr>
        <w:t>招标代理服务费</w:t>
      </w:r>
    </w:p>
    <w:p w14:paraId="1667EC8B">
      <w:pPr>
        <w:keepNext w:val="0"/>
        <w:keepLines w:val="0"/>
        <w:pageBreakBefore w:val="0"/>
        <w:kinsoku/>
        <w:wordWrap/>
        <w:overflowPunct/>
        <w:topLinePunct w:val="0"/>
        <w:bidi w:val="0"/>
        <w:adjustRightInd w:val="0"/>
        <w:snapToGrid w:val="0"/>
        <w:spacing w:line="320" w:lineRule="exact"/>
        <w:ind w:firstLine="440" w:firstLineChars="200"/>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本项目的采购代理服务费：参照计价格[2002]1980号《招标代理服务收费管理暂行办法》货物类收费标准计取。在领取中标通知书前，由中标人向</w:t>
      </w:r>
      <w:r>
        <w:rPr>
          <w:rFonts w:hint="eastAsia" w:ascii="宋体" w:hAnsi="宋体" w:eastAsia="宋体" w:cs="宋体"/>
          <w:color w:val="auto"/>
          <w:szCs w:val="21"/>
          <w:highlight w:val="none"/>
          <w:lang w:eastAsia="zh-CN"/>
        </w:rPr>
        <w:t>广西国兴项目管理有限公司</w:t>
      </w:r>
      <w:r>
        <w:rPr>
          <w:rFonts w:hint="eastAsia" w:ascii="宋体" w:hAnsi="宋体" w:eastAsia="宋体" w:cs="宋体"/>
          <w:color w:val="auto"/>
          <w:szCs w:val="21"/>
          <w:highlight w:val="none"/>
        </w:rPr>
        <w:t xml:space="preserve">一次性付清代理服务费。        </w:t>
      </w:r>
    </w:p>
    <w:p w14:paraId="0FAD4699">
      <w:pPr>
        <w:keepNext w:val="0"/>
        <w:keepLines w:val="0"/>
        <w:pageBreakBefore w:val="0"/>
        <w:kinsoku/>
        <w:wordWrap/>
        <w:overflowPunct/>
        <w:topLinePunct w:val="0"/>
        <w:bidi w:val="0"/>
        <w:adjustRightInd w:val="0"/>
        <w:snapToGrid w:val="0"/>
        <w:spacing w:line="32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招标代理服务收费标准</w:t>
      </w:r>
    </w:p>
    <w:tbl>
      <w:tblPr>
        <w:tblStyle w:val="15"/>
        <w:tblW w:w="9006" w:type="dxa"/>
        <w:tblInd w:w="1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80"/>
        <w:gridCol w:w="1841"/>
        <w:gridCol w:w="1992"/>
        <w:gridCol w:w="2293"/>
      </w:tblGrid>
      <w:tr w14:paraId="0011AD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2880" w:type="dxa"/>
            <w:noWrap w:val="0"/>
            <w:vAlign w:val="top"/>
          </w:tcPr>
          <w:p w14:paraId="748C4B8E">
            <w:pPr>
              <w:pStyle w:val="9"/>
              <w:keepNext w:val="0"/>
              <w:keepLines w:val="0"/>
              <w:pageBreakBefore w:val="0"/>
              <w:kinsoku/>
              <w:wordWrap/>
              <w:overflowPunct/>
              <w:topLinePunct w:val="0"/>
              <w:bidi w:val="0"/>
              <w:adjustRightInd w:val="0"/>
              <w:snapToGrid w:val="0"/>
              <w:spacing w:line="320" w:lineRule="exact"/>
              <w:ind w:left="25"/>
              <w:textAlignment w:val="auto"/>
              <w:rPr>
                <w:rFonts w:hint="eastAsia" w:ascii="宋体" w:hAnsi="宋体" w:eastAsia="宋体" w:cs="宋体"/>
                <w:color w:val="auto"/>
                <w:highlight w:val="none"/>
              </w:rPr>
            </w:pPr>
            <w:r>
              <w:rPr>
                <w:rFonts w:hint="eastAsia" w:ascii="宋体" w:hAnsi="宋体" w:eastAsia="宋体" w:cs="宋体"/>
                <w:color w:val="auto"/>
                <w:highlight w:val="none"/>
              </w:rPr>
              <mc:AlternateContent>
                <mc:Choice Requires="wps">
                  <w:drawing>
                    <wp:anchor distT="0" distB="0" distL="114300" distR="114300" simplePos="0" relativeHeight="251660288" behindDoc="0" locked="0" layoutInCell="1" allowOverlap="1">
                      <wp:simplePos x="0" y="0"/>
                      <wp:positionH relativeFrom="column">
                        <wp:posOffset>-61595</wp:posOffset>
                      </wp:positionH>
                      <wp:positionV relativeFrom="paragraph">
                        <wp:posOffset>10795</wp:posOffset>
                      </wp:positionV>
                      <wp:extent cx="1781810" cy="295910"/>
                      <wp:effectExtent l="635" t="4445" r="8255" b="23495"/>
                      <wp:wrapNone/>
                      <wp:docPr id="3" name="直接连接符 3"/>
                      <wp:cNvGraphicFramePr/>
                      <a:graphic xmlns:a="http://schemas.openxmlformats.org/drawingml/2006/main">
                        <a:graphicData uri="http://schemas.microsoft.com/office/word/2010/wordprocessingShape">
                          <wps:wsp>
                            <wps:cNvCnPr/>
                            <wps:spPr>
                              <a:xfrm>
                                <a:off x="0" y="0"/>
                                <a:ext cx="1781810" cy="29591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4.85pt;margin-top:0.85pt;height:23.3pt;width:140.3pt;z-index:251660288;mso-width-relative:page;mso-height-relative:page;" filled="f" stroked="t" coordsize="21600,21600" o:gfxdata="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">
                      <v:fill on="f" focussize="0,0"/>
                      <v:stroke color="#000000" joinstyle="round"/>
                      <v:imagedata o:title=""/>
                      <o:lock v:ext="edit" aspectratio="f"/>
                    </v:line>
                  </w:pict>
                </mc:Fallback>
              </mc:AlternateContent>
            </w:r>
            <w:r>
              <w:rPr>
                <w:rFonts w:hint="eastAsia" w:ascii="宋体" w:hAnsi="宋体" w:eastAsia="宋体" w:cs="宋体"/>
                <w:color w:val="auto"/>
                <w:highlight w:val="none"/>
              </w:rPr>
              <w:t>折扣           服务类型</w:t>
            </w:r>
          </w:p>
          <w:p w14:paraId="6BE34A8E">
            <w:pPr>
              <w:pStyle w:val="9"/>
              <w:keepNext w:val="0"/>
              <w:keepLines w:val="0"/>
              <w:pageBreakBefore w:val="0"/>
              <w:kinsoku/>
              <w:wordWrap/>
              <w:overflowPunct/>
              <w:topLinePunct w:val="0"/>
              <w:bidi w:val="0"/>
              <w:adjustRightInd w:val="0"/>
              <w:snapToGrid w:val="0"/>
              <w:spacing w:line="320" w:lineRule="exact"/>
              <w:ind w:left="25"/>
              <w:textAlignment w:val="auto"/>
              <w:rPr>
                <w:rFonts w:hint="eastAsia" w:ascii="宋体" w:hAnsi="宋体" w:eastAsia="宋体" w:cs="宋体"/>
                <w:color w:val="auto"/>
                <w:highlight w:val="none"/>
              </w:rPr>
            </w:pPr>
            <w:r>
              <w:rPr>
                <w:rFonts w:hint="eastAsia" w:ascii="宋体" w:hAnsi="宋体" w:eastAsia="宋体" w:cs="宋体"/>
                <w:color w:val="auto"/>
                <w:highlight w:val="none"/>
              </w:rPr>
              <mc:AlternateContent>
                <mc:Choice Requires="wps">
                  <w:drawing>
                    <wp:anchor distT="0" distB="0" distL="114300" distR="114300" simplePos="0" relativeHeight="251661312" behindDoc="0" locked="0" layoutInCell="1" allowOverlap="1">
                      <wp:simplePos x="0" y="0"/>
                      <wp:positionH relativeFrom="column">
                        <wp:posOffset>-68580</wp:posOffset>
                      </wp:positionH>
                      <wp:positionV relativeFrom="paragraph">
                        <wp:posOffset>39370</wp:posOffset>
                      </wp:positionV>
                      <wp:extent cx="1828800" cy="396240"/>
                      <wp:effectExtent l="1270" t="4445" r="17780" b="18415"/>
                      <wp:wrapNone/>
                      <wp:docPr id="1" name="直接连接符 1"/>
                      <wp:cNvGraphicFramePr/>
                      <a:graphic xmlns:a="http://schemas.openxmlformats.org/drawingml/2006/main">
                        <a:graphicData uri="http://schemas.microsoft.com/office/word/2010/wordprocessingShape">
                          <wps:wsp>
                            <wps:cNvCnPr/>
                            <wps:spPr>
                              <a:xfrm>
                                <a:off x="0" y="0"/>
                                <a:ext cx="1828800" cy="396240"/>
                              </a:xfrm>
                              <a:prstGeom prst="line">
                                <a:avLst/>
                              </a:prstGeom>
                              <a:ln w="9525" cap="flat" cmpd="sng">
                                <a:solidFill>
                                  <a:srgbClr val="00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5.4pt;margin-top:3.1pt;height:31.2pt;width:144pt;z-index:251661312;mso-width-relative:page;mso-height-relative:page;" filled="f" stroked="t" coordsize="21600,21600" o:gfxdata="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">
                      <v:fill on="f" focussize="0,0"/>
                      <v:stroke color="#000000" joinstyle="round"/>
                      <v:imagedata o:title=""/>
                      <o:lock v:ext="edit" aspectratio="f"/>
                    </v:line>
                  </w:pict>
                </mc:Fallback>
              </mc:AlternateContent>
            </w:r>
          </w:p>
          <w:p w14:paraId="7B1C5CA6">
            <w:pPr>
              <w:pStyle w:val="9"/>
              <w:keepNext w:val="0"/>
              <w:keepLines w:val="0"/>
              <w:pageBreakBefore w:val="0"/>
              <w:kinsoku/>
              <w:wordWrap/>
              <w:overflowPunct/>
              <w:topLinePunct w:val="0"/>
              <w:bidi w:val="0"/>
              <w:adjustRightInd w:val="0"/>
              <w:snapToGrid w:val="0"/>
              <w:spacing w:line="320" w:lineRule="exact"/>
              <w:ind w:left="25"/>
              <w:textAlignment w:val="auto"/>
              <w:rPr>
                <w:rFonts w:hint="eastAsia" w:ascii="宋体" w:hAnsi="宋体" w:eastAsia="宋体" w:cs="宋体"/>
                <w:color w:val="auto"/>
                <w:highlight w:val="none"/>
              </w:rPr>
            </w:pPr>
            <w:r>
              <w:rPr>
                <w:rFonts w:hint="eastAsia" w:ascii="宋体" w:hAnsi="宋体" w:eastAsia="宋体" w:cs="宋体"/>
                <w:color w:val="auto"/>
                <w:highlight w:val="none"/>
              </w:rPr>
              <w:t>中标金额（万元）</w:t>
            </w:r>
          </w:p>
        </w:tc>
        <w:tc>
          <w:tcPr>
            <w:tcW w:w="1841" w:type="dxa"/>
            <w:noWrap w:val="0"/>
            <w:vAlign w:val="center"/>
          </w:tcPr>
          <w:p w14:paraId="39EA6BC3">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货物招标</w:t>
            </w:r>
          </w:p>
        </w:tc>
        <w:tc>
          <w:tcPr>
            <w:tcW w:w="1992" w:type="dxa"/>
            <w:noWrap w:val="0"/>
            <w:vAlign w:val="center"/>
          </w:tcPr>
          <w:p w14:paraId="049E4BF5">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服务招标</w:t>
            </w:r>
          </w:p>
        </w:tc>
        <w:tc>
          <w:tcPr>
            <w:tcW w:w="2293" w:type="dxa"/>
            <w:noWrap w:val="0"/>
            <w:vAlign w:val="center"/>
          </w:tcPr>
          <w:p w14:paraId="1E98E534">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工程招标</w:t>
            </w:r>
          </w:p>
        </w:tc>
      </w:tr>
      <w:tr w14:paraId="548AED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0" w:hRule="atLeast"/>
        </w:trPr>
        <w:tc>
          <w:tcPr>
            <w:tcW w:w="2880" w:type="dxa"/>
            <w:noWrap w:val="0"/>
            <w:vAlign w:val="top"/>
          </w:tcPr>
          <w:p w14:paraId="706BC80D">
            <w:pPr>
              <w:pStyle w:val="9"/>
              <w:keepNext w:val="0"/>
              <w:keepLines w:val="0"/>
              <w:pageBreakBefore w:val="0"/>
              <w:kinsoku/>
              <w:wordWrap/>
              <w:overflowPunct/>
              <w:topLinePunct w:val="0"/>
              <w:bidi w:val="0"/>
              <w:adjustRightInd w:val="0"/>
              <w:snapToGrid w:val="0"/>
              <w:spacing w:line="320" w:lineRule="exact"/>
              <w:ind w:left="25"/>
              <w:textAlignment w:val="auto"/>
              <w:rPr>
                <w:rFonts w:hint="eastAsia" w:ascii="宋体" w:hAnsi="宋体" w:eastAsia="宋体" w:cs="宋体"/>
                <w:color w:val="auto"/>
                <w:highlight w:val="none"/>
              </w:rPr>
            </w:pPr>
            <w:r>
              <w:rPr>
                <w:rFonts w:hint="eastAsia" w:ascii="宋体" w:hAnsi="宋体" w:eastAsia="宋体" w:cs="宋体"/>
                <w:color w:val="auto"/>
                <w:highlight w:val="none"/>
              </w:rPr>
              <w:t>100以下</w:t>
            </w:r>
          </w:p>
        </w:tc>
        <w:tc>
          <w:tcPr>
            <w:tcW w:w="1841" w:type="dxa"/>
            <w:noWrap w:val="0"/>
            <w:vAlign w:val="top"/>
          </w:tcPr>
          <w:p w14:paraId="5D588122">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1.5%</w:t>
            </w:r>
          </w:p>
        </w:tc>
        <w:tc>
          <w:tcPr>
            <w:tcW w:w="1992" w:type="dxa"/>
            <w:noWrap w:val="0"/>
            <w:vAlign w:val="top"/>
          </w:tcPr>
          <w:p w14:paraId="18E7C7DB">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1.5%</w:t>
            </w:r>
          </w:p>
        </w:tc>
        <w:tc>
          <w:tcPr>
            <w:tcW w:w="2293" w:type="dxa"/>
            <w:noWrap w:val="0"/>
            <w:vAlign w:val="top"/>
          </w:tcPr>
          <w:p w14:paraId="1FD2D990">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1.0%</w:t>
            </w:r>
          </w:p>
        </w:tc>
      </w:tr>
      <w:tr w14:paraId="30BB50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 w:hRule="atLeast"/>
        </w:trPr>
        <w:tc>
          <w:tcPr>
            <w:tcW w:w="2880" w:type="dxa"/>
            <w:noWrap w:val="0"/>
            <w:vAlign w:val="top"/>
          </w:tcPr>
          <w:p w14:paraId="72105914">
            <w:pPr>
              <w:pStyle w:val="9"/>
              <w:keepNext w:val="0"/>
              <w:keepLines w:val="0"/>
              <w:pageBreakBefore w:val="0"/>
              <w:kinsoku/>
              <w:wordWrap/>
              <w:overflowPunct/>
              <w:topLinePunct w:val="0"/>
              <w:bidi w:val="0"/>
              <w:adjustRightInd w:val="0"/>
              <w:snapToGrid w:val="0"/>
              <w:spacing w:line="320" w:lineRule="exact"/>
              <w:ind w:left="25"/>
              <w:textAlignment w:val="auto"/>
              <w:rPr>
                <w:rFonts w:hint="eastAsia" w:ascii="宋体" w:hAnsi="宋体" w:eastAsia="宋体" w:cs="宋体"/>
                <w:color w:val="auto"/>
                <w:highlight w:val="none"/>
              </w:rPr>
            </w:pPr>
            <w:r>
              <w:rPr>
                <w:rFonts w:hint="eastAsia" w:ascii="宋体" w:hAnsi="宋体" w:eastAsia="宋体" w:cs="宋体"/>
                <w:color w:val="auto"/>
                <w:highlight w:val="none"/>
              </w:rPr>
              <w:t>100-500</w:t>
            </w:r>
          </w:p>
        </w:tc>
        <w:tc>
          <w:tcPr>
            <w:tcW w:w="1841" w:type="dxa"/>
            <w:noWrap w:val="0"/>
            <w:vAlign w:val="top"/>
          </w:tcPr>
          <w:p w14:paraId="72BADEA1">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1.1%</w:t>
            </w:r>
          </w:p>
        </w:tc>
        <w:tc>
          <w:tcPr>
            <w:tcW w:w="1992" w:type="dxa"/>
            <w:noWrap w:val="0"/>
            <w:vAlign w:val="top"/>
          </w:tcPr>
          <w:p w14:paraId="71AA4AF5">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0.8%</w:t>
            </w:r>
          </w:p>
        </w:tc>
        <w:tc>
          <w:tcPr>
            <w:tcW w:w="2293" w:type="dxa"/>
            <w:noWrap w:val="0"/>
            <w:vAlign w:val="top"/>
          </w:tcPr>
          <w:p w14:paraId="75F133FF">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0.7%</w:t>
            </w:r>
          </w:p>
        </w:tc>
      </w:tr>
      <w:tr w14:paraId="77FEF8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2880" w:type="dxa"/>
            <w:noWrap w:val="0"/>
            <w:vAlign w:val="top"/>
          </w:tcPr>
          <w:p w14:paraId="7C87DD46">
            <w:pPr>
              <w:pStyle w:val="9"/>
              <w:keepNext w:val="0"/>
              <w:keepLines w:val="0"/>
              <w:pageBreakBefore w:val="0"/>
              <w:kinsoku/>
              <w:wordWrap/>
              <w:overflowPunct/>
              <w:topLinePunct w:val="0"/>
              <w:bidi w:val="0"/>
              <w:adjustRightInd w:val="0"/>
              <w:snapToGrid w:val="0"/>
              <w:spacing w:line="320" w:lineRule="exact"/>
              <w:ind w:left="25"/>
              <w:textAlignment w:val="auto"/>
              <w:rPr>
                <w:rFonts w:hint="eastAsia" w:ascii="宋体" w:hAnsi="宋体" w:eastAsia="宋体" w:cs="宋体"/>
                <w:color w:val="auto"/>
                <w:highlight w:val="none"/>
              </w:rPr>
            </w:pPr>
            <w:r>
              <w:rPr>
                <w:rFonts w:hint="eastAsia" w:ascii="宋体" w:hAnsi="宋体" w:eastAsia="宋体" w:cs="宋体"/>
                <w:color w:val="auto"/>
                <w:highlight w:val="none"/>
              </w:rPr>
              <w:t>500-1000</w:t>
            </w:r>
          </w:p>
        </w:tc>
        <w:tc>
          <w:tcPr>
            <w:tcW w:w="1841" w:type="dxa"/>
            <w:noWrap w:val="0"/>
            <w:vAlign w:val="top"/>
          </w:tcPr>
          <w:p w14:paraId="1602AD9F">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0.8%</w:t>
            </w:r>
          </w:p>
        </w:tc>
        <w:tc>
          <w:tcPr>
            <w:tcW w:w="1992" w:type="dxa"/>
            <w:noWrap w:val="0"/>
            <w:vAlign w:val="top"/>
          </w:tcPr>
          <w:p w14:paraId="0240B1DA">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0.45%</w:t>
            </w:r>
          </w:p>
        </w:tc>
        <w:tc>
          <w:tcPr>
            <w:tcW w:w="2293" w:type="dxa"/>
            <w:noWrap w:val="0"/>
            <w:vAlign w:val="top"/>
          </w:tcPr>
          <w:p w14:paraId="241DA5D7">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0.55%</w:t>
            </w:r>
          </w:p>
        </w:tc>
      </w:tr>
      <w:tr w14:paraId="513B0C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2880" w:type="dxa"/>
            <w:noWrap w:val="0"/>
            <w:vAlign w:val="top"/>
          </w:tcPr>
          <w:p w14:paraId="792D0035">
            <w:pPr>
              <w:pStyle w:val="9"/>
              <w:keepNext w:val="0"/>
              <w:keepLines w:val="0"/>
              <w:pageBreakBefore w:val="0"/>
              <w:kinsoku/>
              <w:wordWrap/>
              <w:overflowPunct/>
              <w:topLinePunct w:val="0"/>
              <w:bidi w:val="0"/>
              <w:adjustRightInd w:val="0"/>
              <w:snapToGrid w:val="0"/>
              <w:spacing w:line="320" w:lineRule="exact"/>
              <w:ind w:left="25"/>
              <w:textAlignment w:val="auto"/>
              <w:rPr>
                <w:rFonts w:hint="eastAsia" w:ascii="宋体" w:hAnsi="宋体" w:eastAsia="宋体" w:cs="宋体"/>
                <w:color w:val="auto"/>
                <w:highlight w:val="none"/>
              </w:rPr>
            </w:pPr>
            <w:r>
              <w:rPr>
                <w:rFonts w:hint="eastAsia" w:ascii="宋体" w:hAnsi="宋体" w:eastAsia="宋体" w:cs="宋体"/>
                <w:color w:val="auto"/>
                <w:highlight w:val="none"/>
              </w:rPr>
              <w:t>1000-5000</w:t>
            </w:r>
          </w:p>
        </w:tc>
        <w:tc>
          <w:tcPr>
            <w:tcW w:w="1841" w:type="dxa"/>
            <w:noWrap w:val="0"/>
            <w:vAlign w:val="top"/>
          </w:tcPr>
          <w:p w14:paraId="737D6898">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0.5%</w:t>
            </w:r>
          </w:p>
        </w:tc>
        <w:tc>
          <w:tcPr>
            <w:tcW w:w="1992" w:type="dxa"/>
            <w:noWrap w:val="0"/>
            <w:vAlign w:val="top"/>
          </w:tcPr>
          <w:p w14:paraId="18565E01">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0.25%</w:t>
            </w:r>
          </w:p>
        </w:tc>
        <w:tc>
          <w:tcPr>
            <w:tcW w:w="2293" w:type="dxa"/>
            <w:noWrap w:val="0"/>
            <w:vAlign w:val="top"/>
          </w:tcPr>
          <w:p w14:paraId="6E12F55F">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0.35%</w:t>
            </w:r>
          </w:p>
        </w:tc>
      </w:tr>
      <w:tr w14:paraId="2B042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 w:hRule="atLeast"/>
        </w:trPr>
        <w:tc>
          <w:tcPr>
            <w:tcW w:w="2880" w:type="dxa"/>
            <w:noWrap w:val="0"/>
            <w:vAlign w:val="top"/>
          </w:tcPr>
          <w:p w14:paraId="27D9082F">
            <w:pPr>
              <w:pStyle w:val="9"/>
              <w:keepNext w:val="0"/>
              <w:keepLines w:val="0"/>
              <w:pageBreakBefore w:val="0"/>
              <w:kinsoku/>
              <w:wordWrap/>
              <w:overflowPunct/>
              <w:topLinePunct w:val="0"/>
              <w:bidi w:val="0"/>
              <w:adjustRightInd w:val="0"/>
              <w:snapToGrid w:val="0"/>
              <w:spacing w:line="320" w:lineRule="exact"/>
              <w:ind w:left="25"/>
              <w:textAlignment w:val="auto"/>
              <w:rPr>
                <w:rFonts w:hint="eastAsia" w:ascii="宋体" w:hAnsi="宋体" w:eastAsia="宋体" w:cs="宋体"/>
                <w:color w:val="auto"/>
                <w:highlight w:val="none"/>
              </w:rPr>
            </w:pPr>
            <w:r>
              <w:rPr>
                <w:rFonts w:hint="eastAsia" w:ascii="宋体" w:hAnsi="宋体" w:eastAsia="宋体" w:cs="宋体"/>
                <w:color w:val="auto"/>
                <w:highlight w:val="none"/>
              </w:rPr>
              <w:t>5000-10000</w:t>
            </w:r>
          </w:p>
        </w:tc>
        <w:tc>
          <w:tcPr>
            <w:tcW w:w="1841" w:type="dxa"/>
            <w:noWrap w:val="0"/>
            <w:vAlign w:val="top"/>
          </w:tcPr>
          <w:p w14:paraId="114910A4">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0.25%</w:t>
            </w:r>
          </w:p>
        </w:tc>
        <w:tc>
          <w:tcPr>
            <w:tcW w:w="1992" w:type="dxa"/>
            <w:noWrap w:val="0"/>
            <w:vAlign w:val="top"/>
          </w:tcPr>
          <w:p w14:paraId="488940A3">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0.1%</w:t>
            </w:r>
          </w:p>
        </w:tc>
        <w:tc>
          <w:tcPr>
            <w:tcW w:w="2293" w:type="dxa"/>
            <w:noWrap w:val="0"/>
            <w:vAlign w:val="top"/>
          </w:tcPr>
          <w:p w14:paraId="6AE5FBB8">
            <w:pPr>
              <w:pStyle w:val="9"/>
              <w:keepNext w:val="0"/>
              <w:keepLines w:val="0"/>
              <w:pageBreakBefore w:val="0"/>
              <w:kinsoku/>
              <w:wordWrap/>
              <w:overflowPunct/>
              <w:topLinePunct w:val="0"/>
              <w:bidi w:val="0"/>
              <w:adjustRightInd w:val="0"/>
              <w:snapToGrid w:val="0"/>
              <w:spacing w:line="320" w:lineRule="exact"/>
              <w:ind w:left="25"/>
              <w:jc w:val="center"/>
              <w:textAlignment w:val="auto"/>
              <w:rPr>
                <w:rFonts w:hint="eastAsia" w:ascii="宋体" w:hAnsi="宋体" w:eastAsia="宋体" w:cs="宋体"/>
                <w:color w:val="auto"/>
                <w:highlight w:val="none"/>
              </w:rPr>
            </w:pPr>
            <w:r>
              <w:rPr>
                <w:rFonts w:hint="eastAsia" w:ascii="宋体" w:hAnsi="宋体" w:eastAsia="宋体" w:cs="宋体"/>
                <w:color w:val="auto"/>
                <w:highlight w:val="none"/>
              </w:rPr>
              <w:t>0.2%</w:t>
            </w:r>
          </w:p>
        </w:tc>
      </w:tr>
    </w:tbl>
    <w:p w14:paraId="01128568">
      <w:pPr>
        <w:pStyle w:val="9"/>
        <w:keepNext w:val="0"/>
        <w:keepLines w:val="0"/>
        <w:pageBreakBefore w:val="0"/>
        <w:kinsoku/>
        <w:wordWrap/>
        <w:overflowPunct/>
        <w:topLinePunct w:val="0"/>
        <w:bidi w:val="0"/>
        <w:adjustRightInd w:val="0"/>
        <w:snapToGrid w:val="0"/>
        <w:spacing w:line="320" w:lineRule="exact"/>
        <w:ind w:left="25"/>
        <w:textAlignment w:val="auto"/>
        <w:rPr>
          <w:rFonts w:hint="eastAsia" w:ascii="宋体" w:hAnsi="宋体" w:eastAsia="宋体" w:cs="宋体"/>
          <w:color w:val="auto"/>
          <w:highlight w:val="none"/>
        </w:rPr>
      </w:pPr>
      <w:r>
        <w:rPr>
          <w:rFonts w:hint="eastAsia" w:ascii="宋体" w:hAnsi="宋体" w:eastAsia="宋体" w:cs="宋体"/>
          <w:color w:val="auto"/>
          <w:highlight w:val="none"/>
        </w:rPr>
        <w:t>注：招标代理服务收费按差额定率累进法计算。</w:t>
      </w:r>
    </w:p>
    <w:p w14:paraId="549C7165">
      <w:pPr>
        <w:pStyle w:val="9"/>
        <w:keepNext w:val="0"/>
        <w:keepLines w:val="0"/>
        <w:pageBreakBefore w:val="0"/>
        <w:kinsoku/>
        <w:wordWrap/>
        <w:overflowPunct/>
        <w:topLinePunct w:val="0"/>
        <w:bidi w:val="0"/>
        <w:adjustRightInd w:val="0"/>
        <w:snapToGrid w:val="0"/>
        <w:spacing w:line="320" w:lineRule="exact"/>
        <w:ind w:left="2" w:leftChars="1" w:firstLine="316" w:firstLineChars="150"/>
        <w:textAlignment w:val="auto"/>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36、代理服务费的缴纳账户：</w:t>
      </w:r>
    </w:p>
    <w:p w14:paraId="24093D51">
      <w:pPr>
        <w:pStyle w:val="9"/>
        <w:keepNext w:val="0"/>
        <w:keepLines w:val="0"/>
        <w:pageBreakBefore w:val="0"/>
        <w:kinsoku/>
        <w:wordWrap/>
        <w:overflowPunct/>
        <w:topLinePunct w:val="0"/>
        <w:bidi w:val="0"/>
        <w:adjustRightInd w:val="0"/>
        <w:snapToGrid w:val="0"/>
        <w:spacing w:line="320" w:lineRule="exact"/>
        <w:ind w:left="2" w:leftChars="1" w:firstLine="315" w:firstLineChars="150"/>
        <w:textAlignment w:val="auto"/>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账户名称：</w:t>
      </w:r>
      <w:r>
        <w:rPr>
          <w:rFonts w:hint="eastAsia" w:hAnsi="宋体" w:cs="宋体"/>
          <w:b w:val="0"/>
          <w:bCs w:val="0"/>
          <w:color w:val="auto"/>
          <w:szCs w:val="21"/>
          <w:highlight w:val="none"/>
          <w:lang w:eastAsia="zh-CN"/>
        </w:rPr>
        <w:t>广西国兴项目管理有限公司</w:t>
      </w:r>
      <w:r>
        <w:rPr>
          <w:rFonts w:hint="eastAsia" w:ascii="宋体" w:hAnsi="宋体" w:eastAsia="宋体" w:cs="宋体"/>
          <w:b w:val="0"/>
          <w:bCs w:val="0"/>
          <w:color w:val="auto"/>
          <w:szCs w:val="21"/>
          <w:highlight w:val="none"/>
        </w:rPr>
        <w:t>桂林分公司</w:t>
      </w:r>
    </w:p>
    <w:p w14:paraId="2E337183">
      <w:pPr>
        <w:pStyle w:val="9"/>
        <w:keepNext w:val="0"/>
        <w:keepLines w:val="0"/>
        <w:pageBreakBefore w:val="0"/>
        <w:kinsoku/>
        <w:wordWrap/>
        <w:overflowPunct/>
        <w:topLinePunct w:val="0"/>
        <w:bidi w:val="0"/>
        <w:adjustRightInd w:val="0"/>
        <w:snapToGrid w:val="0"/>
        <w:spacing w:line="320" w:lineRule="exact"/>
        <w:ind w:left="2" w:leftChars="1" w:firstLine="315" w:firstLineChars="150"/>
        <w:textAlignment w:val="auto"/>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开户银行：桂林银行股份有限公司临桂支行</w:t>
      </w:r>
    </w:p>
    <w:p w14:paraId="40663C5A">
      <w:pPr>
        <w:pStyle w:val="9"/>
        <w:keepNext w:val="0"/>
        <w:keepLines w:val="0"/>
        <w:pageBreakBefore w:val="0"/>
        <w:kinsoku/>
        <w:wordWrap/>
        <w:overflowPunct/>
        <w:topLinePunct w:val="0"/>
        <w:bidi w:val="0"/>
        <w:adjustRightInd w:val="0"/>
        <w:snapToGrid w:val="0"/>
        <w:spacing w:line="320" w:lineRule="exact"/>
        <w:ind w:left="2" w:leftChars="1" w:firstLine="315" w:firstLineChars="150"/>
        <w:textAlignment w:val="auto"/>
        <w:rPr>
          <w:rFonts w:hint="eastAsia" w:ascii="宋体" w:hAnsi="宋体" w:eastAsia="宋体" w:cs="宋体"/>
          <w:b w:val="0"/>
          <w:bCs w:val="0"/>
          <w:color w:val="auto"/>
          <w:szCs w:val="21"/>
          <w:highlight w:val="none"/>
        </w:rPr>
      </w:pPr>
      <w:r>
        <w:rPr>
          <w:rFonts w:hint="eastAsia" w:ascii="宋体" w:hAnsi="宋体" w:eastAsia="宋体" w:cs="宋体"/>
          <w:b w:val="0"/>
          <w:bCs w:val="0"/>
          <w:color w:val="auto"/>
          <w:szCs w:val="21"/>
          <w:highlight w:val="none"/>
        </w:rPr>
        <w:t>银行账号：660000021548700019</w:t>
      </w:r>
    </w:p>
    <w:p w14:paraId="363BBDCB">
      <w:pPr>
        <w:pStyle w:val="9"/>
        <w:keepNext w:val="0"/>
        <w:keepLines w:val="0"/>
        <w:pageBreakBefore w:val="0"/>
        <w:kinsoku/>
        <w:wordWrap/>
        <w:overflowPunct/>
        <w:topLinePunct w:val="0"/>
        <w:bidi w:val="0"/>
        <w:adjustRightInd w:val="0"/>
        <w:snapToGrid w:val="0"/>
        <w:spacing w:line="320" w:lineRule="exact"/>
        <w:ind w:left="2" w:leftChars="1" w:firstLine="316" w:firstLineChars="150"/>
        <w:textAlignment w:val="auto"/>
        <w:rPr>
          <w:rFonts w:hint="eastAsia" w:ascii="宋体" w:hAnsi="宋体" w:eastAsia="宋体" w:cs="宋体"/>
          <w:color w:val="auto"/>
          <w:szCs w:val="21"/>
          <w:highlight w:val="none"/>
        </w:rPr>
      </w:pPr>
      <w:r>
        <w:rPr>
          <w:rFonts w:hint="eastAsia" w:ascii="宋体" w:hAnsi="宋体" w:eastAsia="宋体" w:cs="宋体"/>
          <w:b/>
          <w:bCs/>
          <w:color w:val="auto"/>
          <w:szCs w:val="21"/>
          <w:highlight w:val="none"/>
        </w:rPr>
        <w:t>37、解释权：</w:t>
      </w:r>
      <w:r>
        <w:rPr>
          <w:rFonts w:hint="eastAsia" w:ascii="宋体" w:hAnsi="宋体" w:eastAsia="宋体" w:cs="宋体"/>
          <w:color w:val="auto"/>
          <w:szCs w:val="21"/>
          <w:highlight w:val="none"/>
        </w:rPr>
        <w:t>本招标文件是根据《中华人民共和国政府采购法》、《中华人民共和国政府采购法实施条例》、财政部令第87号《政府采购货物和服务招标投标管理办法》和政府采购管理有关规定编制，本招标文件的解释权属于采购代理机构。</w:t>
      </w:r>
    </w:p>
    <w:p w14:paraId="71F3CD9E">
      <w:pPr>
        <w:pStyle w:val="9"/>
        <w:keepNext w:val="0"/>
        <w:keepLines w:val="0"/>
        <w:pageBreakBefore w:val="0"/>
        <w:kinsoku/>
        <w:wordWrap/>
        <w:overflowPunct/>
        <w:topLinePunct w:val="0"/>
        <w:bidi w:val="0"/>
        <w:adjustRightInd w:val="0"/>
        <w:snapToGrid w:val="0"/>
        <w:spacing w:line="320" w:lineRule="exact"/>
        <w:ind w:left="2" w:leftChars="1" w:firstLine="316" w:firstLineChars="150"/>
        <w:textAlignment w:val="auto"/>
        <w:rPr>
          <w:rFonts w:hint="eastAsia" w:ascii="宋体" w:hAnsi="宋体" w:cs="宋体"/>
          <w:color w:val="auto"/>
          <w:kern w:val="0"/>
        </w:rPr>
      </w:pPr>
      <w:r>
        <w:rPr>
          <w:rFonts w:hint="eastAsia" w:ascii="宋体" w:hAnsi="宋体" w:eastAsia="宋体" w:cs="宋体"/>
          <w:b/>
          <w:bCs/>
          <w:color w:val="auto"/>
          <w:szCs w:val="21"/>
          <w:highlight w:val="none"/>
        </w:rPr>
        <w:t>38、监督管理机构</w:t>
      </w:r>
      <w:r>
        <w:rPr>
          <w:rFonts w:hint="eastAsia" w:ascii="宋体" w:hAnsi="宋体" w:eastAsia="宋体" w:cs="宋体"/>
          <w:color w:val="auto"/>
          <w:szCs w:val="21"/>
          <w:highlight w:val="none"/>
        </w:rPr>
        <w:t>：灌阳县财政局政府采购监督管理股    联系电话：0773-4250206</w:t>
      </w:r>
    </w:p>
    <w:p w14:paraId="42A4F1C4">
      <w:pPr>
        <w:pStyle w:val="9"/>
        <w:keepNext w:val="0"/>
        <w:keepLines w:val="0"/>
        <w:pageBreakBefore w:val="0"/>
        <w:kinsoku/>
        <w:wordWrap/>
        <w:overflowPunct/>
        <w:topLinePunct w:val="0"/>
        <w:bidi w:val="0"/>
        <w:adjustRightInd w:val="0"/>
        <w:snapToGrid w:val="0"/>
        <w:spacing w:line="320" w:lineRule="exact"/>
        <w:ind w:left="2" w:leftChars="1" w:firstLine="316" w:firstLineChars="150"/>
        <w:textAlignment w:val="auto"/>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3</w:t>
      </w:r>
      <w:r>
        <w:rPr>
          <w:rFonts w:hint="eastAsia" w:ascii="宋体" w:hAnsi="宋体" w:eastAsia="宋体" w:cs="宋体"/>
          <w:b/>
          <w:bCs/>
          <w:color w:val="auto"/>
          <w:szCs w:val="21"/>
          <w:highlight w:val="none"/>
          <w:lang w:val="en-US" w:eastAsia="zh-CN"/>
        </w:rPr>
        <w:t>9</w:t>
      </w:r>
      <w:r>
        <w:rPr>
          <w:rFonts w:hint="eastAsia" w:ascii="宋体" w:hAnsi="宋体" w:eastAsia="宋体" w:cs="宋体"/>
          <w:b/>
          <w:bCs/>
          <w:color w:val="auto"/>
          <w:szCs w:val="21"/>
          <w:highlight w:val="none"/>
        </w:rPr>
        <w:t>.根据中国人民银行桂林市中心支行 桂林市财政局关于转发《中国人民银行南宁中心支行广西壮族自治区财政厅关于推广线上“政采贷”融资模式的通知》的通知【桂人银发（2021）246号】，支持银行金融机构与政府采购供应商开展线上“政采贷”业务，具体内容详见《广西线上“政采贷”政策告知函》。</w:t>
      </w:r>
    </w:p>
    <w:p w14:paraId="7E7AC122">
      <w:pPr>
        <w:pStyle w:val="23"/>
        <w:rPr>
          <w:rFonts w:hint="eastAsia"/>
          <w:b/>
          <w:bCs/>
          <w:color w:val="auto"/>
          <w:highlight w:val="none"/>
        </w:rPr>
      </w:pPr>
    </w:p>
    <w:p w14:paraId="16A6FEC8">
      <w:pPr>
        <w:spacing w:line="360" w:lineRule="exact"/>
        <w:jc w:val="both"/>
        <w:rPr>
          <w:rFonts w:hint="eastAsia" w:ascii="宋体" w:hAnsi="宋体"/>
          <w:b/>
          <w:color w:val="auto"/>
          <w:sz w:val="32"/>
          <w:szCs w:val="32"/>
          <w:highlight w:val="none"/>
        </w:rPr>
      </w:pPr>
    </w:p>
    <w:p w14:paraId="5BBDE9CC">
      <w:pPr>
        <w:spacing w:line="360" w:lineRule="exact"/>
        <w:jc w:val="center"/>
        <w:outlineLvl w:val="9"/>
        <w:rPr>
          <w:rFonts w:hint="eastAsia" w:ascii="宋体" w:hAnsi="宋体"/>
          <w:b/>
          <w:color w:val="auto"/>
          <w:sz w:val="32"/>
          <w:szCs w:val="32"/>
          <w:highlight w:val="none"/>
        </w:rPr>
      </w:pPr>
    </w:p>
    <w:p w14:paraId="3862DF3B">
      <w:pPr>
        <w:spacing w:line="360" w:lineRule="exact"/>
        <w:jc w:val="center"/>
        <w:outlineLvl w:val="9"/>
        <w:rPr>
          <w:rFonts w:hint="eastAsia" w:ascii="宋体" w:hAnsi="宋体"/>
          <w:b/>
          <w:color w:val="auto"/>
          <w:sz w:val="32"/>
          <w:szCs w:val="32"/>
          <w:highlight w:val="none"/>
        </w:rPr>
      </w:pPr>
      <w:r>
        <w:rPr>
          <w:color w:val="auto"/>
          <w:highlight w:val="none"/>
        </w:rPr>
        <w:drawing>
          <wp:anchor distT="0" distB="0" distL="114300" distR="114300" simplePos="0" relativeHeight="251662336" behindDoc="0" locked="0" layoutInCell="1" allowOverlap="1">
            <wp:simplePos x="0" y="0"/>
            <wp:positionH relativeFrom="column">
              <wp:posOffset>247015</wp:posOffset>
            </wp:positionH>
            <wp:positionV relativeFrom="paragraph">
              <wp:posOffset>353060</wp:posOffset>
            </wp:positionV>
            <wp:extent cx="5334000" cy="4505325"/>
            <wp:effectExtent l="0" t="0" r="0" b="9525"/>
            <wp:wrapSquare wrapText="bothSides"/>
            <wp:docPr id="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pic:cNvPicPr>
                      <a:picLocks noChangeAspect="1"/>
                    </pic:cNvPicPr>
                  </pic:nvPicPr>
                  <pic:blipFill>
                    <a:blip r:embed="rId6"/>
                    <a:srcRect t="13455" r="-1129" b="25998"/>
                    <a:stretch>
                      <a:fillRect/>
                    </a:stretch>
                  </pic:blipFill>
                  <pic:spPr>
                    <a:xfrm>
                      <a:off x="0" y="0"/>
                      <a:ext cx="5334000" cy="4505325"/>
                    </a:xfrm>
                    <a:prstGeom prst="rect">
                      <a:avLst/>
                    </a:prstGeom>
                    <a:noFill/>
                    <a:ln>
                      <a:noFill/>
                    </a:ln>
                  </pic:spPr>
                </pic:pic>
              </a:graphicData>
            </a:graphic>
          </wp:anchor>
        </w:drawing>
      </w:r>
    </w:p>
    <w:p w14:paraId="20CAA6AA">
      <w:pPr>
        <w:spacing w:line="360" w:lineRule="exact"/>
        <w:jc w:val="center"/>
        <w:outlineLvl w:val="9"/>
        <w:rPr>
          <w:rFonts w:hint="eastAsia" w:ascii="宋体" w:hAnsi="宋体"/>
          <w:b/>
          <w:color w:val="auto"/>
          <w:sz w:val="32"/>
          <w:szCs w:val="32"/>
          <w:highlight w:val="none"/>
        </w:rPr>
      </w:pPr>
    </w:p>
    <w:p w14:paraId="449B1C25">
      <w:pPr>
        <w:spacing w:line="360" w:lineRule="exact"/>
        <w:jc w:val="center"/>
        <w:outlineLvl w:val="9"/>
        <w:rPr>
          <w:rFonts w:hint="eastAsia" w:ascii="宋体" w:hAnsi="宋体"/>
          <w:b/>
          <w:color w:val="auto"/>
          <w:sz w:val="32"/>
          <w:szCs w:val="32"/>
          <w:highlight w:val="none"/>
        </w:rPr>
      </w:pPr>
    </w:p>
    <w:p w14:paraId="46CD45F3">
      <w:pPr>
        <w:spacing w:line="360" w:lineRule="exact"/>
        <w:jc w:val="center"/>
        <w:outlineLvl w:val="9"/>
        <w:rPr>
          <w:rFonts w:hint="eastAsia" w:ascii="宋体" w:hAnsi="宋体"/>
          <w:b/>
          <w:color w:val="auto"/>
          <w:sz w:val="32"/>
          <w:szCs w:val="32"/>
          <w:highlight w:val="none"/>
        </w:rPr>
      </w:pPr>
    </w:p>
    <w:p w14:paraId="7079AC41">
      <w:pPr>
        <w:spacing w:line="360" w:lineRule="exact"/>
        <w:jc w:val="center"/>
        <w:outlineLvl w:val="9"/>
        <w:rPr>
          <w:rFonts w:hint="eastAsia" w:ascii="宋体" w:hAnsi="宋体"/>
          <w:b/>
          <w:color w:val="auto"/>
          <w:sz w:val="32"/>
          <w:szCs w:val="32"/>
          <w:highlight w:val="none"/>
        </w:rPr>
      </w:pPr>
    </w:p>
    <w:p w14:paraId="14BE0038">
      <w:pPr>
        <w:spacing w:line="360" w:lineRule="exact"/>
        <w:jc w:val="center"/>
        <w:outlineLvl w:val="9"/>
        <w:rPr>
          <w:rFonts w:hint="eastAsia" w:ascii="宋体" w:hAnsi="宋体"/>
          <w:b/>
          <w:color w:val="auto"/>
          <w:sz w:val="32"/>
          <w:szCs w:val="32"/>
          <w:highlight w:val="none"/>
        </w:rPr>
      </w:pPr>
    </w:p>
    <w:p w14:paraId="433C003D">
      <w:pPr>
        <w:spacing w:line="360" w:lineRule="exact"/>
        <w:jc w:val="center"/>
        <w:outlineLvl w:val="9"/>
        <w:rPr>
          <w:rFonts w:hint="eastAsia" w:ascii="宋体" w:hAnsi="宋体"/>
          <w:b/>
          <w:color w:val="auto"/>
          <w:sz w:val="32"/>
          <w:szCs w:val="32"/>
          <w:highlight w:val="none"/>
        </w:rPr>
      </w:pPr>
    </w:p>
    <w:p w14:paraId="38AE869F">
      <w:pPr>
        <w:spacing w:line="360" w:lineRule="exact"/>
        <w:jc w:val="center"/>
        <w:outlineLvl w:val="9"/>
        <w:rPr>
          <w:rFonts w:hint="eastAsia" w:ascii="宋体" w:hAnsi="宋体"/>
          <w:b/>
          <w:color w:val="auto"/>
          <w:sz w:val="32"/>
          <w:szCs w:val="32"/>
          <w:highlight w:val="none"/>
        </w:rPr>
      </w:pPr>
    </w:p>
    <w:p w14:paraId="2FF18B3B">
      <w:pPr>
        <w:spacing w:line="360" w:lineRule="exact"/>
        <w:jc w:val="center"/>
        <w:outlineLvl w:val="9"/>
        <w:rPr>
          <w:rFonts w:hint="eastAsia" w:ascii="宋体" w:hAnsi="宋体"/>
          <w:b/>
          <w:color w:val="auto"/>
          <w:sz w:val="32"/>
          <w:szCs w:val="32"/>
          <w:highlight w:val="none"/>
        </w:rPr>
      </w:pPr>
    </w:p>
    <w:p w14:paraId="747479B8">
      <w:pPr>
        <w:spacing w:line="360" w:lineRule="exact"/>
        <w:jc w:val="center"/>
        <w:outlineLvl w:val="9"/>
        <w:rPr>
          <w:rFonts w:hint="eastAsia" w:ascii="宋体" w:hAnsi="宋体"/>
          <w:b/>
          <w:color w:val="auto"/>
          <w:sz w:val="32"/>
          <w:szCs w:val="32"/>
          <w:highlight w:val="none"/>
        </w:rPr>
      </w:pPr>
    </w:p>
    <w:p w14:paraId="147AFC38">
      <w:pPr>
        <w:spacing w:line="360" w:lineRule="exact"/>
        <w:jc w:val="center"/>
        <w:outlineLvl w:val="9"/>
        <w:rPr>
          <w:rFonts w:hint="eastAsia" w:ascii="宋体" w:hAnsi="宋体"/>
          <w:b/>
          <w:color w:val="auto"/>
          <w:sz w:val="32"/>
          <w:szCs w:val="32"/>
          <w:highlight w:val="none"/>
        </w:rPr>
      </w:pPr>
    </w:p>
    <w:p w14:paraId="0A22B200">
      <w:pPr>
        <w:spacing w:line="360" w:lineRule="exact"/>
        <w:jc w:val="center"/>
        <w:outlineLvl w:val="9"/>
        <w:rPr>
          <w:rFonts w:hint="eastAsia" w:ascii="宋体" w:hAnsi="宋体"/>
          <w:b/>
          <w:color w:val="auto"/>
          <w:sz w:val="32"/>
          <w:szCs w:val="32"/>
          <w:highlight w:val="none"/>
        </w:rPr>
      </w:pPr>
    </w:p>
    <w:p w14:paraId="63868693">
      <w:pPr>
        <w:pStyle w:val="23"/>
        <w:ind w:left="0" w:leftChars="0" w:firstLine="0" w:firstLineChars="0"/>
        <w:rPr>
          <w:rFonts w:hint="eastAsia"/>
          <w:color w:val="auto"/>
          <w:highlight w:val="none"/>
        </w:rPr>
      </w:pPr>
    </w:p>
    <w:p w14:paraId="79835B52">
      <w:pPr>
        <w:rPr>
          <w:rFonts w:hint="eastAsia"/>
          <w:color w:val="auto"/>
          <w:highlight w:val="none"/>
        </w:rPr>
      </w:pPr>
    </w:p>
    <w:p w14:paraId="373FFDDE">
      <w:pPr>
        <w:spacing w:after="0" w:line="360" w:lineRule="exact"/>
        <w:jc w:val="center"/>
        <w:outlineLvl w:val="9"/>
        <w:rPr>
          <w:rFonts w:hint="eastAsia" w:ascii="宋体" w:hAnsi="宋体" w:eastAsia="宋体" w:cs="宋体"/>
          <w:b/>
          <w:color w:val="auto"/>
          <w:sz w:val="28"/>
          <w:szCs w:val="28"/>
          <w:highlight w:val="none"/>
        </w:rPr>
      </w:pPr>
    </w:p>
    <w:p w14:paraId="3CA33240">
      <w:pPr>
        <w:spacing w:after="0" w:line="360" w:lineRule="exact"/>
        <w:jc w:val="center"/>
        <w:outlineLvl w:val="9"/>
        <w:rPr>
          <w:rFonts w:hint="eastAsia" w:ascii="宋体" w:hAnsi="宋体" w:eastAsia="宋体" w:cs="宋体"/>
          <w:b/>
          <w:color w:val="auto"/>
          <w:sz w:val="28"/>
          <w:szCs w:val="28"/>
          <w:highlight w:val="none"/>
        </w:rPr>
      </w:pPr>
    </w:p>
    <w:p w14:paraId="762AF50D">
      <w:pPr>
        <w:spacing w:after="0" w:line="360" w:lineRule="exact"/>
        <w:jc w:val="center"/>
        <w:outlineLvl w:val="9"/>
        <w:rPr>
          <w:rFonts w:hint="eastAsia" w:ascii="宋体" w:hAnsi="宋体" w:eastAsia="宋体" w:cs="宋体"/>
          <w:b/>
          <w:color w:val="auto"/>
          <w:sz w:val="28"/>
          <w:szCs w:val="28"/>
          <w:highlight w:val="none"/>
        </w:rPr>
      </w:pPr>
    </w:p>
    <w:p w14:paraId="26395BCE">
      <w:pPr>
        <w:spacing w:after="0" w:line="360" w:lineRule="exact"/>
        <w:jc w:val="center"/>
        <w:outlineLvl w:val="9"/>
        <w:rPr>
          <w:rFonts w:hint="eastAsia" w:ascii="宋体" w:hAnsi="宋体" w:eastAsia="宋体" w:cs="宋体"/>
          <w:b/>
          <w:color w:val="auto"/>
          <w:sz w:val="28"/>
          <w:szCs w:val="28"/>
          <w:highlight w:val="none"/>
        </w:rPr>
      </w:pPr>
    </w:p>
    <w:p w14:paraId="707D6067">
      <w:pPr>
        <w:spacing w:after="0" w:line="360" w:lineRule="exact"/>
        <w:jc w:val="center"/>
        <w:outlineLvl w:val="9"/>
        <w:rPr>
          <w:rFonts w:hint="eastAsia" w:ascii="宋体" w:hAnsi="宋体" w:eastAsia="宋体" w:cs="宋体"/>
          <w:b/>
          <w:color w:val="auto"/>
          <w:sz w:val="28"/>
          <w:szCs w:val="28"/>
          <w:highlight w:val="none"/>
        </w:rPr>
      </w:pPr>
    </w:p>
    <w:p w14:paraId="149585DF">
      <w:pPr>
        <w:spacing w:after="0" w:line="360" w:lineRule="exact"/>
        <w:jc w:val="center"/>
        <w:outlineLvl w:val="9"/>
        <w:rPr>
          <w:rFonts w:hint="eastAsia" w:ascii="宋体" w:hAnsi="宋体" w:eastAsia="宋体" w:cs="宋体"/>
          <w:b/>
          <w:color w:val="auto"/>
          <w:sz w:val="28"/>
          <w:szCs w:val="28"/>
          <w:highlight w:val="none"/>
        </w:rPr>
      </w:pPr>
    </w:p>
    <w:p w14:paraId="20938BF5">
      <w:pPr>
        <w:spacing w:after="0" w:line="360" w:lineRule="exact"/>
        <w:jc w:val="center"/>
        <w:outlineLvl w:val="9"/>
        <w:rPr>
          <w:rFonts w:hint="eastAsia" w:ascii="宋体" w:hAnsi="宋体" w:eastAsia="宋体" w:cs="宋体"/>
          <w:b/>
          <w:color w:val="auto"/>
          <w:sz w:val="28"/>
          <w:szCs w:val="28"/>
          <w:highlight w:val="none"/>
        </w:rPr>
      </w:pPr>
    </w:p>
    <w:p w14:paraId="232D6977">
      <w:pPr>
        <w:spacing w:after="0" w:line="360" w:lineRule="exact"/>
        <w:jc w:val="center"/>
        <w:outlineLvl w:val="9"/>
        <w:rPr>
          <w:rFonts w:hint="eastAsia" w:ascii="宋体" w:hAnsi="宋体" w:eastAsia="宋体" w:cs="宋体"/>
          <w:b/>
          <w:color w:val="auto"/>
          <w:sz w:val="28"/>
          <w:szCs w:val="28"/>
          <w:highlight w:val="none"/>
        </w:rPr>
      </w:pPr>
    </w:p>
    <w:p w14:paraId="54EDD8EF">
      <w:pPr>
        <w:spacing w:after="0" w:line="360" w:lineRule="exact"/>
        <w:jc w:val="center"/>
        <w:outlineLvl w:val="9"/>
        <w:rPr>
          <w:rFonts w:hint="eastAsia" w:ascii="宋体" w:hAnsi="宋体" w:eastAsia="宋体" w:cs="宋体"/>
          <w:b/>
          <w:color w:val="auto"/>
          <w:sz w:val="28"/>
          <w:szCs w:val="28"/>
          <w:highlight w:val="none"/>
        </w:rPr>
      </w:pPr>
    </w:p>
    <w:p w14:paraId="151DE9AF">
      <w:pPr>
        <w:spacing w:after="0" w:line="360" w:lineRule="exact"/>
        <w:jc w:val="center"/>
        <w:outlineLvl w:val="9"/>
        <w:rPr>
          <w:rFonts w:hint="eastAsia" w:ascii="宋体" w:hAnsi="宋体" w:eastAsia="宋体" w:cs="宋体"/>
          <w:b/>
          <w:color w:val="auto"/>
          <w:sz w:val="28"/>
          <w:szCs w:val="28"/>
          <w:highlight w:val="none"/>
        </w:rPr>
      </w:pPr>
    </w:p>
    <w:p w14:paraId="56A0E718">
      <w:pPr>
        <w:spacing w:after="0" w:line="360" w:lineRule="exact"/>
        <w:jc w:val="center"/>
        <w:outlineLvl w:val="9"/>
        <w:rPr>
          <w:rFonts w:hint="eastAsia" w:ascii="宋体" w:hAnsi="宋体" w:eastAsia="宋体" w:cs="宋体"/>
          <w:b/>
          <w:color w:val="auto"/>
          <w:sz w:val="28"/>
          <w:szCs w:val="28"/>
          <w:highlight w:val="none"/>
        </w:rPr>
      </w:pPr>
    </w:p>
    <w:p w14:paraId="03B8138A">
      <w:pPr>
        <w:spacing w:after="0" w:line="360" w:lineRule="exact"/>
        <w:jc w:val="center"/>
        <w:outlineLvl w:val="9"/>
        <w:rPr>
          <w:rFonts w:hint="eastAsia" w:ascii="宋体" w:hAnsi="宋体" w:eastAsia="宋体" w:cs="宋体"/>
          <w:b/>
          <w:color w:val="auto"/>
          <w:sz w:val="28"/>
          <w:szCs w:val="28"/>
          <w:highlight w:val="none"/>
        </w:rPr>
      </w:pPr>
    </w:p>
    <w:p w14:paraId="51940433">
      <w:pPr>
        <w:spacing w:after="0" w:line="360" w:lineRule="exact"/>
        <w:jc w:val="center"/>
        <w:outlineLvl w:val="9"/>
        <w:rPr>
          <w:rFonts w:hint="eastAsia" w:ascii="宋体" w:hAnsi="宋体" w:eastAsia="宋体" w:cs="宋体"/>
          <w:b/>
          <w:color w:val="auto"/>
          <w:sz w:val="28"/>
          <w:szCs w:val="28"/>
          <w:highlight w:val="none"/>
        </w:rPr>
      </w:pPr>
    </w:p>
    <w:p w14:paraId="1E7560B7">
      <w:pPr>
        <w:spacing w:after="0" w:line="360" w:lineRule="exact"/>
        <w:jc w:val="center"/>
        <w:outlineLvl w:val="9"/>
        <w:rPr>
          <w:rFonts w:hint="eastAsia" w:ascii="宋体" w:hAnsi="宋体" w:eastAsia="宋体" w:cs="宋体"/>
          <w:b/>
          <w:color w:val="auto"/>
          <w:sz w:val="28"/>
          <w:szCs w:val="28"/>
          <w:highlight w:val="none"/>
        </w:rPr>
      </w:pPr>
    </w:p>
    <w:p w14:paraId="687E4538">
      <w:pPr>
        <w:spacing w:after="0" w:line="360" w:lineRule="exact"/>
        <w:jc w:val="center"/>
        <w:outlineLvl w:val="9"/>
        <w:rPr>
          <w:rFonts w:hint="eastAsia" w:ascii="宋体" w:hAnsi="宋体" w:eastAsia="宋体" w:cs="宋体"/>
          <w:b/>
          <w:color w:val="auto"/>
          <w:sz w:val="28"/>
          <w:szCs w:val="28"/>
          <w:highlight w:val="none"/>
        </w:rPr>
      </w:pPr>
    </w:p>
    <w:p w14:paraId="31D7C951">
      <w:pPr>
        <w:spacing w:after="0" w:line="360" w:lineRule="exact"/>
        <w:jc w:val="center"/>
        <w:outlineLvl w:val="9"/>
        <w:rPr>
          <w:rFonts w:hint="eastAsia" w:ascii="宋体" w:hAnsi="宋体" w:eastAsia="宋体" w:cs="宋体"/>
          <w:b/>
          <w:color w:val="auto"/>
          <w:sz w:val="28"/>
          <w:szCs w:val="28"/>
          <w:highlight w:val="none"/>
        </w:rPr>
      </w:pPr>
    </w:p>
    <w:p w14:paraId="27DEE5B4">
      <w:pPr>
        <w:spacing w:after="0" w:line="360" w:lineRule="exact"/>
        <w:jc w:val="center"/>
        <w:outlineLvl w:val="9"/>
        <w:rPr>
          <w:rFonts w:hint="eastAsia" w:ascii="宋体" w:hAnsi="宋体" w:eastAsia="宋体" w:cs="宋体"/>
          <w:b/>
          <w:color w:val="auto"/>
          <w:sz w:val="28"/>
          <w:szCs w:val="28"/>
          <w:highlight w:val="none"/>
        </w:rPr>
      </w:pPr>
    </w:p>
    <w:p w14:paraId="5812788F">
      <w:pPr>
        <w:spacing w:after="0" w:line="360" w:lineRule="exact"/>
        <w:jc w:val="center"/>
        <w:outlineLvl w:val="9"/>
        <w:rPr>
          <w:rFonts w:hint="eastAsia" w:ascii="宋体" w:hAnsi="宋体" w:eastAsia="宋体" w:cs="宋体"/>
          <w:b/>
          <w:color w:val="auto"/>
          <w:sz w:val="28"/>
          <w:szCs w:val="28"/>
          <w:highlight w:val="none"/>
        </w:rPr>
      </w:pPr>
    </w:p>
    <w:p w14:paraId="32660656">
      <w:pPr>
        <w:spacing w:after="0" w:line="360" w:lineRule="exact"/>
        <w:jc w:val="center"/>
        <w:outlineLvl w:val="9"/>
        <w:rPr>
          <w:rFonts w:hint="eastAsia" w:ascii="宋体" w:hAnsi="宋体" w:eastAsia="宋体" w:cs="宋体"/>
          <w:b/>
          <w:color w:val="auto"/>
          <w:sz w:val="28"/>
          <w:szCs w:val="28"/>
          <w:highlight w:val="none"/>
        </w:rPr>
      </w:pPr>
    </w:p>
    <w:p w14:paraId="356193BC">
      <w:pPr>
        <w:spacing w:after="0" w:line="360" w:lineRule="exact"/>
        <w:jc w:val="center"/>
        <w:outlineLvl w:val="0"/>
        <w:rPr>
          <w:rFonts w:ascii="宋体" w:hAnsi="宋体" w:eastAsia="宋体" w:cs="宋体"/>
          <w:b/>
          <w:color w:val="000000" w:themeColor="text1"/>
          <w:sz w:val="28"/>
          <w:szCs w:val="28"/>
          <w:highlight w:val="none"/>
          <w14:textFill>
            <w14:solidFill>
              <w14:schemeClr w14:val="tx1"/>
            </w14:solidFill>
          </w14:textFill>
        </w:rPr>
      </w:pPr>
      <w:bookmarkStart w:id="2" w:name="_Toc23002"/>
      <w:r>
        <w:rPr>
          <w:rFonts w:hint="eastAsia" w:ascii="宋体" w:hAnsi="宋体" w:eastAsia="宋体" w:cs="宋体"/>
          <w:b/>
          <w:color w:val="000000" w:themeColor="text1"/>
          <w:sz w:val="28"/>
          <w:szCs w:val="28"/>
          <w:highlight w:val="none"/>
          <w14:textFill>
            <w14:solidFill>
              <w14:schemeClr w14:val="tx1"/>
            </w14:solidFill>
          </w14:textFill>
        </w:rPr>
        <w:t>第三章　货物采购需求</w:t>
      </w:r>
      <w:bookmarkEnd w:id="2"/>
    </w:p>
    <w:p w14:paraId="2D26ABE9">
      <w:pPr>
        <w:keepNext w:val="0"/>
        <w:keepLines w:val="0"/>
        <w:pageBreakBefore w:val="0"/>
        <w:widowControl/>
        <w:kinsoku/>
        <w:wordWrap/>
        <w:overflowPunct/>
        <w:topLinePunct w:val="0"/>
        <w:autoSpaceDE/>
        <w:autoSpaceDN/>
        <w:bidi w:val="0"/>
        <w:adjustRightInd w:val="0"/>
        <w:snapToGrid w:val="0"/>
        <w:spacing w:after="0" w:line="300" w:lineRule="exact"/>
        <w:textAlignment w:val="auto"/>
        <w:rPr>
          <w:rFonts w:ascii="宋体" w:hAnsi="宋体" w:eastAsia="宋体" w:cs="宋体"/>
          <w:bCs/>
          <w:color w:val="000000" w:themeColor="text1"/>
          <w:sz w:val="21"/>
          <w:szCs w:val="21"/>
          <w:highlight w:val="none"/>
          <w14:textFill>
            <w14:solidFill>
              <w14:schemeClr w14:val="tx1"/>
            </w14:solidFill>
          </w14:textFill>
        </w:rPr>
      </w:pPr>
      <w:r>
        <w:rPr>
          <w:rFonts w:hint="eastAsia" w:ascii="宋体" w:hAnsi="宋体" w:eastAsia="宋体" w:cs="宋体"/>
          <w:bCs/>
          <w:color w:val="000000" w:themeColor="text1"/>
          <w:sz w:val="21"/>
          <w:szCs w:val="21"/>
          <w:highlight w:val="none"/>
          <w14:textFill>
            <w14:solidFill>
              <w14:schemeClr w14:val="tx1"/>
            </w14:solidFill>
          </w14:textFill>
        </w:rPr>
        <w:t>说明：</w:t>
      </w:r>
    </w:p>
    <w:p w14:paraId="43736420">
      <w:pPr>
        <w:keepNext w:val="0"/>
        <w:keepLines w:val="0"/>
        <w:pageBreakBefore w:val="0"/>
        <w:widowControl/>
        <w:kinsoku/>
        <w:wordWrap/>
        <w:overflowPunct/>
        <w:topLinePunct w:val="0"/>
        <w:autoSpaceDE/>
        <w:autoSpaceDN/>
        <w:bidi w:val="0"/>
        <w:adjustRightInd w:val="0"/>
        <w:snapToGrid w:val="0"/>
        <w:spacing w:after="0" w:line="300" w:lineRule="exact"/>
        <w:ind w:firstLine="431"/>
        <w:textAlignment w:val="auto"/>
        <w:rPr>
          <w:rFonts w:ascii="宋体" w:hAnsi="宋体" w:eastAsia="宋体" w:cs="宋体"/>
          <w:bCs/>
          <w:color w:val="auto"/>
          <w:sz w:val="21"/>
          <w:szCs w:val="21"/>
          <w:highlight w:val="none"/>
        </w:rPr>
      </w:pPr>
      <w:r>
        <w:rPr>
          <w:rFonts w:hint="eastAsia" w:ascii="宋体" w:hAnsi="宋体" w:eastAsia="宋体" w:cs="宋体"/>
          <w:bCs/>
          <w:i/>
          <w:color w:val="auto"/>
          <w:sz w:val="21"/>
          <w:szCs w:val="21"/>
          <w:highlight w:val="none"/>
        </w:rPr>
        <w:t>一、</w:t>
      </w:r>
      <w:r>
        <w:rPr>
          <w:rFonts w:hint="eastAsia" w:ascii="宋体" w:hAnsi="宋体" w:eastAsia="宋体" w:cs="宋体"/>
          <w:bCs/>
          <w:color w:val="auto"/>
          <w:sz w:val="21"/>
          <w:szCs w:val="21"/>
          <w:highlight w:val="none"/>
        </w:rPr>
        <w:t>如本一览表中有参考品牌、型号，其仅起参考作用，投标人可选用其他品牌型号替代，但这些替代的品牌型号要实质上相当于或优于参考品牌型号及其技术参数性能（配置）要求；</w:t>
      </w:r>
    </w:p>
    <w:p w14:paraId="40B15E8C">
      <w:pPr>
        <w:keepNext w:val="0"/>
        <w:keepLines w:val="0"/>
        <w:pageBreakBefore w:val="0"/>
        <w:widowControl/>
        <w:kinsoku/>
        <w:wordWrap/>
        <w:overflowPunct/>
        <w:topLinePunct w:val="0"/>
        <w:autoSpaceDE/>
        <w:autoSpaceDN/>
        <w:bidi w:val="0"/>
        <w:adjustRightInd w:val="0"/>
        <w:snapToGrid w:val="0"/>
        <w:spacing w:after="0" w:line="300" w:lineRule="exact"/>
        <w:ind w:firstLine="431"/>
        <w:textAlignment w:val="auto"/>
        <w:rPr>
          <w:rFonts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二、如本一览表中有参考品牌、型号及技术参数性能（配置）不明确或有误的，或投标人选用其他品牌型号替代的，请以详细、正确的品牌型号、技术参数性能配置填写投标报价表和技术规格响应偏离表。投标人须根据技术参数及性能配置要求提供一一对应的</w:t>
      </w:r>
      <w:r>
        <w:rPr>
          <w:rFonts w:hint="eastAsia" w:ascii="宋体" w:hAnsi="宋体" w:eastAsia="宋体" w:cs="宋体"/>
          <w:color w:val="auto"/>
          <w:sz w:val="21"/>
          <w:szCs w:val="21"/>
          <w:highlight w:val="none"/>
        </w:rPr>
        <w:t>技术规格响应偏离表</w:t>
      </w:r>
      <w:r>
        <w:rPr>
          <w:rFonts w:hint="eastAsia" w:ascii="宋体" w:hAnsi="宋体" w:eastAsia="宋体" w:cs="宋体"/>
          <w:bCs/>
          <w:color w:val="auto"/>
          <w:sz w:val="21"/>
          <w:szCs w:val="21"/>
          <w:highlight w:val="none"/>
        </w:rPr>
        <w:t>；</w:t>
      </w:r>
    </w:p>
    <w:p w14:paraId="297D1E4C">
      <w:pPr>
        <w:keepNext w:val="0"/>
        <w:keepLines w:val="0"/>
        <w:pageBreakBefore w:val="0"/>
        <w:widowControl/>
        <w:kinsoku/>
        <w:wordWrap/>
        <w:overflowPunct/>
        <w:topLinePunct w:val="0"/>
        <w:autoSpaceDE/>
        <w:autoSpaceDN/>
        <w:bidi w:val="0"/>
        <w:adjustRightInd w:val="0"/>
        <w:snapToGrid w:val="0"/>
        <w:spacing w:after="0" w:line="300" w:lineRule="exact"/>
        <w:ind w:firstLine="422" w:firstLineChars="200"/>
        <w:textAlignment w:val="auto"/>
        <w:rPr>
          <w:rFonts w:hint="eastAsia" w:ascii="宋体" w:hAnsi="宋体" w:eastAsia="宋体" w:cs="宋体"/>
          <w:b/>
          <w:bCs/>
          <w:color w:val="auto"/>
          <w:sz w:val="21"/>
          <w:szCs w:val="21"/>
          <w:highlight w:val="none"/>
        </w:rPr>
      </w:pPr>
      <w:r>
        <w:rPr>
          <w:rFonts w:hint="eastAsia" w:ascii="宋体" w:hAnsi="宋体" w:eastAsia="宋体" w:cs="宋体"/>
          <w:b/>
          <w:color w:val="auto"/>
          <w:sz w:val="21"/>
          <w:szCs w:val="21"/>
          <w:highlight w:val="none"/>
        </w:rPr>
        <w:t>三</w:t>
      </w:r>
      <w:r>
        <w:rPr>
          <w:rFonts w:hint="eastAsia" w:ascii="宋体" w:hAnsi="宋体" w:eastAsia="宋体" w:cs="宋体"/>
          <w:color w:val="auto"/>
          <w:sz w:val="21"/>
          <w:szCs w:val="21"/>
          <w:highlight w:val="none"/>
        </w:rPr>
        <w:t>、</w:t>
      </w:r>
      <w:r>
        <w:rPr>
          <w:rFonts w:hint="eastAsia" w:ascii="宋体" w:hAnsi="宋体" w:eastAsia="宋体" w:cs="宋体"/>
          <w:b/>
          <w:bCs/>
          <w:color w:val="auto"/>
          <w:sz w:val="21"/>
          <w:szCs w:val="21"/>
          <w:highlight w:val="none"/>
        </w:rPr>
        <w:t>本次采购将依据强制采购节能产品品目清单和节能产品认证证书实施政府强制采购。 根据《国务院办公厅关于建立政府强制采购节能产品制度的通知》（国办发[2007]51号）和《关于印发节能产品政府采购品目清单的通知》（财库〔2019〕19 号）的规定，台式计算机，便携式计算机、平板式微型计算机，激光打印机，针式打印机，液晶显示器，制冷压缩机（冷水机组、水源热泵机组、溴化锂吸收式冷水机组），空调机组[多联式空调（热泵）机组（制冷量＞14000W），单元式空气调节机（制冷量＞14000W）]， 专用制冷、空调设备（机房空调），镇流器（管型荧光灯镇流器），空调机[房间空气调节器、多联式空调（热泵）机组（制冷量≤14000W）、单元式空气调节机（制冷量≤14000W）]，电热水器，普通照明用双端荧光灯，电视设备[普通电视设备（电视机）]，视频设备[视频监控设备（监视器）]，便器（坐便器、蹲便器、小便器），水嘴均为节能产品政府采购品目清单内标注“</w:t>
      </w:r>
      <w:r>
        <w:rPr>
          <w:rFonts w:hint="eastAsia" w:ascii="宋体" w:hAnsi="宋体" w:eastAsia="宋体" w:cs="宋体"/>
          <w:b/>
          <w:color w:val="auto"/>
          <w:sz w:val="21"/>
          <w:szCs w:val="21"/>
          <w:highlight w:val="none"/>
        </w:rPr>
        <w:t>★</w:t>
      </w:r>
      <w:r>
        <w:rPr>
          <w:rFonts w:hint="eastAsia" w:ascii="宋体" w:hAnsi="宋体" w:eastAsia="宋体" w:cs="宋体"/>
          <w:b/>
          <w:bCs/>
          <w:color w:val="auto"/>
          <w:sz w:val="21"/>
          <w:szCs w:val="21"/>
          <w:highlight w:val="none"/>
        </w:rPr>
        <w:t>”的品目，属于政府强制采购节能产品，投标人提供的货物必须使用政府强制采购的节能产品。投标人应在投标文件中提供所投产品获得国家确定的认证机构出具的、处于有效之内的节能产品认证证书</w:t>
      </w:r>
      <w:r>
        <w:rPr>
          <w:rFonts w:hint="eastAsia" w:ascii="宋体" w:hAnsi="宋体" w:eastAsia="宋体" w:cs="宋体"/>
          <w:b/>
          <w:bCs/>
          <w:color w:val="auto"/>
          <w:sz w:val="21"/>
          <w:szCs w:val="21"/>
          <w:highlight w:val="none"/>
          <w:lang w:eastAsia="zh-CN"/>
        </w:rPr>
        <w:t>扫描</w:t>
      </w:r>
      <w:r>
        <w:rPr>
          <w:rFonts w:hint="eastAsia" w:ascii="宋体" w:hAnsi="宋体" w:eastAsia="宋体" w:cs="宋体"/>
          <w:b/>
          <w:bCs/>
          <w:color w:val="auto"/>
          <w:sz w:val="21"/>
          <w:szCs w:val="21"/>
          <w:highlight w:val="none"/>
        </w:rPr>
        <w:t>件（加盖章投标人CA签章），否则投标无效。</w:t>
      </w:r>
    </w:p>
    <w:p w14:paraId="0A47EB32">
      <w:pPr>
        <w:keepNext w:val="0"/>
        <w:keepLines w:val="0"/>
        <w:pageBreakBefore w:val="0"/>
        <w:widowControl/>
        <w:kinsoku/>
        <w:wordWrap/>
        <w:overflowPunct/>
        <w:topLinePunct w:val="0"/>
        <w:autoSpaceDE/>
        <w:autoSpaceDN/>
        <w:bidi w:val="0"/>
        <w:adjustRightInd w:val="0"/>
        <w:snapToGrid w:val="0"/>
        <w:spacing w:after="0" w:line="300" w:lineRule="exact"/>
        <w:ind w:firstLine="422" w:firstLineChars="200"/>
        <w:textAlignment w:val="auto"/>
        <w:rPr>
          <w:rFonts w:hint="eastAsia" w:ascii="宋体" w:hAnsi="宋体" w:eastAsia="宋体" w:cs="宋体"/>
          <w:b/>
          <w:color w:val="auto"/>
          <w:sz w:val="21"/>
          <w:szCs w:val="21"/>
          <w:highlight w:val="none"/>
        </w:rPr>
      </w:pPr>
      <w:r>
        <w:rPr>
          <w:rFonts w:hint="eastAsia" w:ascii="宋体" w:hAnsi="宋体" w:eastAsia="宋体" w:cs="宋体"/>
          <w:b/>
          <w:bCs/>
          <w:color w:val="auto"/>
          <w:sz w:val="21"/>
          <w:szCs w:val="21"/>
          <w:highlight w:val="none"/>
        </w:rPr>
        <w:t>四、本</w:t>
      </w:r>
      <w:r>
        <w:rPr>
          <w:rFonts w:hint="eastAsia" w:ascii="宋体" w:hAnsi="宋体" w:eastAsia="宋体" w:cs="宋体"/>
          <w:b/>
          <w:color w:val="auto"/>
          <w:sz w:val="21"/>
          <w:szCs w:val="21"/>
          <w:highlight w:val="none"/>
        </w:rPr>
        <w:t>“货物采购需求”中带“★”条款及商务条款为实质性要求，投标时必须满足，否则投标无效</w:t>
      </w:r>
      <w:r>
        <w:rPr>
          <w:rFonts w:hint="eastAsia" w:ascii="宋体" w:hAnsi="宋体" w:eastAsia="宋体" w:cs="宋体"/>
          <w:b/>
          <w:color w:val="auto"/>
          <w:sz w:val="21"/>
          <w:szCs w:val="21"/>
          <w:highlight w:val="none"/>
          <w:lang w:eastAsia="zh-CN"/>
        </w:rPr>
        <w:t>，</w:t>
      </w:r>
      <w:r>
        <w:rPr>
          <w:rFonts w:hint="eastAsia" w:ascii="宋体" w:hAnsi="宋体" w:eastAsia="宋体" w:cs="宋体"/>
          <w:b/>
          <w:bCs/>
          <w:color w:val="auto"/>
          <w:sz w:val="21"/>
          <w:szCs w:val="21"/>
          <w:highlight w:val="none"/>
        </w:rPr>
        <w:t>本</w:t>
      </w:r>
      <w:r>
        <w:rPr>
          <w:rFonts w:hint="eastAsia" w:ascii="宋体" w:hAnsi="宋体" w:eastAsia="宋体" w:cs="宋体"/>
          <w:b/>
          <w:color w:val="auto"/>
          <w:sz w:val="21"/>
          <w:szCs w:val="21"/>
          <w:highlight w:val="none"/>
        </w:rPr>
        <w:t>“货物采购需求”中</w:t>
      </w:r>
      <w:r>
        <w:rPr>
          <w:rFonts w:hint="eastAsia" w:ascii="宋体" w:hAnsi="宋体" w:eastAsia="宋体" w:cs="宋体"/>
          <w:b/>
          <w:color w:val="auto"/>
          <w:sz w:val="21"/>
          <w:szCs w:val="21"/>
          <w:highlight w:val="none"/>
          <w:lang w:eastAsia="zh-CN"/>
        </w:rPr>
        <w:t>货物图片仅供参考</w:t>
      </w:r>
      <w:r>
        <w:rPr>
          <w:rFonts w:hint="eastAsia" w:ascii="宋体" w:hAnsi="宋体" w:eastAsia="宋体" w:cs="宋体"/>
          <w:b/>
          <w:color w:val="auto"/>
          <w:sz w:val="21"/>
          <w:szCs w:val="21"/>
          <w:highlight w:val="none"/>
        </w:rPr>
        <w:t>。</w:t>
      </w:r>
    </w:p>
    <w:p w14:paraId="4CF71958">
      <w:pPr>
        <w:bidi w:val="0"/>
        <w:jc w:val="left"/>
        <w:rPr>
          <w:rFonts w:hint="eastAsia" w:cstheme="minorBidi"/>
          <w:b/>
          <w:bCs/>
          <w:sz w:val="22"/>
          <w:szCs w:val="22"/>
          <w:lang w:val="en-US" w:eastAsia="zh-CN" w:bidi="ar-SA"/>
        </w:rPr>
      </w:pPr>
    </w:p>
    <w:p w14:paraId="07B966BC">
      <w:pPr>
        <w:bidi w:val="0"/>
        <w:jc w:val="left"/>
        <w:rPr>
          <w:rFonts w:hint="eastAsia" w:ascii="Tahoma" w:hAnsi="Tahoma" w:eastAsia="微软雅黑" w:cstheme="minorBidi"/>
          <w:sz w:val="22"/>
          <w:szCs w:val="22"/>
          <w:lang w:val="en-US" w:eastAsia="zh-CN" w:bidi="ar-SA"/>
        </w:rPr>
      </w:pPr>
      <w:r>
        <w:rPr>
          <w:rFonts w:hint="eastAsia" w:cstheme="minorBidi"/>
          <w:b/>
          <w:bCs/>
          <w:sz w:val="22"/>
          <w:szCs w:val="22"/>
          <w:lang w:val="en-US" w:eastAsia="zh-CN" w:bidi="ar-SA"/>
        </w:rPr>
        <w:t>标项一（A分标）</w:t>
      </w:r>
    </w:p>
    <w:tbl>
      <w:tblPr>
        <w:tblStyle w:val="15"/>
        <w:tblW w:w="9931"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9"/>
        <w:gridCol w:w="716"/>
        <w:gridCol w:w="6717"/>
        <w:gridCol w:w="700"/>
        <w:gridCol w:w="1179"/>
      </w:tblGrid>
      <w:tr w14:paraId="34966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9931" w:type="dxa"/>
            <w:gridSpan w:val="5"/>
            <w:vAlign w:val="center"/>
          </w:tcPr>
          <w:p w14:paraId="4C35AF84">
            <w:pPr>
              <w:keepNext w:val="0"/>
              <w:keepLines w:val="0"/>
              <w:pageBreakBefore w:val="0"/>
              <w:widowControl/>
              <w:kinsoku/>
              <w:wordWrap/>
              <w:overflowPunct/>
              <w:topLinePunct w:val="0"/>
              <w:bidi w:val="0"/>
              <w:adjustRightInd w:val="0"/>
              <w:snapToGrid w:val="0"/>
              <w:spacing w:before="181" w:beforeLines="50" w:after="181" w:afterLines="50"/>
              <w:jc w:val="both"/>
              <w:textAlignment w:val="top"/>
              <w:rPr>
                <w:rFonts w:hint="eastAsia" w:ascii="宋体" w:hAnsi="宋体" w:eastAsia="宋体" w:cs="宋体"/>
                <w:b/>
                <w:color w:val="auto"/>
                <w:sz w:val="21"/>
                <w:szCs w:val="21"/>
                <w:highlight w:val="none"/>
              </w:rPr>
            </w:pPr>
            <w:bookmarkStart w:id="3" w:name="_Hlk135383965"/>
            <w:r>
              <w:rPr>
                <w:rFonts w:hint="eastAsia" w:ascii="宋体" w:hAnsi="宋体" w:eastAsia="宋体" w:cs="宋体"/>
                <w:b/>
                <w:color w:val="auto"/>
                <w:sz w:val="21"/>
                <w:szCs w:val="21"/>
                <w:highlight w:val="none"/>
              </w:rPr>
              <w:t>一、采购标的需满足的质量、安全、技术规格、物理特性等要求及采购标的的数量</w:t>
            </w:r>
          </w:p>
        </w:tc>
      </w:tr>
      <w:tr w14:paraId="3035BF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9931" w:type="dxa"/>
            <w:gridSpan w:val="5"/>
            <w:vAlign w:val="center"/>
          </w:tcPr>
          <w:p w14:paraId="785BFD0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（一）办公室</w:t>
            </w:r>
          </w:p>
        </w:tc>
      </w:tr>
      <w:tr w14:paraId="4BEC25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trPr>
        <w:tc>
          <w:tcPr>
            <w:tcW w:w="619" w:type="dxa"/>
            <w:vAlign w:val="center"/>
          </w:tcPr>
          <w:p w14:paraId="7006B79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项号</w:t>
            </w:r>
          </w:p>
        </w:tc>
        <w:tc>
          <w:tcPr>
            <w:tcW w:w="716" w:type="dxa"/>
            <w:vAlign w:val="center"/>
          </w:tcPr>
          <w:p w14:paraId="44F27FF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货物名称</w:t>
            </w:r>
          </w:p>
        </w:tc>
        <w:tc>
          <w:tcPr>
            <w:tcW w:w="6717" w:type="dxa"/>
            <w:vAlign w:val="center"/>
          </w:tcPr>
          <w:p w14:paraId="6DA9016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vAlign w:val="center"/>
          </w:tcPr>
          <w:p w14:paraId="44E1016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数量</w:t>
            </w:r>
          </w:p>
        </w:tc>
        <w:tc>
          <w:tcPr>
            <w:tcW w:w="1179" w:type="dxa"/>
            <w:vAlign w:val="center"/>
          </w:tcPr>
          <w:p w14:paraId="4E6DF6F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参考单价（元）</w:t>
            </w:r>
          </w:p>
        </w:tc>
      </w:tr>
      <w:tr w14:paraId="1DFB6A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9" w:type="dxa"/>
            <w:noWrap/>
            <w:vAlign w:val="center"/>
          </w:tcPr>
          <w:p w14:paraId="47BA864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716" w:type="dxa"/>
            <w:vAlign w:val="center"/>
          </w:tcPr>
          <w:p w14:paraId="5DDE325E">
            <w:pPr>
              <w:keepNext w:val="0"/>
              <w:keepLines w:val="0"/>
              <w:widowControl/>
              <w:suppressLineNumbers w:val="0"/>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教学计算机</w:t>
            </w:r>
          </w:p>
        </w:tc>
        <w:tc>
          <w:tcPr>
            <w:tcW w:w="6717" w:type="dxa"/>
            <w:vAlign w:val="center"/>
          </w:tcPr>
          <w:p w14:paraId="19491CA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一、硬件要求</w:t>
            </w:r>
          </w:p>
          <w:p w14:paraId="2716E8E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1、机箱：免工具拆卸机箱、可立可卧（双面脚垫、减轻共振，利于散热），散热风罩，便于维护,机箱≤20L，支持侧板挂环锁、Kensington锁和主板报警蜂鸣器。</w:t>
            </w:r>
          </w:p>
          <w:p w14:paraId="5C5BF087">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★2、处理器</w:t>
            </w:r>
            <w:r>
              <w:rPr>
                <w:rFonts w:hint="eastAsia" w:ascii="宋体" w:hAnsi="宋体" w:eastAsia="宋体" w:cs="宋体"/>
                <w:i w:val="0"/>
                <w:iCs w:val="0"/>
                <w:color w:val="auto"/>
                <w:kern w:val="0"/>
                <w:sz w:val="21"/>
                <w:szCs w:val="21"/>
                <w:highlight w:val="none"/>
                <w:u w:val="none"/>
                <w:lang w:val="en-US" w:eastAsia="zh-CN" w:bidi="ar"/>
              </w:rPr>
              <w:t>：CPU采用国产兆芯（ZX-E）开先KX-U6780A处理器，</w:t>
            </w:r>
            <w:r>
              <w:rPr>
                <w:rFonts w:hint="eastAsia" w:ascii="宋体" w:hAnsi="宋体" w:eastAsia="宋体" w:cs="宋体"/>
                <w:i w:val="0"/>
                <w:iCs w:val="0"/>
                <w:color w:val="auto"/>
                <w:kern w:val="0"/>
                <w:sz w:val="21"/>
                <w:szCs w:val="21"/>
                <w:u w:val="none"/>
                <w:lang w:val="en-US" w:eastAsia="zh-CN" w:bidi="ar"/>
              </w:rPr>
              <w:t>八核，主频2.7GHz，8MB二级缓存，16纳米制程，70W功耗；</w:t>
            </w:r>
          </w:p>
          <w:p w14:paraId="75AE99F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3、内存：≥16GB DDR4，≥2个内存插槽。</w:t>
            </w:r>
          </w:p>
          <w:p w14:paraId="04D3A34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4、显卡：集成显卡</w:t>
            </w:r>
          </w:p>
          <w:p w14:paraId="56F4B62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5、硬盘：配置≥1块512GB M.2 SSD硬盘。</w:t>
            </w:r>
          </w:p>
          <w:p w14:paraId="466B904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★6、接口扩展：1个PCIe x16，2个PCIe x1扩展槽；USB接口≥8个（其中前置USB3.0数量≥4个，后置USB3.0数量≥2个，USB2.0数量≥2个）；音频接口：麦克风1个，耳机1个；后端3个Audio音频接口；网络:1个RJ45 10/100/1000自适应以太网口。</w:t>
            </w:r>
          </w:p>
          <w:p w14:paraId="2966744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7、电源：电源功率≤180W。</w:t>
            </w:r>
          </w:p>
          <w:p w14:paraId="4B2A815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8、键鼠：配置1套同主机品牌防水键盘及抗菌鼠标。</w:t>
            </w:r>
          </w:p>
          <w:p w14:paraId="2BCCB28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9、显示器：与主机同品牌≥23.8寸LED商用显示器，三年上门保修。 </w:t>
            </w:r>
          </w:p>
          <w:p w14:paraId="760894B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10、BIOS级USB屏蔽及智能USB数据保护：USB支持BIOS下全部接口一键开关，前后分组开关；针对存储设备支持全部USB接口一键切换禁止访问模式/只读模式。</w:t>
            </w:r>
          </w:p>
          <w:p w14:paraId="50A03C8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二、软件部分：</w:t>
            </w:r>
          </w:p>
          <w:p w14:paraId="4CB10AF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★1、操作系统：出厂预装国产正版麒麟桌面级操作系统(正版激活，三年服务</w:t>
            </w:r>
            <w:r>
              <w:rPr>
                <w:rFonts w:hint="eastAsia" w:ascii="宋体" w:hAnsi="宋体" w:eastAsia="宋体" w:cs="宋体"/>
                <w:b w:val="0"/>
                <w:bCs w:val="0"/>
                <w:i w:val="0"/>
                <w:iCs w:val="0"/>
                <w:color w:val="000000"/>
                <w:kern w:val="0"/>
                <w:sz w:val="21"/>
                <w:szCs w:val="21"/>
                <w:u w:val="none"/>
                <w:lang w:val="en-US" w:eastAsia="zh-CN" w:bidi="ar"/>
              </w:rPr>
              <w:t>)。</w:t>
            </w:r>
          </w:p>
          <w:p w14:paraId="513BB53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★2、为教师机配置正版教学应用软件或账号，具备丰富的教师备课资源及功能：</w:t>
            </w:r>
          </w:p>
          <w:p w14:paraId="74F24C6B">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1)支持PPT/WPS的智能备课功能，支持PPT/PPTX格式，并可在ppt中对课件内容进行二次编辑，不能以ppt文件的图片形式导出</w:t>
            </w:r>
            <w:r>
              <w:rPr>
                <w:rFonts w:hint="eastAsia" w:ascii="宋体" w:hAnsi="宋体" w:eastAsia="宋体" w:cs="宋体"/>
                <w:b/>
                <w:bCs/>
                <w:i w:val="0"/>
                <w:iCs w:val="0"/>
                <w:color w:val="000000"/>
                <w:kern w:val="0"/>
                <w:sz w:val="21"/>
                <w:szCs w:val="21"/>
                <w:u w:val="none"/>
                <w:lang w:val="en-US" w:eastAsia="zh-CN" w:bidi="ar"/>
              </w:rPr>
              <w:t>（投标文件中必须提供此项功能的软件界面截图并</w:t>
            </w:r>
            <w:r>
              <w:rPr>
                <w:rFonts w:hint="eastAsia" w:ascii="宋体" w:hAnsi="宋体" w:eastAsia="宋体" w:cs="宋体"/>
                <w:b/>
                <w:bCs/>
                <w:color w:val="auto"/>
                <w:sz w:val="21"/>
                <w:szCs w:val="21"/>
                <w:highlight w:val="none"/>
              </w:rPr>
              <w:t>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w:t>
            </w:r>
          </w:p>
          <w:p w14:paraId="0E3295AF">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2)支持在线组卷功能</w:t>
            </w:r>
            <w:r>
              <w:rPr>
                <w:rFonts w:hint="eastAsia" w:ascii="宋体" w:hAnsi="宋体" w:eastAsia="宋体" w:cs="宋体"/>
                <w:b/>
                <w:bCs/>
                <w:i w:val="0"/>
                <w:iCs w:val="0"/>
                <w:color w:val="000000"/>
                <w:kern w:val="0"/>
                <w:sz w:val="21"/>
                <w:szCs w:val="21"/>
                <w:u w:val="none"/>
                <w:lang w:val="en-US" w:eastAsia="zh-CN" w:bidi="ar"/>
              </w:rPr>
              <w:t>（投标文件中必须提供此项功能的软件界面截图并</w:t>
            </w:r>
            <w:r>
              <w:rPr>
                <w:rFonts w:hint="eastAsia" w:ascii="宋体" w:hAnsi="宋体" w:eastAsia="宋体" w:cs="宋体"/>
                <w:b/>
                <w:bCs/>
                <w:color w:val="auto"/>
                <w:sz w:val="21"/>
                <w:szCs w:val="21"/>
                <w:highlight w:val="none"/>
              </w:rPr>
              <w:t>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w:t>
            </w:r>
          </w:p>
          <w:p w14:paraId="68BD418D">
            <w:pPr>
              <w:keepNext w:val="0"/>
              <w:keepLines w:val="0"/>
              <w:widowControl/>
              <w:suppressLineNumbers w:val="0"/>
              <w:ind w:firstLine="420" w:firstLineChars="20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3)内置思维导图功能，提供组织结构图、天盘图、逻辑结构图、鱼骨图、目录组织图、思维导图等样式，并可设置不少于10种背景颜色。</w:t>
            </w:r>
            <w:r>
              <w:rPr>
                <w:rFonts w:hint="eastAsia" w:ascii="宋体" w:hAnsi="宋体" w:eastAsia="宋体" w:cs="宋体"/>
                <w:b/>
                <w:bCs/>
                <w:i w:val="0"/>
                <w:iCs w:val="0"/>
                <w:color w:val="000000"/>
                <w:kern w:val="0"/>
                <w:sz w:val="21"/>
                <w:szCs w:val="21"/>
                <w:u w:val="none"/>
                <w:lang w:val="en-US" w:eastAsia="zh-CN" w:bidi="ar"/>
              </w:rPr>
              <w:t>（投标文件中必须提供此项功能的软件界面截图并</w:t>
            </w:r>
            <w:r>
              <w:rPr>
                <w:rFonts w:hint="eastAsia" w:ascii="宋体" w:hAnsi="宋体" w:eastAsia="宋体" w:cs="宋体"/>
                <w:b/>
                <w:bCs/>
                <w:color w:val="auto"/>
                <w:sz w:val="21"/>
                <w:szCs w:val="21"/>
                <w:highlight w:val="none"/>
              </w:rPr>
              <w:t>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15D8D4E2">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4)支持录屏功能</w:t>
            </w:r>
            <w:r>
              <w:rPr>
                <w:rFonts w:hint="eastAsia" w:ascii="宋体" w:hAnsi="宋体" w:eastAsia="宋体" w:cs="宋体"/>
                <w:b/>
                <w:bCs/>
                <w:i w:val="0"/>
                <w:iCs w:val="0"/>
                <w:color w:val="000000"/>
                <w:kern w:val="0"/>
                <w:sz w:val="21"/>
                <w:szCs w:val="21"/>
                <w:u w:val="none"/>
                <w:lang w:val="en-US" w:eastAsia="zh-CN" w:bidi="ar"/>
              </w:rPr>
              <w:t>（投标文件中必须提供此项功能的软件界面截图并</w:t>
            </w:r>
            <w:r>
              <w:rPr>
                <w:rFonts w:hint="eastAsia" w:ascii="宋体" w:hAnsi="宋体" w:eastAsia="宋体" w:cs="宋体"/>
                <w:b/>
                <w:bCs/>
                <w:color w:val="auto"/>
                <w:sz w:val="21"/>
                <w:szCs w:val="21"/>
                <w:highlight w:val="none"/>
              </w:rPr>
              <w:t>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w:t>
            </w:r>
          </w:p>
          <w:p w14:paraId="3CC4FCCC">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5)支持化学方程式编辑功能。</w:t>
            </w:r>
          </w:p>
          <w:p w14:paraId="799E190E">
            <w:pPr>
              <w:keepNext w:val="0"/>
              <w:keepLines w:val="0"/>
              <w:widowControl/>
              <w:suppressLineNumbers w:val="0"/>
              <w:jc w:val="left"/>
              <w:textAlignment w:val="center"/>
              <w:rPr>
                <w:rFonts w:hint="eastAsia" w:ascii="宋体" w:hAnsi="宋体" w:eastAsia="宋体" w:cs="宋体"/>
                <w:b w:val="0"/>
                <w:bCs w:val="0"/>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三、质量及服务保证：</w:t>
            </w:r>
            <w:r>
              <w:rPr>
                <w:rFonts w:hint="eastAsia" w:ascii="宋体" w:hAnsi="宋体" w:eastAsia="宋体" w:cs="宋体"/>
                <w:i w:val="0"/>
                <w:iCs w:val="0"/>
                <w:color w:val="auto"/>
                <w:kern w:val="0"/>
                <w:sz w:val="21"/>
                <w:szCs w:val="21"/>
                <w:u w:val="none"/>
                <w:lang w:val="en-US" w:eastAsia="zh-CN" w:bidi="ar"/>
              </w:rPr>
              <w:t>为保证售后服务质量，</w:t>
            </w:r>
            <w:r>
              <w:rPr>
                <w:rFonts w:hint="eastAsia" w:ascii="宋体" w:hAnsi="宋体" w:eastAsia="宋体" w:cs="宋体"/>
                <w:b/>
                <w:bCs/>
                <w:i w:val="0"/>
                <w:iCs w:val="0"/>
                <w:color w:val="auto"/>
                <w:kern w:val="0"/>
                <w:sz w:val="21"/>
                <w:szCs w:val="21"/>
                <w:u w:val="none"/>
                <w:lang w:val="en-US" w:eastAsia="zh-CN" w:bidi="ar"/>
              </w:rPr>
              <w:t>提供原厂三年极速响应保修服务</w:t>
            </w:r>
            <w:r>
              <w:rPr>
                <w:rFonts w:hint="eastAsia" w:ascii="宋体" w:hAnsi="宋体" w:eastAsia="宋体" w:cs="宋体"/>
                <w:i w:val="0"/>
                <w:iCs w:val="0"/>
                <w:color w:val="auto"/>
                <w:kern w:val="0"/>
                <w:sz w:val="21"/>
                <w:szCs w:val="21"/>
                <w:u w:val="none"/>
                <w:lang w:val="en-US" w:eastAsia="zh-CN" w:bidi="ar"/>
              </w:rPr>
              <w:t>，</w:t>
            </w:r>
            <w:r>
              <w:rPr>
                <w:rFonts w:hint="eastAsia" w:ascii="宋体" w:hAnsi="宋体" w:eastAsia="宋体" w:cs="宋体"/>
                <w:b/>
                <w:bCs/>
                <w:i w:val="0"/>
                <w:iCs w:val="0"/>
                <w:color w:val="auto"/>
                <w:kern w:val="0"/>
                <w:sz w:val="21"/>
                <w:szCs w:val="21"/>
                <w:u w:val="none"/>
                <w:lang w:val="en-US" w:eastAsia="zh-CN" w:bidi="ar"/>
              </w:rPr>
              <w:t>生产厂商指定维修网点具备第二自然日快速修复服务能力；服务响应时间：提供7*24小时电话支持服务。</w:t>
            </w:r>
            <w:r>
              <w:rPr>
                <w:rFonts w:hint="eastAsia" w:ascii="宋体" w:hAnsi="宋体" w:eastAsia="宋体" w:cs="宋体"/>
                <w:i w:val="0"/>
                <w:iCs w:val="0"/>
                <w:color w:val="auto"/>
                <w:kern w:val="0"/>
                <w:sz w:val="21"/>
                <w:szCs w:val="21"/>
                <w:u w:val="none"/>
                <w:lang w:val="en-US" w:eastAsia="zh-CN" w:bidi="ar"/>
              </w:rPr>
              <w:t>为确保参数及服务真实有效性，</w:t>
            </w:r>
            <w:r>
              <w:rPr>
                <w:rFonts w:hint="eastAsia" w:ascii="宋体" w:hAnsi="宋体" w:eastAsia="宋体" w:cs="宋体"/>
                <w:b/>
                <w:bCs/>
                <w:i w:val="0"/>
                <w:iCs w:val="0"/>
                <w:color w:val="auto"/>
                <w:kern w:val="0"/>
                <w:sz w:val="21"/>
                <w:szCs w:val="21"/>
                <w:u w:val="none"/>
                <w:lang w:val="en-US" w:eastAsia="zh-CN" w:bidi="ar"/>
              </w:rPr>
              <w:t>供货时</w:t>
            </w:r>
            <w:r>
              <w:rPr>
                <w:rFonts w:hint="eastAsia" w:ascii="宋体" w:hAnsi="宋体" w:eastAsia="宋体" w:cs="宋体"/>
                <w:i w:val="0"/>
                <w:iCs w:val="0"/>
                <w:color w:val="auto"/>
                <w:kern w:val="0"/>
                <w:sz w:val="21"/>
                <w:szCs w:val="21"/>
                <w:u w:val="none"/>
                <w:lang w:val="en-US" w:eastAsia="zh-CN" w:bidi="ar"/>
              </w:rPr>
              <w:t>提供设备生产厂商400/800售后服务电话对以上服务内容进行严格查验，并提供满足服务要求的售后服务承诺函原件</w:t>
            </w:r>
            <w:r>
              <w:rPr>
                <w:rFonts w:hint="eastAsia" w:ascii="宋体" w:hAnsi="宋体" w:eastAsia="宋体" w:cs="宋体"/>
                <w:b w:val="0"/>
                <w:bCs w:val="0"/>
                <w:i w:val="0"/>
                <w:iCs w:val="0"/>
                <w:color w:val="auto"/>
                <w:kern w:val="0"/>
                <w:sz w:val="21"/>
                <w:szCs w:val="21"/>
                <w:u w:val="none"/>
                <w:lang w:val="en-US" w:eastAsia="zh-CN" w:bidi="ar"/>
              </w:rPr>
              <w:t>。</w:t>
            </w:r>
          </w:p>
          <w:p w14:paraId="2EB27A0E">
            <w:pPr>
              <w:keepNext w:val="0"/>
              <w:keepLines w:val="0"/>
              <w:widowControl/>
              <w:suppressLineNumbers w:val="0"/>
              <w:jc w:val="left"/>
              <w:textAlignment w:val="center"/>
              <w:rPr>
                <w:rFonts w:hint="eastAsia" w:ascii="宋体" w:hAnsi="宋体" w:eastAsia="宋体" w:cs="宋体"/>
                <w:b w:val="0"/>
                <w:bCs w:val="0"/>
                <w:i w:val="0"/>
                <w:iCs w:val="0"/>
                <w:color w:val="auto"/>
                <w:kern w:val="0"/>
                <w:sz w:val="21"/>
                <w:szCs w:val="21"/>
                <w:u w:val="none"/>
                <w:lang w:val="en-US" w:eastAsia="zh-CN" w:bidi="ar"/>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w:t>
            </w:r>
            <w:r>
              <w:rPr>
                <w:rFonts w:hint="eastAsia" w:ascii="宋体" w:hAnsi="宋体" w:eastAsia="宋体" w:cs="宋体"/>
                <w:b/>
                <w:bCs/>
                <w:color w:val="000000" w:themeColor="text1"/>
                <w:sz w:val="21"/>
                <w:szCs w:val="21"/>
                <w:highlight w:val="none"/>
                <w:lang w:eastAsia="zh-CN"/>
                <w14:textFill>
                  <w14:solidFill>
                    <w14:schemeClr w14:val="tx1"/>
                  </w14:solidFill>
                </w14:textFill>
              </w:rPr>
              <w:t>四、</w:t>
            </w:r>
            <w:r>
              <w:rPr>
                <w:rFonts w:hint="eastAsia" w:ascii="宋体" w:hAnsi="宋体" w:eastAsia="宋体" w:cs="宋体"/>
                <w:b/>
                <w:bCs/>
                <w:color w:val="000000" w:themeColor="text1"/>
                <w:sz w:val="21"/>
                <w:szCs w:val="21"/>
                <w:highlight w:val="none"/>
                <w14:textFill>
                  <w14:solidFill>
                    <w14:schemeClr w14:val="tx1"/>
                  </w14:solidFill>
                </w14:textFill>
              </w:rPr>
              <w:t>投标文件中须提供所投产品获得国家确定的认证机构出具的、处于有效之内的节能产品认证证书扫描件并加盖投标人CA证书签章，否则投标文件无效。</w:t>
            </w:r>
          </w:p>
        </w:tc>
        <w:tc>
          <w:tcPr>
            <w:tcW w:w="700" w:type="dxa"/>
            <w:vAlign w:val="center"/>
          </w:tcPr>
          <w:p w14:paraId="0E4D2C6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40台</w:t>
            </w:r>
          </w:p>
        </w:tc>
        <w:tc>
          <w:tcPr>
            <w:tcW w:w="1179" w:type="dxa"/>
            <w:vAlign w:val="center"/>
          </w:tcPr>
          <w:p w14:paraId="460674A8">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sz w:val="21"/>
                <w:szCs w:val="21"/>
                <w:lang w:val="en-US" w:eastAsia="zh-CN"/>
              </w:rPr>
              <w:t>4600</w:t>
            </w:r>
          </w:p>
        </w:tc>
      </w:tr>
      <w:tr w14:paraId="33FC49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9" w:type="dxa"/>
            <w:noWrap/>
            <w:vAlign w:val="center"/>
          </w:tcPr>
          <w:p w14:paraId="3CB0FE0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716" w:type="dxa"/>
            <w:vAlign w:val="center"/>
          </w:tcPr>
          <w:p w14:paraId="13D46E40">
            <w:pPr>
              <w:keepNext w:val="0"/>
              <w:keepLines w:val="0"/>
              <w:widowControl/>
              <w:suppressLineNumbers w:val="0"/>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电脑桌椅</w:t>
            </w:r>
          </w:p>
        </w:tc>
        <w:tc>
          <w:tcPr>
            <w:tcW w:w="6717" w:type="dxa"/>
            <w:vAlign w:val="center"/>
          </w:tcPr>
          <w:p w14:paraId="6F079F7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一、办公桌</w:t>
            </w:r>
          </w:p>
          <w:p w14:paraId="77114AC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1、规格：1400W×700D×750H(mm)（长*宽*高）；</w:t>
            </w:r>
          </w:p>
          <w:p w14:paraId="0964D54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2、面材：采用0.6mmAAA级胡桃木皮饰面，表面平整、纹理清晰自然、无颗粒、气泡、粗点、颜色均匀。</w:t>
            </w:r>
          </w:p>
          <w:p w14:paraId="4C5E54F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3、基材：高密度仟维板，符合E1级标准，含水率低于0.8%。经过防虫、防腐等化学处理，密度700kg/m3以上，持久不变形，通过绿色环保认证。</w:t>
            </w:r>
          </w:p>
          <w:p w14:paraId="60791CB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油漆：采用优质面漆，聚酯底漆，环保油漆面漆、色漆、无苯聚酯底漆，经8次以上油漆喷涂、打磨、油漆为哑光漆、甲醛释放量小于1.5MG/L，耐热性100%，符合E1级环保标准。PU底漆、PU面漆，七层底漆，五层面漆；硬度为4H。</w:t>
            </w:r>
          </w:p>
          <w:p w14:paraId="4858A48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5、五金：采用道轨；优质五金配件，均经过酸洗、磷洗等防锈处理。   </w:t>
            </w:r>
          </w:p>
          <w:p w14:paraId="3ACFB94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207770" cy="952500"/>
                  <wp:effectExtent l="0" t="0" r="11430" b="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7"/>
                          <a:stretch>
                            <a:fillRect/>
                          </a:stretch>
                        </pic:blipFill>
                        <pic:spPr>
                          <a:xfrm>
                            <a:off x="0" y="0"/>
                            <a:ext cx="1207770" cy="952500"/>
                          </a:xfrm>
                          <a:prstGeom prst="rect">
                            <a:avLst/>
                          </a:prstGeom>
                          <a:noFill/>
                          <a:ln w="9525">
                            <a:noFill/>
                          </a:ln>
                        </pic:spPr>
                      </pic:pic>
                    </a:graphicData>
                  </a:graphic>
                </wp:inline>
              </w:drawing>
            </w:r>
          </w:p>
          <w:p w14:paraId="5938264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二、办公椅</w:t>
            </w:r>
          </w:p>
          <w:p w14:paraId="52026D1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1、椅子规格：不小于400×400×950mm；</w:t>
            </w:r>
          </w:p>
          <w:p w14:paraId="06CF4BD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2、座板座靠采用环保皮饰面，内添有60#高密度定型海绵，框架采用实木，要求椅子经久耐用，符合人体工程学设计。</w:t>
            </w:r>
          </w:p>
          <w:p w14:paraId="147CD84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678815" cy="969645"/>
                  <wp:effectExtent l="0" t="0" r="6985" b="1905"/>
                  <wp:docPr id="27" name="图片 9" descr="C:\Users\wxq\AppData\Local\Temp\WeChat Files\d4df4bb7e1cbdb2ef9b37954cdce08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9" descr="C:\Users\wxq\AppData\Local\Temp\WeChat Files\d4df4bb7e1cbdb2ef9b37954cdce086.png"/>
                          <pic:cNvPicPr>
                            <a:picLocks noChangeAspect="1"/>
                          </pic:cNvPicPr>
                        </pic:nvPicPr>
                        <pic:blipFill>
                          <a:blip r:embed="rId8"/>
                          <a:stretch>
                            <a:fillRect/>
                          </a:stretch>
                        </pic:blipFill>
                        <pic:spPr>
                          <a:xfrm>
                            <a:off x="0" y="0"/>
                            <a:ext cx="678815" cy="969645"/>
                          </a:xfrm>
                          <a:prstGeom prst="rect">
                            <a:avLst/>
                          </a:prstGeom>
                          <a:noFill/>
                          <a:ln w="9525">
                            <a:noFill/>
                          </a:ln>
                        </pic:spPr>
                      </pic:pic>
                    </a:graphicData>
                  </a:graphic>
                </wp:inline>
              </w:drawing>
            </w:r>
          </w:p>
        </w:tc>
        <w:tc>
          <w:tcPr>
            <w:tcW w:w="700" w:type="dxa"/>
            <w:noWrap/>
            <w:vAlign w:val="center"/>
          </w:tcPr>
          <w:p w14:paraId="4FC5D12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26套</w:t>
            </w:r>
          </w:p>
        </w:tc>
        <w:tc>
          <w:tcPr>
            <w:tcW w:w="1179" w:type="dxa"/>
            <w:noWrap/>
            <w:vAlign w:val="center"/>
          </w:tcPr>
          <w:p w14:paraId="2EB1AAAA">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lang w:val="en-US" w:eastAsia="zh-CN"/>
              </w:rPr>
              <w:t>1600</w:t>
            </w:r>
          </w:p>
        </w:tc>
      </w:tr>
      <w:tr w14:paraId="463D7D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9" w:type="dxa"/>
            <w:noWrap/>
            <w:vAlign w:val="center"/>
          </w:tcPr>
          <w:p w14:paraId="0D95AE7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716" w:type="dxa"/>
            <w:vAlign w:val="center"/>
          </w:tcPr>
          <w:p w14:paraId="15E75028">
            <w:pPr>
              <w:keepNext w:val="0"/>
              <w:keepLines w:val="0"/>
              <w:widowControl/>
              <w:suppressLineNumbers w:val="0"/>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文件柜</w:t>
            </w:r>
          </w:p>
        </w:tc>
        <w:tc>
          <w:tcPr>
            <w:tcW w:w="6717" w:type="dxa"/>
            <w:vAlign w:val="center"/>
          </w:tcPr>
          <w:p w14:paraId="7E221CC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一、五节组成，整体尺寸：2000*850*390mm；（允许尺寸偏差±5mm）</w:t>
            </w:r>
          </w:p>
          <w:p w14:paraId="2B4F25B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二、部件材质及厚度：</w:t>
            </w:r>
          </w:p>
          <w:p w14:paraId="5D7F946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1、顶板、侧板、层板、底柜板、门板、背板均采用≥0.8mm 厚冷轧钢板经剪切、焊接、打磨、焊接冲压成型，表面采用亚光静电喷塑工艺，柜体表面经预脱脂-水洗-酸洗-水洗-中和-表调-磷化-水洗-钝化十工位表面前处理工序；拉手采用外露式明拉手。</w:t>
            </w:r>
          </w:p>
          <w:p w14:paraId="3FDA18A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塑粉要求：可溶出重金属≤20mg/kg、金属喷漆（塑）涂层：附着力1级、金属喷漆（塑）涂层耐腐蚀（100h内，观察在溶剂中样板上划道两侧3mm以外，应无气泡产生；100h后，检查划道两侧3mm以外，应无锈迹、剥落、起皱、变色和失光等现象）、耐碱性（5％NaOH）168h无异常、耐酸性（3％HCl）240h无异常、金属件涂层耐湿热性（450h后应无生锈、起泡、变色、开裂或其他破坏现象）、耐老化性100h（变色≤2、失光≤2、无粉化、起泡、开裂、剥落等异常现象）。</w:t>
            </w:r>
          </w:p>
          <w:p w14:paraId="6B3BBB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三、钢制部分耐腐蚀要求：在试板任意一面的对角线上，用锐利的刀具划出深至钢板的划痕，然后浸入温度为15℃~25℃，浓度为3%的氯化钠溶液中进行≥450h耐腐蚀试验，试验过程中观察溶液中试板上划道两侧3mm 以外有无鼓泡产生，试验结束后取出试板，用蒸馏水清洗干净并用滤纸吸干水分，检查试板上划道两侧3mm以外，有无锈迹、剥落、起皱、变色和失光等现象。</w:t>
            </w:r>
          </w:p>
          <w:p w14:paraId="23C6FC08">
            <w:pPr>
              <w:keepNext w:val="0"/>
              <w:keepLines w:val="0"/>
              <w:widowControl/>
              <w:suppressLineNumbers w:val="0"/>
              <w:jc w:val="lef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i w:val="0"/>
                <w:iCs w:val="0"/>
                <w:color w:val="000000"/>
                <w:kern w:val="0"/>
                <w:sz w:val="21"/>
                <w:szCs w:val="21"/>
                <w:u w:val="none"/>
                <w:lang w:val="en-US" w:eastAsia="zh-CN" w:bidi="ar"/>
              </w:rPr>
              <w:t>四、外露式明拉手耐湿热性要求：温度为（47土1）℃、相对湿度为（96土2）%的调温调湿箱中。当温度和湿度达到设定值时，开始计算试验时间。试验≥450h过程中试板表面不应出现凝露。</w:t>
            </w:r>
          </w:p>
        </w:tc>
        <w:tc>
          <w:tcPr>
            <w:tcW w:w="700" w:type="dxa"/>
            <w:noWrap/>
            <w:vAlign w:val="center"/>
          </w:tcPr>
          <w:p w14:paraId="1537DAB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10组</w:t>
            </w:r>
          </w:p>
        </w:tc>
        <w:tc>
          <w:tcPr>
            <w:tcW w:w="1179" w:type="dxa"/>
            <w:noWrap/>
            <w:vAlign w:val="center"/>
          </w:tcPr>
          <w:p w14:paraId="74F2FB54">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lang w:val="en-US" w:eastAsia="zh-CN"/>
              </w:rPr>
              <w:t>750</w:t>
            </w:r>
          </w:p>
        </w:tc>
      </w:tr>
      <w:tr w14:paraId="597474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9931" w:type="dxa"/>
            <w:gridSpan w:val="5"/>
            <w:noWrap/>
            <w:vAlign w:val="center"/>
          </w:tcPr>
          <w:p w14:paraId="5057CF5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（二）教室</w:t>
            </w:r>
          </w:p>
        </w:tc>
      </w:tr>
      <w:tr w14:paraId="2BA68D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9" w:type="dxa"/>
            <w:noWrap/>
            <w:vAlign w:val="center"/>
          </w:tcPr>
          <w:p w14:paraId="6D3B6A3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项号</w:t>
            </w:r>
          </w:p>
        </w:tc>
        <w:tc>
          <w:tcPr>
            <w:tcW w:w="716" w:type="dxa"/>
            <w:vAlign w:val="center"/>
          </w:tcPr>
          <w:p w14:paraId="2DFC12B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货物名称</w:t>
            </w:r>
          </w:p>
        </w:tc>
        <w:tc>
          <w:tcPr>
            <w:tcW w:w="6717" w:type="dxa"/>
            <w:vAlign w:val="center"/>
          </w:tcPr>
          <w:p w14:paraId="1C1223FC">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noWrap/>
            <w:vAlign w:val="center"/>
          </w:tcPr>
          <w:p w14:paraId="6B3710C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noWrap/>
            <w:vAlign w:val="center"/>
          </w:tcPr>
          <w:p w14:paraId="3752F7B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参考单价（元）</w:t>
            </w:r>
          </w:p>
        </w:tc>
      </w:tr>
      <w:tr w14:paraId="39F833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619" w:type="dxa"/>
            <w:shd w:val="clear" w:color="auto" w:fill="auto"/>
            <w:noWrap/>
            <w:vAlign w:val="center"/>
          </w:tcPr>
          <w:p w14:paraId="50189FD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716" w:type="dxa"/>
            <w:shd w:val="clear" w:color="auto" w:fill="auto"/>
            <w:vAlign w:val="center"/>
          </w:tcPr>
          <w:p w14:paraId="4FEA87D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学生课桌椅</w:t>
            </w:r>
          </w:p>
        </w:tc>
        <w:tc>
          <w:tcPr>
            <w:tcW w:w="6717" w:type="dxa"/>
            <w:shd w:val="clear" w:color="auto" w:fill="auto"/>
            <w:vAlign w:val="center"/>
          </w:tcPr>
          <w:p w14:paraId="31F490A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一、单人课桌凳（每套包含课桌并配套单人凳）。</w:t>
            </w:r>
          </w:p>
          <w:p w14:paraId="38DAE8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二、型号规格要求</w:t>
            </w:r>
          </w:p>
          <w:p w14:paraId="3C8BD7B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（一）课桌凳的型号规格及结构应符合国家标准要求。</w:t>
            </w:r>
          </w:p>
          <w:p w14:paraId="5206566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（二）课桌：各型号规格的尺寸除本表中特别要求外，产品应符合国家标准GB/T 3976-2014《学校课桌椅功能尺寸》中的功能尺寸及技术要求。在课桌左右两侧面设置挂书包的挂钩或在课桌的后端下面设置放书包的装置，其尺寸范围不能超出国家标准的规定范围。</w:t>
            </w:r>
          </w:p>
          <w:p w14:paraId="09F409F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（三）课凳：各型号规格的尺寸除本表中特别要求外，产品应符合国家标准GB/T 3976-2014《学校课桌椅功能尺寸》中的功能尺寸及技术要求。</w:t>
            </w:r>
          </w:p>
          <w:p w14:paraId="1ABDE23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(四)型号规格</w:t>
            </w:r>
          </w:p>
          <w:p w14:paraId="59146F4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1、课桌桌面板尺寸：不小于600mm×400mm；课凳面板尺寸：不小于340mm×240mm；</w:t>
            </w:r>
          </w:p>
          <w:p w14:paraId="1F9F2DF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2、课桌高度调节范围：670-760（单位：mm）,每调节一格为30mm。 </w:t>
            </w:r>
          </w:p>
          <w:p w14:paraId="04291B8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3、凳子高度调节范围：380-460（单位：mm）,每调节一格为20mm。</w:t>
            </w:r>
          </w:p>
          <w:p w14:paraId="185C8B9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(五)结构要求：双柱升降调节。</w:t>
            </w:r>
          </w:p>
          <w:p w14:paraId="50CD562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三、课桌凳的材料要求</w:t>
            </w:r>
          </w:p>
          <w:p w14:paraId="73868DD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（一）金属件</w:t>
            </w:r>
          </w:p>
          <w:p w14:paraId="1E907D4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主体材料：课桌、课凳的金属管件采用公称尺寸不小于20mm×40mm的椭圆管，管壁公称厚度均不小于1.0mm，管材采用高频焊接而成；课桌的桌斗用公称厚度不小于0.6mm的优质冷轧钢板，规格尺寸不小于长520mm×宽340mm×高170mm；立板采用优质冷轧板，课桌、课凳两侧可调高度的立板厚度不小于0.8mm；课桌的挂钩挂钩采用不小于1.2mm冷轧钢板一次冲压成型制作，规格不小于50×25×20mm。采用双柱升降脚架。</w:t>
            </w:r>
          </w:p>
          <w:p w14:paraId="6317A48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材料质量：金属管件外形的尺寸偏差、管壁厚度偏差和钢板厚度偏差以及金属材料的力学性能指标等质量技术参数，均应符合相应的国家标准的规定。不允许使用出现孔洞、缺口、开裂、尖角、裂缝、叠缝、腐蚀、离层、结疤、氧化皮等影响产品结构强度、外观和安全的材料。</w:t>
            </w:r>
          </w:p>
          <w:p w14:paraId="2D20574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（二）木制件</w:t>
            </w:r>
          </w:p>
          <w:p w14:paraId="3364277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★1、桌面板厚不小于18mm，采用中密度纤维板，双面饰面，甲醛释放量达到E1级控制指标，四周采用PE注塑成型，注塑边缘与桌面圆润连接，无突兀感；</w:t>
            </w:r>
          </w:p>
          <w:p w14:paraId="2C522C6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★2、课凳座面板厚不小于18mm，采用中密度纤维板，双面饰面，甲醛释放量达到E1级控制指标，符合人体工程学的设计。面板四周采用PE注塑成型，注塑边缘与座面圆润连接，无突兀感，增加舒适程度。</w:t>
            </w:r>
          </w:p>
          <w:p w14:paraId="2C351EB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3、含水率：课桌凳加工所用板材含水率应不高于16%。课桌凳产品出厂时木材含水率不高于16%。</w:t>
            </w:r>
          </w:p>
          <w:p w14:paraId="50BE87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★（三）其它材料</w:t>
            </w:r>
          </w:p>
          <w:p w14:paraId="3DF8467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桌脚和椅脚的脚套为采用优质PVC软塑料制作，每个脚套有倒钩技术功能，以防脱落。</w:t>
            </w:r>
          </w:p>
          <w:p w14:paraId="2BBCCEC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四、课桌凳的加工要求</w:t>
            </w:r>
          </w:p>
          <w:p w14:paraId="5E6F40C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（一）金属件加工要求</w:t>
            </w:r>
          </w:p>
          <w:p w14:paraId="3FB154C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金属零、部件的连接方式采取焊接连接，不允许采用铆钉连接（铆接）和螺钉连接。焊接件焊接时采用二氧化碳保护焊接。焊接件焊接处应无脱焊、虚焊、焊穿、错位；焊接处应无夹渣、气孔、焊瘤、焊丝头、咬边、飞溅；焊疤表面波纹应均匀、高低之差应不大于1mm。</w:t>
            </w:r>
          </w:p>
          <w:p w14:paraId="154A98F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冲压件应无脱层、裂缝。桌斗利用钢板由机器冲压一次成型，端口作卷边处理增强刚性，以防尖利边角对人体的伤害。桌斗前端处冲压不少于两条上凸的加强筋以增强桌斗刚性。课桌两侧立板边缘打磨平滑后再喷漆，以防尖毛边刮伤人体。</w:t>
            </w:r>
          </w:p>
          <w:p w14:paraId="7CD5295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（二）木制件加工要求</w:t>
            </w:r>
          </w:p>
          <w:p w14:paraId="33AA0F7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木制件端面应进行精加工以便于涂饰处理。</w:t>
            </w:r>
          </w:p>
          <w:p w14:paraId="4A8DF0D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（三）木制件与金属件的连接</w:t>
            </w:r>
          </w:p>
          <w:p w14:paraId="1391D42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1、课桌面板与钢架的连接采用自攻钉固定，面板与钢架连接的自攻钉不少于八颗。</w:t>
            </w:r>
          </w:p>
          <w:p w14:paraId="1D23589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★2、课凳面板与钢架的连接采用抽芯钉连接，面板与钢架连接的抽芯钉不少于四根。</w:t>
            </w:r>
          </w:p>
          <w:p w14:paraId="28E2227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3、抽芯铆钉钉体直径d不小于5mm，钉体材料为铝合金、钉芯材料为钢（表面镀锌），铆钉表面应无毛刺和有害缺陷，并有完整的头、杆形状。</w:t>
            </w:r>
          </w:p>
          <w:p w14:paraId="7960FDB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（四）课桌凳加工尺寸要求</w:t>
            </w:r>
          </w:p>
          <w:p w14:paraId="082D00F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桌面高、椅座面高尺寸的允许误差范围按GB/T 3976-2014《学校课桌椅功能尺寸》的规定执行。</w:t>
            </w:r>
          </w:p>
          <w:p w14:paraId="27D7572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五、课桌凳的涂饰要求</w:t>
            </w:r>
          </w:p>
          <w:p w14:paraId="6BB922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（一）涂饰要求</w:t>
            </w:r>
          </w:p>
          <w:p w14:paraId="42B7500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1、涂饰前课桌凳零、部件的表面应光滑、平整，不得有飞边、尖角、毛刺等可能造成机械伤害的缺陷。金属件应无开裂、脱焊、漏焊、焊渣等缺陷。</w:t>
            </w:r>
          </w:p>
          <w:p w14:paraId="347FA61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涂饰前金属件零、部件表面必须进行预备处理，采用除锈、防锈处理工艺，除去锈迹等其他污迹后进行涂装打底磷化处理。预备处理后表面不得有氧化皮、锈蚀、粘砂等其他杂质，磷化层达到工艺要求，预备处理后应及时进行涂饰。</w:t>
            </w:r>
          </w:p>
          <w:p w14:paraId="0EC988D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3、课桌凳所有木制件的外表面（使用面）均应装饰处理；非使用面涂清漆。木制件端面应进行涂饰处理。</w:t>
            </w:r>
          </w:p>
          <w:p w14:paraId="093CF5E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（二）涂饰层外观</w:t>
            </w:r>
          </w:p>
          <w:p w14:paraId="1F11D94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1、金属件涂层应无漏喷、锈蚀；应光滑均匀，色泽一致，应无流挂、疙瘩、皱皮、飞漆等缺陷。</w:t>
            </w:r>
          </w:p>
          <w:p w14:paraId="05C13C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2、木制件表面装饰层应手感光滑，无划痕、压痕、雾光、白楞、白斑、鼓泡、流挂、刷毛、积粉和杂渣、皱皮、发粘、漏漆现象。薄木材料贴面不允许有明显透胶、脱胶、凹陷、压痕、鼓泡、胶迹。</w:t>
            </w:r>
          </w:p>
          <w:p w14:paraId="213D17F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3、每批产品（含课桌、课凳）不允许有明显色差。</w:t>
            </w:r>
          </w:p>
          <w:p w14:paraId="3595B30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4、产品上的五金配件应做防锈处理。</w:t>
            </w:r>
          </w:p>
          <w:p w14:paraId="69647F3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068705" cy="1115695"/>
                  <wp:effectExtent l="0" t="0" r="17145" b="8255"/>
                  <wp:docPr id="28" name="ID_17231A7A20064AB8879F37DBE9E08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D_17231A7A20064AB8879F37DBE9E08864"/>
                          <pic:cNvPicPr>
                            <a:picLocks noChangeAspect="1"/>
                          </pic:cNvPicPr>
                        </pic:nvPicPr>
                        <pic:blipFill>
                          <a:blip r:embed="rId9"/>
                          <a:stretch>
                            <a:fillRect/>
                          </a:stretch>
                        </pic:blipFill>
                        <pic:spPr>
                          <a:xfrm>
                            <a:off x="0" y="0"/>
                            <a:ext cx="1068705" cy="1115695"/>
                          </a:xfrm>
                          <a:prstGeom prst="rect">
                            <a:avLst/>
                          </a:prstGeom>
                          <a:noFill/>
                          <a:ln w="9525">
                            <a:noFill/>
                          </a:ln>
                        </pic:spPr>
                      </pic:pic>
                    </a:graphicData>
                  </a:graphic>
                </wp:inline>
              </w:drawing>
            </w:r>
          </w:p>
        </w:tc>
        <w:tc>
          <w:tcPr>
            <w:tcW w:w="700" w:type="dxa"/>
            <w:shd w:val="clear" w:color="auto" w:fill="auto"/>
            <w:vAlign w:val="center"/>
          </w:tcPr>
          <w:p w14:paraId="1258297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550套</w:t>
            </w:r>
          </w:p>
        </w:tc>
        <w:tc>
          <w:tcPr>
            <w:tcW w:w="1179" w:type="dxa"/>
            <w:shd w:val="clear" w:color="auto" w:fill="auto"/>
            <w:vAlign w:val="center"/>
          </w:tcPr>
          <w:p w14:paraId="38C359BD">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lang w:val="en-US" w:eastAsia="zh-CN"/>
              </w:rPr>
              <w:t>160</w:t>
            </w:r>
          </w:p>
        </w:tc>
      </w:tr>
      <w:tr w14:paraId="2C624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EFA629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716" w:type="dxa"/>
            <w:shd w:val="clear" w:color="auto" w:fill="auto"/>
            <w:vAlign w:val="center"/>
          </w:tcPr>
          <w:p w14:paraId="43950BA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75吋触控一体机</w:t>
            </w:r>
          </w:p>
        </w:tc>
        <w:tc>
          <w:tcPr>
            <w:tcW w:w="6717" w:type="dxa"/>
            <w:shd w:val="clear" w:color="auto" w:fill="auto"/>
            <w:vAlign w:val="center"/>
          </w:tcPr>
          <w:p w14:paraId="6EB32F3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一、集体备课设计</w:t>
            </w:r>
          </w:p>
          <w:p w14:paraId="3637E65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1、发起集备：支持选择教案、课件、胶囊资源上传发起集备研讨，支持设置多重访问权限，通过手机号搜索即可邀请外校老师，可用于跨校教研场景。</w:t>
            </w:r>
          </w:p>
          <w:p w14:paraId="117987B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2、进入集备：支持搜索集备名称/老师昵称，或按照学科/学段/年级/教材章节，我参与的/我发起的几个维度进行筛选查看，支持手机端/PC端进入集备页面。</w:t>
            </w:r>
          </w:p>
          <w:p w14:paraId="0002080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3、集备研讨：参备成员可通过评论区发表观点，通过评论回复，点赞等功能营造浓厚的研讨氛围，评论消息支持实时提醒，支持图片的上传。</w:t>
            </w:r>
          </w:p>
          <w:p w14:paraId="6B644A4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4、在线批注：参备人在电脑端及手机端都可在线对教案进行随文式批注，追加批注，回复以及查看实时批注消息。支持对课件进行打点式的批注，通过批注快速定位研讨内容，高效完成协同备课。</w:t>
            </w:r>
          </w:p>
          <w:p w14:paraId="64A8C68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5、稿件编辑：完成本次研讨后，主备人可直接进入编辑页面编辑课件/教案，发布新稿件后，备课组进入下一轮打磨更新稿件后会给参备老师实时同步教研动态。</w:t>
            </w:r>
          </w:p>
          <w:p w14:paraId="16418E7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6、稿件对比：可对集备中多稿的课件/教案/胶囊进行内容的横向对比，支持批注研讨过程数据对比回溯；</w:t>
            </w:r>
          </w:p>
          <w:p w14:paraId="101C372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7、获取稿件：参备成员可以随时获取和下载每一稿中的集备稿件到云课件，进行编辑或引用。</w:t>
            </w:r>
          </w:p>
          <w:p w14:paraId="6C9B45D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8、完成集备：完成研讨后，可以生成集体备课报告。集备终稿会自动上传到校本资源库，主备人可自定义上传目录，参备人即可前往校本资源库获取集备终稿。</w:t>
            </w:r>
          </w:p>
          <w:p w14:paraId="079EB1D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音视频教研活动：研讨发起人在研讨过程中支持在线发起多人音视频研讨在线讨论，构建线上多现场同步研讨，更高效、更针对性的解决问题，研讨内容自动形成音视频记录，有效提高网络教研效率，将音视频技术与集体备课、主题研讨等常规教研活动深度融合。</w:t>
            </w:r>
          </w:p>
          <w:p w14:paraId="2662D7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二、整机接口设计</w:t>
            </w:r>
          </w:p>
          <w:p w14:paraId="1FA2CF6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1、侧置输入接口具备≥2路HDMI、≥1路RS232、≥1路USB接口。</w:t>
            </w:r>
          </w:p>
          <w:p w14:paraId="3394CE5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2、侧置输出接口具备≥1路音频输出、≥1路触控USB输出。</w:t>
            </w:r>
          </w:p>
          <w:p w14:paraId="29C61AD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3、前置输入接口≥3路USB接口（包含≥1路Type-C、≥2路USB），前置USB接口支持Android系统、Windows系统读取外接移动存储设备。</w:t>
            </w:r>
          </w:p>
          <w:p w14:paraId="267CAF32">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★4、整机具备前置Type-C接口，type-C 支持最大充电功率15W，通过Type-C接口实现音视频输入，外接电脑设备经双头Type-C线连接至整机，即可把外接电脑设备画面投到整机上，同时在整机上操作画面，可实现触摸电脑的操作，无需再连接触控USB线。</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0993FFA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5、外接电脑设备经双头Type-C线连接至整机，可调用整机内置的摄像头、麦克风、扬声器，在外接电脑即可控制整机拍摄教室画面。</w:t>
            </w:r>
          </w:p>
          <w:p w14:paraId="3DAFABE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6、支持通过Type-C接口U盘进行文件传输，兼容Type-C接口手机充电。</w:t>
            </w:r>
          </w:p>
          <w:p w14:paraId="3CD69F6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三、整机安全设计</w:t>
            </w:r>
          </w:p>
          <w:p w14:paraId="4FE67FA9">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★1、整机全通道支持纸质护眼模式，可实现画面纹理的实时调整；支持纸质纹理：牛皮纸、素描纸、宣纸、水彩纸、水纹纸；支持透明度调节；支持色温调节。</w:t>
            </w:r>
          </w:p>
          <w:p w14:paraId="3C54FD2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2、纸质护眼模式下，显示画面各像素点灰度不规则，减少背景干扰。</w:t>
            </w:r>
          </w:p>
          <w:p w14:paraId="51C57D0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3、支持经典护眼模式，可通过前置面板物理功能按键一键启用经典护眼模式。</w:t>
            </w:r>
          </w:p>
          <w:p w14:paraId="569363E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4、机身具备防盐雾锈蚀特性，且满足GB4943.1-2011标准中的防火要求。</w:t>
            </w:r>
          </w:p>
          <w:p w14:paraId="41CA6CB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5、整机具备抗振动、防跌落特性，保证整机运输或使用过程中不易受损。</w:t>
            </w:r>
          </w:p>
          <w:p w14:paraId="7D45DC7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6、整机书写面板采用防眩光全钢化防爆玻璃面板，面板的碎片状态、抗冲击性、霰弹袋冲击性能、耐热冲击性能均通过国家强制玻璃标准，表面应力≥100Mpa,适应学校复杂环境，保障教学安全。</w:t>
            </w:r>
          </w:p>
          <w:p w14:paraId="36A1C6B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7、整机在0℃- 40℃环境下可正常工作，在-20℃—60℃的环境下可正常贮存且贮存后功能无损。</w:t>
            </w:r>
          </w:p>
          <w:p w14:paraId="2314DD9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四、整机屏幕设计</w:t>
            </w:r>
          </w:p>
          <w:p w14:paraId="0DDF0AC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1、整机采用一体设计，外部无任何可见内部功能模块连接线。整机采用全金属外壳设计，边角采用弧形设计，表面无尖锐边缘或凸起。</w:t>
            </w:r>
          </w:p>
          <w:p w14:paraId="2DD7DE9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2、整机屏幕边缘采用金属圆角包边防护，整机背板采用金属材质，有效屏蔽内部电路器件辐射；防潮耐盐雾蚀锈，适应多种教学环境。</w:t>
            </w:r>
          </w:p>
          <w:p w14:paraId="0882598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★3、整机屏幕采用≥75英寸液晶显示器，采用UHD超高清LED液晶屏，显示比例16:9，分辨率3840×2160，色域覆盖率（NTSC）≥72%，灰度等级≥256级。</w:t>
            </w:r>
          </w:p>
          <w:p w14:paraId="3A5BB4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4、整机采用全物理钢化玻璃，有效保护屏幕显示画面，采用防眩光玻璃，屏幕支持防眩光功能，钢化玻璃表面硬度≥9H。</w:t>
            </w:r>
          </w:p>
          <w:p w14:paraId="0C1CA63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5、整机背光系统支持DC调光方式，多级亮度调节，支持白颜色背景下最暗亮度≤100nit，用于提升显示对比度。</w:t>
            </w:r>
          </w:p>
          <w:p w14:paraId="45D6F1E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★6、整机采用硬件低蓝光背光技术，在源头减少有害蓝光波段能量，蓝光占比（有害蓝光415～455nm能量综合）/（整体蓝光400～500能量综合）≤50%，低蓝光保护显示不偏色、不泛黄。</w:t>
            </w:r>
          </w:p>
          <w:p w14:paraId="18EECCF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7、整机支持支持可自定义图像设置，可对对比度、屏幕色温、图像亮度、亮度范围、色彩空间进行更进一步调节设置。</w:t>
            </w:r>
          </w:p>
          <w:p w14:paraId="2B602C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★8、整机支持色彩空间可选，包含标准模式和sRGB模式，在sRGB模式下可做到高色准△E≤1.0。</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26909AF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五、多媒体教学设计</w:t>
            </w:r>
          </w:p>
          <w:p w14:paraId="283C8AF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1、整机全通道侧边栏快捷菜单包含如下小工具：批注、降半屏、截屏、放大镜、倒计时、日历、聚光灯、秒表、冻屏、倒数日、答题、节拍器。</w:t>
            </w:r>
          </w:p>
          <w:p w14:paraId="4F030BC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2、整机全通道侧边栏支持使用批注小工具进行批注讲解，可切换书写笔颜色、截屏保存批注内容、清屏，可根据手与屏幕的接触面积自动调整板擦工具的大小。</w:t>
            </w:r>
          </w:p>
          <w:p w14:paraId="4EB086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3、整机全通道侧边栏快捷菜单支持快捷调节音量、亮度，支持自动亮度模式，支持点击静音按钮静音。</w:t>
            </w:r>
          </w:p>
          <w:p w14:paraId="3954443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4、教学中可以实时查看物联设备的连接情况，点击任意一台设备图标即可调出中控菜单进行管控。</w:t>
            </w:r>
          </w:p>
          <w:p w14:paraId="3DC049C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★5、整机安卓和全部外接通道（HDMI、Type-c）下侧边栏支持节拍器，支持设置节拍、轻重、节拍播放速度。全通道下可支持通过自定义按键调出该功能。</w:t>
            </w:r>
          </w:p>
          <w:p w14:paraId="1BE4FFC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6、整机安卓和全部外接通道（HDMI、Type-C）下侧边栏支持设置倒数日。</w:t>
            </w:r>
          </w:p>
          <w:p w14:paraId="14925B6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7、整机全通道侧边栏支持倒计时、正计时功能；倒计时，输入某特定时间值，可精确到秒，点击开始进入倒计时；正计时，点击开始计时便自动开始，并实时显示时间。</w:t>
            </w:r>
          </w:p>
          <w:p w14:paraId="3740FA6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8、教学支持放大任意区域内容；并可支持对未选中区域关灯处理，实现聚光灯效果。</w:t>
            </w:r>
          </w:p>
          <w:p w14:paraId="1451C92D">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highlight w:val="none"/>
                <w:u w:val="none"/>
                <w:lang w:val="en-US" w:eastAsia="zh-CN" w:bidi="ar"/>
              </w:rPr>
              <w:t>9、整机安卓和全部外接通道（HDMI、Type-c）下侧边栏支持通过扫描二维码加入班级，老师设置题型，学生回答后提交，可以查看正确率比例及详细讲解；支持随机抽选、实时弹幕；支持管理当前班级成员；支持导出学生报告。全通道下可支持通过自定义按键调出该功能。</w:t>
            </w:r>
          </w:p>
          <w:p w14:paraId="4E0621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六、整机系统设计</w:t>
            </w:r>
          </w:p>
          <w:p w14:paraId="312B28F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（一）电脑系统</w:t>
            </w:r>
          </w:p>
          <w:p w14:paraId="26BE32D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1、CPU</w:t>
            </w:r>
            <w:r>
              <w:rPr>
                <w:rFonts w:hint="eastAsia" w:ascii="宋体" w:hAnsi="宋体" w:eastAsia="宋体" w:cs="宋体"/>
                <w:i w:val="0"/>
                <w:iCs w:val="0"/>
                <w:color w:val="auto"/>
                <w:kern w:val="0"/>
                <w:sz w:val="21"/>
                <w:szCs w:val="21"/>
                <w:u w:val="none"/>
                <w:lang w:val="en-US" w:eastAsia="zh-CN" w:bidi="ar"/>
              </w:rPr>
              <w:t xml:space="preserve">：搭载Intel  </w:t>
            </w: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酷睿系列≥ i5 CPU</w:t>
            </w:r>
            <w:r>
              <w:rPr>
                <w:rFonts w:hint="eastAsia" w:ascii="宋体" w:hAnsi="宋体" w:eastAsia="宋体" w:cs="宋体"/>
                <w:i w:val="0"/>
                <w:iCs w:val="0"/>
                <w:color w:val="auto"/>
                <w:kern w:val="0"/>
                <w:sz w:val="21"/>
                <w:szCs w:val="21"/>
                <w:highlight w:val="none"/>
                <w:u w:val="none"/>
                <w:lang w:val="en-US" w:eastAsia="zh-CN" w:bidi="ar"/>
              </w:rPr>
              <w:t>。</w:t>
            </w:r>
          </w:p>
          <w:p w14:paraId="0012998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2、内存：8GB DDR4笔记本内存或以上配置。</w:t>
            </w:r>
          </w:p>
          <w:p w14:paraId="0F76476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3、硬盘：512GB或以上SSD固态硬盘。</w:t>
            </w:r>
          </w:p>
          <w:p w14:paraId="4511B12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4、PC模块可抽拉式插入整机，可实现无单独接线的插拔，和整机的连接采用万兆级接口，传输速率≥10Gbps。</w:t>
            </w:r>
          </w:p>
          <w:p w14:paraId="0D4B027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5、采用按压式卡扣，无需工具就可快速拆卸电脑模块。</w:t>
            </w:r>
          </w:p>
          <w:p w14:paraId="008FCD9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6、PC模块的USB接口须为冗余备份接口，在正常使用整机的内置摄像头、内置麦克风功能时，USB接口不被占用，确保教师有足够的接口外接存储设备及显示设备。</w:t>
            </w:r>
          </w:p>
          <w:p w14:paraId="4AD5F75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7、具有独立非外扩展的视频输出接口：≥1路HDMI 。</w:t>
            </w:r>
          </w:p>
          <w:p w14:paraId="7114492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8、具有独立非外拓展的电脑 USB 接口：至少具备 3个USB3.0 接口。</w:t>
            </w:r>
          </w:p>
          <w:p w14:paraId="0C522CB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★9、整机具备供电保护模块，能够检测内置电脑是否插好在位，在内置电脑未在位的情况下，内置电脑无法上电工作。</w:t>
            </w:r>
          </w:p>
          <w:p w14:paraId="6A1BB35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（二）触摸系统</w:t>
            </w:r>
          </w:p>
          <w:p w14:paraId="0A455D36">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★1、采用红外触控技术，支持Windows系统中进行40点或以上触控，支持在Android系统中进行40点或以上触控。</w:t>
            </w:r>
          </w:p>
          <w:p w14:paraId="639A0AC5">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2、整机屏幕触摸有效识别高度不超过1.5mm，即触摸物体距离玻璃外表面高度不超过1.5mm时，触摸屏识别为点击操作。</w:t>
            </w:r>
          </w:p>
          <w:p w14:paraId="2232DF5A">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3、整机触控书写功能集成预测算法，在书写速度≥50cm/s，支持笔迹距离笔的距离小于20mm。</w:t>
            </w:r>
          </w:p>
          <w:p w14:paraId="6C180277">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4、整机系统支持书写触控延迟≤25ms</w:t>
            </w:r>
          </w:p>
          <w:p w14:paraId="0A75387B">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★5、整机支持提笔书写，在Windows系统下可实现无需点击任意功能入口，当检测到红外笔笔尖接触屏幕时，自动进入书写模式。</w:t>
            </w:r>
          </w:p>
          <w:p w14:paraId="18CE6EB7">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6、支持智能板擦功能，系统可根据触控物体的形状自动识别出实物板擦，可擦除电子白板中的内容，无需依赖外部电子设备。</w:t>
            </w:r>
          </w:p>
          <w:p w14:paraId="717ADD4A">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7、支持Windows 7、Windows 8、Windows 10、Windows 11、Linux、Mac Os、UOS和麒麟系统外置电脑操作系统接入时，无需安装触摸驱动。</w:t>
            </w:r>
          </w:p>
          <w:p w14:paraId="15C6E96D">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★8、整机触摸支持动态压力感应，支持无任何电子功能的普通书写笔在整机上书写或点压时，整机能感应压力变化，书写或点压过程笔迹呈现不同粗细。</w:t>
            </w:r>
          </w:p>
          <w:p w14:paraId="7D77450B">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（三）嵌入式系统</w:t>
            </w:r>
          </w:p>
          <w:p w14:paraId="739AB9AE">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★1、嵌入式系统版本不低于Android 13，内存≥2GB，存储空间≥8GB。</w:t>
            </w:r>
          </w:p>
          <w:p w14:paraId="133C800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2、嵌入式Android操作系统下，白板支持对已经书写的笔迹和形状的颜色进行更换。</w:t>
            </w:r>
          </w:p>
          <w:p w14:paraId="5D74E50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3、在嵌入式系统下使用白板软件时，整机可自行调节屏幕亮度</w:t>
            </w:r>
          </w:p>
          <w:p w14:paraId="06BF58B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4、嵌入式Android操作系统下，互动白板支持不同背景颜色，同时提供学科背景，如：五线谱、信纸、田字格、英文格、篮球和足球场地平面图。</w:t>
            </w:r>
          </w:p>
          <w:p w14:paraId="407FC1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无PC状态下，嵌入式系统内置互动白板支持十笔书写及手掌擦除（手掌擦除面积根据手掌与屏幕的接触面大小自动调整），白板书写内容可以PDF、IWB和SVG格式导出。支持10种以上平面图形工具。支持8种以上立体图形工具。</w:t>
            </w:r>
          </w:p>
          <w:p w14:paraId="2ECA937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6、无PC状态下，嵌入式系统内置互动白板支持全局漫游，并能在工具栏中对全局内容进行预览和移动。</w:t>
            </w:r>
          </w:p>
          <w:p w14:paraId="1E1B28A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7、无PC状态下，嵌入式Android操作系统下可使用白板书写、WPS软件和网页浏览。</w:t>
            </w:r>
          </w:p>
          <w:p w14:paraId="1EB0583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七、综合素质管理软件</w:t>
            </w:r>
          </w:p>
          <w:p w14:paraId="70C28E0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1、支持通过数字账号、微信二维码、硬件密钥方式登录教师个人账号。</w:t>
            </w:r>
          </w:p>
          <w:p w14:paraId="5FC7E0A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2、移动端支持教师/家长双重身份无缝切换，软件内可直接切换账户类型，无需安装多个APP应用或退出账号重新登录。</w:t>
            </w:r>
          </w:p>
          <w:p w14:paraId="72593D6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★3、兼容多平台系统，可在PC、Web、安卓、iOS等系统使用，且各终端数据互通，教师可多场景下对学生进行管理与评价。</w:t>
            </w:r>
          </w:p>
          <w:p w14:paraId="78A5B91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4、支持汇总查看校内的班级评价排名，可以列表形式查看班主任、班级学生数、家长数、班级代码等信息。</w:t>
            </w:r>
          </w:p>
          <w:p w14:paraId="3DDC7EA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5、支持查看校内某个班级的详细信息及学生个人表现记录，便于进行教学行为分析。</w:t>
            </w:r>
          </w:p>
          <w:p w14:paraId="7BD6F9D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6、支持创建新班级，可批量添加学生，同时支持将已有班级的学生与家长快速导入新班级。</w:t>
            </w:r>
          </w:p>
          <w:p w14:paraId="7C90EE0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7、支持进行校级、年级学生综合素质量表快速导入，教师可将针对不同年级学段以及校级综合素质量表快速导入班级。</w:t>
            </w:r>
          </w:p>
          <w:p w14:paraId="7227D7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8、支持按学生或小组的首字母、总分、表扬分数、待改进分数等维度进行排序，方便老师快速找到需要评价的学生或小组。</w:t>
            </w:r>
          </w:p>
          <w:p w14:paraId="6B1D5F0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9、支持考勤功能，可对学生的出勤、迟到、缺勤、请假状态进行记录，并支持查看课堂考勤统计报表，可详细查看班级考勤概览数据。</w:t>
            </w:r>
          </w:p>
          <w:p w14:paraId="5ACD27F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10、支持网页端、PC授课端查看学生成长统计报表，按饼状图形式展现学生课堂表现情况，支持查看班级或学生个人情况，并可追溯每条评价的原因、对象、分值，便于教师进行精准评价。</w:t>
            </w:r>
          </w:p>
          <w:p w14:paraId="601C13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11、系统支持通过教师日常点评数据及专业心理测试，对学生能力进行分析，分析维度包括专注力、行为习惯、理解力、探索性、表达能力、组织能力等，并对各个能力维度进行能力解释、得分量化、潜力分析。</w:t>
            </w:r>
          </w:p>
          <w:p w14:paraId="2045D68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八、教学功能设计</w:t>
            </w:r>
          </w:p>
          <w:p w14:paraId="0113F83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1、三合一电源按键，同一电源物理按键完成Android系统和Windows系统的开机、节能熄屏、关机操作；关机状态下按按键开机；开机状态下按按键实现节能熄屏/唤醒，长按按键实现关机。</w:t>
            </w:r>
          </w:p>
          <w:p w14:paraId="3968494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2、设备支持通过前置面板物理按键一键启动录屏功能，可将屏幕中显示的课件、音频内容与人声同时录制。</w:t>
            </w:r>
          </w:p>
          <w:p w14:paraId="5CE9FB9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整机支持至少5个自定义前置按键，“设置”、“音量-”，“音量+”，“录屏”，“护眼”按键，可通过自定义设置实现前置面板功能按键一键启用任一全局小工具（批注、截屏、计时、降半屏、放大镜、倒数日、日历）、快捷开关（节能模式、纸质护眼模式、经典护眼模式、自动亮度模式）、课堂智能反馈。</w:t>
            </w:r>
          </w:p>
          <w:p w14:paraId="5A33728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4、整机支持自定义图像设置，可对对比度、屏幕色温、图像亮度、亮度范围、色彩空间调节设置。</w:t>
            </w:r>
          </w:p>
          <w:p w14:paraId="05AAFF1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★5、整机关机状态下，通过长按电源键进入设置界面后，可点击屏幕选择故障检测、系统还原功能，系统还原可单独还原PC系统，单独还原整机系统。</w:t>
            </w:r>
          </w:p>
          <w:p w14:paraId="384882A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6、整机无需外接无线网卡，在Android和Windows系统下可实现Wi-Fi无线上网连接、AP无线热点发射和BT蓝牙连接功能。</w:t>
            </w:r>
          </w:p>
          <w:p w14:paraId="6234B73B">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7、</w:t>
            </w: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Wi-Fi和AP热点工作距离≥12m。</w:t>
            </w:r>
          </w:p>
          <w:p w14:paraId="72EAD62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8、整机支持蓝牙Bluetooth 5.4标准，固件版本号HCI13.0/LMP13.0</w:t>
            </w:r>
            <w:r>
              <w:rPr>
                <w:rFonts w:hint="eastAsia" w:ascii="宋体" w:hAnsi="宋体" w:eastAsia="宋体" w:cs="宋体"/>
                <w:i w:val="0"/>
                <w:iCs w:val="0"/>
                <w:color w:val="000000"/>
                <w:kern w:val="0"/>
                <w:sz w:val="21"/>
                <w:szCs w:val="21"/>
                <w:u w:val="none"/>
                <w:lang w:val="en-US" w:eastAsia="zh-CN" w:bidi="ar"/>
              </w:rPr>
              <w:t>。</w:t>
            </w:r>
          </w:p>
          <w:p w14:paraId="76E93D0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★9、整机支持发出频率为18kHz-22kHz超声波信号，智能手机通过麦克风接收后，智能手机与整机无需在同一局域网内，可实现配对，一键投屏，用户无需手动输入投屏码或扫码获取投屏码。</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594AA7A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10、整机PC端支持主动发现蓝牙外设从而连接（无需整机进入发现模式），支持连接外部蓝牙音箱播放音频。</w:t>
            </w:r>
          </w:p>
          <w:p w14:paraId="6921A33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★11、整机内置双WiFi6无线网卡，在Android下支持无线设备同时连接数量≥32个，在Windows系统下支持无线设备同时连接≥8个。</w:t>
            </w:r>
          </w:p>
          <w:p w14:paraId="0081592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★12、支持标准、听力、观影和AI空间感知音效模式，AI空间感知音效模式可通过内置麦克风采集教室物理环境声音，自动生成符合当前教室物理环境的频段、音量、音效。</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2E22AB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13、整机可选择高级音效设置，支持在左右声道平衡显示范围中进行更改；中低频段显示调节范围125Hz～1KHz，高频段显示调节范围 2KHz～16KHz，分贝显示-12dB～12dB 调节范围。</w:t>
            </w:r>
          </w:p>
          <w:p w14:paraId="32D6608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14、整机上边框内置非独立式摄像头，采用一体化集成设计，摄像头数量≥4个。</w:t>
            </w:r>
          </w:p>
          <w:p w14:paraId="2B4AE414">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★15、上边框内置非独立式≥3个智能拼接摄像头，视场角≥141度，水平视场角≥139度，支持输出≥8192×2048分辨率的照片和视频，支持画面畸变矫正功能 。</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3160BE3A">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★16、整机内置至少三个摄像头，像素值均大于800 万，同时输出至少 3 路视频流，同时支持课堂远程巡课、课堂教学数据采集、本地画面预览（拍照或视频录制）。</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1E4401A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17、具备摄像头工作指示灯，摄像头运行时，有指示灯提示。</w:t>
            </w:r>
          </w:p>
          <w:p w14:paraId="537DD7E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18、整机扬声器在100%音量下，可做到1米处声压级≥88db，10米处声压级≥79dB。</w:t>
            </w:r>
          </w:p>
          <w:p w14:paraId="13C7EF5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19、整机设备自带地震预警软件。支持在地震预警页面中获取位置，可以手动进行位置校准。支持在地震预警页面中选择提醒阈值。支持在地震预警界面中开启和关闭地震预警服务。</w:t>
            </w:r>
          </w:p>
          <w:p w14:paraId="1239BD55">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★20、整机内置2.2声道扬声器，位于设备上边框，顶置朝前发声，前朝向≥10W高音扬声器≥2个，上朝向≥20W中低音扬声器≥2个，额定总功率≥60W。采用缝隙发声技术，喇叭采用槽式开口设计，不大于5.8mm。</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highlight w:val="none"/>
                <w:u w:val="none"/>
                <w:lang w:val="en-US" w:eastAsia="zh-CN" w:bidi="ar"/>
              </w:rPr>
              <w:t>）</w:t>
            </w:r>
          </w:p>
          <w:p w14:paraId="43AA02A6">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★21、整机内置非独立外扩展的8阵列麦克风，拾音角度≥180°，可用于对教室环境音频进行采集，拾音距离≥12m。</w:t>
            </w:r>
          </w:p>
          <w:p w14:paraId="3038F737">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★22、整机上边框内置非独立的广角高清摄像头，在距离整机1.7米情况下，且拍摄范围可以覆盖摄像头垂直法线左右距离大于等于4米，可以实现人脸识别。</w:t>
            </w:r>
          </w:p>
          <w:p w14:paraId="55B70D06">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23、整机上边框内置非独式广角摄像头和智能拼接摄像头， 均支持 3D 降噪算法和数字宽动态范围成像WDR 技术，支持输出 MJPG、 H.264 视频格式。</w:t>
            </w:r>
          </w:p>
          <w:p w14:paraId="29A0CC90">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★24、整机摄像头支持人脸识别、清点人数、随机抽人；识别所有学生，显示标记，然后随机抽选，同时显示标记不少于60人。</w:t>
            </w:r>
          </w:p>
          <w:p w14:paraId="6F0A040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25、整机设备教学桌面支持教学常用的教学白板软件和文件管理软件软件；教学桌面首</w:t>
            </w:r>
            <w:r>
              <w:rPr>
                <w:rFonts w:hint="eastAsia" w:ascii="宋体" w:hAnsi="宋体" w:eastAsia="宋体" w:cs="宋体"/>
                <w:i w:val="0"/>
                <w:iCs w:val="0"/>
                <w:color w:val="000000"/>
                <w:kern w:val="0"/>
                <w:sz w:val="21"/>
                <w:szCs w:val="21"/>
                <w:u w:val="none"/>
                <w:lang w:val="en-US" w:eastAsia="zh-CN" w:bidi="ar"/>
              </w:rPr>
              <w:t>页支持自定义桌面应用，支持展示8个应用入口。并提供进入本机所有应用的入口。</w:t>
            </w:r>
          </w:p>
          <w:p w14:paraId="4C9D929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26、整机设备教学桌面支持查看设备盘符，支持本地磁盘和外接 U 盘、移动硬盘，点击即可打开该磁盘查看磁盘文件。教学桌面支持显示存储空间状态，当存储空间即将满载时候进行红色标记明显提示。</w:t>
            </w:r>
          </w:p>
          <w:p w14:paraId="729C792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九、教学备授课软件设计</w:t>
            </w:r>
          </w:p>
          <w:p w14:paraId="603B5C5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（一）白板教学PC端应用</w:t>
            </w:r>
          </w:p>
          <w:p w14:paraId="6EE00F1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★1、教学系统为全校教师提供可扩展，易于学校管理，安全可靠的云存储空间，根据每名教师使用时长与教学资料制作频率提供可扩展升级至不小于200G的个人云空间。</w:t>
            </w:r>
          </w:p>
          <w:p w14:paraId="303C22F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教学系统须为使用方全体教师配备个人账号，形成一体的信息化教学账号体系；根据教师账号信息将教师云空间匹配至对应学校、学科校本资源库。支持通过数字账号、微信二维码、硬件密钥方式登录教师个人账号。</w:t>
            </w:r>
          </w:p>
          <w:p w14:paraId="5315036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3、互动教学课件支持定向精准分享：分享者可将互动课件、课件组精准推送至指定接收方账号云空间，接收方可在云空间接收并打开分享课件。</w:t>
            </w:r>
          </w:p>
          <w:p w14:paraId="4DDB602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上传下载一体化云存储：备课时支持将云空间中存储图片、音频、视频等素材插入课件，同时支持将课件中的图片、音频、视频等素材右键上传至云空间。互动教学课件支持开放式云分享：分享者可将互动课件、课件组以公开或加密的 web 链接和二维码形式进行分享，分享链接可设置访问有效期。</w:t>
            </w:r>
          </w:p>
          <w:p w14:paraId="276464E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5、语文工具：具备汉字生字卡，直观展示汉字部首、笔画数量，笔画书写支持分步展示和连续展示，教师可一次性生成多个汉字生字卡，同步生成数量不少于 5 个。可以调出可直接书写的田字格、四线三格，书写笔画笔顺指导功能。支持授课助手：同步教学写字的视频、朗读泛读音频、支持手机扫学生作品能够投影大屏幕、手机现场录音支持上传视听、支持连接绘本教学资源及字理教学视频播放、支持笔顺笔画的视频教学播放。</w:t>
            </w:r>
          </w:p>
          <w:p w14:paraId="6BEE136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6、支持软件联网自动静默升级，无需用户手动更新。</w:t>
            </w:r>
          </w:p>
          <w:p w14:paraId="0AD5267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7、课件背景：提供不少于8种以上背景模板供老师选择，持自定义背景。</w:t>
            </w:r>
          </w:p>
          <w:p w14:paraId="204C45A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互动分类游戏：支持创建互动分类游戏，可自定义不同类别及相对应的对象，实现将不同对象拖拽到对应的类别容器中可自动辨识分类，分类正确或错误均有相应提示。类别和对象的样式、数量均可以自定义设置。系统需提供不少于9种游戏模板，直接选择并输入相应内容即可轻松生成互动分类游戏，提升课堂趣味性。</w:t>
            </w:r>
          </w:p>
          <w:p w14:paraId="218A918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9、智能选词填空：支持创建智能选词填空游戏，教师可随意编辑填空题题干以及相应的答案选项，将选项拖到对应题干空白处，系统将自动判别答案是否正确。系统需提供不少于 8 种游戏模板供老师选择，且模板样式支持自定义修改。</w:t>
            </w:r>
          </w:p>
          <w:p w14:paraId="1727CD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★10、智能配对游戏：支持创建配对游戏，教师可随意将知识点进行配对。当开始配对游戏时，拖动知识点进行配对，系统将自动判断是否正确。系统至少提供7种游戏模版，且模版样式支持自定义修改。</w:t>
            </w:r>
          </w:p>
          <w:p w14:paraId="66DAF8F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11、分组竞争游戏：支持创建分组竞争游戏，教师可设置正确项／干扰项，让两组学生开展竞争游戏。系统提供不少于 3 种难度、10种游戏模版选择，且模版样式支持自定义修改。</w:t>
            </w:r>
          </w:p>
          <w:p w14:paraId="05C6253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★12、数学公式编辑器：支持复杂数学公式输入，提供不少于 20 个数学符号及模板，输出的公式内容支持不同颜色标记及二次编辑。</w:t>
            </w:r>
          </w:p>
          <w:p w14:paraId="598F974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13、数学画板功能：</w:t>
            </w:r>
          </w:p>
          <w:p w14:paraId="07A4AB9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a)能在白板中插入在线画板，授课时可以一键打开,方便老师配合课件内容进行讲解。</w:t>
            </w:r>
          </w:p>
          <w:p w14:paraId="42FD9B6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b)提供不少于 500 个数学画板资源，覆盖小学、初中、高中学段数学学科主要知识点，并按照知识点分类，便于老师查找。</w:t>
            </w:r>
          </w:p>
          <w:p w14:paraId="37034E9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c)画板资源互动性强，利于老师讲解抽象知识点，如小学阶段的四边形互相转换资源，可支持点击，动态切换四边形形态；中学阶段的平方差公式资源，可支持图形展示平方差公式计算原理，并可改变数值，重复演示。</w:t>
            </w:r>
          </w:p>
          <w:p w14:paraId="67D5F65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d)老师创建个人画板，除了点、线、面等基础元素以外，画板还可提供线段中点、椭圆焦点、极坐标方程等数十种数学常用工具，保证老师日常备授课所需。创建完成后，老师可一键将画板插入白板，与课件无缝连接。</w:t>
            </w:r>
          </w:p>
          <w:p w14:paraId="23C6BC6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思维导图：提供思维导图、鱼骨图及组织结构图编辑功能，可轻松增删或拖拽编辑内容节点，并支持在节点上插入图片、音频、视频、网页链接、课件页面链接。支持思维导图逐级、逐个节点展开，并可任意缩放，满足不同演示需求。</w:t>
            </w:r>
          </w:p>
          <w:p w14:paraId="6BD463B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15、表格：</w:t>
            </w:r>
          </w:p>
          <w:p w14:paraId="7E1F411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a)具有表格插入功能，并提供5种以上表格样式供老师选择。</w:t>
            </w:r>
          </w:p>
          <w:p w14:paraId="167CFD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b)表格能自适应，可一键将表格的行、列调整到最合适的大小。</w:t>
            </w:r>
          </w:p>
          <w:p w14:paraId="2EB4694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c)具有表格遮罩功能，可对表格中任意一格添加遮罩，在授课模式下通过点击可消除遮罩，方便老师设置互动活动。</w:t>
            </w:r>
          </w:p>
          <w:p w14:paraId="40AD403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d)在授课模式下，支持表格克隆功能，可克隆出多个相同表格，</w:t>
            </w:r>
          </w:p>
          <w:p w14:paraId="4D6CC80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方便老师请多位同学进行答题互动。</w:t>
            </w:r>
          </w:p>
          <w:p w14:paraId="2B2581E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16、图表：</w:t>
            </w:r>
          </w:p>
          <w:p w14:paraId="5F83C4F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a)具有图表插入功能，并提供柱状图、扇形图、折线图 3 种图表形式，且每种形式提供不少于5种样式供选择。</w:t>
            </w:r>
          </w:p>
          <w:p w14:paraId="658D069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b)具有图表二维及三维展示形式任意切换，且三维图表支持旋转，方便多角度展示数据变化。</w:t>
            </w:r>
          </w:p>
          <w:p w14:paraId="56305DD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c)具有图表添加超链接，可连接至课件其他页面、网页、软件自带小工具等地方。</w:t>
            </w:r>
          </w:p>
          <w:p w14:paraId="613E43B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d)在授课模式下，支持图表克隆功能，可克隆出多个相同图表，</w:t>
            </w:r>
          </w:p>
          <w:p w14:paraId="033AEF1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方便老师进行对比观察。</w:t>
            </w:r>
          </w:p>
          <w:p w14:paraId="49F03BE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★17、古诗词资源：</w:t>
            </w:r>
          </w:p>
          <w:p w14:paraId="58FCE46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a)提供覆盖多学段的古诗词、古文资源，包含原文、翻译、背景介绍、作者介绍、朗诵音频等。</w:t>
            </w:r>
          </w:p>
          <w:p w14:paraId="10F6035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b)支持用户根据年级、朝代、诗人等进行分类查找，也可直接搜索诗词、古文名称或作者名查找。</w:t>
            </w:r>
          </w:p>
          <w:p w14:paraId="51CF233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c)提供不少于9种古诗词专用背景模板，老师可贴合古诗词意境选择合适背景进行教学。</w:t>
            </w:r>
          </w:p>
          <w:p w14:paraId="088019E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d)每篇古诗词、古文均提供原文及翻译、背景介绍、作者介绍等，同时支持一键跳转打开网页，展示对应的背景或作者介绍。</w:t>
            </w:r>
          </w:p>
          <w:p w14:paraId="7FF562C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e)支持老师备课时对原文进行注释、标重点等操作，方便老师讲解重点字词。</w:t>
            </w:r>
          </w:p>
          <w:p w14:paraId="31A0CC9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f)提供原文朗读功能，全部诗词、古文均配备专业朗读配音，且支持老师在备课时对朗读音频进行打点操作，上课时可播放提前选择好的片段。</w:t>
            </w:r>
          </w:p>
          <w:p w14:paraId="02C6052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3D星球模型：提供3D立体星球模型，包括地球、太阳、火星、水星等太阳系行星，支持360°自由旋转、缩放展示；并支持在地球教学工具中，清晰展现地球表面的六大板块、降水分布、气温分布、气候分布、人口分布、表层洋流、陆地自然带、海平面等压线等内容；且支持三维、二维切换展示，方便地理学科教学。</w:t>
            </w:r>
          </w:p>
          <w:p w14:paraId="10BD480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★19、美术画板：具有美术画板工具，提供铅笔、毛笔、油画笔，可实现模拟调色盘功能，老师可自由选择不同颜色进行混合调色，搭配出任意色彩。</w:t>
            </w:r>
          </w:p>
          <w:p w14:paraId="51A761A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20、美术工具：具备图形自由创作工具，教师可自由绘制复杂的任意多边图形及曲边图形；教师自主创作的图形可存储至个人云空间便于后续使用。</w:t>
            </w:r>
          </w:p>
          <w:p w14:paraId="2F0A795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（二）白板软件移动端应用</w:t>
            </w:r>
          </w:p>
          <w:p w14:paraId="781E8A3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1、课件预览保留课件对象拖拽移动、克隆复制、置顶、删除等互动功能，并可通过移动端进行思维导图、课堂互动游戏的触控交互操作，并支持显示课件备注内容。</w:t>
            </w:r>
          </w:p>
          <w:p w14:paraId="440CFC9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2、可在移动平台选择是否接收获取的分享课件，接收后课件储存至个人云空间，可在移动平台的互动课件列表预览。</w:t>
            </w:r>
          </w:p>
          <w:p w14:paraId="60889B2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3、移动平台可对云空间互动课件和课件组移动、删除和重命名，课件及课件组支持批量移动、删除。</w:t>
            </w:r>
          </w:p>
          <w:p w14:paraId="75B87AC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4、移动平台可将课件通过微信、朋友圈、云空间帐号、二维码、公开链接、加密链接等方式进行分享，分享有效期支持自定义。</w:t>
            </w:r>
          </w:p>
          <w:p w14:paraId="03214B1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★5、移动平台可查看教师个人云空间里所有互动课件列表，并可打开互动课件进行预览，预览时支持上下翻页、页面缩略图预览、页面跳转。</w:t>
            </w:r>
          </w:p>
          <w:p w14:paraId="790FF06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6、移动平台可以上传手机相册中的照片和视频到资料夹，且能调用系统相机拍摄照片并直接上传。教师可以在备课端选择资源插入课件。</w:t>
            </w:r>
          </w:p>
          <w:p w14:paraId="363B9D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十、教学PPT小工具</w:t>
            </w:r>
          </w:p>
          <w:p w14:paraId="71070FE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1、不借助其他软件情况下，播放PPT时即可实现书写、擦除功能；可支持课件所有页面的预览、可随意进行页面跳转和实现上下翻页。</w:t>
            </w:r>
          </w:p>
          <w:p w14:paraId="4A00939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2、不借助其他软件情况下，播放PPT时即可支持板中板功能，直接调用板中板辅助教学，可实现批注及加页，不影响课件整体内容。</w:t>
            </w:r>
          </w:p>
          <w:p w14:paraId="47D3006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在无需打开除PPT以外的其他软件时，可实现新建PPT并课件及板书内容直接生成二维码分享，且扫码后支持在手持终端生成二维码进行再次分享，支持点赞。支持发送课件链接至邮箱，方便教师下载保存课件板书内容。</w:t>
            </w:r>
          </w:p>
          <w:p w14:paraId="1EA68E2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4、不借助其他软件情况下，播放PPT时即可调用放大镜、聚光灯小工具辅助教学。</w:t>
            </w:r>
          </w:p>
          <w:p w14:paraId="172409E2">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十一、产品售后保障服务</w:t>
            </w:r>
          </w:p>
          <w:p w14:paraId="47C8C0AB">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color w:val="auto"/>
                <w:sz w:val="21"/>
                <w:szCs w:val="21"/>
                <w:highlight w:val="none"/>
              </w:rPr>
              <w:t>★</w:t>
            </w:r>
            <w:r>
              <w:rPr>
                <w:rFonts w:hint="eastAsia" w:ascii="宋体" w:hAnsi="宋体" w:eastAsia="宋体" w:cs="宋体"/>
                <w:i w:val="0"/>
                <w:iCs w:val="0"/>
                <w:color w:val="auto"/>
                <w:kern w:val="0"/>
                <w:sz w:val="21"/>
                <w:szCs w:val="21"/>
                <w:u w:val="none"/>
                <w:lang w:val="en-US" w:eastAsia="zh-CN" w:bidi="ar"/>
              </w:rPr>
              <w:t>1、全国24小时免费400电话保修、二维码扫描保修、区域化驻地技术工程师专线保修。</w:t>
            </w:r>
          </w:p>
          <w:p w14:paraId="36CCB9AB">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color w:val="auto"/>
                <w:sz w:val="21"/>
                <w:szCs w:val="21"/>
                <w:highlight w:val="none"/>
              </w:rPr>
              <w:t>★</w:t>
            </w:r>
            <w:r>
              <w:rPr>
                <w:rFonts w:hint="eastAsia" w:ascii="宋体" w:hAnsi="宋体" w:eastAsia="宋体" w:cs="宋体"/>
                <w:i w:val="0"/>
                <w:iCs w:val="0"/>
                <w:color w:val="auto"/>
                <w:kern w:val="0"/>
                <w:sz w:val="21"/>
                <w:szCs w:val="21"/>
                <w:u w:val="none"/>
                <w:lang w:val="en-US" w:eastAsia="zh-CN" w:bidi="ar"/>
              </w:rPr>
              <w:t>2、微信售后报修服务：快速输入相关问题及所在区域进行在线保修，贴心服务人员实时在线提供客服专线报修，更好更快的解决售后故障问题带来的使用不便。</w:t>
            </w:r>
          </w:p>
          <w:p w14:paraId="34FF75F9">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color w:val="auto"/>
                <w:sz w:val="21"/>
                <w:szCs w:val="21"/>
                <w:highlight w:val="none"/>
              </w:rPr>
              <w:t>★</w:t>
            </w:r>
            <w:r>
              <w:rPr>
                <w:rFonts w:hint="eastAsia" w:ascii="宋体" w:hAnsi="宋体" w:eastAsia="宋体" w:cs="宋体"/>
                <w:i w:val="0"/>
                <w:iCs w:val="0"/>
                <w:color w:val="auto"/>
                <w:kern w:val="0"/>
                <w:sz w:val="21"/>
                <w:szCs w:val="21"/>
                <w:u w:val="none"/>
                <w:lang w:val="en-US" w:eastAsia="zh-CN" w:bidi="ar"/>
              </w:rPr>
              <w:t>3、微信问题查询服务：提供八大模块的问题查询及解决方案，现场完成简单故障的快速修复指导。</w:t>
            </w:r>
          </w:p>
          <w:p w14:paraId="6277A87D">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十二、其他要求</w:t>
            </w:r>
          </w:p>
          <w:p w14:paraId="16F7C677">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color w:val="auto"/>
                <w:sz w:val="21"/>
                <w:szCs w:val="21"/>
                <w:highlight w:val="none"/>
              </w:rPr>
              <w:t>★1、</w:t>
            </w:r>
            <w:r>
              <w:rPr>
                <w:rFonts w:hint="eastAsia" w:ascii="宋体" w:hAnsi="宋体" w:eastAsia="宋体" w:cs="宋体"/>
                <w:b/>
                <w:bCs/>
                <w:color w:val="auto"/>
                <w:sz w:val="21"/>
                <w:szCs w:val="21"/>
                <w:highlight w:val="none"/>
              </w:rPr>
              <w:t>为确保货物质量，正式供货时中标单位须提供产品原厂保修证明，否则不予验收通过。</w:t>
            </w:r>
          </w:p>
          <w:p w14:paraId="306CD231">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eastAsia="宋体" w:cs="宋体"/>
                <w:i w:val="0"/>
                <w:iCs w:val="0"/>
                <w:color w:val="auto"/>
                <w:kern w:val="0"/>
                <w:sz w:val="21"/>
                <w:szCs w:val="21"/>
                <w:u w:val="none"/>
                <w:lang w:val="en-US" w:eastAsia="zh-CN" w:bidi="ar"/>
              </w:rPr>
              <w:t>2、中标公示期内若有其他投标人质疑情况下，中标单位必须提供与标书技术要求及功能符合的全部样品一套至用户处进行整体性能与标书文件核对，协助质疑答复。如出现所提供样品不符招标要求或无法提供所有样</w:t>
            </w: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品，均视为虚假应标处理并根据招标法及标书要求追究法律责任。</w:t>
            </w:r>
          </w:p>
          <w:p w14:paraId="3AD82B7B">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b/>
                <w:bCs/>
                <w:i w:val="0"/>
                <w:iCs w:val="0"/>
                <w:color w:val="000000" w:themeColor="text1"/>
                <w:kern w:val="0"/>
                <w:sz w:val="21"/>
                <w:szCs w:val="21"/>
                <w:highlight w:val="none"/>
                <w:u w:val="none"/>
                <w:lang w:val="en-US" w:eastAsia="zh-CN" w:bidi="ar"/>
                <w14:textFill>
                  <w14:solidFill>
                    <w14:schemeClr w14:val="tx1"/>
                  </w14:solidFill>
                </w14:textFill>
              </w:rPr>
              <w:t>十三、投标文件中须提供所投产品获得国家确定的认证机构出具的、处于有效之内的节能产品认证证书扫描件并加盖投标人CA证书签章，否则投标文件无效。</w:t>
            </w:r>
          </w:p>
        </w:tc>
        <w:tc>
          <w:tcPr>
            <w:tcW w:w="700" w:type="dxa"/>
            <w:shd w:val="clear" w:color="auto" w:fill="auto"/>
            <w:vAlign w:val="center"/>
          </w:tcPr>
          <w:p w14:paraId="493ACDF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20套</w:t>
            </w:r>
          </w:p>
        </w:tc>
        <w:tc>
          <w:tcPr>
            <w:tcW w:w="1179" w:type="dxa"/>
            <w:shd w:val="clear" w:color="auto" w:fill="auto"/>
            <w:vAlign w:val="center"/>
          </w:tcPr>
          <w:p w14:paraId="591F02EF">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19610</w:t>
            </w:r>
          </w:p>
        </w:tc>
      </w:tr>
      <w:tr w14:paraId="7E1EF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F54123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716" w:type="dxa"/>
            <w:shd w:val="clear" w:color="auto" w:fill="auto"/>
            <w:vAlign w:val="center"/>
          </w:tcPr>
          <w:p w14:paraId="0A2A85C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组合式推拉板(粉笔书写）</w:t>
            </w:r>
          </w:p>
        </w:tc>
        <w:tc>
          <w:tcPr>
            <w:tcW w:w="6717" w:type="dxa"/>
            <w:shd w:val="clear" w:color="auto" w:fill="auto"/>
            <w:vAlign w:val="center"/>
          </w:tcPr>
          <w:p w14:paraId="40F8B57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1、整体外观尺寸：宽≥4200mm，高≥1243mm，厚≤149mm。</w:t>
            </w:r>
          </w:p>
          <w:p w14:paraId="5EFFB3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2、书写板为左右推拉结构，由活动板、固定板、大框（轨道）、滑动系统构成，支持多媒体设备居中安装；书写板左右去竖框化设计。</w:t>
            </w:r>
          </w:p>
          <w:p w14:paraId="1B3B371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3、书写板分内外双层，内层为固定书写板，采用无固定件安装，与多媒体设备正面平齐；外层为滑动书写板，可左右推拉，两块活动板闭合后，无边框障碍，可连续书写。</w:t>
            </w:r>
          </w:p>
          <w:p w14:paraId="587EF1F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4、面板、背板四边折边，流水线作业，保证产品一致性，尺寸误差≤0.2mm，对角线误差≤0.3mm；活动板、固定板四边无铝合金边框。</w:t>
            </w:r>
          </w:p>
          <w:p w14:paraId="34F10B5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5、包角采用ABS工程塑料，模具注塑一次成型，银灰色，长≤150mm，不接受拼接，采用内插式设计。</w:t>
            </w:r>
          </w:p>
          <w:p w14:paraId="06DE91D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6、每块活动板上、下安装四个≥50mm增强改性尼龙滑块模组；上T型正向吊装，厚度≥5mm滑动设计；下滑块模组采用单轨限位设计，活动板晃动≤0.5mm、无噪音。</w:t>
            </w:r>
          </w:p>
          <w:p w14:paraId="0DD0E30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7、硬度：涂层硬度≥5H；光泽度：光泽度＜6%，没有明显眩光；板面书写流畅，笔记均匀，字迹清晰，易擦拭。</w:t>
            </w:r>
          </w:p>
        </w:tc>
        <w:tc>
          <w:tcPr>
            <w:tcW w:w="700" w:type="dxa"/>
            <w:shd w:val="clear" w:color="auto" w:fill="auto"/>
            <w:vAlign w:val="center"/>
          </w:tcPr>
          <w:p w14:paraId="4C9A430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20套</w:t>
            </w:r>
          </w:p>
        </w:tc>
        <w:tc>
          <w:tcPr>
            <w:tcW w:w="1179" w:type="dxa"/>
            <w:shd w:val="clear" w:color="auto" w:fill="auto"/>
            <w:vAlign w:val="center"/>
          </w:tcPr>
          <w:p w14:paraId="57E55FB3">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lang w:eastAsia="zh-CN"/>
              </w:rPr>
              <w:t>1290</w:t>
            </w:r>
          </w:p>
        </w:tc>
      </w:tr>
      <w:tr w14:paraId="23E29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7EADBC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w:t>
            </w:r>
          </w:p>
        </w:tc>
        <w:tc>
          <w:tcPr>
            <w:tcW w:w="716" w:type="dxa"/>
            <w:shd w:val="clear" w:color="auto" w:fill="auto"/>
            <w:vAlign w:val="center"/>
          </w:tcPr>
          <w:p w14:paraId="4809FD1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高清壁挂展台</w:t>
            </w:r>
          </w:p>
        </w:tc>
        <w:tc>
          <w:tcPr>
            <w:tcW w:w="6717" w:type="dxa"/>
            <w:shd w:val="clear" w:color="auto" w:fill="auto"/>
            <w:vAlign w:val="center"/>
          </w:tcPr>
          <w:p w14:paraId="1AF44DB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（一）硬件部分：</w:t>
            </w:r>
          </w:p>
          <w:p w14:paraId="52F69A6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1、整机采用圆弧式设计，无锐角；同时托板采用磁吸吸附式机构，防止托板打落，方便打开及固定，避免机械式锁具故障率高的问题。</w:t>
            </w:r>
          </w:p>
          <w:p w14:paraId="7D34F71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2、采用≥800万像素摄像头；采用 USB五伏电源直接供电，无需额外配置电源适配器，环保无辐射；箱内USB连线采用隐藏式设计，箱内无可见连线且USB口下出，有效防止积尘，且方便布线和返修。</w:t>
            </w:r>
          </w:p>
          <w:p w14:paraId="3AE8A93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3、A4大小拍摄幅面，1080P动态视频预览达到30帧/秒；托板及挂墙部分采用金属加强，托板可承重3kg，整机壁挂式安装。</w:t>
            </w:r>
          </w:p>
          <w:p w14:paraId="7BBF9EE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4、支持展台成像画面实时批注，预设多种笔划粗细及颜色供选择，且支持对展台成像画面联同批注内容进行同步缩放、移动。</w:t>
            </w:r>
          </w:p>
          <w:p w14:paraId="5EFFC65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5、展示托板正上方具备LED补光灯，保证展示区域的亮度及展示效果，补光灯开关采用触摸按键设计，同时可通过交互智能平板中的软件直接控制开关。</w:t>
            </w:r>
          </w:p>
          <w:p w14:paraId="3B8B82B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6、带自动对焦摄像头；外壳在摄像头部分带保护镜片密封，防止灰尘沾染摄像头，防护等级达到IP4X级别。</w:t>
            </w:r>
          </w:p>
          <w:p w14:paraId="0322A1A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7、具有故障自动检测功能：在调用展台却无法出现镜头采集画面信号时，可自动出现检测链接，并给出导致性原因（如硬件连接、摄像头占用、配套软件版本等问题）。</w:t>
            </w:r>
          </w:p>
          <w:p w14:paraId="7DE9AE3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（二）软件部分：</w:t>
            </w:r>
          </w:p>
          <w:p w14:paraId="61AF058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1、支持对展台实时画面进行放大、缩小、旋转、自适应、冻结画面等操作。</w:t>
            </w:r>
          </w:p>
          <w:p w14:paraId="421607A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2、支持展台画面实时批注，预设多种笔划粗细及颜色供选择，且支持对展台画面联同批注内容进行同步缩放、移动。</w:t>
            </w:r>
          </w:p>
          <w:p w14:paraId="1229359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3、支持展台画面拍照截图并进行多图预览，可对任一图片进行全屏显示。</w:t>
            </w:r>
          </w:p>
          <w:p w14:paraId="4B4BE11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4、老师可在一体机或电脑上选择延时拍照功能，支持5秒或10秒延时模式，预留充足时间以便调整拍摄内容。</w:t>
            </w:r>
          </w:p>
          <w:p w14:paraId="43C222E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5、可选择图像、文本或动态三种情景模式，适应不同展示内容。</w:t>
            </w:r>
          </w:p>
          <w:p w14:paraId="3009342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6、具备图像增强功能，可自动裁剪背景并增强文字显示，使文档画面更清晰。</w:t>
            </w:r>
          </w:p>
          <w:p w14:paraId="4AA0344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7、支持故障自动检测，在软件无法出现展台拍摄画面时，自动出现检测链接，帮助用户检测“无画面”的原因，并给出引导性解决方案。可判断硬件连接、显卡驱动、摄像头占用、软件版本等问题。</w:t>
            </w:r>
          </w:p>
          <w:p w14:paraId="22C7A24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8、支持二维码扫码功能：打开扫一扫功能后，将书本上的二维码放入扫描框内即可自动扫描，并进入系统浏览器获取二维码的链接内容，帮助老师快速获取电子教学资源。</w:t>
            </w:r>
          </w:p>
        </w:tc>
        <w:tc>
          <w:tcPr>
            <w:tcW w:w="700" w:type="dxa"/>
            <w:shd w:val="clear" w:color="auto" w:fill="auto"/>
            <w:vAlign w:val="center"/>
          </w:tcPr>
          <w:p w14:paraId="3933C72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20台</w:t>
            </w:r>
          </w:p>
        </w:tc>
        <w:tc>
          <w:tcPr>
            <w:tcW w:w="1179" w:type="dxa"/>
            <w:shd w:val="clear" w:color="auto" w:fill="auto"/>
            <w:vAlign w:val="center"/>
          </w:tcPr>
          <w:p w14:paraId="081A44B7">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750</w:t>
            </w:r>
          </w:p>
        </w:tc>
      </w:tr>
      <w:tr w14:paraId="75EC63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A91B3B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w:t>
            </w:r>
          </w:p>
        </w:tc>
        <w:tc>
          <w:tcPr>
            <w:tcW w:w="716" w:type="dxa"/>
            <w:shd w:val="clear" w:color="auto" w:fill="auto"/>
            <w:vAlign w:val="center"/>
          </w:tcPr>
          <w:p w14:paraId="772471C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智能笔</w:t>
            </w:r>
          </w:p>
        </w:tc>
        <w:tc>
          <w:tcPr>
            <w:tcW w:w="6717" w:type="dxa"/>
            <w:shd w:val="clear" w:color="auto" w:fill="auto"/>
            <w:vAlign w:val="center"/>
          </w:tcPr>
          <w:p w14:paraId="32BACD2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1、采用笔型设计，具有三个遥控按键（上下翻页和功能键），既可用于触摸书写，也可用于远程操控。</w:t>
            </w:r>
          </w:p>
          <w:p w14:paraId="7F18B2F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2、采用2.4G无线连接技术，无线接收距离最大可达15米。</w:t>
            </w:r>
          </w:p>
          <w:p w14:paraId="2774360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3、无线接收器采用微型nano设计，并能收纳在笔上，整洁美观。</w:t>
            </w:r>
          </w:p>
          <w:p w14:paraId="54B83EE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4、使用单节7号电池驱动，并带自动休眠节电设计。</w:t>
            </w:r>
          </w:p>
          <w:p w14:paraId="04D789E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5、单接收器设计，android、windows双系统同时响应。只需安装一个接收器，双系统都能响应智能笔的操作指令。</w:t>
            </w:r>
          </w:p>
          <w:p w14:paraId="587FBAC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6、支持白板课件、PPT、PDF等多种格式的课件进行远程无线翻页。</w:t>
            </w:r>
          </w:p>
          <w:p w14:paraId="027C9D0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7、功能按键可通过长按/短按实现两种快捷功能，方便教师操作。</w:t>
            </w:r>
          </w:p>
          <w:p w14:paraId="35ADDEC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8、支持自定义按键功能，可选功能包括：一键启动任意通道批注、一键启动/退出PPT播放、一键启动PPT批注、一键启动任意通道冻结与放大屏幕内容。</w:t>
            </w:r>
          </w:p>
        </w:tc>
        <w:tc>
          <w:tcPr>
            <w:tcW w:w="700" w:type="dxa"/>
            <w:shd w:val="clear" w:color="auto" w:fill="auto"/>
            <w:vAlign w:val="center"/>
          </w:tcPr>
          <w:p w14:paraId="657D8EC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20支</w:t>
            </w:r>
          </w:p>
        </w:tc>
        <w:tc>
          <w:tcPr>
            <w:tcW w:w="1179" w:type="dxa"/>
            <w:shd w:val="clear" w:color="auto" w:fill="auto"/>
            <w:vAlign w:val="center"/>
          </w:tcPr>
          <w:p w14:paraId="1751B859">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200</w:t>
            </w:r>
          </w:p>
        </w:tc>
      </w:tr>
      <w:tr w14:paraId="4353DC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F4039D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p>
        </w:tc>
        <w:tc>
          <w:tcPr>
            <w:tcW w:w="716" w:type="dxa"/>
            <w:shd w:val="clear" w:color="auto" w:fill="auto"/>
            <w:vAlign w:val="center"/>
          </w:tcPr>
          <w:p w14:paraId="3FD192A8">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有源一体化音箱</w:t>
            </w:r>
          </w:p>
        </w:tc>
        <w:tc>
          <w:tcPr>
            <w:tcW w:w="6717" w:type="dxa"/>
            <w:shd w:val="clear" w:color="auto" w:fill="auto"/>
            <w:vAlign w:val="center"/>
          </w:tcPr>
          <w:p w14:paraId="59A305E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1、采用功放与有源音箱一体化设计，内置麦克风无线接收模块，帮助教师实现多媒体扩音以及本地扩声功能。</w:t>
            </w:r>
          </w:p>
          <w:p w14:paraId="0E74461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2、双音箱有线连接，机箱采用塑胶材质，保护设备免受环境影响。</w:t>
            </w:r>
          </w:p>
          <w:p w14:paraId="7A7B9BC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3、输出额定功率: 2*15W，喇叭单元尺寸≥5寸。</w:t>
            </w:r>
          </w:p>
          <w:p w14:paraId="5F12168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4、端口：220V电源接口*1、Line in*1、USB*1。</w:t>
            </w:r>
          </w:p>
          <w:p w14:paraId="4B49084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5、专门为教室声学环境设计的合适扩声效果，距离音箱10米处声压级≥75dB。</w:t>
            </w:r>
          </w:p>
          <w:p w14:paraId="25FC005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6、麦克风和功放音箱之间采用数字U段传输技术，有效避免环境中2.4G信号干扰，例如蓝牙及WIFI设备。</w:t>
            </w:r>
          </w:p>
          <w:p w14:paraId="78907C9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7、配置独立音频数字信号处理芯片，支持啸叫抑制功能。</w:t>
            </w:r>
          </w:p>
          <w:p w14:paraId="5440F4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8、支持教师扩声和输入音源叠加输出，可对接录播系统实现教师扩声音频的纯净采集，避免环境杂音干扰采集效果。</w:t>
            </w:r>
          </w:p>
        </w:tc>
        <w:tc>
          <w:tcPr>
            <w:tcW w:w="700" w:type="dxa"/>
            <w:shd w:val="clear" w:color="auto" w:fill="auto"/>
            <w:vAlign w:val="center"/>
          </w:tcPr>
          <w:p w14:paraId="0E7535B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20对</w:t>
            </w:r>
          </w:p>
        </w:tc>
        <w:tc>
          <w:tcPr>
            <w:tcW w:w="1179" w:type="dxa"/>
            <w:shd w:val="clear" w:color="auto" w:fill="auto"/>
            <w:vAlign w:val="center"/>
          </w:tcPr>
          <w:p w14:paraId="7C6089DF">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700</w:t>
            </w:r>
          </w:p>
        </w:tc>
      </w:tr>
      <w:tr w14:paraId="52668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7FECF9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716" w:type="dxa"/>
            <w:shd w:val="clear" w:color="auto" w:fill="auto"/>
            <w:vAlign w:val="center"/>
          </w:tcPr>
          <w:p w14:paraId="5A7DD8E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无线麦克风（音箱配赠的）</w:t>
            </w:r>
          </w:p>
        </w:tc>
        <w:tc>
          <w:tcPr>
            <w:tcW w:w="6717" w:type="dxa"/>
            <w:shd w:val="clear" w:color="auto" w:fill="auto"/>
            <w:vAlign w:val="center"/>
          </w:tcPr>
          <w:p w14:paraId="442E95B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1、无线麦克风集音频发射处理器、天线、电池、拾音麦克风于一体，配合一体化有源音箱，无需任何外接辅助设备即可实现本地扩声功能。</w:t>
            </w:r>
          </w:p>
          <w:p w14:paraId="5D46781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2、麦克风和功放音箱之间采用数字U段传输技3术，有效避免环境中2.4G信号干扰，例如蓝牙及WIFI设备。</w:t>
            </w:r>
          </w:p>
          <w:p w14:paraId="5B8E4BC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3、支持智能红外对码及UHF对码，可在2s内快速完成与教学扩声音箱对码，无需繁琐操作。可与移动音箱或录播主机对码连接。</w:t>
            </w:r>
          </w:p>
          <w:p w14:paraId="61FBC26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4、采用触点磁吸式充电方式，支持快速充电与超低功耗工作模式，课间充电10分钟，实现80分钟续航。</w:t>
            </w:r>
          </w:p>
          <w:p w14:paraId="1F60D8E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5、麦克风距离音箱最大有效工作距离≥10米，保证全教室覆盖。</w:t>
            </w:r>
          </w:p>
        </w:tc>
        <w:tc>
          <w:tcPr>
            <w:tcW w:w="700" w:type="dxa"/>
            <w:shd w:val="clear" w:color="auto" w:fill="auto"/>
            <w:vAlign w:val="center"/>
          </w:tcPr>
          <w:p w14:paraId="34D0153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20个</w:t>
            </w:r>
          </w:p>
        </w:tc>
        <w:tc>
          <w:tcPr>
            <w:tcW w:w="1179" w:type="dxa"/>
            <w:shd w:val="clear" w:color="auto" w:fill="auto"/>
            <w:vAlign w:val="center"/>
          </w:tcPr>
          <w:p w14:paraId="335036EC">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lang w:val="en-US" w:eastAsia="zh-CN"/>
              </w:rPr>
              <w:t>0</w:t>
            </w:r>
          </w:p>
        </w:tc>
      </w:tr>
      <w:tr w14:paraId="4EEC8E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B12D8C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w:t>
            </w:r>
          </w:p>
        </w:tc>
        <w:tc>
          <w:tcPr>
            <w:tcW w:w="716" w:type="dxa"/>
            <w:shd w:val="clear" w:color="auto" w:fill="auto"/>
            <w:vAlign w:val="center"/>
          </w:tcPr>
          <w:p w14:paraId="32DBEA4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系统集成</w:t>
            </w:r>
          </w:p>
        </w:tc>
        <w:tc>
          <w:tcPr>
            <w:tcW w:w="6717" w:type="dxa"/>
            <w:shd w:val="clear" w:color="auto" w:fill="auto"/>
            <w:vAlign w:val="center"/>
          </w:tcPr>
          <w:p w14:paraId="0D318A7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包含设备拆卸安装，系统调试，线材等。</w:t>
            </w:r>
          </w:p>
        </w:tc>
        <w:tc>
          <w:tcPr>
            <w:tcW w:w="700" w:type="dxa"/>
            <w:shd w:val="clear" w:color="auto" w:fill="auto"/>
            <w:vAlign w:val="center"/>
          </w:tcPr>
          <w:p w14:paraId="481BD25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20套</w:t>
            </w:r>
          </w:p>
        </w:tc>
        <w:tc>
          <w:tcPr>
            <w:tcW w:w="1179" w:type="dxa"/>
            <w:shd w:val="clear" w:color="auto" w:fill="auto"/>
            <w:vAlign w:val="center"/>
          </w:tcPr>
          <w:p w14:paraId="1EF0D25F">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350</w:t>
            </w:r>
          </w:p>
        </w:tc>
      </w:tr>
      <w:tr w14:paraId="5F59CFF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B6697D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w:t>
            </w:r>
          </w:p>
        </w:tc>
        <w:tc>
          <w:tcPr>
            <w:tcW w:w="716" w:type="dxa"/>
            <w:shd w:val="clear" w:color="auto" w:fill="auto"/>
            <w:vAlign w:val="center"/>
          </w:tcPr>
          <w:p w14:paraId="3837A0B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讲台</w:t>
            </w:r>
          </w:p>
        </w:tc>
        <w:tc>
          <w:tcPr>
            <w:tcW w:w="6717" w:type="dxa"/>
            <w:shd w:val="clear" w:color="auto" w:fill="auto"/>
            <w:vAlign w:val="center"/>
          </w:tcPr>
          <w:p w14:paraId="6E07254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w:t>
            </w:r>
            <w:r>
              <w:rPr>
                <w:rFonts w:hint="eastAsia" w:ascii="宋体" w:hAnsi="宋体" w:eastAsia="宋体" w:cs="宋体"/>
                <w:i w:val="0"/>
                <w:iCs w:val="0"/>
                <w:color w:val="auto"/>
                <w:kern w:val="0"/>
                <w:sz w:val="21"/>
                <w:szCs w:val="21"/>
                <w:u w:val="none"/>
                <w:lang w:val="en-US" w:eastAsia="zh-CN" w:bidi="ar"/>
              </w:rPr>
              <w:t>、规格：1200*500*900mm(长*宽*高）；</w:t>
            </w:r>
          </w:p>
          <w:p w14:paraId="0FC57A9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技术参数：圆弧形设计；基材材质：中纤板；饰面材质：实木皮；封边材质：实木皮；下架材质：中纤板；基材甲醛释放限量等级：E1；油漆工艺：环保水性漆；油漆甲醛释放量：0.011；胶粘剂种类：水性胶粘剂；产品功能：带边缘保护。</w:t>
            </w:r>
          </w:p>
        </w:tc>
        <w:tc>
          <w:tcPr>
            <w:tcW w:w="700" w:type="dxa"/>
            <w:shd w:val="clear" w:color="auto" w:fill="auto"/>
            <w:vAlign w:val="center"/>
          </w:tcPr>
          <w:p w14:paraId="7DF5122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14个</w:t>
            </w:r>
          </w:p>
        </w:tc>
        <w:tc>
          <w:tcPr>
            <w:tcW w:w="1179" w:type="dxa"/>
            <w:shd w:val="clear" w:color="auto" w:fill="auto"/>
            <w:vAlign w:val="center"/>
          </w:tcPr>
          <w:p w14:paraId="09C6BFE9">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900</w:t>
            </w:r>
          </w:p>
        </w:tc>
      </w:tr>
      <w:tr w14:paraId="78976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426A451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（三）宿舍</w:t>
            </w:r>
          </w:p>
        </w:tc>
      </w:tr>
      <w:tr w14:paraId="63D2B3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FA4AB6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1FBB649A">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4357FAA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238EE11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27C0F20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参考单价（元）</w:t>
            </w:r>
          </w:p>
        </w:tc>
      </w:tr>
      <w:tr w14:paraId="0F6238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8236D0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w:t>
            </w:r>
          </w:p>
        </w:tc>
        <w:tc>
          <w:tcPr>
            <w:tcW w:w="716" w:type="dxa"/>
            <w:shd w:val="clear" w:color="auto" w:fill="auto"/>
            <w:vAlign w:val="center"/>
          </w:tcPr>
          <w:p w14:paraId="45685A7D">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学生床铺（床位）</w:t>
            </w:r>
          </w:p>
        </w:tc>
        <w:tc>
          <w:tcPr>
            <w:tcW w:w="6717" w:type="dxa"/>
            <w:shd w:val="clear" w:color="auto" w:fill="auto"/>
            <w:vAlign w:val="center"/>
          </w:tcPr>
          <w:p w14:paraId="6A1FA230">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（1）制做床铺所选用的材料必须符合《GB9001-2000》的标准，零部件结构具有互换、通用性，整体达到美观、坚固、耐用、长效防锈、安全等综合性能。</w:t>
            </w:r>
          </w:p>
          <w:p w14:paraId="67472001">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（2）床铺的主、横支架，焊缝要求无虚焊气泡现象，焊后不能产生热变与自变形，且保证实焊厚度。紧固件扭力在8-12kg，加自锁结构，无专用工具不易拆卸及松脱，螺栓镀锌，螺母自锁等功能。</w:t>
            </w:r>
          </w:p>
          <w:p w14:paraId="26FA0A63">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（3）床铺所有的圆方口必须密封，防管内氧化生锈，床脚有橡胶护套，防磕碰、防滑等要求。</w:t>
            </w:r>
          </w:p>
          <w:p w14:paraId="3639AA70">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（4）颜色喷塑前，表面需抛丸钝化防锈处理后再喷塑，漆色、漆厚、亮度、平滑均匀等性能均达到金属喷涂标准（GSB05-1426-2001）。</w:t>
            </w:r>
          </w:p>
          <w:p w14:paraId="1343E6A6">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（5）床铺主支架等部件连接处达到人员上下床铺无松动声音，与床铺联接处无松动摇摆。床铺确保床铺整体稳定不松动。</w:t>
            </w:r>
          </w:p>
          <w:p w14:paraId="6FCDAB81">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（6）床主体长2000mm×宽900mm×高1800mm（允许偏差±5mm）。</w:t>
            </w:r>
          </w:p>
          <w:p w14:paraId="6C37187C">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床为二层结构。</w:t>
            </w:r>
          </w:p>
          <w:p w14:paraId="42721AC9">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（7）★两侧主体床架立柱采用40*40mm（±1mm）、厚度≥1.2mm方管管材，管材侧面加工方管结构，用于卡扣固定床梁。</w:t>
            </w:r>
          </w:p>
          <w:p w14:paraId="2200F67C">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（8）与立柱相联接横档方管为：20mm×30mm（±1mm）、厚度≥1.2mm方管；副管为∅19*1.0mm圆管.</w:t>
            </w:r>
          </w:p>
          <w:p w14:paraId="63862F72">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（9）★床杠（床横梁）与立柱联接用卡扣式联接法，每头在床柱上焊卡扣成型钢，厚度≥2mm,卡孔设计巧妙，采用每头用三个方形卡孔固定，安装快速方便且无需螺丝固定。</w:t>
            </w:r>
          </w:p>
          <w:p w14:paraId="6296EE84">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床杠采用30mmx50mm（±1mm）、厚度≥1.2mm方管管材，中间托档方管为25mm×25mm（±1mm）、厚度≥1.2mm方管5根/铺；托档方管需采用卡扣件连接，安装便捷，安装后不脱落，不接受焊接固定。爬梯立柱使用25mm*25mm（±1mm）、厚度≥1.5mm方管；</w:t>
            </w:r>
          </w:p>
          <w:p w14:paraId="119FD0AF">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★爬梯踏步使用4根优质冷轧板成型制作，具有防滑凸点设计(长度240mm，最宽处宽度40mm，中间弧形设计，见示意图)。</w:t>
            </w:r>
          </w:p>
          <w:p w14:paraId="054FD3A7">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床护栏尺寸1100mm长×300高mm（±5mm），采用25mm*25mm（±1mm）、厚度≥1.2方管弯管。顶部设计蚊帐架，蚊帐架采用直径16*1.0mm圆管，直柱插入顶部孔洞固定，牢固不摇晃。</w:t>
            </w:r>
          </w:p>
          <w:p w14:paraId="6C8607AD">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（11）储物柜</w:t>
            </w:r>
          </w:p>
          <w:p w14:paraId="524854C8">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底部设计铁皮储物柜，规格：长×深×高：1200 mm×600 mm×350 mm（±5mm），基材质量优质冷轧钢板，厚度≥ 0.8mm，经酸洗磷化处理，静电喷涂，颜色灰白，漆面不脱落，加外挂明锁装置，装置要求安全、美观。</w:t>
            </w:r>
          </w:p>
          <w:p w14:paraId="29015727">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（12）床板主体材质为杉木，板厚度≥20mm，四面刨光，单块板条宽度≥60 mm，板条拼接缝隙度5 mm---8mm收缩缝，床板底衬横档松木4根尺寸40mm×30 mm。3面刨光。</w:t>
            </w:r>
          </w:p>
          <w:p w14:paraId="08128B7C">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(13)铁架焊接牢固平整，管材不得使用短件拼接，焊接牢实、打磨光滑不留刺、瘤等，焊口应平整光滑，无漏焊、开裂，无焊渣；</w:t>
            </w:r>
          </w:p>
          <w:p w14:paraId="09374E53">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（14）色彩的搭配中标后再与业主协商确定，图片颜色仅供参考：</w:t>
            </w:r>
          </w:p>
          <w:p w14:paraId="157DFB0F">
            <w:pPr>
              <w:keepNext w:val="0"/>
              <w:keepLines w:val="0"/>
              <w:widowControl/>
              <w:suppressLineNumbers w:val="0"/>
              <w:spacing w:after="220" w:afterAutospacing="0"/>
              <w:jc w:val="left"/>
              <w:textAlignment w:val="center"/>
              <w:rPr>
                <w:rFonts w:hint="eastAsia"/>
                <w:lang w:val="en-US" w:eastAsia="zh-CN"/>
              </w:rPr>
            </w:pPr>
            <w:r>
              <w:rPr>
                <w:rFonts w:hint="eastAsia"/>
                <w:lang w:val="en-US" w:eastAsia="zh-CN"/>
              </w:rPr>
              <w:t xml:space="preserve">             </w:t>
            </w:r>
          </w:p>
          <w:p w14:paraId="6922949E">
            <w:pPr>
              <w:keepNext w:val="0"/>
              <w:keepLines w:val="0"/>
              <w:widowControl/>
              <w:suppressLineNumbers w:val="0"/>
              <w:spacing w:after="220" w:afterAutospacing="0"/>
              <w:jc w:val="left"/>
              <w:textAlignment w:val="center"/>
              <w:rPr>
                <w:rFonts w:hint="eastAsia"/>
                <w:lang w:val="en-US" w:eastAsia="zh-CN"/>
              </w:rPr>
            </w:pPr>
            <w:r>
              <w:drawing>
                <wp:anchor distT="0" distB="0" distL="114300" distR="114300" simplePos="0" relativeHeight="251665408" behindDoc="0" locked="0" layoutInCell="1" allowOverlap="1">
                  <wp:simplePos x="0" y="0"/>
                  <wp:positionH relativeFrom="column">
                    <wp:posOffset>2225675</wp:posOffset>
                  </wp:positionH>
                  <wp:positionV relativeFrom="paragraph">
                    <wp:posOffset>328930</wp:posOffset>
                  </wp:positionV>
                  <wp:extent cx="1822450" cy="981710"/>
                  <wp:effectExtent l="0" t="0" r="6350" b="8890"/>
                  <wp:wrapSquare wrapText="bothSides"/>
                  <wp:docPr id="23" name="图片 5" descr="广西桂林下面柜子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5" descr="广西桂林下面柜子 副本"/>
                          <pic:cNvPicPr>
                            <a:picLocks noChangeAspect="1"/>
                          </pic:cNvPicPr>
                        </pic:nvPicPr>
                        <pic:blipFill>
                          <a:blip r:embed="rId10"/>
                          <a:stretch>
                            <a:fillRect/>
                          </a:stretch>
                        </pic:blipFill>
                        <pic:spPr>
                          <a:xfrm>
                            <a:off x="0" y="0"/>
                            <a:ext cx="1822450" cy="981710"/>
                          </a:xfrm>
                          <a:prstGeom prst="rect">
                            <a:avLst/>
                          </a:prstGeom>
                          <a:noFill/>
                          <a:ln w="9525">
                            <a:noFill/>
                          </a:ln>
                        </pic:spPr>
                      </pic:pic>
                    </a:graphicData>
                  </a:graphic>
                </wp:anchor>
              </w:drawing>
            </w:r>
            <w:r>
              <w:drawing>
                <wp:anchor distT="0" distB="0" distL="114300" distR="114300" simplePos="0" relativeHeight="251664384" behindDoc="0" locked="0" layoutInCell="1" allowOverlap="1">
                  <wp:simplePos x="0" y="0"/>
                  <wp:positionH relativeFrom="column">
                    <wp:posOffset>116205</wp:posOffset>
                  </wp:positionH>
                  <wp:positionV relativeFrom="paragraph">
                    <wp:posOffset>151765</wp:posOffset>
                  </wp:positionV>
                  <wp:extent cx="1660525" cy="1648460"/>
                  <wp:effectExtent l="0" t="0" r="15875" b="8890"/>
                  <wp:wrapSquare wrapText="bothSides"/>
                  <wp:docPr id="22" name="图片 4" descr="F:\金红叶资料图纸\2019年金红叶生产订单资料文件夹\2019D-094广西桂林40方管立柱上下铺床 3方孔卡扣固定床 有蚊帐架 特殊尺寸 25方管直管爬梯小圆管22\广西桂林40方管卡扣固定单张床 根据订单做的以后备用的参数\2019D-094广西桂林40方管立柱上下铺床 副本.jpg2019D-094广西桂林40方管立柱上下铺床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4" descr="F:\金红叶资料图纸\2019年金红叶生产订单资料文件夹\2019D-094广西桂林40方管立柱上下铺床 3方孔卡扣固定床 有蚊帐架 特殊尺寸 25方管直管爬梯小圆管22\广西桂林40方管卡扣固定单张床 根据订单做的以后备用的参数\2019D-094广西桂林40方管立柱上下铺床 副本.jpg2019D-094广西桂林40方管立柱上下铺床 副本"/>
                          <pic:cNvPicPr>
                            <a:picLocks noChangeAspect="1"/>
                          </pic:cNvPicPr>
                        </pic:nvPicPr>
                        <pic:blipFill>
                          <a:blip r:embed="rId11"/>
                          <a:stretch>
                            <a:fillRect/>
                          </a:stretch>
                        </pic:blipFill>
                        <pic:spPr>
                          <a:xfrm>
                            <a:off x="0" y="0"/>
                            <a:ext cx="1660525" cy="1648460"/>
                          </a:xfrm>
                          <a:prstGeom prst="rect">
                            <a:avLst/>
                          </a:prstGeom>
                          <a:noFill/>
                          <a:ln w="9525">
                            <a:noFill/>
                          </a:ln>
                        </pic:spPr>
                      </pic:pic>
                    </a:graphicData>
                  </a:graphic>
                </wp:anchor>
              </w:drawing>
            </w:r>
          </w:p>
          <w:p w14:paraId="51A55A08">
            <w:pPr>
              <w:keepNext w:val="0"/>
              <w:keepLines w:val="0"/>
              <w:widowControl/>
              <w:suppressLineNumbers w:val="0"/>
              <w:spacing w:after="220" w:afterAutospacing="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w:t>
            </w:r>
          </w:p>
          <w:p w14:paraId="56B78F12">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p>
          <w:p w14:paraId="4B75BEAA">
            <w:pPr>
              <w:keepNext w:val="0"/>
              <w:keepLines w:val="0"/>
              <w:widowControl/>
              <w:suppressLineNumbers w:val="0"/>
              <w:spacing w:after="220" w:afterAutospacing="0"/>
              <w:jc w:val="left"/>
              <w:textAlignment w:val="center"/>
            </w:pPr>
            <w:r>
              <w:drawing>
                <wp:anchor distT="0" distB="0" distL="114300" distR="114300" simplePos="0" relativeHeight="251663360" behindDoc="0" locked="0" layoutInCell="1" allowOverlap="1">
                  <wp:simplePos x="0" y="0"/>
                  <wp:positionH relativeFrom="column">
                    <wp:posOffset>2187575</wp:posOffset>
                  </wp:positionH>
                  <wp:positionV relativeFrom="paragraph">
                    <wp:posOffset>89535</wp:posOffset>
                  </wp:positionV>
                  <wp:extent cx="1675130" cy="1412875"/>
                  <wp:effectExtent l="0" t="0" r="1270" b="15875"/>
                  <wp:wrapSquare wrapText="bothSides"/>
                  <wp:docPr id="24" name="图片 1" descr="床爬梯成型 小型花纹防滑踏板-Model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床爬梯成型 小型花纹防滑踏板-Model 副本"/>
                          <pic:cNvPicPr>
                            <a:picLocks noChangeAspect="1"/>
                          </pic:cNvPicPr>
                        </pic:nvPicPr>
                        <pic:blipFill>
                          <a:blip r:embed="rId12"/>
                          <a:stretch>
                            <a:fillRect/>
                          </a:stretch>
                        </pic:blipFill>
                        <pic:spPr>
                          <a:xfrm>
                            <a:off x="0" y="0"/>
                            <a:ext cx="1675130" cy="1412875"/>
                          </a:xfrm>
                          <a:prstGeom prst="rect">
                            <a:avLst/>
                          </a:prstGeom>
                          <a:noFill/>
                          <a:ln w="9525">
                            <a:noFill/>
                          </a:ln>
                        </pic:spPr>
                      </pic:pic>
                    </a:graphicData>
                  </a:graphic>
                </wp:anchor>
              </w:drawing>
            </w:r>
            <w:r>
              <w:drawing>
                <wp:anchor distT="0" distB="0" distL="114300" distR="114300" simplePos="0" relativeHeight="251666432" behindDoc="0" locked="0" layoutInCell="1" allowOverlap="1">
                  <wp:simplePos x="0" y="0"/>
                  <wp:positionH relativeFrom="column">
                    <wp:posOffset>123190</wp:posOffset>
                  </wp:positionH>
                  <wp:positionV relativeFrom="paragraph">
                    <wp:posOffset>85725</wp:posOffset>
                  </wp:positionV>
                  <wp:extent cx="1748790" cy="1893570"/>
                  <wp:effectExtent l="0" t="0" r="11430" b="3810"/>
                  <wp:wrapSquare wrapText="bothSides"/>
                  <wp:docPr id="25" name="图片 3" descr="床3方孔卡扣固定片-Model 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3" descr="床3方孔卡扣固定片-Model 副本"/>
                          <pic:cNvPicPr>
                            <a:picLocks noChangeAspect="1"/>
                          </pic:cNvPicPr>
                        </pic:nvPicPr>
                        <pic:blipFill>
                          <a:blip r:embed="rId13"/>
                          <a:stretch>
                            <a:fillRect/>
                          </a:stretch>
                        </pic:blipFill>
                        <pic:spPr>
                          <a:xfrm rot="-5400000">
                            <a:off x="0" y="0"/>
                            <a:ext cx="1748790" cy="189357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 </w:t>
            </w:r>
          </w:p>
          <w:p w14:paraId="6413A68C">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lang w:val="en-US" w:eastAsia="zh-CN"/>
              </w:rPr>
              <w:t xml:space="preserve"> </w:t>
            </w:r>
            <w:r>
              <w:rPr>
                <w:rFonts w:hint="eastAsia" w:ascii="宋体" w:hAnsi="宋体" w:eastAsia="宋体" w:cs="宋体"/>
                <w:i w:val="0"/>
                <w:iCs w:val="0"/>
                <w:color w:val="000000"/>
                <w:kern w:val="0"/>
                <w:sz w:val="21"/>
                <w:szCs w:val="21"/>
                <w:u w:val="none"/>
                <w:lang w:val="en-US" w:eastAsia="zh-CN" w:bidi="ar"/>
              </w:rPr>
              <w:t xml:space="preserve">                              </w:t>
            </w:r>
          </w:p>
        </w:tc>
        <w:tc>
          <w:tcPr>
            <w:tcW w:w="700" w:type="dxa"/>
            <w:shd w:val="clear" w:color="auto" w:fill="auto"/>
            <w:vAlign w:val="center"/>
          </w:tcPr>
          <w:p w14:paraId="7C83EFE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120架</w:t>
            </w:r>
          </w:p>
        </w:tc>
        <w:tc>
          <w:tcPr>
            <w:tcW w:w="1179" w:type="dxa"/>
            <w:shd w:val="clear" w:color="auto" w:fill="auto"/>
            <w:vAlign w:val="center"/>
          </w:tcPr>
          <w:p w14:paraId="19D322BC">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980</w:t>
            </w:r>
          </w:p>
        </w:tc>
      </w:tr>
      <w:tr w14:paraId="54A546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1E5D8F1E">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000000" w:themeColor="text1"/>
                <w:sz w:val="21"/>
                <w:szCs w:val="21"/>
                <w:highlight w:val="none"/>
                <w:lang w:val="zh-CN"/>
                <w14:textFill>
                  <w14:solidFill>
                    <w14:schemeClr w14:val="tx1"/>
                  </w14:solidFill>
                </w14:textFill>
              </w:rPr>
            </w:pPr>
            <w:r>
              <w:rPr>
                <w:rFonts w:hint="eastAsia" w:ascii="宋体" w:hAnsi="宋体" w:eastAsia="宋体" w:cs="宋体"/>
                <w:b/>
                <w:bCs/>
                <w:color w:val="000000" w:themeColor="text1"/>
                <w:sz w:val="21"/>
                <w:szCs w:val="21"/>
                <w:highlight w:val="none"/>
                <w:lang w:val="zh-CN"/>
                <w14:textFill>
                  <w14:solidFill>
                    <w14:schemeClr w14:val="tx1"/>
                  </w14:solidFill>
                </w14:textFill>
              </w:rPr>
              <w:t>（四）计算机教室</w:t>
            </w:r>
          </w:p>
        </w:tc>
      </w:tr>
      <w:tr w14:paraId="0D3837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2CFF16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000000" w:themeColor="text1"/>
                <w:sz w:val="21"/>
                <w:szCs w:val="21"/>
                <w:highlight w:val="none"/>
                <w:lang w:val="en-US" w:eastAsia="zh-CN"/>
                <w14:textFill>
                  <w14:solidFill>
                    <w14:schemeClr w14:val="tx1"/>
                  </w14:solidFill>
                </w14:textFill>
              </w:rPr>
            </w:pPr>
            <w:r>
              <w:rPr>
                <w:rFonts w:hint="eastAsia" w:ascii="宋体" w:hAnsi="宋体" w:eastAsia="宋体" w:cs="宋体"/>
                <w:b/>
                <w:bCs/>
                <w:color w:val="000000" w:themeColor="text1"/>
                <w:sz w:val="21"/>
                <w:szCs w:val="21"/>
                <w:highlight w:val="none"/>
                <w:lang w:val="zh-CN"/>
                <w14:textFill>
                  <w14:solidFill>
                    <w14:schemeClr w14:val="tx1"/>
                  </w14:solidFill>
                </w14:textFill>
              </w:rPr>
              <w:t>项号</w:t>
            </w:r>
          </w:p>
        </w:tc>
        <w:tc>
          <w:tcPr>
            <w:tcW w:w="716" w:type="dxa"/>
            <w:shd w:val="clear" w:color="auto" w:fill="auto"/>
            <w:vAlign w:val="center"/>
          </w:tcPr>
          <w:p w14:paraId="27F6A88C">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000000" w:themeColor="text1"/>
                <w:sz w:val="21"/>
                <w:szCs w:val="21"/>
                <w:highlight w:val="none"/>
                <w:lang w:val="en-US"/>
                <w14:textFill>
                  <w14:solidFill>
                    <w14:schemeClr w14:val="tx1"/>
                  </w14:solidFill>
                </w14:textFill>
              </w:rPr>
            </w:pPr>
            <w:r>
              <w:rPr>
                <w:rFonts w:hint="eastAsia" w:ascii="宋体" w:hAnsi="宋体" w:eastAsia="宋体" w:cs="宋体"/>
                <w:b/>
                <w:bCs/>
                <w:color w:val="000000" w:themeColor="text1"/>
                <w:sz w:val="21"/>
                <w:szCs w:val="21"/>
                <w:highlight w:val="none"/>
                <w:lang w:val="zh-CN"/>
                <w14:textFill>
                  <w14:solidFill>
                    <w14:schemeClr w14:val="tx1"/>
                  </w14:solidFill>
                </w14:textFill>
              </w:rPr>
              <w:t>货物名称</w:t>
            </w:r>
          </w:p>
        </w:tc>
        <w:tc>
          <w:tcPr>
            <w:tcW w:w="6717" w:type="dxa"/>
            <w:shd w:val="clear" w:color="auto" w:fill="auto"/>
            <w:vAlign w:val="center"/>
          </w:tcPr>
          <w:p w14:paraId="76400121">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b/>
                <w:bCs/>
                <w:color w:val="000000" w:themeColor="text1"/>
                <w:sz w:val="21"/>
                <w:szCs w:val="21"/>
                <w:highlight w:val="none"/>
                <w:lang w:val="zh-CN"/>
                <w14:textFill>
                  <w14:solidFill>
                    <w14:schemeClr w14:val="tx1"/>
                  </w14:solidFill>
                </w14:textFill>
              </w:rPr>
              <w:t>主要技术参数（型号规格、技术参数、性能及配置）</w:t>
            </w:r>
          </w:p>
        </w:tc>
        <w:tc>
          <w:tcPr>
            <w:tcW w:w="700" w:type="dxa"/>
            <w:shd w:val="clear" w:color="auto" w:fill="auto"/>
            <w:vAlign w:val="center"/>
          </w:tcPr>
          <w:p w14:paraId="302C51F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b/>
                <w:bCs/>
                <w:color w:val="000000" w:themeColor="text1"/>
                <w:sz w:val="21"/>
                <w:szCs w:val="21"/>
                <w:highlight w:val="none"/>
                <w:lang w:val="zh-CN"/>
                <w14:textFill>
                  <w14:solidFill>
                    <w14:schemeClr w14:val="tx1"/>
                  </w14:solidFill>
                </w14:textFill>
              </w:rPr>
              <w:t>数量</w:t>
            </w:r>
          </w:p>
        </w:tc>
        <w:tc>
          <w:tcPr>
            <w:tcW w:w="1179" w:type="dxa"/>
            <w:shd w:val="clear" w:color="auto" w:fill="auto"/>
            <w:vAlign w:val="center"/>
          </w:tcPr>
          <w:p w14:paraId="6FC7F9E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000000" w:themeColor="text1"/>
                <w:sz w:val="21"/>
                <w:szCs w:val="21"/>
                <w:highlight w:val="none"/>
                <w:lang w:val="zh-CN"/>
                <w14:textFill>
                  <w14:solidFill>
                    <w14:schemeClr w14:val="tx1"/>
                  </w14:solidFill>
                </w14:textFill>
              </w:rPr>
            </w:pPr>
            <w:r>
              <w:rPr>
                <w:rFonts w:hint="eastAsia" w:ascii="宋体" w:hAnsi="宋体" w:eastAsia="宋体" w:cs="宋体"/>
                <w:b/>
                <w:bCs/>
                <w:color w:val="000000" w:themeColor="text1"/>
                <w:sz w:val="21"/>
                <w:szCs w:val="21"/>
                <w:highlight w:val="none"/>
                <w:lang w:val="zh-CN"/>
                <w14:textFill>
                  <w14:solidFill>
                    <w14:schemeClr w14:val="tx1"/>
                  </w14:solidFill>
                </w14:textFill>
              </w:rPr>
              <w:t>参考单价（元）</w:t>
            </w:r>
          </w:p>
        </w:tc>
      </w:tr>
      <w:tr w14:paraId="12B508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4E85DF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w:t>
            </w:r>
          </w:p>
        </w:tc>
        <w:tc>
          <w:tcPr>
            <w:tcW w:w="716" w:type="dxa"/>
            <w:shd w:val="clear" w:color="auto" w:fill="auto"/>
            <w:vAlign w:val="center"/>
          </w:tcPr>
          <w:p w14:paraId="4EEB9D3D">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教师用计算机</w:t>
            </w:r>
          </w:p>
        </w:tc>
        <w:tc>
          <w:tcPr>
            <w:tcW w:w="6717" w:type="dxa"/>
            <w:shd w:val="clear" w:color="auto" w:fill="auto"/>
            <w:vAlign w:val="center"/>
          </w:tcPr>
          <w:p w14:paraId="273C149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一、硬件要求</w:t>
            </w:r>
          </w:p>
          <w:p w14:paraId="02F5E20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1、机箱：免工具拆卸机箱、可立可卧（双面脚垫、减轻共振，利于散热），散热风罩，便于维护,机箱≤20L，支持侧板挂环锁、Kensington锁和主板报警蜂鸣器。</w:t>
            </w:r>
          </w:p>
          <w:p w14:paraId="447242B9">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★2、处理器</w:t>
            </w:r>
            <w:r>
              <w:rPr>
                <w:rFonts w:hint="eastAsia" w:ascii="宋体" w:hAnsi="宋体" w:eastAsia="宋体" w:cs="宋体"/>
                <w:i w:val="0"/>
                <w:iCs w:val="0"/>
                <w:color w:val="auto"/>
                <w:kern w:val="0"/>
                <w:sz w:val="21"/>
                <w:szCs w:val="21"/>
                <w:u w:val="none"/>
                <w:lang w:val="en-US" w:eastAsia="zh-CN" w:bidi="ar"/>
              </w:rPr>
              <w:t>：</w:t>
            </w:r>
            <w:r>
              <w:rPr>
                <w:rFonts w:hint="eastAsia" w:ascii="宋体" w:hAnsi="宋体" w:eastAsia="宋体" w:cs="宋体"/>
                <w:i w:val="0"/>
                <w:iCs w:val="0"/>
                <w:color w:val="auto"/>
                <w:kern w:val="0"/>
                <w:sz w:val="21"/>
                <w:szCs w:val="21"/>
                <w:highlight w:val="none"/>
                <w:u w:val="none"/>
                <w:lang w:val="en-US" w:eastAsia="zh-CN" w:bidi="ar"/>
              </w:rPr>
              <w:t>CPU采用国产兆芯（ZX-E）开先KX-U6780A处理器</w:t>
            </w:r>
            <w:r>
              <w:rPr>
                <w:rFonts w:hint="eastAsia" w:ascii="宋体" w:hAnsi="宋体" w:eastAsia="宋体" w:cs="宋体"/>
                <w:i w:val="0"/>
                <w:iCs w:val="0"/>
                <w:color w:val="auto"/>
                <w:kern w:val="0"/>
                <w:sz w:val="21"/>
                <w:szCs w:val="21"/>
                <w:u w:val="none"/>
                <w:lang w:val="en-US" w:eastAsia="zh-CN" w:bidi="ar"/>
              </w:rPr>
              <w:t>，</w:t>
            </w: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八核，主频2.7GHz，8MB二级缓存，16纳米制程，70W功耗；</w:t>
            </w:r>
          </w:p>
          <w:p w14:paraId="231AF97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3、内存：≥16GB DDR4，≥2个内存插槽。</w:t>
            </w:r>
          </w:p>
          <w:p w14:paraId="78954B9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4、显卡：集成显卡</w:t>
            </w:r>
          </w:p>
          <w:p w14:paraId="1EE71C3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5、硬盘：配置≥1块512GB M.2 SSD硬盘。</w:t>
            </w:r>
          </w:p>
          <w:p w14:paraId="36B55D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★6、接口扩展：1个PCIe x16，2个PCIe x1扩展槽；USB接口≥8个（其中前置USB3.0数量≥4个，后置USB3.0数量≥2个，USB2.0数量≥2个）；音频接口：麦克风1个，耳机1个；后端3个Audio音频接口；网络:1个RJ45 10/100/1000自适应以太网口。</w:t>
            </w:r>
          </w:p>
          <w:p w14:paraId="059208F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7、电源：电源功率≤180W。</w:t>
            </w:r>
          </w:p>
          <w:p w14:paraId="623CD74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8、键鼠：配置1套同主机品牌防水键盘及抗菌鼠标。</w:t>
            </w:r>
          </w:p>
          <w:p w14:paraId="2746A78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9、显示器：与主机同品牌≥23.8寸LED商用显示器，三年上门保修 </w:t>
            </w:r>
          </w:p>
          <w:p w14:paraId="0581621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10、BIOS级USB屏蔽及智能USB数据保护：USB支持BIOS下全部接口一键开关，前后分组开关；针对存储设备支持全部USB接口一键切换禁止访问模式/只读模式。</w:t>
            </w:r>
          </w:p>
          <w:p w14:paraId="7A65A25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二、软件部分：</w:t>
            </w:r>
          </w:p>
          <w:p w14:paraId="27E97D2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★1、操作系统：</w:t>
            </w:r>
            <w:r>
              <w:rPr>
                <w:rFonts w:hint="eastAsia" w:ascii="宋体" w:hAnsi="宋体" w:eastAsia="宋体" w:cs="宋体"/>
                <w:i w:val="0"/>
                <w:iCs w:val="0"/>
                <w:color w:val="000000"/>
                <w:kern w:val="0"/>
                <w:sz w:val="21"/>
                <w:szCs w:val="21"/>
                <w:highlight w:val="none"/>
                <w:u w:val="none"/>
                <w:lang w:val="en-US" w:eastAsia="zh-CN" w:bidi="ar"/>
              </w:rPr>
              <w:t>出厂预装国产正版麒麟桌面级操作系统</w:t>
            </w:r>
            <w:r>
              <w:rPr>
                <w:rFonts w:hint="eastAsia" w:ascii="宋体" w:hAnsi="宋体" w:eastAsia="宋体" w:cs="宋体"/>
                <w:i w:val="0"/>
                <w:iCs w:val="0"/>
                <w:color w:val="000000"/>
                <w:kern w:val="0"/>
                <w:sz w:val="21"/>
                <w:szCs w:val="21"/>
                <w:u w:val="none"/>
                <w:lang w:val="en-US" w:eastAsia="zh-CN" w:bidi="ar"/>
              </w:rPr>
              <w:t>(正版激活，三年服</w:t>
            </w:r>
            <w:r>
              <w:rPr>
                <w:rFonts w:hint="eastAsia" w:ascii="宋体" w:hAnsi="宋体" w:eastAsia="宋体" w:cs="宋体"/>
                <w:i w:val="0"/>
                <w:iCs w:val="0"/>
                <w:color w:val="auto"/>
                <w:kern w:val="0"/>
                <w:sz w:val="21"/>
                <w:szCs w:val="21"/>
                <w:u w:val="none"/>
                <w:lang w:val="en-US" w:eastAsia="zh-CN" w:bidi="ar"/>
              </w:rPr>
              <w:t>务)。</w:t>
            </w:r>
          </w:p>
          <w:p w14:paraId="7BD1894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★2、为教师机配置正版教学应用软件或账号，具备丰富的教师备课资源及功能：</w:t>
            </w:r>
          </w:p>
          <w:p w14:paraId="3CFF3518">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1)支持PPT/WPS的智能备课功能，支持PPT/PPTX格式，并可在ppt中对课件内容进行二次编辑，不能以ppt文件的图片形式导出</w:t>
            </w:r>
            <w:r>
              <w:rPr>
                <w:rFonts w:hint="eastAsia" w:ascii="宋体" w:hAnsi="宋体" w:eastAsia="宋体" w:cs="宋体"/>
                <w:b/>
                <w:bCs/>
                <w:i w:val="0"/>
                <w:iCs w:val="0"/>
                <w:color w:val="000000"/>
                <w:kern w:val="0"/>
                <w:sz w:val="21"/>
                <w:szCs w:val="21"/>
                <w:u w:val="none"/>
                <w:lang w:val="en-US" w:eastAsia="zh-CN" w:bidi="ar"/>
              </w:rPr>
              <w:t>（投标文件中必须提供此项功能的软件界面截图并</w:t>
            </w:r>
            <w:r>
              <w:rPr>
                <w:rFonts w:hint="eastAsia" w:ascii="宋体" w:hAnsi="宋体" w:eastAsia="宋体" w:cs="宋体"/>
                <w:b/>
                <w:bCs/>
                <w:color w:val="auto"/>
                <w:sz w:val="21"/>
                <w:szCs w:val="21"/>
                <w:highlight w:val="none"/>
              </w:rPr>
              <w:t>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w:t>
            </w:r>
          </w:p>
          <w:p w14:paraId="22B22847">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2)支持在线组卷功能</w:t>
            </w:r>
            <w:r>
              <w:rPr>
                <w:rFonts w:hint="eastAsia" w:ascii="宋体" w:hAnsi="宋体" w:eastAsia="宋体" w:cs="宋体"/>
                <w:b/>
                <w:bCs/>
                <w:i w:val="0"/>
                <w:iCs w:val="0"/>
                <w:color w:val="000000"/>
                <w:kern w:val="0"/>
                <w:sz w:val="21"/>
                <w:szCs w:val="21"/>
                <w:u w:val="none"/>
                <w:lang w:val="en-US" w:eastAsia="zh-CN" w:bidi="ar"/>
              </w:rPr>
              <w:t>（投标文件中必须提供此项功能的软件界面截图并</w:t>
            </w:r>
            <w:r>
              <w:rPr>
                <w:rFonts w:hint="eastAsia" w:ascii="宋体" w:hAnsi="宋体" w:eastAsia="宋体" w:cs="宋体"/>
                <w:b/>
                <w:bCs/>
                <w:color w:val="auto"/>
                <w:sz w:val="21"/>
                <w:szCs w:val="21"/>
                <w:highlight w:val="none"/>
              </w:rPr>
              <w:t>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w:t>
            </w:r>
          </w:p>
          <w:p w14:paraId="0AEF42D0">
            <w:pPr>
              <w:keepNext w:val="0"/>
              <w:keepLines w:val="0"/>
              <w:widowControl/>
              <w:suppressLineNumbers w:val="0"/>
              <w:ind w:firstLine="420" w:firstLineChars="200"/>
              <w:jc w:val="left"/>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3)内置思维导图功能，提供组织结构图、天盘图、逻辑结构图、鱼骨图、目录组织图、思维导图等样式，并可设置不少于10种背景颜色。</w:t>
            </w:r>
          </w:p>
          <w:p w14:paraId="7400D10F">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4)支持录屏功能。</w:t>
            </w:r>
          </w:p>
          <w:p w14:paraId="0E77710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5)支持化学方程式编辑功能。</w:t>
            </w:r>
          </w:p>
          <w:p w14:paraId="1A68017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★3、配置管理平台软件，满足以下功能： </w:t>
            </w:r>
          </w:p>
          <w:p w14:paraId="1EB756BD">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1）平台软件需要安装在物理服务器，授权激活后无限期使用，无需部署其他组件，运维的方便简单。</w:t>
            </w:r>
          </w:p>
          <w:p w14:paraId="37B3F125">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2）支持（BS架构）多重管理结构，使用浏览器远程访问管理主机和终端机，服务器终端机均有独立配置界面。</w:t>
            </w:r>
          </w:p>
          <w:p w14:paraId="723D3E02">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3）支持批量管理设置终端机计算机名、IP地址、分辨率等配置信息</w:t>
            </w:r>
            <w:r>
              <w:rPr>
                <w:rFonts w:hint="eastAsia" w:ascii="宋体" w:hAnsi="宋体" w:eastAsia="宋体" w:cs="宋体"/>
                <w:b/>
                <w:bCs/>
                <w:i w:val="0"/>
                <w:iCs w:val="0"/>
                <w:color w:val="000000"/>
                <w:kern w:val="0"/>
                <w:sz w:val="21"/>
                <w:szCs w:val="21"/>
                <w:u w:val="none"/>
                <w:lang w:val="en-US" w:eastAsia="zh-CN" w:bidi="ar"/>
              </w:rPr>
              <w:t>（投标文件中必须提供此项功能的软件界面截图并</w:t>
            </w:r>
            <w:r>
              <w:rPr>
                <w:rFonts w:hint="eastAsia" w:ascii="宋体" w:hAnsi="宋体" w:eastAsia="宋体" w:cs="宋体"/>
                <w:b/>
                <w:bCs/>
                <w:color w:val="auto"/>
                <w:sz w:val="21"/>
                <w:szCs w:val="21"/>
                <w:highlight w:val="none"/>
              </w:rPr>
              <w:t>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w:t>
            </w:r>
          </w:p>
          <w:p w14:paraId="7991237F">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4）可以支持多种不同硬件配置，不同代的CPU，使用标准镜像。</w:t>
            </w:r>
          </w:p>
          <w:p w14:paraId="15BF1564">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5）支持离线脱网运行，服务端断开影响正常授课。</w:t>
            </w:r>
          </w:p>
          <w:p w14:paraId="58B460D8">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6）支持使用U盘/移动硬盘在脱机的情况下（完全没有网络）脱机恢复桌面。</w:t>
            </w:r>
          </w:p>
          <w:p w14:paraId="04DC2A37">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7）支持管理维护双硬盘，支持NVME，M.2新型高速固态硬盘，同时兼容新老机型部署。</w:t>
            </w:r>
          </w:p>
          <w:p w14:paraId="501C0868">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8）支持边用边载的背景载入功能，可在正常使用的同时完成缓存载入，同一网络机器可互相分享数据，大幅减少网络传输中的重复数据，可以大幅提高传输效率。</w:t>
            </w:r>
          </w:p>
          <w:p w14:paraId="3595BA0B">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9）支持自动更新，客户端上传更新完成后管理端可以自动分发给其他客户端，不影响正常使用。</w:t>
            </w:r>
          </w:p>
          <w:p w14:paraId="0C7722D8">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10）支持多种系统的镜像切换，提供给不同桌面环境使用。</w:t>
            </w:r>
          </w:p>
          <w:p w14:paraId="4863B66C">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11）支持收集终端硬件配置信息，硬件变更信息等。</w:t>
            </w:r>
          </w:p>
          <w:p w14:paraId="0BB4C2F0">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12）支持显示终端镜像模板软件列表，软件使用情况。</w:t>
            </w:r>
          </w:p>
          <w:p w14:paraId="560DDAC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13）支持U盘、网络等多种部署方式，适应各种网络环境减少对网络环境的调整。</w:t>
            </w:r>
          </w:p>
          <w:p w14:paraId="76FBA87D">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14）支持.vhd虚拟盘格式，保证系统兼容性。</w:t>
            </w:r>
          </w:p>
          <w:p w14:paraId="0A2C52C0">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15）支持打印机模板管理功能。</w:t>
            </w:r>
          </w:p>
          <w:p w14:paraId="01C94FA2">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16）提供桌面管理平台数据展示看板，提供各种硬件、软件、管理等数据信息可视化界面。</w:t>
            </w:r>
          </w:p>
          <w:p w14:paraId="318C034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4、配置电子教室教学软件，满足以下功能：</w:t>
            </w:r>
          </w:p>
          <w:p w14:paraId="35FAADB7">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1)支持教师演示，教师可对单一、部分或全体学生进行屏幕演示，全屏、窗口方式均可。</w:t>
            </w:r>
          </w:p>
          <w:p w14:paraId="3353B6B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2)支持教师教学使用的辅助工具，突出显示项目、添加注释，添加批注等等。</w:t>
            </w:r>
          </w:p>
          <w:p w14:paraId="0DFEADB1">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3)支持视频广播或者网络影院，采用流媒体技术，实现播放的视频同步广播到学生机，且达到流畅无延时，支持常见的媒体音视频格式的高清视频。</w:t>
            </w:r>
          </w:p>
          <w:p w14:paraId="08A151D4">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4)支持老师将指定学生的屏幕图像广播给其他所有学生，老师也能看到该指定学生的屏幕图像。</w:t>
            </w:r>
          </w:p>
          <w:p w14:paraId="25C49DC7">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5)支持分组管理；教师可以新建，删除，重命名分组，添加和删除分组中的成员，设置小组长。</w:t>
            </w:r>
          </w:p>
          <w:p w14:paraId="5B60684D">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6)支持教师对学生进行分组，通过分组进行教学和小组讨论，提高教学效率，增强学生互动能力。</w:t>
            </w:r>
          </w:p>
          <w:p w14:paraId="6D6EDF97">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7)支持教师机麦克风或其他输入设备的声音广播给学生。</w:t>
            </w:r>
          </w:p>
          <w:p w14:paraId="3CF41325">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8)具备语音对讲功能；教师可以选择任意一名已登录学生与其进行双向语音交谈，除教师和此学生外，其他学生不会受到干扰，可以动态切换对讲对象。</w:t>
            </w:r>
          </w:p>
          <w:p w14:paraId="1258B0DF">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9)具备文件分发功能；允许教师将教师机不同盘符中的目录或文件一起发送至生机的某目录下。</w:t>
            </w:r>
          </w:p>
          <w:p w14:paraId="632DC14E">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10)支持学生直接将文件提交给老师。</w:t>
            </w:r>
          </w:p>
          <w:p w14:paraId="4D9746D8">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11)具备上网限制与程序限制功能；通过各种策略的应用，设定受客户端不能连接互联网和不能使用指定程序。</w:t>
            </w:r>
          </w:p>
          <w:p w14:paraId="384BC218">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12)支持教师机将本地的操作和讲解过程录制为ASF录像文件，可以用系统自带的播放器直接播放。</w:t>
            </w:r>
          </w:p>
          <w:p w14:paraId="1A990D5E">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13)学生端屏幕录制、回放：学生端接收教师端广播的时候可以自动录制教师机广播教学的过程，课后可以重复观看学习。</w:t>
            </w:r>
          </w:p>
          <w:p w14:paraId="64FD9A24">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14)支持教师端远程开机，关机，重启，全体黑屏等操作。</w:t>
            </w:r>
          </w:p>
          <w:p w14:paraId="61EEA752">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15)支持24个频道以上的划分，一个教师可对单个班级或多个班级同时上课；多个教师可同时对多个班级进行不同内容的教学。</w:t>
            </w:r>
          </w:p>
          <w:p w14:paraId="15ABB606">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16)支持学生端属性查看；教师可以获取学生端计算机的名称、登录名和其它常用信息，并可以列出学生端的应用程序、进程和进程 ID，教师还可以远程终止学生端的进程。</w:t>
            </w:r>
          </w:p>
          <w:p w14:paraId="1039E3C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17)随堂小考：教师启动快速的单题考试或随堂调查，限定考试时间，学生答题后立即给出结果，结果显示学生答案柱状图分析和答题时间，可作为抢答依据。</w:t>
            </w:r>
          </w:p>
          <w:p w14:paraId="67382BDD">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18)提供学生名单签到管理工具，为软件和考试模块提供实名验证。</w:t>
            </w:r>
          </w:p>
          <w:p w14:paraId="41D8E4FA">
            <w:pPr>
              <w:keepNext w:val="0"/>
              <w:keepLines w:val="0"/>
              <w:widowControl/>
              <w:suppressLineNumbers w:val="0"/>
              <w:ind w:firstLine="420" w:firstLineChars="20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19)班级模型：有单独的管理界面，实现对班级模型的统一管理，并能够</w:t>
            </w:r>
            <w:r>
              <w:rPr>
                <w:rFonts w:hint="eastAsia" w:ascii="宋体" w:hAnsi="宋体" w:eastAsia="宋体" w:cs="宋体"/>
                <w:i w:val="0"/>
                <w:iCs w:val="0"/>
                <w:color w:val="auto"/>
                <w:kern w:val="0"/>
                <w:sz w:val="21"/>
                <w:szCs w:val="21"/>
                <w:u w:val="none"/>
                <w:lang w:val="en-US" w:eastAsia="zh-CN" w:bidi="ar"/>
              </w:rPr>
              <w:t>导入、导出，调用不同网络教室中的班级模型。</w:t>
            </w:r>
          </w:p>
          <w:p w14:paraId="0D9A27C1">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三、质量及服务保证：</w:t>
            </w:r>
          </w:p>
          <w:p w14:paraId="7105BF11">
            <w:pPr>
              <w:keepNext w:val="0"/>
              <w:keepLines w:val="0"/>
              <w:widowControl/>
              <w:suppressLineNumbers w:val="0"/>
              <w:jc w:val="left"/>
              <w:textAlignment w:val="center"/>
              <w:rPr>
                <w:rFonts w:hint="eastAsia" w:ascii="宋体" w:hAnsi="宋体" w:eastAsia="宋体" w:cs="宋体"/>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u w:val="none"/>
                <w:lang w:val="en-US" w:eastAsia="zh-CN" w:bidi="ar"/>
              </w:rPr>
              <w:t>★为保证售后服务质量，</w:t>
            </w:r>
            <w:r>
              <w:rPr>
                <w:rFonts w:hint="eastAsia" w:ascii="宋体" w:hAnsi="宋体" w:eastAsia="宋体" w:cs="宋体"/>
                <w:b/>
                <w:bCs/>
                <w:i w:val="0"/>
                <w:iCs w:val="0"/>
                <w:color w:val="auto"/>
                <w:kern w:val="0"/>
                <w:sz w:val="21"/>
                <w:szCs w:val="21"/>
                <w:u w:val="none"/>
                <w:lang w:val="en-US" w:eastAsia="zh-CN" w:bidi="ar"/>
              </w:rPr>
              <w:t>提供原厂三年极速响应保修服务，生产厂商指定维修网点具备第二自然日快速修复服务能力；服务响应时间：提供7*24小时电话支持服务</w:t>
            </w:r>
            <w:r>
              <w:rPr>
                <w:rFonts w:hint="eastAsia" w:ascii="宋体" w:hAnsi="宋体" w:eastAsia="宋体" w:cs="宋体"/>
                <w:i w:val="0"/>
                <w:iCs w:val="0"/>
                <w:color w:val="auto"/>
                <w:kern w:val="0"/>
                <w:sz w:val="21"/>
                <w:szCs w:val="21"/>
                <w:u w:val="none"/>
                <w:lang w:val="en-US" w:eastAsia="zh-CN" w:bidi="ar"/>
              </w:rPr>
              <w:t>；为确保参数及服务真实有效性，</w:t>
            </w:r>
            <w:r>
              <w:rPr>
                <w:rFonts w:hint="eastAsia" w:ascii="宋体" w:hAnsi="宋体" w:eastAsia="宋体" w:cs="宋体"/>
                <w:b/>
                <w:bCs/>
                <w:i w:val="0"/>
                <w:iCs w:val="0"/>
                <w:color w:val="auto"/>
                <w:kern w:val="0"/>
                <w:sz w:val="21"/>
                <w:szCs w:val="21"/>
                <w:u w:val="none"/>
                <w:lang w:val="en-US" w:eastAsia="zh-CN" w:bidi="ar"/>
              </w:rPr>
              <w:t>供货时</w:t>
            </w:r>
            <w:r>
              <w:rPr>
                <w:rFonts w:hint="eastAsia" w:ascii="宋体" w:hAnsi="宋体" w:eastAsia="宋体" w:cs="宋体"/>
                <w:i w:val="0"/>
                <w:iCs w:val="0"/>
                <w:color w:val="auto"/>
                <w:kern w:val="0"/>
                <w:sz w:val="21"/>
                <w:szCs w:val="21"/>
                <w:u w:val="none"/>
                <w:lang w:val="en-US" w:eastAsia="zh-CN" w:bidi="ar"/>
              </w:rPr>
              <w:t>提供设备生产厂商400/800售后服务电话对以上服务内容进行严格查验，并提供</w:t>
            </w:r>
            <w:r>
              <w:rPr>
                <w:rFonts w:hint="eastAsia" w:ascii="宋体" w:hAnsi="宋体" w:eastAsia="宋体" w:cs="宋体"/>
                <w:i w:val="0"/>
                <w:iCs w:val="0"/>
                <w:color w:val="auto"/>
                <w:kern w:val="0"/>
                <w:sz w:val="21"/>
                <w:szCs w:val="21"/>
                <w:highlight w:val="none"/>
                <w:u w:val="none"/>
                <w:lang w:val="en-US" w:eastAsia="zh-CN" w:bidi="ar"/>
              </w:rPr>
              <w:t>满足服务要求的售后服务承诺函原件。</w:t>
            </w:r>
          </w:p>
          <w:p w14:paraId="4AB690D2">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w:t>
            </w:r>
            <w:r>
              <w:rPr>
                <w:rFonts w:hint="eastAsia" w:ascii="宋体" w:hAnsi="宋体" w:eastAsia="宋体" w:cs="宋体"/>
                <w:b/>
                <w:bCs/>
                <w:color w:val="auto"/>
                <w:sz w:val="21"/>
                <w:szCs w:val="21"/>
                <w:highlight w:val="none"/>
                <w:lang w:eastAsia="zh-CN"/>
              </w:rPr>
              <w:t>四、</w:t>
            </w:r>
            <w:r>
              <w:rPr>
                <w:rFonts w:hint="eastAsia" w:ascii="宋体" w:hAnsi="宋体" w:eastAsia="宋体" w:cs="宋体"/>
                <w:b/>
                <w:bCs/>
                <w:color w:val="auto"/>
                <w:sz w:val="21"/>
                <w:szCs w:val="21"/>
                <w:highlight w:val="none"/>
              </w:rPr>
              <w:t>投标文件中须提供所投产品获得国家确定的认证机构出具的、处于有效之内的节能产品认证证书扫描件并加盖投标人CA证书签章，否则投标文件无效。</w:t>
            </w:r>
          </w:p>
        </w:tc>
        <w:tc>
          <w:tcPr>
            <w:tcW w:w="700" w:type="dxa"/>
            <w:shd w:val="clear" w:color="auto" w:fill="auto"/>
            <w:vAlign w:val="center"/>
          </w:tcPr>
          <w:p w14:paraId="0F90BE2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0E4762FD">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5600</w:t>
            </w:r>
          </w:p>
        </w:tc>
      </w:tr>
      <w:tr w14:paraId="13F7DA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BE1C22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w:t>
            </w:r>
          </w:p>
        </w:tc>
        <w:tc>
          <w:tcPr>
            <w:tcW w:w="716" w:type="dxa"/>
            <w:shd w:val="clear" w:color="auto" w:fill="auto"/>
            <w:vAlign w:val="center"/>
          </w:tcPr>
          <w:p w14:paraId="32D47969">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学生用计算机</w:t>
            </w:r>
          </w:p>
        </w:tc>
        <w:tc>
          <w:tcPr>
            <w:tcW w:w="6717" w:type="dxa"/>
            <w:shd w:val="clear" w:color="auto" w:fill="auto"/>
            <w:vAlign w:val="center"/>
          </w:tcPr>
          <w:p w14:paraId="0CD2C81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一、硬件要求</w:t>
            </w:r>
          </w:p>
          <w:p w14:paraId="743E79E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1、机箱：免工具拆卸机箱、可立可卧（双面脚垫、减轻共振，利于散热），散热风罩，便于维护,机箱≤20L，支持侧板挂环锁、Kensington锁和主板报警蜂鸣器。</w:t>
            </w:r>
          </w:p>
          <w:p w14:paraId="1F3964E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★2、处理</w:t>
            </w:r>
            <w:r>
              <w:rPr>
                <w:rFonts w:hint="eastAsia" w:ascii="宋体" w:hAnsi="宋体" w:eastAsia="宋体" w:cs="宋体"/>
                <w:i w:val="0"/>
                <w:iCs w:val="0"/>
                <w:color w:val="auto"/>
                <w:kern w:val="0"/>
                <w:sz w:val="21"/>
                <w:szCs w:val="21"/>
                <w:u w:val="none"/>
                <w:lang w:val="en-US" w:eastAsia="zh-CN" w:bidi="ar"/>
              </w:rPr>
              <w:t>器：CPU采用国产兆芯（ZX-E）开先KX-U6780A处理器，</w:t>
            </w:r>
            <w:r>
              <w:rPr>
                <w:rFonts w:hint="eastAsia" w:ascii="宋体" w:hAnsi="宋体" w:eastAsia="宋体" w:cs="宋体"/>
                <w:i w:val="0"/>
                <w:iCs w:val="0"/>
                <w:color w:val="000000"/>
                <w:kern w:val="0"/>
                <w:sz w:val="21"/>
                <w:szCs w:val="21"/>
                <w:u w:val="none"/>
                <w:lang w:val="en-US" w:eastAsia="zh-CN" w:bidi="ar"/>
              </w:rPr>
              <w:t>八核，主频2.7GHz，8MB二级缓存，16纳米制程，70W功耗；</w:t>
            </w:r>
          </w:p>
          <w:p w14:paraId="389B435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3、内存：≥8GB DDR4，≥2个内存插槽。</w:t>
            </w:r>
          </w:p>
          <w:p w14:paraId="6F27584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4、显卡：集成显卡</w:t>
            </w:r>
          </w:p>
          <w:p w14:paraId="018E3E2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5、硬盘：配置≥1块256GB M.2 SSD硬盘。</w:t>
            </w:r>
          </w:p>
          <w:p w14:paraId="627DFFB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★6、接口扩展：1个PCIe x16，2个PCIe x1扩展槽；USB接口≥8个（其中前置USB3.0数量≥4个，后置USB3.0数量≥2个，USB2.0数量≥2个）；音频接口：麦克风1个，耳机1个；后端3个Audio音频接口；网络:1个RJ45 10/100/1000自适应以太网口。</w:t>
            </w:r>
          </w:p>
          <w:p w14:paraId="7407320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7、电源：电源功率≤180W。</w:t>
            </w:r>
          </w:p>
          <w:p w14:paraId="4EBBB4D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8、键鼠：配置1套同主机品牌防水键盘及抗菌鼠标。</w:t>
            </w:r>
          </w:p>
          <w:p w14:paraId="0F47D91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9、显示器：与主机同品牌≥21.5寸LED商用显示器，三年上门保修 </w:t>
            </w:r>
          </w:p>
          <w:p w14:paraId="4F824A0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10、BIOS级USB屏蔽及智能USB数据保护：USB支持BIOS下全部接口一键开关，前后分组开关；针对存储设备支持全部USB接口一键切换禁止访问模式/只读模式。</w:t>
            </w:r>
          </w:p>
          <w:p w14:paraId="7891A11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二、软件部分：</w:t>
            </w:r>
          </w:p>
          <w:p w14:paraId="75E7DF3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★1、操作系统：出厂预装国产正版麒麟桌面级操作系统（正版激活，三年服务</w:t>
            </w:r>
            <w:r>
              <w:rPr>
                <w:rFonts w:hint="eastAsia" w:ascii="宋体" w:hAnsi="宋体" w:eastAsia="宋体" w:cs="宋体"/>
                <w:i w:val="0"/>
                <w:iCs w:val="0"/>
                <w:color w:val="auto"/>
                <w:kern w:val="0"/>
                <w:sz w:val="21"/>
                <w:szCs w:val="21"/>
                <w:u w:val="none"/>
                <w:lang w:val="en-US" w:eastAsia="zh-CN" w:bidi="ar"/>
              </w:rPr>
              <w:t>，供货时提供整机出厂正版授权证明）。</w:t>
            </w:r>
          </w:p>
          <w:p w14:paraId="1DBEBB7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★2、配置管理平台软件，满足以下功能： </w:t>
            </w:r>
          </w:p>
          <w:p w14:paraId="789D4A60">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1）平台软件需要安装在物理服务器，授权激活后无限期使用，无需部署其他组件，运维的方便简单。</w:t>
            </w:r>
          </w:p>
          <w:p w14:paraId="0EE6E86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2）支持（BS架构）多重管理结构，使用浏览器远程访问管理主机和终端机，服务器终端机均有独立配置界面。</w:t>
            </w:r>
          </w:p>
          <w:p w14:paraId="4C80348E">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3）支持批量管理设置终端机计算机名、IP地址、分辨率等配置信息</w:t>
            </w:r>
            <w:r>
              <w:rPr>
                <w:rFonts w:hint="eastAsia" w:ascii="宋体" w:hAnsi="宋体" w:eastAsia="宋体" w:cs="宋体"/>
                <w:b/>
                <w:bCs/>
                <w:i w:val="0"/>
                <w:iCs w:val="0"/>
                <w:color w:val="000000"/>
                <w:kern w:val="0"/>
                <w:sz w:val="21"/>
                <w:szCs w:val="21"/>
                <w:u w:val="none"/>
                <w:lang w:val="en-US" w:eastAsia="zh-CN" w:bidi="ar"/>
              </w:rPr>
              <w:t>（必须提供此项功能的软件界面截图以直观展示满足功能要求）</w:t>
            </w:r>
            <w:r>
              <w:rPr>
                <w:rFonts w:hint="eastAsia" w:ascii="宋体" w:hAnsi="宋体" w:eastAsia="宋体" w:cs="宋体"/>
                <w:i w:val="0"/>
                <w:iCs w:val="0"/>
                <w:color w:val="000000"/>
                <w:kern w:val="0"/>
                <w:sz w:val="21"/>
                <w:szCs w:val="21"/>
                <w:u w:val="none"/>
                <w:lang w:val="en-US" w:eastAsia="zh-CN" w:bidi="ar"/>
              </w:rPr>
              <w:t>。</w:t>
            </w:r>
          </w:p>
          <w:p w14:paraId="2A9F881B">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4）可以支持多种不同硬件配置，不同代的CPU，使用标准镜像。</w:t>
            </w:r>
          </w:p>
          <w:p w14:paraId="74B98F78">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5）支持离线脱网运行，服务端断开影响正常授课。</w:t>
            </w:r>
          </w:p>
          <w:p w14:paraId="1688ADA7">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6）支持使用U盘/移动硬盘在脱机的情况下（完全没有网络）脱机恢复桌面。</w:t>
            </w:r>
          </w:p>
          <w:p w14:paraId="597FEA8C">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7）支持管理维护双硬盘，支持NVME，M.2新型高速固态硬盘，同时兼容新老机型部署。</w:t>
            </w:r>
          </w:p>
          <w:p w14:paraId="45B3236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8）支持边用边载的背景载入功能，可在正常使用的同时完成缓存载入，同一网络机器可互相分享数据，大幅减少网络传输中的重复数据，可以大幅提高传输效率。</w:t>
            </w:r>
          </w:p>
          <w:p w14:paraId="0063C8F7">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9）支持自动更新，客户端上传更新完成后管理端可以自动分发给其他客户端，不影响正常使用。</w:t>
            </w:r>
          </w:p>
          <w:p w14:paraId="0E52BF0A">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10）支持多种系统的镜像切换，提供给不同桌面环境使用</w:t>
            </w:r>
            <w:r>
              <w:rPr>
                <w:rFonts w:hint="eastAsia" w:ascii="宋体" w:hAnsi="宋体" w:eastAsia="宋体" w:cs="宋体"/>
                <w:b/>
                <w:bCs/>
                <w:i w:val="0"/>
                <w:iCs w:val="0"/>
                <w:color w:val="000000"/>
                <w:kern w:val="0"/>
                <w:sz w:val="21"/>
                <w:szCs w:val="21"/>
                <w:u w:val="none"/>
                <w:lang w:val="en-US" w:eastAsia="zh-CN" w:bidi="ar"/>
              </w:rPr>
              <w:t>（必须提供此项功能的软件界面截图以直观展示满足功能要求）</w:t>
            </w:r>
            <w:r>
              <w:rPr>
                <w:rFonts w:hint="eastAsia" w:ascii="宋体" w:hAnsi="宋体" w:eastAsia="宋体" w:cs="宋体"/>
                <w:i w:val="0"/>
                <w:iCs w:val="0"/>
                <w:color w:val="000000"/>
                <w:kern w:val="0"/>
                <w:sz w:val="21"/>
                <w:szCs w:val="21"/>
                <w:u w:val="none"/>
                <w:lang w:val="en-US" w:eastAsia="zh-CN" w:bidi="ar"/>
              </w:rPr>
              <w:t>。</w:t>
            </w:r>
          </w:p>
          <w:p w14:paraId="6D093F71">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11）支持收集终端硬件配置信息，硬件变更信息等</w:t>
            </w:r>
            <w:r>
              <w:rPr>
                <w:rFonts w:hint="eastAsia" w:ascii="宋体" w:hAnsi="宋体" w:eastAsia="宋体" w:cs="宋体"/>
                <w:b/>
                <w:bCs/>
                <w:i w:val="0"/>
                <w:iCs w:val="0"/>
                <w:color w:val="000000"/>
                <w:kern w:val="0"/>
                <w:sz w:val="21"/>
                <w:szCs w:val="21"/>
                <w:u w:val="none"/>
                <w:lang w:val="en-US" w:eastAsia="zh-CN" w:bidi="ar"/>
              </w:rPr>
              <w:t>（必须提供此项功能的软件界面截图以直观展示满足功能要求）</w:t>
            </w:r>
            <w:r>
              <w:rPr>
                <w:rFonts w:hint="eastAsia" w:ascii="宋体" w:hAnsi="宋体" w:eastAsia="宋体" w:cs="宋体"/>
                <w:i w:val="0"/>
                <w:iCs w:val="0"/>
                <w:color w:val="000000"/>
                <w:kern w:val="0"/>
                <w:sz w:val="21"/>
                <w:szCs w:val="21"/>
                <w:u w:val="none"/>
                <w:lang w:val="en-US" w:eastAsia="zh-CN" w:bidi="ar"/>
              </w:rPr>
              <w:t>。</w:t>
            </w:r>
          </w:p>
          <w:p w14:paraId="0D771492">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12）支持显示终端镜像模板软件列表，软件使用情况。</w:t>
            </w:r>
          </w:p>
          <w:p w14:paraId="058B0DF0">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13）支持U盘、网络等多种部署方式，适应各种网络环境减少对网络环境的调整。</w:t>
            </w:r>
          </w:p>
          <w:p w14:paraId="189BB3C1">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14）支持.vhd虚拟盘格式，保证系统兼容性。</w:t>
            </w:r>
          </w:p>
          <w:p w14:paraId="5062FEF0">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15）支持打印机模板管理功能</w:t>
            </w:r>
            <w:r>
              <w:rPr>
                <w:rFonts w:hint="eastAsia" w:ascii="宋体" w:hAnsi="宋体" w:eastAsia="宋体" w:cs="宋体"/>
                <w:b/>
                <w:bCs/>
                <w:i w:val="0"/>
                <w:iCs w:val="0"/>
                <w:color w:val="000000"/>
                <w:kern w:val="0"/>
                <w:sz w:val="21"/>
                <w:szCs w:val="21"/>
                <w:u w:val="none"/>
                <w:lang w:val="en-US" w:eastAsia="zh-CN" w:bidi="ar"/>
              </w:rPr>
              <w:t>（必须提供此项功能的软件界面截图以直观展示满足功能要求）</w:t>
            </w:r>
            <w:r>
              <w:rPr>
                <w:rFonts w:hint="eastAsia" w:ascii="宋体" w:hAnsi="宋体" w:eastAsia="宋体" w:cs="宋体"/>
                <w:i w:val="0"/>
                <w:iCs w:val="0"/>
                <w:color w:val="000000"/>
                <w:kern w:val="0"/>
                <w:sz w:val="21"/>
                <w:szCs w:val="21"/>
                <w:u w:val="none"/>
                <w:lang w:val="en-US" w:eastAsia="zh-CN" w:bidi="ar"/>
              </w:rPr>
              <w:t>。</w:t>
            </w:r>
          </w:p>
          <w:p w14:paraId="57678A41">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16）提供桌面管理平台数据展示看板，提供各种硬件、软件、管理等数据信息可视化界面</w:t>
            </w:r>
            <w:r>
              <w:rPr>
                <w:rFonts w:hint="eastAsia" w:ascii="宋体" w:hAnsi="宋体" w:eastAsia="宋体" w:cs="宋体"/>
                <w:b/>
                <w:bCs/>
                <w:i w:val="0"/>
                <w:iCs w:val="0"/>
                <w:color w:val="000000"/>
                <w:kern w:val="0"/>
                <w:sz w:val="21"/>
                <w:szCs w:val="21"/>
                <w:u w:val="none"/>
                <w:lang w:val="en-US" w:eastAsia="zh-CN" w:bidi="ar"/>
              </w:rPr>
              <w:t>（必须提供此项功能的软件界面截图以直观展示满足功能要求）</w:t>
            </w:r>
            <w:r>
              <w:rPr>
                <w:rFonts w:hint="eastAsia" w:ascii="宋体" w:hAnsi="宋体" w:eastAsia="宋体" w:cs="宋体"/>
                <w:i w:val="0"/>
                <w:iCs w:val="0"/>
                <w:color w:val="000000"/>
                <w:kern w:val="0"/>
                <w:sz w:val="21"/>
                <w:szCs w:val="21"/>
                <w:u w:val="none"/>
                <w:lang w:val="en-US" w:eastAsia="zh-CN" w:bidi="ar"/>
              </w:rPr>
              <w:t>。</w:t>
            </w:r>
          </w:p>
          <w:p w14:paraId="14CF853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3、配置电子教室教学软件，满足以下功能：</w:t>
            </w:r>
          </w:p>
          <w:p w14:paraId="157F9A2E">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1)支持教师演示，教师可对单一、部分或全体学生进行屏幕演示，全屏、窗口方式均可。</w:t>
            </w:r>
          </w:p>
          <w:p w14:paraId="3A84BC6A">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2)支持教师教学使用的辅助工具，突出显示项目、添加注释，添加批注等等。</w:t>
            </w:r>
          </w:p>
          <w:p w14:paraId="652DB9B4">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3)支持视频广播或者网络影院，采用流媒体技术，实现播放的视频同步广播到学生机，且达到流畅无延时，支持常见的媒体音视频格式的高清视频。</w:t>
            </w:r>
          </w:p>
          <w:p w14:paraId="2E67D221">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4)支持老师将指定学生的屏幕图像广播给其他所有学生，老师也能看到该指定学生的屏幕图像。</w:t>
            </w:r>
          </w:p>
          <w:p w14:paraId="6F8DE845">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5)支持分组管理；教师可以新建，删除，重命名分组，添加和删除分组中的成员，设置小组长。</w:t>
            </w:r>
          </w:p>
          <w:p w14:paraId="2EDD5ABD">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6)支持教师对学生进行分组，通过分组进行教学和小组讨论，提高教学效率，增强学生互动能力。</w:t>
            </w:r>
          </w:p>
          <w:p w14:paraId="79D17357">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7)支持教师机麦克风或其他输入设备的声音广播给学生。</w:t>
            </w:r>
          </w:p>
          <w:p w14:paraId="465E29BE">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8)具备语音对讲功能；教师可以选择任意一名已登录学生与其进行双向语音交谈，除教师和此学生外，其他学生不会受到干扰，可以动态切换对讲对象。</w:t>
            </w:r>
          </w:p>
          <w:p w14:paraId="1993D536">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9)具备文件分发功能；允许教师将教师机不同盘符中的目录或文件一起发送至生机的某目录下。</w:t>
            </w:r>
          </w:p>
          <w:p w14:paraId="52E21200">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10)支持学生直接将文件提交给老师。</w:t>
            </w:r>
          </w:p>
          <w:p w14:paraId="460F6F44">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11)具备上网限制与程序限制功能；通过各种策略的应用，设定受客户端不能连接互联网和不能使用指定程序。</w:t>
            </w:r>
          </w:p>
          <w:p w14:paraId="1D00900E">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12)支持教师机将本地的操作和讲解过程录制为ASF录像文件，可以用系统自带的播放器直接播放。</w:t>
            </w:r>
          </w:p>
          <w:p w14:paraId="0BADD305">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13)学生端屏幕录制、回放：学生端接收教师端广播的时候可以自动录制教师机广播教学的过程，课后可以重复观看学习。</w:t>
            </w:r>
          </w:p>
          <w:p w14:paraId="6574C24A">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14)支持教师端远程开机，关机，重启，全体黑屏等操作。</w:t>
            </w:r>
          </w:p>
          <w:p w14:paraId="2409380C">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15)支持24个频道以上的划分，一个教师可对单个班级或多个班级同时上课；多个教师可同时对多个班级进行不同内容的教学。</w:t>
            </w:r>
          </w:p>
          <w:p w14:paraId="2A96D6A2">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16)支持学生端属性查看；教师可以获取学生端计算机的名称、登录名和其它常用信息，并可以列出学生端的应用程序、进程和进程ID，教师还可以远程终止学生端的进程。</w:t>
            </w:r>
          </w:p>
          <w:p w14:paraId="31A8D598">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17)随堂小考：教师启动快速的单题考试或随堂调查，限定考试时间，学生答题后立即给出结果，结果显示学生答案柱状图分析和答题时间，可作为抢答依据。</w:t>
            </w:r>
          </w:p>
          <w:p w14:paraId="1BFFD10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18)提供学生名单签到管理工具，为软件和考试模块提供实名验证。</w:t>
            </w:r>
          </w:p>
          <w:p w14:paraId="197BA27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19)班级模型：有单独的管理界面，实现对班级模型的统一管理，并能够导入、导出，调用不同网络教室中的班级模型。</w:t>
            </w:r>
          </w:p>
          <w:p w14:paraId="121775F4">
            <w:pPr>
              <w:keepNext w:val="0"/>
              <w:keepLines w:val="0"/>
              <w:widowControl/>
              <w:suppressLineNumbers w:val="0"/>
              <w:jc w:val="left"/>
              <w:textAlignment w:val="center"/>
              <w:rPr>
                <w:rFonts w:hint="eastAsia" w:ascii="宋体" w:hAnsi="宋体" w:eastAsia="宋体" w:cs="宋体"/>
                <w:b w:val="0"/>
                <w:bCs w:val="0"/>
                <w:i w:val="0"/>
                <w:iCs w:val="0"/>
                <w:color w:val="auto"/>
                <w:kern w:val="0"/>
                <w:sz w:val="21"/>
                <w:szCs w:val="21"/>
                <w:highlight w:val="none"/>
                <w:u w:val="none"/>
                <w:lang w:val="en-US" w:eastAsia="zh-CN" w:bidi="ar"/>
              </w:rPr>
            </w:pPr>
            <w:r>
              <w:rPr>
                <w:rFonts w:hint="eastAsia" w:ascii="宋体" w:hAnsi="宋体" w:eastAsia="宋体" w:cs="宋体"/>
                <w:i w:val="0"/>
                <w:iCs w:val="0"/>
                <w:color w:val="auto"/>
                <w:kern w:val="0"/>
                <w:sz w:val="21"/>
                <w:szCs w:val="21"/>
                <w:u w:val="none"/>
                <w:lang w:val="en-US" w:eastAsia="zh-CN" w:bidi="ar"/>
              </w:rPr>
              <w:t>★</w:t>
            </w:r>
            <w:r>
              <w:rPr>
                <w:rFonts w:hint="eastAsia" w:ascii="宋体" w:hAnsi="宋体" w:eastAsia="宋体" w:cs="宋体"/>
                <w:i w:val="0"/>
                <w:iCs w:val="0"/>
                <w:color w:val="000000"/>
                <w:kern w:val="0"/>
                <w:sz w:val="21"/>
                <w:szCs w:val="21"/>
                <w:u w:val="none"/>
                <w:lang w:val="en-US" w:eastAsia="zh-CN" w:bidi="ar"/>
              </w:rPr>
              <w:t>三、质量及服务保证：</w:t>
            </w:r>
            <w:r>
              <w:rPr>
                <w:rFonts w:hint="eastAsia" w:ascii="宋体" w:hAnsi="宋体" w:eastAsia="宋体" w:cs="宋体"/>
                <w:i w:val="0"/>
                <w:iCs w:val="0"/>
                <w:color w:val="auto"/>
                <w:kern w:val="0"/>
                <w:sz w:val="21"/>
                <w:szCs w:val="21"/>
                <w:u w:val="none"/>
                <w:lang w:val="en-US" w:eastAsia="zh-CN" w:bidi="ar"/>
              </w:rPr>
              <w:t>为保证售后服务质量，</w:t>
            </w:r>
            <w:r>
              <w:rPr>
                <w:rFonts w:hint="eastAsia" w:ascii="宋体" w:hAnsi="宋体" w:eastAsia="宋体" w:cs="宋体"/>
                <w:b/>
                <w:bCs/>
                <w:i w:val="0"/>
                <w:iCs w:val="0"/>
                <w:color w:val="auto"/>
                <w:kern w:val="0"/>
                <w:sz w:val="21"/>
                <w:szCs w:val="21"/>
                <w:u w:val="none"/>
                <w:lang w:val="en-US" w:eastAsia="zh-CN" w:bidi="ar"/>
              </w:rPr>
              <w:t>提供原厂三年极速响应保修服务</w:t>
            </w:r>
            <w:r>
              <w:rPr>
                <w:rFonts w:hint="eastAsia" w:ascii="宋体" w:hAnsi="宋体" w:eastAsia="宋体" w:cs="宋体"/>
                <w:i w:val="0"/>
                <w:iCs w:val="0"/>
                <w:color w:val="auto"/>
                <w:kern w:val="0"/>
                <w:sz w:val="21"/>
                <w:szCs w:val="21"/>
                <w:u w:val="none"/>
                <w:lang w:val="en-US" w:eastAsia="zh-CN" w:bidi="ar"/>
              </w:rPr>
              <w:t>，</w:t>
            </w:r>
            <w:r>
              <w:rPr>
                <w:rFonts w:hint="eastAsia" w:ascii="宋体" w:hAnsi="宋体" w:eastAsia="宋体" w:cs="宋体"/>
                <w:b/>
                <w:bCs/>
                <w:i w:val="0"/>
                <w:iCs w:val="0"/>
                <w:color w:val="auto"/>
                <w:kern w:val="0"/>
                <w:sz w:val="21"/>
                <w:szCs w:val="21"/>
                <w:u w:val="none"/>
                <w:lang w:val="en-US" w:eastAsia="zh-CN" w:bidi="ar"/>
              </w:rPr>
              <w:t>生产厂商指定维修网点具备第二自然日快速修复服务能力；服务响应时间：提供7*24小时电话支持服务。</w:t>
            </w:r>
            <w:r>
              <w:rPr>
                <w:rFonts w:hint="eastAsia" w:ascii="宋体" w:hAnsi="宋体" w:eastAsia="宋体" w:cs="宋体"/>
                <w:i w:val="0"/>
                <w:iCs w:val="0"/>
                <w:color w:val="auto"/>
                <w:kern w:val="0"/>
                <w:sz w:val="21"/>
                <w:szCs w:val="21"/>
                <w:u w:val="none"/>
                <w:lang w:val="en-US" w:eastAsia="zh-CN" w:bidi="ar"/>
              </w:rPr>
              <w:t>为确保参数及服务真实有效性，</w:t>
            </w:r>
            <w:r>
              <w:rPr>
                <w:rFonts w:hint="eastAsia" w:ascii="宋体" w:hAnsi="宋体" w:eastAsia="宋体" w:cs="宋体"/>
                <w:b/>
                <w:bCs/>
                <w:i w:val="0"/>
                <w:iCs w:val="0"/>
                <w:color w:val="auto"/>
                <w:kern w:val="0"/>
                <w:sz w:val="21"/>
                <w:szCs w:val="21"/>
                <w:u w:val="none"/>
                <w:lang w:val="en-US" w:eastAsia="zh-CN" w:bidi="ar"/>
              </w:rPr>
              <w:t>供货时</w:t>
            </w:r>
            <w:r>
              <w:rPr>
                <w:rFonts w:hint="eastAsia" w:ascii="宋体" w:hAnsi="宋体" w:eastAsia="宋体" w:cs="宋体"/>
                <w:i w:val="0"/>
                <w:iCs w:val="0"/>
                <w:color w:val="auto"/>
                <w:kern w:val="0"/>
                <w:sz w:val="21"/>
                <w:szCs w:val="21"/>
                <w:u w:val="none"/>
                <w:lang w:val="en-US" w:eastAsia="zh-CN" w:bidi="ar"/>
              </w:rPr>
              <w:t>提供设备生产厂商400/800售后服务电话对以上服务内</w:t>
            </w:r>
            <w:r>
              <w:rPr>
                <w:rFonts w:hint="eastAsia" w:ascii="宋体" w:hAnsi="宋体" w:eastAsia="宋体" w:cs="宋体"/>
                <w:i w:val="0"/>
                <w:iCs w:val="0"/>
                <w:color w:val="auto"/>
                <w:kern w:val="0"/>
                <w:sz w:val="21"/>
                <w:szCs w:val="21"/>
                <w:highlight w:val="none"/>
                <w:u w:val="none"/>
                <w:lang w:val="en-US" w:eastAsia="zh-CN" w:bidi="ar"/>
              </w:rPr>
              <w:t>容进行严格查验，并提供满足服务要求的售后服务承诺函原件</w:t>
            </w:r>
            <w:r>
              <w:rPr>
                <w:rFonts w:hint="eastAsia" w:ascii="宋体" w:hAnsi="宋体" w:eastAsia="宋体" w:cs="宋体"/>
                <w:b w:val="0"/>
                <w:bCs w:val="0"/>
                <w:i w:val="0"/>
                <w:iCs w:val="0"/>
                <w:color w:val="auto"/>
                <w:kern w:val="0"/>
                <w:sz w:val="21"/>
                <w:szCs w:val="21"/>
                <w:highlight w:val="none"/>
                <w:u w:val="none"/>
                <w:lang w:val="en-US" w:eastAsia="zh-CN" w:bidi="ar"/>
              </w:rPr>
              <w:t>。</w:t>
            </w:r>
          </w:p>
          <w:p w14:paraId="38684294">
            <w:pP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w:t>
            </w:r>
            <w:r>
              <w:rPr>
                <w:rFonts w:hint="eastAsia" w:ascii="宋体" w:hAnsi="宋体" w:eastAsia="宋体" w:cs="宋体"/>
                <w:b/>
                <w:bCs/>
                <w:color w:val="auto"/>
                <w:sz w:val="21"/>
                <w:szCs w:val="21"/>
                <w:highlight w:val="none"/>
                <w:lang w:eastAsia="zh-CN"/>
              </w:rPr>
              <w:t>四、</w:t>
            </w:r>
            <w:r>
              <w:rPr>
                <w:rFonts w:hint="eastAsia" w:ascii="宋体" w:hAnsi="宋体" w:eastAsia="宋体" w:cs="宋体"/>
                <w:b/>
                <w:bCs/>
                <w:color w:val="auto"/>
                <w:sz w:val="21"/>
                <w:szCs w:val="21"/>
                <w:highlight w:val="none"/>
              </w:rPr>
              <w:t>投标文件中须提供所投产品获得国家确定的认证机构出具的、处于有效之内的节能产品认证证书扫描件并加盖投标人CA证书签章，否则投标文件无效。</w:t>
            </w:r>
          </w:p>
        </w:tc>
        <w:tc>
          <w:tcPr>
            <w:tcW w:w="700" w:type="dxa"/>
            <w:shd w:val="clear" w:color="auto" w:fill="auto"/>
            <w:vAlign w:val="center"/>
          </w:tcPr>
          <w:p w14:paraId="55CFC34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50套</w:t>
            </w:r>
          </w:p>
        </w:tc>
        <w:tc>
          <w:tcPr>
            <w:tcW w:w="1179" w:type="dxa"/>
            <w:shd w:val="clear" w:color="auto" w:fill="auto"/>
            <w:vAlign w:val="center"/>
          </w:tcPr>
          <w:p w14:paraId="58D2D61A">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3880</w:t>
            </w:r>
          </w:p>
        </w:tc>
      </w:tr>
      <w:tr w14:paraId="352D43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72CD9A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w:t>
            </w:r>
          </w:p>
        </w:tc>
        <w:tc>
          <w:tcPr>
            <w:tcW w:w="716" w:type="dxa"/>
            <w:shd w:val="clear" w:color="auto" w:fill="auto"/>
            <w:vAlign w:val="center"/>
          </w:tcPr>
          <w:p w14:paraId="37C5C2A9">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路由器</w:t>
            </w:r>
          </w:p>
        </w:tc>
        <w:tc>
          <w:tcPr>
            <w:tcW w:w="6717" w:type="dxa"/>
            <w:shd w:val="clear" w:color="auto" w:fill="auto"/>
            <w:vAlign w:val="center"/>
          </w:tcPr>
          <w:p w14:paraId="638AC7DE">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1.★包转发能力≥1Mpps ；</w:t>
            </w:r>
          </w:p>
          <w:p w14:paraId="29AFE2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2.★1 WAN：1*GE，LAN：4*GE（可切换为WAN口）；</w:t>
            </w:r>
          </w:p>
          <w:p w14:paraId="7A4BF42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3.支持IPv4静态路由，路由策略，RIP， OSPF，IS-IS，BGP；</w:t>
            </w:r>
          </w:p>
          <w:p w14:paraId="1E20481D">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4.支持IPv6静态路由，路由策略，RIPng，OSPFv3，IS-ISv6，BGP4+ 。</w:t>
            </w:r>
          </w:p>
        </w:tc>
        <w:tc>
          <w:tcPr>
            <w:tcW w:w="700" w:type="dxa"/>
            <w:shd w:val="clear" w:color="auto" w:fill="auto"/>
            <w:vAlign w:val="center"/>
          </w:tcPr>
          <w:p w14:paraId="3BAAD15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13D5C5ED">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1200</w:t>
            </w:r>
          </w:p>
        </w:tc>
      </w:tr>
      <w:tr w14:paraId="468E13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70FE76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w:t>
            </w:r>
          </w:p>
        </w:tc>
        <w:tc>
          <w:tcPr>
            <w:tcW w:w="716" w:type="dxa"/>
            <w:shd w:val="clear" w:color="auto" w:fill="auto"/>
            <w:vAlign w:val="center"/>
          </w:tcPr>
          <w:p w14:paraId="384B3F8E">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机柜</w:t>
            </w:r>
          </w:p>
        </w:tc>
        <w:tc>
          <w:tcPr>
            <w:tcW w:w="6717" w:type="dxa"/>
            <w:shd w:val="clear" w:color="auto" w:fill="auto"/>
            <w:vAlign w:val="center"/>
          </w:tcPr>
          <w:p w14:paraId="51E2143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1.宽600MM* 深590MM * 高 635MM；</w:t>
            </w:r>
            <w:r>
              <w:rPr>
                <w:rFonts w:hint="eastAsia" w:ascii="宋体" w:hAnsi="宋体" w:eastAsia="宋体" w:cs="宋体"/>
                <w:i w:val="0"/>
                <w:iCs w:val="0"/>
                <w:color w:val="000000"/>
                <w:kern w:val="0"/>
                <w:sz w:val="21"/>
                <w:szCs w:val="21"/>
                <w:u w:val="none"/>
                <w:lang w:val="en-US" w:eastAsia="zh-CN" w:bidi="ar"/>
              </w:rPr>
              <w:t xml:space="preserve">容量12U；  </w:t>
            </w:r>
          </w:p>
          <w:p w14:paraId="6EFC183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2.符合ANSI/EIA RS-310-D、IEC297-2、DIN41491；PART1、DIN41494；PART7、GB/T3047.2-92标准；兼容ETSI标准。</w:t>
            </w:r>
          </w:p>
          <w:p w14:paraId="4947520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3.框架结构，承重达60KG；</w:t>
            </w:r>
          </w:p>
          <w:p w14:paraId="4B92D20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4.落地安装时可以选配支脚或脚轮；</w:t>
            </w:r>
          </w:p>
          <w:p w14:paraId="2FEBD14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5.主要材料:SPCC优质冷扎钢板制作；厚度：方孔条2.0mm,其他1.2mm。</w:t>
            </w:r>
          </w:p>
        </w:tc>
        <w:tc>
          <w:tcPr>
            <w:tcW w:w="700" w:type="dxa"/>
            <w:shd w:val="clear" w:color="auto" w:fill="auto"/>
            <w:vAlign w:val="center"/>
          </w:tcPr>
          <w:p w14:paraId="637ABEE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179" w:type="dxa"/>
            <w:shd w:val="clear" w:color="auto" w:fill="auto"/>
            <w:vAlign w:val="center"/>
          </w:tcPr>
          <w:p w14:paraId="47174AF1">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700</w:t>
            </w:r>
          </w:p>
        </w:tc>
      </w:tr>
      <w:tr w14:paraId="705B6C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566218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18</w:t>
            </w:r>
          </w:p>
        </w:tc>
        <w:tc>
          <w:tcPr>
            <w:tcW w:w="716" w:type="dxa"/>
            <w:shd w:val="clear" w:color="auto" w:fill="auto"/>
            <w:vAlign w:val="center"/>
          </w:tcPr>
          <w:p w14:paraId="17C679D4">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交换机</w:t>
            </w:r>
          </w:p>
        </w:tc>
        <w:tc>
          <w:tcPr>
            <w:tcW w:w="6717" w:type="dxa"/>
            <w:shd w:val="clear" w:color="auto" w:fill="auto"/>
            <w:vAlign w:val="center"/>
          </w:tcPr>
          <w:p w14:paraId="2E08044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1.★设备性能：交换容量≥52Gbps，包转发率≥38.69Mpps；</w:t>
            </w:r>
          </w:p>
          <w:p w14:paraId="2D2A269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2.★设备配置：提供千兆电口≥24个，千兆光口≥2个，机架式，无风扇静音设计自然散热，交流供电；</w:t>
            </w:r>
          </w:p>
          <w:p w14:paraId="3CD9C44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3.规格表项：支持MAC地址≥8K；</w:t>
            </w:r>
          </w:p>
          <w:p w14:paraId="78A4732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4.运维：设备即插即用，无需配置管理。</w:t>
            </w:r>
          </w:p>
        </w:tc>
        <w:tc>
          <w:tcPr>
            <w:tcW w:w="700" w:type="dxa"/>
            <w:shd w:val="clear" w:color="auto" w:fill="auto"/>
            <w:vAlign w:val="center"/>
          </w:tcPr>
          <w:p w14:paraId="38D72EF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3个</w:t>
            </w:r>
          </w:p>
        </w:tc>
        <w:tc>
          <w:tcPr>
            <w:tcW w:w="1179" w:type="dxa"/>
            <w:shd w:val="clear" w:color="auto" w:fill="auto"/>
            <w:vAlign w:val="center"/>
          </w:tcPr>
          <w:p w14:paraId="218CE4E5">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850</w:t>
            </w:r>
          </w:p>
        </w:tc>
      </w:tr>
      <w:tr w14:paraId="193A67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390E15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19</w:t>
            </w:r>
          </w:p>
        </w:tc>
        <w:tc>
          <w:tcPr>
            <w:tcW w:w="716" w:type="dxa"/>
            <w:shd w:val="clear" w:color="auto" w:fill="auto"/>
            <w:vAlign w:val="center"/>
          </w:tcPr>
          <w:p w14:paraId="2F345B7E">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综合布线</w:t>
            </w:r>
          </w:p>
        </w:tc>
        <w:tc>
          <w:tcPr>
            <w:tcW w:w="6717" w:type="dxa"/>
            <w:shd w:val="clear" w:color="auto" w:fill="auto"/>
            <w:vAlign w:val="center"/>
          </w:tcPr>
          <w:p w14:paraId="1C6FAB6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教室地板开槽、布线（国标PC管）及设备安装调试等，由中标方按实际需求采购强电和弱电相关线材、插板等，并负责安装铺设，具体要求为:</w:t>
            </w:r>
          </w:p>
          <w:p w14:paraId="6F27097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1.包含施工布线以及施工所需要的耗材如排插、网线、水晶头、电源线、线槽等。</w:t>
            </w:r>
          </w:p>
          <w:p w14:paraId="0304FB8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2.电源采用总/分线布线方式，含火、零、地三色线，总线电线10平方毫米（铜芯线单股），分线6平方毫米（铜芯线单股），与网络线路分开独立布线，并采用国标的相关颜色。</w:t>
            </w:r>
          </w:p>
          <w:p w14:paraId="3029072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3.强电、弱电分开，分线槽布线，布局合理，方便维护。</w:t>
            </w:r>
          </w:p>
        </w:tc>
        <w:tc>
          <w:tcPr>
            <w:tcW w:w="700" w:type="dxa"/>
            <w:shd w:val="clear" w:color="auto" w:fill="auto"/>
            <w:vAlign w:val="center"/>
          </w:tcPr>
          <w:p w14:paraId="090449F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1批</w:t>
            </w:r>
          </w:p>
        </w:tc>
        <w:tc>
          <w:tcPr>
            <w:tcW w:w="1179" w:type="dxa"/>
            <w:shd w:val="clear" w:color="auto" w:fill="auto"/>
            <w:vAlign w:val="center"/>
          </w:tcPr>
          <w:p w14:paraId="19193746">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7000</w:t>
            </w:r>
          </w:p>
        </w:tc>
      </w:tr>
      <w:tr w14:paraId="6AE2B2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D95AA0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w:t>
            </w:r>
          </w:p>
        </w:tc>
        <w:tc>
          <w:tcPr>
            <w:tcW w:w="716" w:type="dxa"/>
            <w:shd w:val="clear" w:color="auto" w:fill="auto"/>
            <w:vAlign w:val="center"/>
          </w:tcPr>
          <w:p w14:paraId="55ABE178">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教师桌</w:t>
            </w:r>
          </w:p>
        </w:tc>
        <w:tc>
          <w:tcPr>
            <w:tcW w:w="6717" w:type="dxa"/>
            <w:shd w:val="clear" w:color="auto" w:fill="auto"/>
            <w:vAlign w:val="center"/>
          </w:tcPr>
          <w:p w14:paraId="1621D2E9">
            <w:pPr>
              <w:keepNext w:val="0"/>
              <w:keepLines w:val="0"/>
              <w:widowControl/>
              <w:suppressLineNumbers w:val="0"/>
              <w:jc w:val="left"/>
              <w:textAlignment w:val="center"/>
              <w:rPr>
                <w:rFonts w:hint="eastAsia" w:ascii="宋体" w:hAnsi="宋体" w:eastAsia="宋体" w:cs="宋体"/>
                <w:i w:val="0"/>
                <w:iCs w:val="0"/>
                <w:color w:val="FF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1.规格：不</w:t>
            </w:r>
            <w:r>
              <w:rPr>
                <w:rFonts w:hint="eastAsia" w:ascii="宋体" w:hAnsi="宋体" w:eastAsia="宋体" w:cs="宋体"/>
                <w:i w:val="0"/>
                <w:iCs w:val="0"/>
                <w:color w:val="auto"/>
                <w:kern w:val="0"/>
                <w:sz w:val="21"/>
                <w:szCs w:val="21"/>
                <w:u w:val="none"/>
                <w:lang w:val="en-US" w:eastAsia="zh-CN" w:bidi="ar"/>
              </w:rPr>
              <w:t>小于长1400mm、宽600mm、高850mm</w:t>
            </w:r>
          </w:p>
          <w:p w14:paraId="5150C8E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材质：桌面采用25mm厚国标E1级密度板，其余采用采用15mm厚国标E1级密度板，抗弯力强，不易变形；耐磨性强，承载能力强，绿色环保，也没有有害物质溢出。桌面封边采用优质PVC封边条，全自动热熔封边机封边，封边牢固、整洁、无毛刺，线条平直，接缝吻合。封边条的耐干热、耐磨性、耐老化性、耐冷热循环性达到国标要求。</w:t>
            </w:r>
          </w:p>
        </w:tc>
        <w:tc>
          <w:tcPr>
            <w:tcW w:w="700" w:type="dxa"/>
            <w:shd w:val="clear" w:color="auto" w:fill="auto"/>
            <w:vAlign w:val="center"/>
          </w:tcPr>
          <w:p w14:paraId="3A52CFA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1张</w:t>
            </w:r>
          </w:p>
        </w:tc>
        <w:tc>
          <w:tcPr>
            <w:tcW w:w="1179" w:type="dxa"/>
            <w:shd w:val="clear" w:color="auto" w:fill="auto"/>
            <w:vAlign w:val="center"/>
          </w:tcPr>
          <w:p w14:paraId="68ABA519">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950</w:t>
            </w:r>
          </w:p>
        </w:tc>
      </w:tr>
      <w:tr w14:paraId="1E4484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B29188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21</w:t>
            </w:r>
          </w:p>
        </w:tc>
        <w:tc>
          <w:tcPr>
            <w:tcW w:w="716" w:type="dxa"/>
            <w:shd w:val="clear" w:color="auto" w:fill="auto"/>
            <w:vAlign w:val="center"/>
          </w:tcPr>
          <w:p w14:paraId="544D4546">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教师椅子</w:t>
            </w:r>
          </w:p>
        </w:tc>
        <w:tc>
          <w:tcPr>
            <w:tcW w:w="6717" w:type="dxa"/>
            <w:shd w:val="clear" w:color="auto" w:fill="auto"/>
            <w:vAlign w:val="center"/>
          </w:tcPr>
          <w:p w14:paraId="39C65BE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1.黑色PP脚过1000KG静压测试</w:t>
            </w:r>
          </w:p>
          <w:p w14:paraId="40CC649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2.50MM黑色尼龙轮，80黑色拉深5CM气杆·2.5加厚中班蝴蝶底盘（可原位锁定和逍遥功能），固定腰垫和黑色PP玻纤背筐和扶手，42密度中软高弹切割海绵·华宇耐磨亲肤弹力坐步·背加密加厚H系列网饰面。</w:t>
            </w:r>
          </w:p>
        </w:tc>
        <w:tc>
          <w:tcPr>
            <w:tcW w:w="700" w:type="dxa"/>
            <w:shd w:val="clear" w:color="auto" w:fill="auto"/>
            <w:vAlign w:val="center"/>
          </w:tcPr>
          <w:p w14:paraId="66958A7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1张</w:t>
            </w:r>
          </w:p>
        </w:tc>
        <w:tc>
          <w:tcPr>
            <w:tcW w:w="1179" w:type="dxa"/>
            <w:shd w:val="clear" w:color="auto" w:fill="auto"/>
            <w:vAlign w:val="center"/>
          </w:tcPr>
          <w:p w14:paraId="53B32E71">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350</w:t>
            </w:r>
          </w:p>
        </w:tc>
      </w:tr>
      <w:tr w14:paraId="23C5CF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4C7928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w:t>
            </w:r>
          </w:p>
        </w:tc>
        <w:tc>
          <w:tcPr>
            <w:tcW w:w="716" w:type="dxa"/>
            <w:shd w:val="clear" w:color="auto" w:fill="auto"/>
            <w:vAlign w:val="center"/>
          </w:tcPr>
          <w:p w14:paraId="1F745797">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学生桌凳</w:t>
            </w:r>
          </w:p>
        </w:tc>
        <w:tc>
          <w:tcPr>
            <w:tcW w:w="6717" w:type="dxa"/>
            <w:shd w:val="clear" w:color="auto" w:fill="auto"/>
            <w:vAlign w:val="center"/>
          </w:tcPr>
          <w:p w14:paraId="302E92A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学生电脑桌凳：一桌配一椅。免费安装，保修三年。</w:t>
            </w:r>
          </w:p>
          <w:p w14:paraId="7A58F9D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桌子面板厚≥2.5cm，其它板材为≥1.5cm厚，长*宽*高：800mm*550mm*730mm(±5mm）， 高密防火板，带走线槽。</w:t>
            </w:r>
          </w:p>
          <w:p w14:paraId="2B189F1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凳面板厚≥2.5cm，长*宽*高：360mm*270mm*450mm（±5mm），高密防火板，高板凳以四脚方管铁架作支撑。</w:t>
            </w:r>
          </w:p>
          <w:p w14:paraId="134C5B63">
            <w:pPr>
              <w:keepNext w:val="0"/>
              <w:keepLines w:val="0"/>
              <w:widowControl/>
              <w:suppressLineNumbers w:val="0"/>
              <w:jc w:val="left"/>
              <w:textAlignment w:val="center"/>
              <w:rPr>
                <w:rFonts w:hint="eastAsia" w:ascii="宋体" w:hAnsi="宋体" w:eastAsia="微软雅黑" w:cs="宋体"/>
                <w:i w:val="0"/>
                <w:iCs w:val="0"/>
                <w:color w:val="000000"/>
                <w:kern w:val="0"/>
                <w:sz w:val="21"/>
                <w:szCs w:val="21"/>
                <w:u w:val="none"/>
                <w:lang w:val="en-US" w:eastAsia="zh-CN" w:bidi="ar"/>
              </w:rPr>
            </w:pPr>
            <w:r>
              <w:drawing>
                <wp:inline distT="0" distB="0" distL="114300" distR="114300">
                  <wp:extent cx="1386840" cy="1075690"/>
                  <wp:effectExtent l="0" t="0" r="3810" b="10160"/>
                  <wp:docPr id="20" name="图片 19"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9" descr="图片1"/>
                          <pic:cNvPicPr>
                            <a:picLocks noChangeAspect="1"/>
                          </pic:cNvPicPr>
                        </pic:nvPicPr>
                        <pic:blipFill>
                          <a:blip r:embed="rId14"/>
                          <a:stretch>
                            <a:fillRect/>
                          </a:stretch>
                        </pic:blipFill>
                        <pic:spPr>
                          <a:xfrm>
                            <a:off x="0" y="0"/>
                            <a:ext cx="1386840" cy="1075690"/>
                          </a:xfrm>
                          <a:prstGeom prst="rect">
                            <a:avLst/>
                          </a:prstGeom>
                          <a:noFill/>
                          <a:ln w="9525">
                            <a:noFill/>
                          </a:ln>
                        </pic:spPr>
                      </pic:pic>
                    </a:graphicData>
                  </a:graphic>
                </wp:inline>
              </w:drawing>
            </w:r>
            <w:r>
              <w:rPr>
                <w:rFonts w:hint="eastAsia"/>
                <w:lang w:val="en-US" w:eastAsia="zh-CN"/>
              </w:rPr>
              <w:t xml:space="preserve">     </w:t>
            </w:r>
            <w:r>
              <w:drawing>
                <wp:inline distT="0" distB="0" distL="114300" distR="114300">
                  <wp:extent cx="1136650" cy="1077595"/>
                  <wp:effectExtent l="0" t="0" r="6350" b="8255"/>
                  <wp:docPr id="21" name="图片 2"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descr="图片2"/>
                          <pic:cNvPicPr>
                            <a:picLocks noChangeAspect="1"/>
                          </pic:cNvPicPr>
                        </pic:nvPicPr>
                        <pic:blipFill>
                          <a:blip r:embed="rId15"/>
                          <a:stretch>
                            <a:fillRect/>
                          </a:stretch>
                        </pic:blipFill>
                        <pic:spPr>
                          <a:xfrm>
                            <a:off x="0" y="0"/>
                            <a:ext cx="1136650" cy="1077595"/>
                          </a:xfrm>
                          <a:prstGeom prst="rect">
                            <a:avLst/>
                          </a:prstGeom>
                          <a:noFill/>
                          <a:ln w="9525">
                            <a:noFill/>
                          </a:ln>
                        </pic:spPr>
                      </pic:pic>
                    </a:graphicData>
                  </a:graphic>
                </wp:inline>
              </w:drawing>
            </w:r>
          </w:p>
        </w:tc>
        <w:tc>
          <w:tcPr>
            <w:tcW w:w="700" w:type="dxa"/>
            <w:shd w:val="clear" w:color="auto" w:fill="auto"/>
            <w:vAlign w:val="center"/>
          </w:tcPr>
          <w:p w14:paraId="4912481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50套</w:t>
            </w:r>
          </w:p>
        </w:tc>
        <w:tc>
          <w:tcPr>
            <w:tcW w:w="1179" w:type="dxa"/>
            <w:shd w:val="clear" w:color="auto" w:fill="auto"/>
            <w:vAlign w:val="center"/>
          </w:tcPr>
          <w:p w14:paraId="611F2C84">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400</w:t>
            </w:r>
          </w:p>
        </w:tc>
      </w:tr>
      <w:tr w14:paraId="4F5212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321C59C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（五）美术室</w:t>
            </w:r>
          </w:p>
        </w:tc>
      </w:tr>
      <w:tr w14:paraId="00D4E7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AB640D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2416D99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4DA0AB1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0F5B1CC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314B4D7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参考单价（元）</w:t>
            </w:r>
          </w:p>
        </w:tc>
      </w:tr>
      <w:tr w14:paraId="3ED2CD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093964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w:t>
            </w:r>
          </w:p>
        </w:tc>
        <w:tc>
          <w:tcPr>
            <w:tcW w:w="716" w:type="dxa"/>
            <w:shd w:val="clear" w:color="auto" w:fill="auto"/>
            <w:vAlign w:val="center"/>
          </w:tcPr>
          <w:p w14:paraId="776E24C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多媒体讲台</w:t>
            </w:r>
          </w:p>
        </w:tc>
        <w:tc>
          <w:tcPr>
            <w:tcW w:w="6717" w:type="dxa"/>
            <w:shd w:val="clear" w:color="auto" w:fill="auto"/>
            <w:vAlign w:val="center"/>
          </w:tcPr>
          <w:p w14:paraId="3401F61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多媒体讲台 规格约：1200×730×900mm（±5mm）。</w:t>
            </w:r>
          </w:p>
          <w:p w14:paraId="690B5FF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1、采用分体式结构，长1200mm、宽730mm、高900mm；底座为60mm。</w:t>
            </w:r>
          </w:p>
          <w:p w14:paraId="1A26C29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2、桌面前板采用一体液压成型弧面设计。</w:t>
            </w:r>
          </w:p>
          <w:p w14:paraId="7DA3496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3、讲台整体采用厚≥1.0mm优质冷轧钢板，前板整体液压拉伸成型，边缘及拐角均采用圆弧设计，配装木扶手为高级橡木。</w:t>
            </w:r>
          </w:p>
          <w:p w14:paraId="689A623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4、颜色为哑光灰白色，表面经酸洗、磷化、静电喷涂、高温固化处理而成，其中静电喷涂选用优质塑粉，不含溶剂。</w:t>
            </w:r>
          </w:p>
          <w:p w14:paraId="668BA7B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5、上桌体左边为显示器固定板，采用翻转式设计结构，可容纳17-22英寸不同规格液晶；翻转板右下方装有限位装置，有效的保护显示屏在安全状态下关闭；一把钥匙控制整个讲台。</w:t>
            </w:r>
          </w:p>
          <w:p w14:paraId="7528AD5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6、键盘采用侧置隐藏可移动式结构，中控安装部位整体冲压一次冲压成型，并配有教具盒可放置教鞭、白板笔、遥控器等方便适用，键盘拉出后与中控位置的上下间距≥70mm。</w:t>
            </w:r>
          </w:p>
          <w:p w14:paraId="2BEEF25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7、右侧为隐藏式展台抽屉，下箱体内部采用机柜式标准设计,底部增设固定装置，左右均开有散热通风孔。</w:t>
            </w:r>
          </w:p>
        </w:tc>
        <w:tc>
          <w:tcPr>
            <w:tcW w:w="700" w:type="dxa"/>
            <w:shd w:val="clear" w:color="auto" w:fill="auto"/>
            <w:vAlign w:val="center"/>
          </w:tcPr>
          <w:p w14:paraId="36CB6F2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179" w:type="dxa"/>
            <w:shd w:val="clear" w:color="auto" w:fill="auto"/>
            <w:vAlign w:val="center"/>
          </w:tcPr>
          <w:p w14:paraId="37D6AB74">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1800</w:t>
            </w:r>
          </w:p>
        </w:tc>
      </w:tr>
      <w:tr w14:paraId="5023B1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30B96E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w:t>
            </w:r>
          </w:p>
        </w:tc>
        <w:tc>
          <w:tcPr>
            <w:tcW w:w="716" w:type="dxa"/>
            <w:shd w:val="clear" w:color="auto" w:fill="auto"/>
            <w:vAlign w:val="center"/>
          </w:tcPr>
          <w:p w14:paraId="33115A14">
            <w:pPr>
              <w:keepNext w:val="0"/>
              <w:keepLines w:val="0"/>
              <w:widowControl/>
              <w:suppressLineNumbers w:val="0"/>
              <w:jc w:val="left"/>
              <w:textAlignment w:val="center"/>
              <w:rPr>
                <w:rFonts w:hint="eastAsia" w:ascii="宋体" w:hAnsi="宋体" w:eastAsia="宋体" w:cs="宋体"/>
                <w:color w:val="000000" w:themeColor="text1"/>
                <w:sz w:val="21"/>
                <w:szCs w:val="21"/>
                <w:highlight w:val="none"/>
                <w:lang w:val="en-US"/>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学生画桌</w:t>
            </w:r>
          </w:p>
        </w:tc>
        <w:tc>
          <w:tcPr>
            <w:tcW w:w="6717" w:type="dxa"/>
            <w:shd w:val="clear" w:color="auto" w:fill="auto"/>
            <w:vAlign w:val="center"/>
          </w:tcPr>
          <w:p w14:paraId="59420540">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钢木结构1600*1000*700mm（长*宽*高），允许±5mm。，立柱采用50*50mm±2mm钢架，台面为40mm±2mm厚橡木指接板。</w:t>
            </w:r>
          </w:p>
        </w:tc>
        <w:tc>
          <w:tcPr>
            <w:tcW w:w="700" w:type="dxa"/>
            <w:shd w:val="clear" w:color="auto" w:fill="auto"/>
            <w:vAlign w:val="center"/>
          </w:tcPr>
          <w:p w14:paraId="5E890BE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24张</w:t>
            </w:r>
          </w:p>
        </w:tc>
        <w:tc>
          <w:tcPr>
            <w:tcW w:w="1179" w:type="dxa"/>
            <w:shd w:val="clear" w:color="auto" w:fill="auto"/>
            <w:vAlign w:val="center"/>
          </w:tcPr>
          <w:p w14:paraId="5709D4FF">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1200</w:t>
            </w:r>
          </w:p>
        </w:tc>
      </w:tr>
      <w:tr w14:paraId="65C1E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96C838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25</w:t>
            </w:r>
          </w:p>
        </w:tc>
        <w:tc>
          <w:tcPr>
            <w:tcW w:w="716" w:type="dxa"/>
            <w:shd w:val="clear" w:color="auto" w:fill="auto"/>
            <w:vAlign w:val="center"/>
          </w:tcPr>
          <w:p w14:paraId="728064C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美术凳</w:t>
            </w:r>
          </w:p>
        </w:tc>
        <w:tc>
          <w:tcPr>
            <w:tcW w:w="6717" w:type="dxa"/>
            <w:shd w:val="clear" w:color="auto" w:fill="auto"/>
            <w:vAlign w:val="center"/>
          </w:tcPr>
          <w:p w14:paraId="7CAB1B0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木制，可升降，旋转表面光滑无毛刺。直径300mm±3mm，高度可升降400-550mm±5mm。</w:t>
            </w:r>
          </w:p>
        </w:tc>
        <w:tc>
          <w:tcPr>
            <w:tcW w:w="700" w:type="dxa"/>
            <w:shd w:val="clear" w:color="auto" w:fill="auto"/>
            <w:vAlign w:val="center"/>
          </w:tcPr>
          <w:p w14:paraId="6859ACB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60张</w:t>
            </w:r>
          </w:p>
        </w:tc>
        <w:tc>
          <w:tcPr>
            <w:tcW w:w="1179" w:type="dxa"/>
            <w:shd w:val="clear" w:color="auto" w:fill="auto"/>
            <w:vAlign w:val="center"/>
          </w:tcPr>
          <w:p w14:paraId="5844B8BF">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80</w:t>
            </w:r>
          </w:p>
        </w:tc>
      </w:tr>
      <w:tr w14:paraId="307179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8E3DC2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w:t>
            </w:r>
          </w:p>
        </w:tc>
        <w:tc>
          <w:tcPr>
            <w:tcW w:w="716" w:type="dxa"/>
            <w:shd w:val="clear" w:color="auto" w:fill="auto"/>
            <w:vAlign w:val="center"/>
          </w:tcPr>
          <w:p w14:paraId="04106B9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美术教学用品柜</w:t>
            </w:r>
          </w:p>
        </w:tc>
        <w:tc>
          <w:tcPr>
            <w:tcW w:w="6717" w:type="dxa"/>
            <w:shd w:val="clear" w:color="auto" w:fill="auto"/>
            <w:vAlign w:val="center"/>
          </w:tcPr>
          <w:p w14:paraId="5611C1D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一、外形尺寸不小于:1050mm×500mm×1800mm。</w:t>
            </w:r>
          </w:p>
          <w:p w14:paraId="6F0948E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二、结构，柜身：铝木结构。柜子上、下部各为三层，隔层板高度可调。柜子上部为对开内嵌式玻璃门，下部为对开内嵌式木门，每扇门均配拉手。</w:t>
            </w:r>
          </w:p>
          <w:p w14:paraId="2BA1DEA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三、材质</w:t>
            </w:r>
          </w:p>
          <w:p w14:paraId="796C6A9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1、所有铝合金型材、钢制立杆、固定扣均要求模具一次加工成型，且必须经过环氧树脂高温固化处理。</w:t>
            </w:r>
          </w:p>
          <w:p w14:paraId="76FED73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2、柜体框架为铝合金型材，前立柱不小于28mm×45mm，后立柱不小于45mm×45mm，横杆不小于28mm×45mm，铝型材厚度不小于1.2mm。</w:t>
            </w:r>
          </w:p>
          <w:p w14:paraId="756364F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3、钢制立杆、固定扣采用冷轧钢板制作，厚度不小于0.8mm。立杆上设有不同高度、不少于20个的调节孔。</w:t>
            </w:r>
          </w:p>
          <w:p w14:paraId="4D3790D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4、隔层板底部设有日字型框架作托架，托架不小于980mm×400mm×15mm,采用不小于15mm×15mm×1.0mm矩形钢管制作。</w:t>
            </w:r>
          </w:p>
          <w:p w14:paraId="08EDB85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5、柜体各面所用板材采用优质中密度或高密度纤维板，厚度不小于15mm；柜门内嵌板厚度不小于5mm；隔层板厚度不小于12mm 且不大于13mm。</w:t>
            </w:r>
          </w:p>
          <w:p w14:paraId="377A99D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6、必须配备铰链、可调式脚垫、拉手</w:t>
            </w:r>
          </w:p>
          <w:p w14:paraId="73FBBBB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7、玻璃：采用规格不小于845mm×344mm，厚度≥4mm白色浮化玻璃。</w:t>
            </w:r>
          </w:p>
          <w:p w14:paraId="770912B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四、产品质量符合GB/T3324-2017《木家具通用技术条件》中的相关规定。有害物质限量必须符合GB/18584-2001《室内装饰装修材料木家具中有害物质限量》的规定。</w:t>
            </w:r>
          </w:p>
        </w:tc>
        <w:tc>
          <w:tcPr>
            <w:tcW w:w="700" w:type="dxa"/>
            <w:shd w:val="clear" w:color="auto" w:fill="auto"/>
            <w:vAlign w:val="center"/>
          </w:tcPr>
          <w:p w14:paraId="165AB0E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2个</w:t>
            </w:r>
          </w:p>
        </w:tc>
        <w:tc>
          <w:tcPr>
            <w:tcW w:w="1179" w:type="dxa"/>
            <w:shd w:val="clear" w:color="auto" w:fill="auto"/>
            <w:vAlign w:val="center"/>
          </w:tcPr>
          <w:p w14:paraId="6BB88C05">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1200</w:t>
            </w:r>
          </w:p>
        </w:tc>
      </w:tr>
      <w:tr w14:paraId="05A00D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0B5CEE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27</w:t>
            </w:r>
          </w:p>
        </w:tc>
        <w:tc>
          <w:tcPr>
            <w:tcW w:w="716" w:type="dxa"/>
            <w:shd w:val="clear" w:color="auto" w:fill="auto"/>
            <w:vAlign w:val="center"/>
          </w:tcPr>
          <w:p w14:paraId="6846E94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后墙展示柜</w:t>
            </w:r>
          </w:p>
        </w:tc>
        <w:tc>
          <w:tcPr>
            <w:tcW w:w="6717" w:type="dxa"/>
            <w:shd w:val="clear" w:color="auto" w:fill="auto"/>
            <w:vAlign w:val="center"/>
          </w:tcPr>
          <w:p w14:paraId="43DB9384">
            <w:pPr>
              <w:keepNext w:val="0"/>
              <w:keepLines w:val="0"/>
              <w:widowControl/>
              <w:suppressLineNumbers w:val="0"/>
              <w:jc w:val="both"/>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1000*500*2200mm，铝合金结构，做圆角处理。上半部分为钢化玻璃，台面车边，上门为不小于5mm钢化玻璃左右推拉门，二层不小于10mm厚钢化玻璃活动隔板，下半部分为木质对开门，主材为不小于18mm厚E1级彩色三聚氰胺板，一层活动搁板，品牌三合一连接件，铝合金“[”型拉手，品牌滑轨铰链，品牌2mmPVC封边条，品牌热熔</w:t>
            </w:r>
            <w:r>
              <w:rPr>
                <w:rFonts w:hint="eastAsia" w:ascii="宋体" w:hAnsi="宋体" w:eastAsia="宋体" w:cs="宋体"/>
                <w:i w:val="0"/>
                <w:iCs w:val="0"/>
                <w:color w:val="000000"/>
                <w:kern w:val="0"/>
                <w:sz w:val="21"/>
                <w:szCs w:val="21"/>
                <w:u w:val="none"/>
                <w:lang w:val="en-US" w:eastAsia="zh-CN" w:bidi="ar"/>
              </w:rPr>
              <w:t>胶。</w:t>
            </w:r>
          </w:p>
        </w:tc>
        <w:tc>
          <w:tcPr>
            <w:tcW w:w="700" w:type="dxa"/>
            <w:shd w:val="clear" w:color="auto" w:fill="auto"/>
            <w:vAlign w:val="center"/>
          </w:tcPr>
          <w:p w14:paraId="5A8CA15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6组</w:t>
            </w:r>
          </w:p>
        </w:tc>
        <w:tc>
          <w:tcPr>
            <w:tcW w:w="1179" w:type="dxa"/>
            <w:shd w:val="clear" w:color="auto" w:fill="auto"/>
            <w:vAlign w:val="center"/>
          </w:tcPr>
          <w:p w14:paraId="39954578">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1400</w:t>
            </w:r>
          </w:p>
        </w:tc>
      </w:tr>
      <w:tr w14:paraId="1F1C23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B9134F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28</w:t>
            </w:r>
          </w:p>
        </w:tc>
        <w:tc>
          <w:tcPr>
            <w:tcW w:w="716" w:type="dxa"/>
            <w:shd w:val="clear" w:color="auto" w:fill="auto"/>
            <w:vAlign w:val="center"/>
          </w:tcPr>
          <w:p w14:paraId="1705CF4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水池柜</w:t>
            </w:r>
          </w:p>
        </w:tc>
        <w:tc>
          <w:tcPr>
            <w:tcW w:w="6717" w:type="dxa"/>
            <w:shd w:val="clear" w:color="auto" w:fill="auto"/>
            <w:vAlign w:val="center"/>
          </w:tcPr>
          <w:p w14:paraId="2FD2A962">
            <w:pPr>
              <w:keepNext w:val="0"/>
              <w:keepLines w:val="0"/>
              <w:widowControl/>
              <w:suppressLineNumbers w:val="0"/>
              <w:jc w:val="both"/>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600*550*750mm，台面为不小于0.7mm厚贴面防火板，里芯料为不小于25mm厚刨花板，桌体为不小于18mm厚E1级彩色三聚氰胺板，品牌三合一连接件，铝合金“[”型拉手，品牌滑轨铰链，品牌2mmPVC封边条，品牌热熔胶。</w:t>
            </w:r>
          </w:p>
        </w:tc>
        <w:tc>
          <w:tcPr>
            <w:tcW w:w="700" w:type="dxa"/>
            <w:shd w:val="clear" w:color="auto" w:fill="auto"/>
            <w:vAlign w:val="center"/>
          </w:tcPr>
          <w:p w14:paraId="3433EFF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1组</w:t>
            </w:r>
          </w:p>
        </w:tc>
        <w:tc>
          <w:tcPr>
            <w:tcW w:w="1179" w:type="dxa"/>
            <w:shd w:val="clear" w:color="auto" w:fill="auto"/>
            <w:vAlign w:val="center"/>
          </w:tcPr>
          <w:p w14:paraId="22EFD203">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2800</w:t>
            </w:r>
          </w:p>
        </w:tc>
      </w:tr>
      <w:tr w14:paraId="6FA341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504EE25">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29</w:t>
            </w:r>
          </w:p>
        </w:tc>
        <w:tc>
          <w:tcPr>
            <w:tcW w:w="716" w:type="dxa"/>
            <w:shd w:val="clear" w:color="auto" w:fill="auto"/>
            <w:vAlign w:val="center"/>
          </w:tcPr>
          <w:p w14:paraId="35DD0EA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水槽</w:t>
            </w:r>
          </w:p>
        </w:tc>
        <w:tc>
          <w:tcPr>
            <w:tcW w:w="6717" w:type="dxa"/>
            <w:shd w:val="clear" w:color="auto" w:fill="auto"/>
            <w:vAlign w:val="center"/>
          </w:tcPr>
          <w:p w14:paraId="7404A169">
            <w:pPr>
              <w:keepNext w:val="0"/>
              <w:keepLines w:val="0"/>
              <w:widowControl/>
              <w:suppressLineNumbers w:val="0"/>
              <w:jc w:val="both"/>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黑色，</w:t>
            </w:r>
            <w:r>
              <w:rPr>
                <w:rFonts w:hint="eastAsia" w:ascii="宋体" w:hAnsi="宋体" w:eastAsia="宋体" w:cs="宋体"/>
                <w:i w:val="0"/>
                <w:iCs w:val="0"/>
                <w:color w:val="auto"/>
                <w:kern w:val="0"/>
                <w:sz w:val="21"/>
                <w:szCs w:val="21"/>
                <w:u w:val="none"/>
                <w:lang w:val="en-US" w:eastAsia="zh-CN" w:bidi="ar"/>
              </w:rPr>
              <w:t>400×340×190mm，PP正体</w:t>
            </w:r>
            <w:r>
              <w:rPr>
                <w:rFonts w:hint="eastAsia" w:ascii="宋体" w:hAnsi="宋体" w:eastAsia="宋体" w:cs="宋体"/>
                <w:i w:val="0"/>
                <w:iCs w:val="0"/>
                <w:color w:val="000000"/>
                <w:kern w:val="0"/>
                <w:sz w:val="21"/>
                <w:szCs w:val="21"/>
                <w:u w:val="none"/>
                <w:lang w:val="en-US" w:eastAsia="zh-CN" w:bidi="ar"/>
              </w:rPr>
              <w:t>专用化验水槽，水封式，可防止废水气体回流和废渣堵塞。</w:t>
            </w:r>
          </w:p>
        </w:tc>
        <w:tc>
          <w:tcPr>
            <w:tcW w:w="700" w:type="dxa"/>
            <w:shd w:val="clear" w:color="auto" w:fill="auto"/>
            <w:vAlign w:val="center"/>
          </w:tcPr>
          <w:p w14:paraId="1291213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179" w:type="dxa"/>
            <w:shd w:val="clear" w:color="auto" w:fill="auto"/>
            <w:vAlign w:val="center"/>
          </w:tcPr>
          <w:p w14:paraId="064850DD">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60</w:t>
            </w:r>
          </w:p>
        </w:tc>
      </w:tr>
      <w:tr w14:paraId="20DD17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C4BD18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w:t>
            </w:r>
          </w:p>
        </w:tc>
        <w:tc>
          <w:tcPr>
            <w:tcW w:w="716" w:type="dxa"/>
            <w:shd w:val="clear" w:color="auto" w:fill="auto"/>
            <w:vAlign w:val="center"/>
          </w:tcPr>
          <w:p w14:paraId="014491D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水嘴</w:t>
            </w:r>
          </w:p>
        </w:tc>
        <w:tc>
          <w:tcPr>
            <w:tcW w:w="6717" w:type="dxa"/>
            <w:shd w:val="clear" w:color="auto" w:fill="auto"/>
            <w:vAlign w:val="center"/>
          </w:tcPr>
          <w:p w14:paraId="57C4EEA5">
            <w:pPr>
              <w:keepNext w:val="0"/>
              <w:keepLines w:val="0"/>
              <w:widowControl/>
              <w:suppressLineNumbers w:val="0"/>
              <w:jc w:val="both"/>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1、鹅颈三联高压水嘴，铜质镀铬，陶瓷芯阀。</w:t>
            </w:r>
          </w:p>
          <w:p w14:paraId="4EF382FD">
            <w:pPr>
              <w:keepNext w:val="0"/>
              <w:keepLines w:val="0"/>
              <w:widowControl/>
              <w:suppressLineNumbers w:val="0"/>
              <w:jc w:val="both"/>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b/>
                <w:bCs/>
                <w:i w:val="0"/>
                <w:iCs w:val="0"/>
                <w:color w:val="000000"/>
                <w:kern w:val="0"/>
                <w:sz w:val="21"/>
                <w:szCs w:val="21"/>
                <w:highlight w:val="none"/>
                <w:u w:val="none"/>
                <w:lang w:val="en-US" w:eastAsia="zh-CN" w:bidi="ar"/>
              </w:rPr>
              <w:t>2、</w:t>
            </w:r>
            <w:r>
              <w:rPr>
                <w:rFonts w:hint="eastAsia" w:ascii="宋体" w:hAnsi="宋体" w:eastAsia="宋体" w:cs="宋体"/>
                <w:b/>
                <w:bCs/>
                <w:color w:val="auto"/>
                <w:sz w:val="21"/>
                <w:szCs w:val="21"/>
                <w:highlight w:val="none"/>
              </w:rPr>
              <w:t>投标文件中须提供所投产品获得国家确定的认证机构出具的、处于有效之内的节能产品认证证书扫描件并加盖投标人CA证书签章，否则投标文件无效。</w:t>
            </w:r>
          </w:p>
        </w:tc>
        <w:tc>
          <w:tcPr>
            <w:tcW w:w="700" w:type="dxa"/>
            <w:shd w:val="clear" w:color="auto" w:fill="auto"/>
            <w:vAlign w:val="center"/>
          </w:tcPr>
          <w:p w14:paraId="2BAE015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179" w:type="dxa"/>
            <w:shd w:val="clear" w:color="auto" w:fill="auto"/>
            <w:vAlign w:val="center"/>
          </w:tcPr>
          <w:p w14:paraId="7BDF6075">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100</w:t>
            </w:r>
          </w:p>
        </w:tc>
      </w:tr>
      <w:tr w14:paraId="540A77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39B928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31</w:t>
            </w:r>
          </w:p>
        </w:tc>
        <w:tc>
          <w:tcPr>
            <w:tcW w:w="716" w:type="dxa"/>
            <w:shd w:val="clear" w:color="auto" w:fill="auto"/>
            <w:vAlign w:val="center"/>
          </w:tcPr>
          <w:p w14:paraId="2A7E733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安装材料</w:t>
            </w:r>
          </w:p>
        </w:tc>
        <w:tc>
          <w:tcPr>
            <w:tcW w:w="6717" w:type="dxa"/>
            <w:shd w:val="clear" w:color="auto" w:fill="auto"/>
            <w:vAlign w:val="center"/>
          </w:tcPr>
          <w:p w14:paraId="114E02C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线材、管材、移动插座及配件。</w:t>
            </w:r>
          </w:p>
        </w:tc>
        <w:tc>
          <w:tcPr>
            <w:tcW w:w="700" w:type="dxa"/>
            <w:shd w:val="clear" w:color="auto" w:fill="auto"/>
            <w:vAlign w:val="center"/>
          </w:tcPr>
          <w:p w14:paraId="5B67679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1批</w:t>
            </w:r>
          </w:p>
        </w:tc>
        <w:tc>
          <w:tcPr>
            <w:tcW w:w="1179" w:type="dxa"/>
            <w:shd w:val="clear" w:color="auto" w:fill="auto"/>
            <w:vAlign w:val="center"/>
          </w:tcPr>
          <w:p w14:paraId="2408FAA0">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200</w:t>
            </w:r>
          </w:p>
        </w:tc>
      </w:tr>
      <w:tr w14:paraId="793AD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21F9E91A">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（六）音乐室</w:t>
            </w:r>
          </w:p>
        </w:tc>
      </w:tr>
      <w:tr w14:paraId="2AB679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C20692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18E0DB1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55A5083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5D05438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0591F9F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参考单价（元）</w:t>
            </w:r>
          </w:p>
        </w:tc>
      </w:tr>
      <w:tr w14:paraId="47BD3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156236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32</w:t>
            </w:r>
          </w:p>
        </w:tc>
        <w:tc>
          <w:tcPr>
            <w:tcW w:w="716" w:type="dxa"/>
            <w:shd w:val="clear" w:color="auto" w:fill="auto"/>
            <w:vAlign w:val="center"/>
          </w:tcPr>
          <w:p w14:paraId="7C66A01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多媒体讲台</w:t>
            </w:r>
          </w:p>
        </w:tc>
        <w:tc>
          <w:tcPr>
            <w:tcW w:w="6717" w:type="dxa"/>
            <w:shd w:val="clear" w:color="auto" w:fill="auto"/>
            <w:vAlign w:val="center"/>
          </w:tcPr>
          <w:p w14:paraId="10990C4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多媒体讲台 规格约：1200×730×900mm（±5mm）。</w:t>
            </w:r>
          </w:p>
          <w:p w14:paraId="341FB76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1、采用分体式结构，长1200mm、宽730mm、高900mm；底座为不小于60mm。</w:t>
            </w:r>
          </w:p>
          <w:p w14:paraId="118AF0B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2、桌面前板采用一体液压成型弧面设计。</w:t>
            </w:r>
          </w:p>
          <w:p w14:paraId="567FAC3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3、讲台整体采用厚≥1.0mm优质冷轧钢板，前板整体液压拉伸成型，边缘及拐角均采用圆弧设计，配装木扶手为高级橡木。</w:t>
            </w:r>
          </w:p>
          <w:p w14:paraId="0A53FDE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4、颜色为哑光灰白色，表面经酸洗、磷化、静电喷涂、高温固化处理而成，其中静电喷涂选用优质塑粉，不含溶剂。</w:t>
            </w:r>
          </w:p>
          <w:p w14:paraId="56A4FB1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5、上桌体左边为显示器固定板，采用翻转式设计结构，可容纳17-22英寸不同规格液晶；翻转板右下方装有限位装置，有效的保护显示屏在安全状态下关闭；一把钥匙控制整个讲台。</w:t>
            </w:r>
          </w:p>
          <w:p w14:paraId="50CD613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6、键盘采用侧置隐藏可移动式结构，中控安装部位整体冲压一次冲压成型，并配有教具盒可放置教鞭、白板笔、遥控器等方便适用，键盘拉出后与中控位置的上下间距≥70mm。</w:t>
            </w:r>
          </w:p>
          <w:p w14:paraId="32F5EBE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7、右侧为隐藏式展台抽屉，下箱体内部采用机柜式标准设计,底部增设固定装置，左右均开有散热通风孔。</w:t>
            </w:r>
          </w:p>
        </w:tc>
        <w:tc>
          <w:tcPr>
            <w:tcW w:w="700" w:type="dxa"/>
            <w:shd w:val="clear" w:color="auto" w:fill="auto"/>
            <w:vAlign w:val="center"/>
          </w:tcPr>
          <w:p w14:paraId="77E0BB3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179" w:type="dxa"/>
            <w:shd w:val="clear" w:color="auto" w:fill="auto"/>
            <w:vAlign w:val="center"/>
          </w:tcPr>
          <w:p w14:paraId="5EAD6BBD">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1800</w:t>
            </w:r>
          </w:p>
        </w:tc>
      </w:tr>
      <w:tr w14:paraId="13FDE8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90C8AF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33</w:t>
            </w:r>
          </w:p>
        </w:tc>
        <w:tc>
          <w:tcPr>
            <w:tcW w:w="716" w:type="dxa"/>
            <w:shd w:val="clear" w:color="auto" w:fill="auto"/>
            <w:vAlign w:val="center"/>
          </w:tcPr>
          <w:p w14:paraId="5D315FB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电钢琴</w:t>
            </w:r>
          </w:p>
        </w:tc>
        <w:tc>
          <w:tcPr>
            <w:tcW w:w="6717" w:type="dxa"/>
            <w:shd w:val="clear" w:color="auto" w:fill="auto"/>
            <w:vAlign w:val="center"/>
          </w:tcPr>
          <w:p w14:paraId="18EB070E">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1、键盘为88键三传感器渐进式击弦机结构键盘；                                                                                                                                 </w:t>
            </w:r>
          </w:p>
          <w:p w14:paraId="331E72F1">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2、三级力度感应；                                                                                                                                                                                                                                     </w:t>
            </w:r>
          </w:p>
          <w:p w14:paraId="6F1277A8">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3、不少于两个踏板:延音踏板、弱音踏板；                                                                                                                                              </w:t>
            </w:r>
          </w:p>
          <w:p w14:paraId="7BFA1C8A">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4、最大复音数不小于128种，内置不少于16种音色：                                                                              </w:t>
            </w:r>
          </w:p>
          <w:p w14:paraId="1014B450">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5、内置乐曲不少于60首（乐曲库），架式；</w:t>
            </w:r>
          </w:p>
          <w:p w14:paraId="5F7FDB12">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6、乐曲库含广西小学音乐教材用曲；                                                                                    </w:t>
            </w:r>
          </w:p>
          <w:p w14:paraId="525AA209">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7、有实时录制/回放功能；                                                                                                                                                </w:t>
            </w:r>
          </w:p>
          <w:p w14:paraId="3BE3F8C8">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8、终端接口：USB ，可使用USB电缆连接计算机；                                                                                                          </w:t>
            </w:r>
          </w:p>
          <w:p w14:paraId="6939E848">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9、放大器输出功率不小于8W＋8W,耳机（3.5mm立体声MINI插头）×2；                                                                                          </w:t>
            </w:r>
          </w:p>
          <w:p w14:paraId="3AA97E08">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10、外部电源（12V DC）；</w:t>
            </w:r>
          </w:p>
          <w:p w14:paraId="4C88ED41">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11、附件：踏板、乐谱、谱架、电源适配器、说明书；                                                                                                         </w:t>
            </w:r>
          </w:p>
          <w:p w14:paraId="573A8741">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sz w:val="21"/>
                <w:szCs w:val="21"/>
                <w:lang w:val="en-US" w:eastAsia="zh-CN"/>
              </w:rPr>
            </w:pPr>
            <w:r>
              <w:rPr>
                <w:rFonts w:hint="eastAsia" w:ascii="宋体" w:hAnsi="宋体" w:eastAsia="宋体" w:cs="宋体"/>
                <w:sz w:val="21"/>
                <w:szCs w:val="21"/>
                <w:lang w:val="en-US" w:eastAsia="zh-CN"/>
              </w:rPr>
              <w:t xml:space="preserve">12、其余应符合QB/T 1477-2003《电子钢琴》立式高级品的有关规定。 </w:t>
            </w:r>
          </w:p>
          <w:p w14:paraId="68A7EBFA">
            <w:pPr>
              <w:keepNext w:val="0"/>
              <w:keepLines w:val="0"/>
              <w:pageBreakBefore w:val="0"/>
              <w:widowControl/>
              <w:kinsoku/>
              <w:wordWrap/>
              <w:overflowPunct/>
              <w:topLinePunct w:val="0"/>
              <w:autoSpaceDE/>
              <w:autoSpaceDN/>
              <w:bidi w:val="0"/>
              <w:adjustRightInd w:val="0"/>
              <w:snapToGrid w:val="0"/>
              <w:spacing w:before="100" w:after="100"/>
              <w:textAlignment w:val="auto"/>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sz w:val="21"/>
                <w:szCs w:val="21"/>
                <w:lang w:val="en-US" w:eastAsia="zh-CN"/>
              </w:rPr>
              <w:t>13、配琴凳。</w:t>
            </w:r>
          </w:p>
        </w:tc>
        <w:tc>
          <w:tcPr>
            <w:tcW w:w="700" w:type="dxa"/>
            <w:shd w:val="clear" w:color="auto" w:fill="auto"/>
            <w:vAlign w:val="center"/>
          </w:tcPr>
          <w:p w14:paraId="6009221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281AAE01">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5220</w:t>
            </w:r>
          </w:p>
        </w:tc>
      </w:tr>
      <w:tr w14:paraId="58B556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9067A1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34</w:t>
            </w:r>
          </w:p>
        </w:tc>
        <w:tc>
          <w:tcPr>
            <w:tcW w:w="716" w:type="dxa"/>
            <w:shd w:val="clear" w:color="auto" w:fill="auto"/>
            <w:vAlign w:val="center"/>
          </w:tcPr>
          <w:p w14:paraId="10F51DE8">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拖杆音箱</w:t>
            </w:r>
          </w:p>
        </w:tc>
        <w:tc>
          <w:tcPr>
            <w:tcW w:w="6717" w:type="dxa"/>
            <w:shd w:val="clear" w:color="auto" w:fill="auto"/>
            <w:vAlign w:val="center"/>
          </w:tcPr>
          <w:p w14:paraId="7C14986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1、12英寸中低音+专业压缩式真号角高音，高效抑制啸叫，7种音频输入，双USB设计，播放充电两不误，双电源模式，支持12V电瓶输入以及AC电源输入。</w:t>
            </w:r>
          </w:p>
          <w:p w14:paraId="1378B15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2、配件：音箱*1、无线麦克风*2、麦克风挂架*2、AC电源线*1、DC电源线*1、遥控器*1、音频线*1；</w:t>
            </w:r>
          </w:p>
          <w:p w14:paraId="59EA188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3、音频输入: LINEIN, 蓝牙，U盘，microSD卡，有线/无线麦克风，吉他等乐器；</w:t>
            </w:r>
          </w:p>
          <w:p w14:paraId="350AFE5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4、调节形式:按键/旋钮调节；</w:t>
            </w:r>
          </w:p>
          <w:p w14:paraId="15CE8E1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5、蓝牙规格: EDF8615, V5.0；</w:t>
            </w:r>
          </w:p>
          <w:p w14:paraId="3903182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6、电池容量/电池续航: 9AH/12V,续航时间:≥8h；</w:t>
            </w:r>
          </w:p>
          <w:p w14:paraId="029BA5A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7、噪声声级(dB) :≤30dB(A)；</w:t>
            </w:r>
          </w:p>
          <w:p w14:paraId="11EDC2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8、信噪比dB(A):≥85dB(A)；</w:t>
            </w:r>
          </w:p>
          <w:p w14:paraId="02A4EA1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9、输入灵敏度: LINE IN输入250士50mV；</w:t>
            </w:r>
          </w:p>
          <w:p w14:paraId="7A5F1E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10、蓝牙输入: 200士50mFFS；</w:t>
            </w:r>
          </w:p>
          <w:p w14:paraId="0C4A90E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11、吉他输入: 110士50mV；</w:t>
            </w:r>
          </w:p>
          <w:p w14:paraId="4F46536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12、输出功率: 40W。</w:t>
            </w:r>
          </w:p>
        </w:tc>
        <w:tc>
          <w:tcPr>
            <w:tcW w:w="700" w:type="dxa"/>
            <w:shd w:val="clear" w:color="auto" w:fill="auto"/>
            <w:vAlign w:val="center"/>
          </w:tcPr>
          <w:p w14:paraId="55B2602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1ED8E014">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2300</w:t>
            </w:r>
          </w:p>
        </w:tc>
      </w:tr>
      <w:tr w14:paraId="547E8A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BE67D6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35</w:t>
            </w:r>
          </w:p>
        </w:tc>
        <w:tc>
          <w:tcPr>
            <w:tcW w:w="716" w:type="dxa"/>
            <w:shd w:val="clear" w:color="auto" w:fill="auto"/>
            <w:vAlign w:val="center"/>
          </w:tcPr>
          <w:p w14:paraId="59E00D7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乐谱架</w:t>
            </w:r>
          </w:p>
        </w:tc>
        <w:tc>
          <w:tcPr>
            <w:tcW w:w="6717" w:type="dxa"/>
            <w:shd w:val="clear" w:color="auto" w:fill="auto"/>
            <w:vAlign w:val="center"/>
          </w:tcPr>
          <w:p w14:paraId="062234B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中号（国标）</w:t>
            </w:r>
          </w:p>
        </w:tc>
        <w:tc>
          <w:tcPr>
            <w:tcW w:w="700" w:type="dxa"/>
            <w:shd w:val="clear" w:color="auto" w:fill="auto"/>
            <w:vAlign w:val="center"/>
          </w:tcPr>
          <w:p w14:paraId="12C189E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1架</w:t>
            </w:r>
          </w:p>
        </w:tc>
        <w:tc>
          <w:tcPr>
            <w:tcW w:w="1179" w:type="dxa"/>
            <w:shd w:val="clear" w:color="auto" w:fill="auto"/>
            <w:vAlign w:val="center"/>
          </w:tcPr>
          <w:p w14:paraId="7FBCC752">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120</w:t>
            </w:r>
          </w:p>
        </w:tc>
      </w:tr>
      <w:tr w14:paraId="677442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711C9B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36</w:t>
            </w:r>
          </w:p>
        </w:tc>
        <w:tc>
          <w:tcPr>
            <w:tcW w:w="716" w:type="dxa"/>
            <w:shd w:val="clear" w:color="auto" w:fill="auto"/>
            <w:vAlign w:val="center"/>
          </w:tcPr>
          <w:p w14:paraId="109A260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音乐教学用品柜</w:t>
            </w:r>
          </w:p>
        </w:tc>
        <w:tc>
          <w:tcPr>
            <w:tcW w:w="6717" w:type="dxa"/>
            <w:shd w:val="clear" w:color="auto" w:fill="auto"/>
            <w:vAlign w:val="center"/>
          </w:tcPr>
          <w:p w14:paraId="22DE37A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一、外形尺寸不小于:1050mm×500mm×1800mm。</w:t>
            </w:r>
          </w:p>
          <w:p w14:paraId="37BDDD4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二、结构，柜身：铝木结构。柜子上、下部各为三层，隔层板高度可调。柜子上部为对开内嵌式玻璃门，下部为对开内嵌式木门，每扇门均配拉手。</w:t>
            </w:r>
          </w:p>
          <w:p w14:paraId="4B345D3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三、材质</w:t>
            </w:r>
          </w:p>
          <w:p w14:paraId="19F0B97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1、所有铝合金型材、钢制立杆、固定扣均要求模具一次加工成型，且必须经过环氧树脂高温固化处理。</w:t>
            </w:r>
          </w:p>
          <w:p w14:paraId="24A8BF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2、柜体框架为铝合金型材，前立柱不小于28mm×45mm，后立柱不小于45mm×45mm，横杆不小于28mm×45mm，铝型材厚度不小于1.2mm。</w:t>
            </w:r>
          </w:p>
          <w:p w14:paraId="79EBCFC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3、钢制立杆、固定扣采用冷轧钢板制作，厚度不小于0.8mm。立杆上设有不同高度、不少于20个的调节孔。</w:t>
            </w:r>
          </w:p>
          <w:p w14:paraId="50F2257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4、隔层板底部设有日字型框架作托架，托架不小于980mm×400mm×15mm,采用不小于15mm×15mm×1.0mm矩形钢管制作。</w:t>
            </w:r>
          </w:p>
          <w:p w14:paraId="57C1734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5、柜体各面所用板材采用优质中密度或高密度纤维板，厚度不小于15mm；柜门内嵌板厚度不小于5mm；隔层板厚度不小于12mm 且不大于13mm。</w:t>
            </w:r>
          </w:p>
          <w:p w14:paraId="2EA6481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6、必须配备铰链、可调式脚垫、拉手。</w:t>
            </w:r>
          </w:p>
          <w:p w14:paraId="66B2A2E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7、玻璃：采用规格不小于845mm×344mm，厚度≥4mm白色浮化玻璃。</w:t>
            </w:r>
          </w:p>
          <w:p w14:paraId="1E3FA26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四、产品质量符合GB/T3324-2017《木家具通用技术条件》中的相关规定。有害物质限量必须符合GB/18584-2001《室内装饰装修材料木家具中有害物质限量》的规定。</w:t>
            </w:r>
          </w:p>
        </w:tc>
        <w:tc>
          <w:tcPr>
            <w:tcW w:w="700" w:type="dxa"/>
            <w:shd w:val="clear" w:color="auto" w:fill="auto"/>
            <w:vAlign w:val="center"/>
          </w:tcPr>
          <w:p w14:paraId="0BF43ED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2个</w:t>
            </w:r>
          </w:p>
        </w:tc>
        <w:tc>
          <w:tcPr>
            <w:tcW w:w="1179" w:type="dxa"/>
            <w:shd w:val="clear" w:color="auto" w:fill="auto"/>
            <w:vAlign w:val="center"/>
          </w:tcPr>
          <w:p w14:paraId="3776B90B">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1200</w:t>
            </w:r>
          </w:p>
        </w:tc>
      </w:tr>
      <w:tr w14:paraId="5AADA5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7AD3DD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37</w:t>
            </w:r>
          </w:p>
        </w:tc>
        <w:tc>
          <w:tcPr>
            <w:tcW w:w="716" w:type="dxa"/>
            <w:shd w:val="clear" w:color="auto" w:fill="auto"/>
            <w:vAlign w:val="center"/>
          </w:tcPr>
          <w:p w14:paraId="2C115CA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音乐凳</w:t>
            </w:r>
          </w:p>
        </w:tc>
        <w:tc>
          <w:tcPr>
            <w:tcW w:w="6717" w:type="dxa"/>
            <w:shd w:val="clear" w:color="auto" w:fill="auto"/>
            <w:vAlign w:val="center"/>
          </w:tcPr>
          <w:p w14:paraId="4A926001">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座面有效高度不小于30*35*41cm带木龙骨，使用专用连接技术，达到E1级环保标准，厚度不小于8㎜；角脚应为凹凸型匹配设计,应能够稳固叠摞成合唱台阶等；边条圆滑无棱角，静电喷涂。</w:t>
            </w:r>
          </w:p>
        </w:tc>
        <w:tc>
          <w:tcPr>
            <w:tcW w:w="700" w:type="dxa"/>
            <w:shd w:val="clear" w:color="auto" w:fill="auto"/>
            <w:vAlign w:val="center"/>
          </w:tcPr>
          <w:p w14:paraId="58ED8E9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60张</w:t>
            </w:r>
          </w:p>
        </w:tc>
        <w:tc>
          <w:tcPr>
            <w:tcW w:w="1179" w:type="dxa"/>
            <w:shd w:val="clear" w:color="auto" w:fill="auto"/>
            <w:vAlign w:val="center"/>
          </w:tcPr>
          <w:p w14:paraId="46604307">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70</w:t>
            </w:r>
          </w:p>
        </w:tc>
      </w:tr>
      <w:tr w14:paraId="301851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32D85E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38</w:t>
            </w:r>
          </w:p>
        </w:tc>
        <w:tc>
          <w:tcPr>
            <w:tcW w:w="716" w:type="dxa"/>
            <w:shd w:val="clear" w:color="auto" w:fill="auto"/>
            <w:vAlign w:val="center"/>
          </w:tcPr>
          <w:p w14:paraId="04983DD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指挥台（含指挥棒）</w:t>
            </w:r>
          </w:p>
        </w:tc>
        <w:tc>
          <w:tcPr>
            <w:tcW w:w="6717" w:type="dxa"/>
            <w:shd w:val="clear" w:color="auto" w:fill="auto"/>
            <w:vAlign w:val="center"/>
          </w:tcPr>
          <w:p w14:paraId="425A270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便携可调，折叠式指挥台,实木材质,多层哑光黑贴面板，结实耐用，无噪音。站台表面铺有黑地毯，美观大方，站台内部为钢制结构，结实耐用，抗压力强，站台带有安全护栏，安全性好。谱台和二层板台为黑色亚克力板和注塑板，可以自由调节倾斜度数。谱台高度可调节。整体可折叠，操作简单，移动方便。适合于大型音乐厅使用，不会给演奏带来音效上的影响。</w:t>
            </w:r>
          </w:p>
          <w:p w14:paraId="06FA622F">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1.便</w:t>
            </w:r>
            <w:r>
              <w:rPr>
                <w:rFonts w:hint="eastAsia" w:ascii="宋体" w:hAnsi="宋体" w:eastAsia="宋体" w:cs="宋体"/>
                <w:i w:val="0"/>
                <w:iCs w:val="0"/>
                <w:color w:val="auto"/>
                <w:kern w:val="0"/>
                <w:sz w:val="21"/>
                <w:szCs w:val="21"/>
                <w:u w:val="none"/>
                <w:lang w:val="en-US" w:eastAsia="zh-CN" w:bidi="ar"/>
              </w:rPr>
              <w:t>携可调，折叠式指挥台；</w:t>
            </w:r>
          </w:p>
          <w:p w14:paraId="152C40DF">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2.谱台板尺寸:67*44公分；</w:t>
            </w:r>
          </w:p>
          <w:p w14:paraId="018FEBF2">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3.二层台板尺寸:45*30公分；</w:t>
            </w:r>
          </w:p>
          <w:p w14:paraId="50925A47">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4.谱台板高度尺寸:80-120公分；</w:t>
            </w:r>
          </w:p>
          <w:p w14:paraId="348F40F1">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5.护栏高度尺寸:高100公分 宽:85公分；</w:t>
            </w:r>
          </w:p>
          <w:p w14:paraId="1CF30D4E">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6.站台尺寸:125*100*28公分；</w:t>
            </w:r>
          </w:p>
          <w:p w14:paraId="327EA85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7.指挥棒：37cm。</w:t>
            </w:r>
          </w:p>
        </w:tc>
        <w:tc>
          <w:tcPr>
            <w:tcW w:w="700" w:type="dxa"/>
            <w:shd w:val="clear" w:color="auto" w:fill="auto"/>
            <w:vAlign w:val="center"/>
          </w:tcPr>
          <w:p w14:paraId="4EC6EC5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179" w:type="dxa"/>
            <w:shd w:val="clear" w:color="auto" w:fill="auto"/>
            <w:vAlign w:val="center"/>
          </w:tcPr>
          <w:p w14:paraId="30CDCCA2">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5600</w:t>
            </w:r>
          </w:p>
        </w:tc>
      </w:tr>
      <w:tr w14:paraId="0CF1A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4EDACF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39</w:t>
            </w:r>
          </w:p>
        </w:tc>
        <w:tc>
          <w:tcPr>
            <w:tcW w:w="716" w:type="dxa"/>
            <w:shd w:val="clear" w:color="auto" w:fill="auto"/>
            <w:vAlign w:val="center"/>
          </w:tcPr>
          <w:p w14:paraId="1D68F5F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合唱台</w:t>
            </w:r>
          </w:p>
        </w:tc>
        <w:tc>
          <w:tcPr>
            <w:tcW w:w="6717" w:type="dxa"/>
            <w:shd w:val="clear" w:color="auto" w:fill="auto"/>
            <w:vAlign w:val="center"/>
          </w:tcPr>
          <w:p w14:paraId="10CB577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1、三层阶梯台阶式，每层长120cm*宽40cm*高20cm（允许偏差±5mm）；</w:t>
            </w:r>
          </w:p>
          <w:p w14:paraId="524FF3E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2、材质：优质橡木；</w:t>
            </w:r>
          </w:p>
          <w:p w14:paraId="1ED8705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3、使用E1级标准净味水性漆，健康无味；</w:t>
            </w:r>
          </w:p>
          <w:p w14:paraId="031B15F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4、实木加固，单层承重600公斤以上。</w:t>
            </w:r>
          </w:p>
        </w:tc>
        <w:tc>
          <w:tcPr>
            <w:tcW w:w="700" w:type="dxa"/>
            <w:shd w:val="clear" w:color="auto" w:fill="auto"/>
            <w:vAlign w:val="center"/>
          </w:tcPr>
          <w:p w14:paraId="70A2CAB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6组</w:t>
            </w:r>
          </w:p>
        </w:tc>
        <w:tc>
          <w:tcPr>
            <w:tcW w:w="1179" w:type="dxa"/>
            <w:shd w:val="clear" w:color="auto" w:fill="auto"/>
            <w:vAlign w:val="center"/>
          </w:tcPr>
          <w:p w14:paraId="6D004063">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1300</w:t>
            </w:r>
          </w:p>
        </w:tc>
      </w:tr>
      <w:tr w14:paraId="265ECA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5FA0BF0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（七）体育器材（包安装）</w:t>
            </w:r>
          </w:p>
        </w:tc>
      </w:tr>
      <w:tr w14:paraId="4EC93B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CC4D5F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2724F2B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4C85ABC1">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79AA11A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202200AA">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参考单价（元）</w:t>
            </w:r>
          </w:p>
        </w:tc>
      </w:tr>
      <w:tr w14:paraId="1ED55F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9BD593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40</w:t>
            </w:r>
          </w:p>
        </w:tc>
        <w:tc>
          <w:tcPr>
            <w:tcW w:w="716" w:type="dxa"/>
            <w:shd w:val="clear" w:color="auto" w:fill="auto"/>
            <w:vAlign w:val="center"/>
          </w:tcPr>
          <w:p w14:paraId="478648B6">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升降式篮球架</w:t>
            </w:r>
          </w:p>
        </w:tc>
        <w:tc>
          <w:tcPr>
            <w:tcW w:w="6717" w:type="dxa"/>
            <w:shd w:val="clear" w:color="auto" w:fill="auto"/>
            <w:vAlign w:val="center"/>
          </w:tcPr>
          <w:p w14:paraId="00148C5B">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篮球架伸臂0.75m-0.85m，篮圈上沿离地面自由升降范围2.05m-3.05m，产品符合GB/T19851.3-2005要求。配重不低于300kg，并且高度与伸臂适合儿童与成人的练习使用。篮球架适用场地至少32m。</w:t>
            </w:r>
          </w:p>
          <w:p w14:paraId="5BE3A5A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1、球架底座尺寸：长1600mm x宽1000mm x高410mm，采用2.5mm厚的整张钢板经模具一次冲压成型，无焊缝，保证不会被雨水流入内部带来侵蚀；四周边角均采用弧形无棱角设计，更安全，大大降低了运动中的碰撞伤害。底座前端两个万向轮带刹车功能，后端配两个定向轮。根据需求可以随时移动篮球架的位置。</w:t>
            </w:r>
          </w:p>
          <w:p w14:paraId="1C45ACD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2、篮架立柱底部采用180mmx180mm大圆角方管，厚度3mm，立柱顶部采用150mmx150mm大圆角方管，厚度3mm，拼焊而成。</w:t>
            </w:r>
          </w:p>
          <w:p w14:paraId="31B20FE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3、篮球架下伸臂采用1组不小于60mmx40mm矩形管，拼焊组成；篮球架上伸臂采用1组不小于40mmx40mm方管，拼焊组成，无需助力可轻松旋转手柄实现平行升降伸臂。</w:t>
            </w:r>
          </w:p>
          <w:p w14:paraId="45DB761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4、篮球架后拉杆采用2组40mmx40mm方管，在自动弯管机上一次折弯成型,免调节设计，安装更方便。后拉杆两端采用封口焊接防水、防腐、防锈、防划伤。</w:t>
            </w:r>
          </w:p>
          <w:p w14:paraId="3B554DE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5、产品结构原理：手动转动摇把，实现螺旋升降伸臂，升降范围在2.05m-3.05m的各种使用高度。</w:t>
            </w:r>
          </w:p>
          <w:p w14:paraId="7D8E2E8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篮板配用国际通用的高强度安全钢化玻璃篮板规格不小于：1200mmx900mm，具有透明度高、耐候性好、抗老化、耐腐蚀、不易模糊等特点，并在篮板下沿侧面覆盖有EVA保护胶条抗老化不退色，能有效保护运动员使用时不受伤害。带EVA护套。</w:t>
            </w:r>
          </w:p>
        </w:tc>
        <w:tc>
          <w:tcPr>
            <w:tcW w:w="700" w:type="dxa"/>
            <w:shd w:val="clear" w:color="auto" w:fill="auto"/>
            <w:vAlign w:val="center"/>
          </w:tcPr>
          <w:p w14:paraId="41D79DE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2副</w:t>
            </w:r>
          </w:p>
        </w:tc>
        <w:tc>
          <w:tcPr>
            <w:tcW w:w="1179" w:type="dxa"/>
            <w:shd w:val="clear" w:color="auto" w:fill="auto"/>
            <w:vAlign w:val="center"/>
          </w:tcPr>
          <w:p w14:paraId="6B5BCBF7">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5800</w:t>
            </w:r>
          </w:p>
        </w:tc>
      </w:tr>
      <w:tr w14:paraId="2838634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9501B7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41</w:t>
            </w:r>
          </w:p>
        </w:tc>
        <w:tc>
          <w:tcPr>
            <w:tcW w:w="716" w:type="dxa"/>
            <w:shd w:val="clear" w:color="auto" w:fill="auto"/>
            <w:vAlign w:val="center"/>
          </w:tcPr>
          <w:p w14:paraId="05ABA069">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篮球架</w:t>
            </w:r>
          </w:p>
        </w:tc>
        <w:tc>
          <w:tcPr>
            <w:tcW w:w="6717" w:type="dxa"/>
            <w:shd w:val="clear" w:color="auto" w:fill="auto"/>
            <w:vAlign w:val="center"/>
          </w:tcPr>
          <w:p w14:paraId="1061D712">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篮架伸臂为2250mm，篮圈上沿离地面3050mm，适</w:t>
            </w:r>
            <w:r>
              <w:rPr>
                <w:rFonts w:hint="eastAsia" w:ascii="宋体" w:hAnsi="宋体" w:eastAsia="宋体" w:cs="宋体"/>
                <w:i w:val="0"/>
                <w:iCs w:val="0"/>
                <w:color w:val="000000"/>
                <w:kern w:val="0"/>
                <w:sz w:val="21"/>
                <w:szCs w:val="21"/>
                <w:u w:val="none"/>
                <w:lang w:val="en-US" w:eastAsia="zh-CN" w:bidi="ar"/>
              </w:rPr>
              <w:t>用场地至少34.1m，全部篮球架尺寸遵循国标GB23176-2008。</w:t>
            </w:r>
          </w:p>
          <w:p w14:paraId="6DD9704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1、底座尺寸为：2000mm×1000mm×340mm。采用2.5mm厚的整张钢板经模具一次冲压成型，无焊缝，保证不会被雨水流入内部带来侵蚀；四周边角均采用弧形无棱角设计，更安全，大大降低了运动中的碰撞伤害。</w:t>
            </w:r>
          </w:p>
          <w:p w14:paraId="7B458FF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2、立柱下面采用180mm×180mm大圆弧方管，壁厚3.0mm，立柱顶端为150mm×150mm的方管，壁厚3mm拼焊而成, 圆弧过渡消除应力集中，角度设计合理，外观厚重大气，整体设计符合力学设计原理，结构更安全牢固。</w:t>
            </w:r>
          </w:p>
          <w:p w14:paraId="6992352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3、横梁采用宽150mm×高200mm×壁厚3mm的六边成型管材制作而成。</w:t>
            </w:r>
          </w:p>
          <w:p w14:paraId="7327FA2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4、后拉杆采用40mm×60mm矩形管，在自动弯管机上一次折弯成型,免调节设计，安装更方便。后拉杆两端采用封口焊接防水、防腐、防锈、防划伤。</w:t>
            </w:r>
          </w:p>
          <w:p w14:paraId="5B303FC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5、整体结构安全牢固，大大降低了篮球架的晃动，三角形设计符合力学推力和拉力相对应，增强了篮架的整体稳定性。</w:t>
            </w:r>
          </w:p>
          <w:p w14:paraId="5E1B945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6、篮板上拉杆采用Φ48mm*2.5mm圆管在自动弯管机上一次折弯成型,拉杆前端采用免调节，尺寸严谨，安装方便一次安装到位无需多次调节篮圈与地面的平行度。</w:t>
            </w:r>
          </w:p>
          <w:p w14:paraId="4CEB68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篮板规格：1800mm×1050mm，篮板配用国际通用的高强度安全钢化玻璃篮板，具有透明度高、耐侯性好、抗老化、耐腐蚀、不易模糊等特点，篮板外框采用40mm×40mm铝合金型材，并在篮板下沿安装安全保护条，能保护运动员扣篮时不受伤害。</w:t>
            </w:r>
          </w:p>
          <w:p w14:paraId="089DD9B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8、篮筐采用Φ18mm实心圆钢制作，双簧设计，圈下均匀焊有十二个成型挂钩，间隙8mm，抗弯性能好。配尼龙篮球网。                                          </w:t>
            </w:r>
          </w:p>
          <w:p w14:paraId="000590F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9、螺丝采用达克罗螺丝，保证8年不生锈。</w:t>
            </w:r>
          </w:p>
          <w:p w14:paraId="001F030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表面处理:所有钢制件表面均经抛丸除锈处理后在自动喷涂流水线上采用静电热固性粉末喷涂完成最后表面处理,涂层厚度70-80um,铅笔硬度达3H+,试品经GB1771-91,500小时老化实验,涂膜无变化,划格处单面腐蚀&lt;2mm,产品具有耐酸碱、耐湿热、抗老化、外观美观等优点。</w:t>
            </w:r>
          </w:p>
        </w:tc>
        <w:tc>
          <w:tcPr>
            <w:tcW w:w="700" w:type="dxa"/>
            <w:shd w:val="clear" w:color="auto" w:fill="auto"/>
            <w:vAlign w:val="center"/>
          </w:tcPr>
          <w:p w14:paraId="59A38EF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1副</w:t>
            </w:r>
          </w:p>
        </w:tc>
        <w:tc>
          <w:tcPr>
            <w:tcW w:w="1179" w:type="dxa"/>
            <w:shd w:val="clear" w:color="auto" w:fill="auto"/>
            <w:vAlign w:val="center"/>
          </w:tcPr>
          <w:p w14:paraId="1D594F8F">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8000</w:t>
            </w:r>
          </w:p>
        </w:tc>
      </w:tr>
      <w:tr w14:paraId="02487A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8BFEEE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w:t>
            </w:r>
          </w:p>
        </w:tc>
        <w:tc>
          <w:tcPr>
            <w:tcW w:w="716" w:type="dxa"/>
            <w:shd w:val="clear" w:color="auto" w:fill="auto"/>
            <w:vAlign w:val="center"/>
          </w:tcPr>
          <w:p w14:paraId="070B0FE0">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乒乓球台</w:t>
            </w:r>
          </w:p>
        </w:tc>
        <w:tc>
          <w:tcPr>
            <w:tcW w:w="6717" w:type="dxa"/>
            <w:shd w:val="clear" w:color="auto" w:fill="auto"/>
            <w:vAlign w:val="center"/>
          </w:tcPr>
          <w:p w14:paraId="5DA9503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室外用：</w:t>
            </w:r>
          </w:p>
          <w:p w14:paraId="1015006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1、符合GB/T19851.7—2005 中对“乒乓球台”的要求。</w:t>
            </w:r>
          </w:p>
          <w:p w14:paraId="4C77947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2、台面尺寸2740mm×1525mm；</w:t>
            </w:r>
          </w:p>
          <w:p w14:paraId="72A56C4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3、台板采用SMC材料，台面翻边厚度不小于50mm，台高680mm。</w:t>
            </w:r>
          </w:p>
          <w:p w14:paraId="4715A8C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w:t>
            </w:r>
            <w:r>
              <w:rPr>
                <w:rFonts w:hint="eastAsia" w:ascii="宋体" w:hAnsi="宋体" w:eastAsia="宋体" w:cs="宋体"/>
                <w:i w:val="0"/>
                <w:iCs w:val="0"/>
                <w:color w:val="auto"/>
                <w:kern w:val="0"/>
                <w:sz w:val="21"/>
                <w:szCs w:val="21"/>
                <w:u w:val="none"/>
                <w:lang w:val="en-US" w:eastAsia="zh-CN" w:bidi="ar"/>
              </w:rPr>
              <w:t>彩虹腿采用ф60mm的优质钢管，厚度≥2.5mm，螺栓连接；台面下加2个不小于1000 mm×1000mm的田字方框，采用20 mm×40mm；表面采用酸洗磷化处理，静电喷涂。</w:t>
            </w:r>
          </w:p>
          <w:p w14:paraId="644D84C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5、台脚与端面距离≥150mm，台脚与两侧距离≥100mm，端部和侧面撑档与地面距离≥250mm；</w:t>
            </w:r>
          </w:p>
          <w:p w14:paraId="3FD0C8E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6、网架采用不锈钢钢管和不锈钢钢网组成，网架高度152.5mm。</w:t>
            </w:r>
          </w:p>
          <w:p w14:paraId="4630DB3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7、台面弹性：230 mm～260mm。</w:t>
            </w:r>
          </w:p>
          <w:p w14:paraId="5CC6D6C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8、球台台面颜色为蓝色，表面无光泽；台面耐磨性强、防腐、防晒、防雨、防风、阻燃、环保、不易变形、零收缩、耐老化。端、边线和中线为白色，面标线规格。</w:t>
            </w:r>
          </w:p>
          <w:p w14:paraId="6D43313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9、所有紧固件均采用镀锌螺拴、螺母，并加防盗帽；所有腿架连接板等必须采用酸洗、磷化、除油、除锈等处理工艺，然后静电喷塑。</w:t>
            </w:r>
          </w:p>
          <w:p w14:paraId="3F1A049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 可用于训练和比赛。</w:t>
            </w:r>
          </w:p>
        </w:tc>
        <w:tc>
          <w:tcPr>
            <w:tcW w:w="700" w:type="dxa"/>
            <w:shd w:val="clear" w:color="auto" w:fill="auto"/>
            <w:vAlign w:val="center"/>
          </w:tcPr>
          <w:p w14:paraId="0BF1F5A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8张</w:t>
            </w:r>
          </w:p>
        </w:tc>
        <w:tc>
          <w:tcPr>
            <w:tcW w:w="1179" w:type="dxa"/>
            <w:shd w:val="clear" w:color="auto" w:fill="auto"/>
            <w:vAlign w:val="center"/>
          </w:tcPr>
          <w:p w14:paraId="6E2AD069">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1800</w:t>
            </w:r>
          </w:p>
        </w:tc>
      </w:tr>
      <w:tr w14:paraId="633C0D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195C83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43</w:t>
            </w:r>
          </w:p>
        </w:tc>
        <w:tc>
          <w:tcPr>
            <w:tcW w:w="716" w:type="dxa"/>
            <w:shd w:val="clear" w:color="auto" w:fill="auto"/>
            <w:vAlign w:val="center"/>
          </w:tcPr>
          <w:p w14:paraId="2AFDB005">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乒乓球网架</w:t>
            </w:r>
          </w:p>
        </w:tc>
        <w:tc>
          <w:tcPr>
            <w:tcW w:w="6717" w:type="dxa"/>
            <w:shd w:val="clear" w:color="auto" w:fill="auto"/>
            <w:vAlign w:val="center"/>
          </w:tcPr>
          <w:p w14:paraId="0051CD7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网长约174cm，采用棉织物，颜色为暗绿色、色泽均匀。网架使用静电喷塑，颜色为深色，色泽均匀一致，产品涂料配方不含有毒有害元素。</w:t>
            </w:r>
          </w:p>
        </w:tc>
        <w:tc>
          <w:tcPr>
            <w:tcW w:w="700" w:type="dxa"/>
            <w:shd w:val="clear" w:color="auto" w:fill="auto"/>
            <w:vAlign w:val="center"/>
          </w:tcPr>
          <w:p w14:paraId="77345C4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8付</w:t>
            </w:r>
          </w:p>
        </w:tc>
        <w:tc>
          <w:tcPr>
            <w:tcW w:w="1179" w:type="dxa"/>
            <w:shd w:val="clear" w:color="auto" w:fill="auto"/>
            <w:vAlign w:val="center"/>
          </w:tcPr>
          <w:p w14:paraId="5327C33B">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40</w:t>
            </w:r>
          </w:p>
        </w:tc>
      </w:tr>
      <w:tr w14:paraId="668217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BB425B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44</w:t>
            </w:r>
          </w:p>
        </w:tc>
        <w:tc>
          <w:tcPr>
            <w:tcW w:w="716" w:type="dxa"/>
            <w:shd w:val="clear" w:color="auto" w:fill="auto"/>
            <w:vAlign w:val="center"/>
          </w:tcPr>
          <w:p w14:paraId="220361EE">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排球架</w:t>
            </w:r>
          </w:p>
        </w:tc>
        <w:tc>
          <w:tcPr>
            <w:tcW w:w="6717" w:type="dxa"/>
            <w:shd w:val="clear" w:color="auto" w:fill="auto"/>
            <w:vAlign w:val="center"/>
          </w:tcPr>
          <w:p w14:paraId="173E431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1、移动式排球柱，网高调节范围1550～2430mm，可满足羽毛球、气排球、排球多功能使用。</w:t>
            </w:r>
          </w:p>
          <w:p w14:paraId="1705D19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底座：采用2mm厚优质钢板折边焊接而成，底座重≥180kg/副，带轮、移动方便。立柱：采用臂厚3.0mm优质钢管制作。外管直径约760mm，内管直径约60mm，钢管内立柱上下移动。紧线机构：一立柱上置有网钩,另一立柱上置有棘爪紧线锁紧机构,通过调节手柄调节钢丝绳的松紧,从而实现网的水平高度要求。</w:t>
            </w:r>
          </w:p>
          <w:p w14:paraId="4EF1990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外观质量：内管电镀，外管及底座箱体经抛丸除锈、酸洗、磷化等初级处理后，采用高温静电喷塑，色彩靓丽。表面无皱纹，无漏镀、脱镀、无漏喷、脱漆及明显划痕等缺陷。焊接严密牢固，无漏焊、虚焊、包渣、裂纹等缺陷。</w:t>
            </w:r>
          </w:p>
          <w:p w14:paraId="201CBC7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4、配架网一付。</w:t>
            </w:r>
          </w:p>
          <w:p w14:paraId="0AD534B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5、产品的外观、规格、性能要求应符合GB/T 19851.13--2007的有关规定。</w:t>
            </w:r>
          </w:p>
        </w:tc>
        <w:tc>
          <w:tcPr>
            <w:tcW w:w="700" w:type="dxa"/>
            <w:shd w:val="clear" w:color="auto" w:fill="auto"/>
            <w:vAlign w:val="center"/>
          </w:tcPr>
          <w:p w14:paraId="05723AD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2付</w:t>
            </w:r>
          </w:p>
        </w:tc>
        <w:tc>
          <w:tcPr>
            <w:tcW w:w="1179" w:type="dxa"/>
            <w:shd w:val="clear" w:color="auto" w:fill="auto"/>
            <w:vAlign w:val="center"/>
          </w:tcPr>
          <w:p w14:paraId="5363DF62">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1800</w:t>
            </w:r>
          </w:p>
        </w:tc>
      </w:tr>
      <w:tr w14:paraId="4B3ED1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17D904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45</w:t>
            </w:r>
          </w:p>
        </w:tc>
        <w:tc>
          <w:tcPr>
            <w:tcW w:w="716" w:type="dxa"/>
            <w:shd w:val="clear" w:color="auto" w:fill="auto"/>
            <w:vAlign w:val="center"/>
          </w:tcPr>
          <w:p w14:paraId="1DCB3D5B">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小足球门</w:t>
            </w:r>
          </w:p>
        </w:tc>
        <w:tc>
          <w:tcPr>
            <w:tcW w:w="6717" w:type="dxa"/>
            <w:shd w:val="clear" w:color="auto" w:fill="auto"/>
            <w:vAlign w:val="center"/>
          </w:tcPr>
          <w:p w14:paraId="2C1CC63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1、小学用足球门：3号足球门，5人制足球比赛用的矩形足球门。球门内口宽度*高度：3000mm*2000mm；</w:t>
            </w:r>
          </w:p>
          <w:p w14:paraId="0012505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足球门由立杆、横梁、两侧撑杆、两侧横杆和后侧横杆组成；球门立杆和横梁均采用直径76mm*3mm（小学）的优质钢管制成，上设网钩，置网方便，网球系线柱两侧撑杆采用直径48*2.5mm的钢管制成，横梁和立杆上没有可能危害到运动员安全的链接物件露在外面。</w:t>
            </w:r>
          </w:p>
          <w:p w14:paraId="5CA4CA3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3、足球门应能承受的水平拉力为1000N，足球门横梁能承受2700N的静负荷，横梁不应出现断裂和明显的永久变形。</w:t>
            </w:r>
          </w:p>
          <w:p w14:paraId="32E1313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4、球门组装完成后，立杆与地面垂直，横梁与立杆的夹角为90度，连接件周边处理圆滑，无棱角，表面抛丸喷砂，静电喷涂。整体结构稳固，安全性好。</w:t>
            </w:r>
          </w:p>
          <w:p w14:paraId="429176D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5、配足球网1副。</w:t>
            </w:r>
          </w:p>
          <w:p w14:paraId="6DB7062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6、产品其余符合GB/T19851.15-2007《中小学体育器材和场地—足球门》的标准。</w:t>
            </w:r>
          </w:p>
        </w:tc>
        <w:tc>
          <w:tcPr>
            <w:tcW w:w="700" w:type="dxa"/>
            <w:shd w:val="clear" w:color="auto" w:fill="auto"/>
            <w:vAlign w:val="center"/>
          </w:tcPr>
          <w:p w14:paraId="4F2BBE5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1副</w:t>
            </w:r>
          </w:p>
        </w:tc>
        <w:tc>
          <w:tcPr>
            <w:tcW w:w="1179" w:type="dxa"/>
            <w:shd w:val="clear" w:color="auto" w:fill="auto"/>
            <w:vAlign w:val="center"/>
          </w:tcPr>
          <w:p w14:paraId="739A0A38">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1850</w:t>
            </w:r>
          </w:p>
        </w:tc>
      </w:tr>
      <w:tr w14:paraId="4BC3C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18EB8F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46</w:t>
            </w:r>
          </w:p>
        </w:tc>
        <w:tc>
          <w:tcPr>
            <w:tcW w:w="716" w:type="dxa"/>
            <w:shd w:val="clear" w:color="auto" w:fill="auto"/>
            <w:vAlign w:val="center"/>
          </w:tcPr>
          <w:p w14:paraId="3C829A14">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低单杠</w:t>
            </w:r>
          </w:p>
        </w:tc>
        <w:tc>
          <w:tcPr>
            <w:tcW w:w="6717" w:type="dxa"/>
            <w:shd w:val="clear" w:color="auto" w:fill="auto"/>
            <w:vAlign w:val="center"/>
          </w:tcPr>
          <w:p w14:paraId="6AC6AB4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1、高1500mm杠宽为≥1200mm，横杠直径为≤32mm，钢管立管直径≥76×3mm，横杠与两端立柱穿插连接用不锈钢螺丝固定，带防盗帽，地埋深度≥600mm。</w:t>
            </w:r>
          </w:p>
          <w:p w14:paraId="69B2AE7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2、表面静电喷塑。</w:t>
            </w:r>
          </w:p>
          <w:p w14:paraId="4D8DF8D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3、必须符合GB/T 19851.1—2005的要求。</w:t>
            </w:r>
          </w:p>
        </w:tc>
        <w:tc>
          <w:tcPr>
            <w:tcW w:w="700" w:type="dxa"/>
            <w:shd w:val="clear" w:color="auto" w:fill="auto"/>
            <w:vAlign w:val="center"/>
          </w:tcPr>
          <w:p w14:paraId="14A58A5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1付</w:t>
            </w:r>
          </w:p>
        </w:tc>
        <w:tc>
          <w:tcPr>
            <w:tcW w:w="1179" w:type="dxa"/>
            <w:shd w:val="clear" w:color="auto" w:fill="auto"/>
            <w:vAlign w:val="center"/>
          </w:tcPr>
          <w:p w14:paraId="5E4BB981">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500</w:t>
            </w:r>
          </w:p>
        </w:tc>
      </w:tr>
      <w:tr w14:paraId="27900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BA8BCA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47</w:t>
            </w:r>
          </w:p>
        </w:tc>
        <w:tc>
          <w:tcPr>
            <w:tcW w:w="716" w:type="dxa"/>
            <w:shd w:val="clear" w:color="auto" w:fill="auto"/>
            <w:vAlign w:val="center"/>
          </w:tcPr>
          <w:p w14:paraId="4F8A5D5D">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高单杠</w:t>
            </w:r>
          </w:p>
        </w:tc>
        <w:tc>
          <w:tcPr>
            <w:tcW w:w="6717" w:type="dxa"/>
            <w:shd w:val="clear" w:color="auto" w:fill="auto"/>
            <w:vAlign w:val="center"/>
          </w:tcPr>
          <w:p w14:paraId="406C212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1、净高1800mm杠宽为≥1200mm，横杠材料为Φ28的优质碳钢管，立管直径≥60×3mm，横杠与两端立柱穿插连接用不锈钢螺丝固定，带防盗帽，地埋深度≥600mm。</w:t>
            </w:r>
          </w:p>
          <w:p w14:paraId="653FC82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2、表面静电喷塑；　</w:t>
            </w:r>
          </w:p>
          <w:p w14:paraId="2EF0192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3、必须符合GB/T 19851.1—2005的要求。</w:t>
            </w:r>
          </w:p>
        </w:tc>
        <w:tc>
          <w:tcPr>
            <w:tcW w:w="700" w:type="dxa"/>
            <w:shd w:val="clear" w:color="auto" w:fill="auto"/>
            <w:vAlign w:val="center"/>
          </w:tcPr>
          <w:p w14:paraId="45A768B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1付</w:t>
            </w:r>
          </w:p>
        </w:tc>
        <w:tc>
          <w:tcPr>
            <w:tcW w:w="1179" w:type="dxa"/>
            <w:shd w:val="clear" w:color="auto" w:fill="auto"/>
            <w:vAlign w:val="center"/>
          </w:tcPr>
          <w:p w14:paraId="390B320E">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color w:val="auto"/>
                <w:sz w:val="21"/>
                <w:szCs w:val="21"/>
                <w:highlight w:val="none"/>
              </w:rPr>
              <w:t>550</w:t>
            </w:r>
          </w:p>
        </w:tc>
      </w:tr>
      <w:tr w14:paraId="180D7B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912E44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48</w:t>
            </w:r>
          </w:p>
        </w:tc>
        <w:tc>
          <w:tcPr>
            <w:tcW w:w="716" w:type="dxa"/>
            <w:shd w:val="clear" w:color="auto" w:fill="auto"/>
            <w:vAlign w:val="center"/>
          </w:tcPr>
          <w:p w14:paraId="0E77F1AB">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低双杠</w:t>
            </w:r>
          </w:p>
        </w:tc>
        <w:tc>
          <w:tcPr>
            <w:tcW w:w="6717" w:type="dxa"/>
            <w:shd w:val="clear" w:color="auto" w:fill="auto"/>
            <w:vAlign w:val="center"/>
          </w:tcPr>
          <w:p w14:paraId="124B262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1、立管采用直径≥76×3mm优质钢管，净高1300mm、杠面长度2500mm，杠面截面长径50mm、短径40mm，两杠内侧距离390—520mm，地埋深度≥600mm。</w:t>
            </w:r>
          </w:p>
          <w:p w14:paraId="2963A88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2、表面静电喷塑。</w:t>
            </w:r>
          </w:p>
          <w:p w14:paraId="7D80FEB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3、必须符合GB/T 19851.1—2005的要求。</w:t>
            </w:r>
          </w:p>
        </w:tc>
        <w:tc>
          <w:tcPr>
            <w:tcW w:w="700" w:type="dxa"/>
            <w:shd w:val="clear" w:color="auto" w:fill="auto"/>
            <w:vAlign w:val="center"/>
          </w:tcPr>
          <w:p w14:paraId="0A44915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1副</w:t>
            </w:r>
          </w:p>
        </w:tc>
        <w:tc>
          <w:tcPr>
            <w:tcW w:w="1179" w:type="dxa"/>
            <w:shd w:val="clear" w:color="auto" w:fill="auto"/>
            <w:vAlign w:val="center"/>
          </w:tcPr>
          <w:p w14:paraId="755ED61D">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720</w:t>
            </w:r>
          </w:p>
        </w:tc>
      </w:tr>
      <w:tr w14:paraId="270E94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F7BB47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49</w:t>
            </w:r>
          </w:p>
        </w:tc>
        <w:tc>
          <w:tcPr>
            <w:tcW w:w="716" w:type="dxa"/>
            <w:shd w:val="clear" w:color="auto" w:fill="auto"/>
            <w:vAlign w:val="center"/>
          </w:tcPr>
          <w:p w14:paraId="1AEA068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高双杆</w:t>
            </w:r>
          </w:p>
        </w:tc>
        <w:tc>
          <w:tcPr>
            <w:tcW w:w="6717" w:type="dxa"/>
            <w:shd w:val="clear" w:color="auto" w:fill="auto"/>
            <w:vAlign w:val="center"/>
          </w:tcPr>
          <w:p w14:paraId="1171B08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1、立管采用直径≥76×3mm优质钢管，净高1500mm、杠面长度2500mm，杠面截面长径50mm、短径40mm，两杠内侧距离390—520mm，地埋深度≥600mm。</w:t>
            </w:r>
          </w:p>
          <w:p w14:paraId="796101F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2、表面静电喷塑。</w:t>
            </w:r>
          </w:p>
          <w:p w14:paraId="4F2B8E9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3、必须符合GB/T 19851.1—2005的要求。</w:t>
            </w:r>
          </w:p>
        </w:tc>
        <w:tc>
          <w:tcPr>
            <w:tcW w:w="700" w:type="dxa"/>
            <w:shd w:val="clear" w:color="auto" w:fill="auto"/>
            <w:vAlign w:val="center"/>
          </w:tcPr>
          <w:p w14:paraId="4CBD1A8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1副</w:t>
            </w:r>
          </w:p>
        </w:tc>
        <w:tc>
          <w:tcPr>
            <w:tcW w:w="1179" w:type="dxa"/>
            <w:shd w:val="clear" w:color="auto" w:fill="auto"/>
            <w:vAlign w:val="center"/>
          </w:tcPr>
          <w:p w14:paraId="7450AF7A">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800</w:t>
            </w:r>
          </w:p>
        </w:tc>
      </w:tr>
      <w:tr w14:paraId="4B5E3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FC46C0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w:t>
            </w:r>
          </w:p>
        </w:tc>
        <w:tc>
          <w:tcPr>
            <w:tcW w:w="716" w:type="dxa"/>
            <w:shd w:val="clear" w:color="auto" w:fill="auto"/>
            <w:vAlign w:val="center"/>
          </w:tcPr>
          <w:p w14:paraId="12E16A99">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体重秤</w:t>
            </w:r>
          </w:p>
        </w:tc>
        <w:tc>
          <w:tcPr>
            <w:tcW w:w="6717" w:type="dxa"/>
            <w:shd w:val="clear" w:color="auto" w:fill="auto"/>
            <w:vAlign w:val="center"/>
          </w:tcPr>
          <w:p w14:paraId="159D1A79">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指针式，最大称量120千克，最小分度值0.1千克,量度范围700mm-1900mm，最小分度值1mm，误差±1mm，身高尺安装稳固，使用灵活。</w:t>
            </w:r>
          </w:p>
        </w:tc>
        <w:tc>
          <w:tcPr>
            <w:tcW w:w="700" w:type="dxa"/>
            <w:shd w:val="clear" w:color="auto" w:fill="auto"/>
            <w:vAlign w:val="center"/>
          </w:tcPr>
          <w:p w14:paraId="59186A4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179" w:type="dxa"/>
            <w:shd w:val="clear" w:color="auto" w:fill="auto"/>
            <w:vAlign w:val="center"/>
          </w:tcPr>
          <w:p w14:paraId="5BCAAF7F">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550</w:t>
            </w:r>
          </w:p>
        </w:tc>
      </w:tr>
      <w:tr w14:paraId="1CC96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28141D9C">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（八）心理咨询室</w:t>
            </w:r>
          </w:p>
        </w:tc>
      </w:tr>
      <w:tr w14:paraId="670F77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7DDA63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63600C9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532663BA">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79D17A1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4DFE006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参考单价（元）</w:t>
            </w:r>
          </w:p>
        </w:tc>
      </w:tr>
      <w:tr w14:paraId="1AA9A4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C435A9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51</w:t>
            </w:r>
          </w:p>
        </w:tc>
        <w:tc>
          <w:tcPr>
            <w:tcW w:w="716" w:type="dxa"/>
            <w:shd w:val="clear" w:color="auto" w:fill="auto"/>
            <w:vAlign w:val="center"/>
          </w:tcPr>
          <w:p w14:paraId="57A885B2">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沙盘器材</w:t>
            </w:r>
          </w:p>
        </w:tc>
        <w:tc>
          <w:tcPr>
            <w:tcW w:w="6717" w:type="dxa"/>
            <w:shd w:val="clear" w:color="auto" w:fill="auto"/>
            <w:vAlign w:val="center"/>
          </w:tcPr>
          <w:p w14:paraId="5957B1B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标准沙盘:内侧尺寸为720×570×70mm（±5mm），边厚17mm，全实木材质，内侧海蓝色设计，表面光滑不伤手，耐磨不掉色；底部安装防滑处理，在动沙过程中沙箱在桌面不会移动,用于个体和团体治疗的国际标准沙箱，上下分体式安装，便于移动和搬运，1套。</w:t>
            </w:r>
          </w:p>
          <w:p w14:paraId="3131325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2、沙具：</w:t>
            </w:r>
          </w:p>
          <w:p w14:paraId="4AA8FAF4">
            <w:pPr>
              <w:keepNext w:val="0"/>
              <w:keepLines w:val="0"/>
              <w:widowControl/>
              <w:suppressLineNumbers w:val="0"/>
              <w:ind w:firstLine="210" w:firstLineChars="1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（1）种类：（宗教、现实人物、幻想人物、军事场景、动物、树木、花草、各种车船、飞行物、建筑物、桥梁、栏杆、石头、怪兽运动、家居、自然物等）；</w:t>
            </w:r>
          </w:p>
          <w:p w14:paraId="7BEAEDAE">
            <w:pPr>
              <w:keepNext w:val="0"/>
              <w:keepLines w:val="0"/>
              <w:widowControl/>
              <w:suppressLineNumbers w:val="0"/>
              <w:ind w:firstLine="210" w:firstLineChars="1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（2）数量：1200个；</w:t>
            </w:r>
          </w:p>
          <w:p w14:paraId="0BF62709">
            <w:pPr>
              <w:keepNext w:val="0"/>
              <w:keepLines w:val="0"/>
              <w:widowControl/>
              <w:suppressLineNumbers w:val="0"/>
              <w:ind w:firstLine="210" w:firstLineChars="1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（3）材质：木质、陶瓷、塑料、玻璃、橡胶等多样；</w:t>
            </w:r>
          </w:p>
          <w:p w14:paraId="61104C68">
            <w:pPr>
              <w:keepNext w:val="0"/>
              <w:keepLines w:val="0"/>
              <w:widowControl/>
              <w:suppressLineNumbers w:val="0"/>
              <w:ind w:firstLine="210" w:firstLineChars="1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（4）颜色：五彩。</w:t>
            </w:r>
          </w:p>
          <w:p w14:paraId="035063F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3、沙具架（柜）*2组：实木材质，尺寸为1600×1200×300mm±5mm， 5层9阶设计（充分满足不同类别玩具按不同阶层分类摆放，便于来访者清晰地看到全部沙具），结构稳定大方、天然木纹色、外观考究（表面清漆涂层）。  </w:t>
            </w:r>
          </w:p>
          <w:p w14:paraId="45E1146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4、沙子：原色海沙，15公斤，颗粒光滑、大小均匀、高温消毒。</w:t>
            </w:r>
          </w:p>
          <w:p w14:paraId="3AC5A54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5、沙盘教辅工具：包括沙盘游戏专业书籍、沙耙、沙刷、沙铲、水壶等。</w:t>
            </w:r>
          </w:p>
        </w:tc>
        <w:tc>
          <w:tcPr>
            <w:tcW w:w="700" w:type="dxa"/>
            <w:shd w:val="clear" w:color="auto" w:fill="auto"/>
            <w:vAlign w:val="center"/>
          </w:tcPr>
          <w:p w14:paraId="0120832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01ED52B9">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11800</w:t>
            </w:r>
          </w:p>
        </w:tc>
      </w:tr>
      <w:tr w14:paraId="1F1AA2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8AC162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52</w:t>
            </w:r>
          </w:p>
        </w:tc>
        <w:tc>
          <w:tcPr>
            <w:tcW w:w="716" w:type="dxa"/>
            <w:shd w:val="clear" w:color="auto" w:fill="auto"/>
            <w:vAlign w:val="center"/>
          </w:tcPr>
          <w:p w14:paraId="396072F2">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心理投射交互系统V1.0</w:t>
            </w:r>
          </w:p>
        </w:tc>
        <w:tc>
          <w:tcPr>
            <w:tcW w:w="6717" w:type="dxa"/>
            <w:shd w:val="clear" w:color="auto" w:fill="auto"/>
            <w:vAlign w:val="center"/>
          </w:tcPr>
          <w:p w14:paraId="25221F3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 环境管理</w:t>
            </w:r>
          </w:p>
          <w:p w14:paraId="6EC01C6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 系统状态 可以查看系统状态</w:t>
            </w:r>
          </w:p>
          <w:p w14:paraId="05B4B0C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 设备管理 可以查看设备状态，实现设备关机，重启及删除等功能</w:t>
            </w:r>
          </w:p>
          <w:p w14:paraId="3A1E7A0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 环境库管理 可以设置环境库名称，删除环境库等</w:t>
            </w:r>
          </w:p>
          <w:p w14:paraId="4485522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 虚拟机管理 可以添加，删除虚拟机</w:t>
            </w:r>
          </w:p>
          <w:p w14:paraId="0EC40CA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 用户管理</w:t>
            </w:r>
          </w:p>
          <w:p w14:paraId="6BCFCBB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2.1 添加用户 可以添加用户</w:t>
            </w:r>
          </w:p>
          <w:p w14:paraId="657ED45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2.2 重置密码 可以重置用户密码</w:t>
            </w:r>
          </w:p>
          <w:p w14:paraId="2E08A43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2.3 课程管理 可以添加、修改、删除课程</w:t>
            </w:r>
          </w:p>
          <w:p w14:paraId="0AF8579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2.4 内容管理 可以添加、修改、删除内容</w:t>
            </w:r>
          </w:p>
          <w:p w14:paraId="4ABF445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 论坛管理</w:t>
            </w:r>
          </w:p>
          <w:p w14:paraId="7FA5C3C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3.1 置顶 可以置顶某个话题</w:t>
            </w:r>
          </w:p>
          <w:p w14:paraId="020FECE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3.2 话题管理 可以实现话题删除、修复、评论等功能</w:t>
            </w:r>
          </w:p>
          <w:p w14:paraId="183F689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3.3 查看问答 可以对问答进行评论及查看所有评论</w:t>
            </w:r>
          </w:p>
          <w:p w14:paraId="54EA616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3.4 开始提问 可以发起提问，其他用户或咨询师可以进行评论</w:t>
            </w:r>
          </w:p>
          <w:p w14:paraId="3DAB8B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 心理科普</w:t>
            </w:r>
          </w:p>
          <w:p w14:paraId="2559DD7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4.1 专家介绍 可以查看专家情况</w:t>
            </w:r>
          </w:p>
          <w:p w14:paraId="447BF3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 专有名词</w:t>
            </w:r>
          </w:p>
          <w:p w14:paraId="3E6C258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5.1 专有名词 可以查看专有名词</w:t>
            </w:r>
          </w:p>
          <w:p w14:paraId="3FBAFD9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 心理学实验</w:t>
            </w:r>
          </w:p>
          <w:p w14:paraId="18D7F64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6.1 心理学实验 可以在线做心理学实验</w:t>
            </w:r>
          </w:p>
          <w:p w14:paraId="3BB5EB7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6.2 心理效应 可以查看心理效应</w:t>
            </w:r>
          </w:p>
          <w:p w14:paraId="5A7EEE7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6.3 心理阅读 可以查看里面的内容</w:t>
            </w:r>
          </w:p>
          <w:p w14:paraId="57A58ED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6.4 心理影视 可以查看心理电影的视频</w:t>
            </w:r>
          </w:p>
          <w:p w14:paraId="6A1011F4">
            <w:pPr>
              <w:keepNext w:val="0"/>
              <w:keepLines w:val="0"/>
              <w:widowControl/>
              <w:suppressLineNumbers w:val="0"/>
              <w:jc w:val="left"/>
              <w:textAlignment w:val="cente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auto"/>
                <w:kern w:val="0"/>
                <w:sz w:val="21"/>
                <w:szCs w:val="21"/>
                <w:u w:val="none"/>
                <w:lang w:val="en-US" w:eastAsia="zh-CN" w:bidi="ar"/>
              </w:rPr>
              <w:t>★</w:t>
            </w:r>
            <w:r>
              <w:rPr>
                <w:rFonts w:hint="eastAsia" w:ascii="宋体" w:hAnsi="宋体" w:eastAsia="宋体" w:cs="宋体"/>
                <w:b/>
                <w:bCs/>
                <w:i w:val="0"/>
                <w:iCs w:val="0"/>
                <w:color w:val="auto"/>
                <w:kern w:val="0"/>
                <w:sz w:val="21"/>
                <w:szCs w:val="21"/>
                <w:u w:val="none"/>
                <w:lang w:val="en-US" w:eastAsia="zh-CN" w:bidi="ar"/>
              </w:rPr>
              <w:t>7 提供心理投射交互系统国家软件测评中心出具的软件功能参数符合GB／T 25000.51-201</w:t>
            </w: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6及CSTCQBRDJB007测试依据的测试报告扫描件</w:t>
            </w:r>
            <w:r>
              <w:rPr>
                <w:rFonts w:hint="eastAsia" w:ascii="宋体" w:hAnsi="宋体" w:eastAsia="宋体" w:cs="宋体"/>
                <w:b/>
                <w:bCs/>
                <w:color w:val="auto"/>
                <w:sz w:val="21"/>
                <w:szCs w:val="21"/>
                <w:highlight w:val="none"/>
              </w:rPr>
              <w:t>并加盖投标人CA证书签章，否则投标文件无效</w:t>
            </w: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w:t>
            </w:r>
          </w:p>
          <w:p w14:paraId="34AA21C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8、</w:t>
            </w:r>
            <w:r>
              <w:rPr>
                <w:rFonts w:hint="eastAsia" w:ascii="宋体" w:hAnsi="宋体" w:eastAsia="宋体" w:cs="宋体"/>
                <w:b w:val="0"/>
                <w:bCs w:val="0"/>
                <w:i w:val="0"/>
                <w:iCs w:val="0"/>
                <w:color w:val="000000" w:themeColor="text1"/>
                <w:kern w:val="0"/>
                <w:sz w:val="21"/>
                <w:szCs w:val="21"/>
                <w:highlight w:val="none"/>
                <w:u w:val="none"/>
                <w:lang w:val="en-US" w:eastAsia="zh-CN" w:bidi="ar"/>
                <w14:textFill>
                  <w14:solidFill>
                    <w14:schemeClr w14:val="tx1"/>
                  </w14:solidFill>
                </w14:textFill>
              </w:rPr>
              <w:t>提供心理投射交互系统计算机软件著作权登记证书扫描件。</w:t>
            </w:r>
          </w:p>
        </w:tc>
        <w:tc>
          <w:tcPr>
            <w:tcW w:w="700" w:type="dxa"/>
            <w:shd w:val="clear" w:color="auto" w:fill="auto"/>
            <w:vAlign w:val="center"/>
          </w:tcPr>
          <w:p w14:paraId="42A40FD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1131F53A">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5800</w:t>
            </w:r>
          </w:p>
        </w:tc>
      </w:tr>
      <w:tr w14:paraId="226796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F8AE8F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53</w:t>
            </w:r>
          </w:p>
        </w:tc>
        <w:tc>
          <w:tcPr>
            <w:tcW w:w="716" w:type="dxa"/>
            <w:shd w:val="clear" w:color="auto" w:fill="auto"/>
            <w:vAlign w:val="center"/>
          </w:tcPr>
          <w:p w14:paraId="75458BB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团体活动箱</w:t>
            </w:r>
          </w:p>
        </w:tc>
        <w:tc>
          <w:tcPr>
            <w:tcW w:w="6717" w:type="dxa"/>
            <w:shd w:val="clear" w:color="auto" w:fill="auto"/>
            <w:vAlign w:val="center"/>
          </w:tcPr>
          <w:p w14:paraId="252F609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1、构成：道具箱、团体活动道具、团体心理辅导活动指导手册三部分组成。</w:t>
            </w:r>
          </w:p>
          <w:p w14:paraId="379781B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2、尺寸不小于：940mm*560mm*380mm。</w:t>
            </w:r>
          </w:p>
          <w:p w14:paraId="06803F1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活动指导手册：包括团体辅导基础理论及组织技巧，团体辅导主题活动不少于10大类，提供不少于50个具体活动，包括活动目的、活动道具、活动时间、活动场地、活动步骤及注意事项等具体说明活动的完整方案。</w:t>
            </w:r>
          </w:p>
          <w:p w14:paraId="57311FE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根据常用主题，提供不少于10套团体辅导系列策划方案，活动内容具连续性、递进性，让团体成员在活动中循序渐进地成长。因此，团体领导者在有一定团体心理活动经验之后，可以参考手册内整套团辅方案或系列团辅方案设计及实施。</w:t>
            </w:r>
          </w:p>
          <w:p w14:paraId="699096D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5、团辅活动手册内，除主题类活动和成套系列方案，还包含不少于6种团体活动反馈问卷，用于及时反馈活动实施情况，了解参与活动的人群的具体心理需求及参与效果。</w:t>
            </w:r>
          </w:p>
        </w:tc>
        <w:tc>
          <w:tcPr>
            <w:tcW w:w="700" w:type="dxa"/>
            <w:shd w:val="clear" w:color="auto" w:fill="auto"/>
            <w:vAlign w:val="center"/>
          </w:tcPr>
          <w:p w14:paraId="379D1F4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6A408F62">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5800</w:t>
            </w:r>
          </w:p>
        </w:tc>
      </w:tr>
      <w:tr w14:paraId="696920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36EBCC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54</w:t>
            </w:r>
          </w:p>
        </w:tc>
        <w:tc>
          <w:tcPr>
            <w:tcW w:w="716" w:type="dxa"/>
            <w:shd w:val="clear" w:color="auto" w:fill="auto"/>
            <w:vAlign w:val="center"/>
          </w:tcPr>
          <w:p w14:paraId="477D7BC8">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智能击打宣泄仪Ⅱ代</w:t>
            </w:r>
          </w:p>
        </w:tc>
        <w:tc>
          <w:tcPr>
            <w:tcW w:w="6717" w:type="dxa"/>
            <w:shd w:val="clear" w:color="auto" w:fill="auto"/>
            <w:vAlign w:val="center"/>
          </w:tcPr>
          <w:p w14:paraId="4CAA26F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一、产品概述：通过个性化正向引导语用击打的方式，释放不满情绪、泄出怨气，有针对性进行正向性情绪疏导与鼓励。</w:t>
            </w:r>
          </w:p>
          <w:p w14:paraId="318198E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二、产品规格参数：</w:t>
            </w:r>
          </w:p>
          <w:p w14:paraId="2421A2A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1.整机尺寸不小于：175*75*45cm（±2mm），符合人体高度设计，方便用户使用，符合人体视觉体验，视觉效果更佳。</w:t>
            </w:r>
          </w:p>
          <w:p w14:paraId="52C5815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整机材质：机身采用优质冷轧钢板和实木材质，表面金属喷塑工艺处理，美观耐用；面板采用高端进口亚克力，运用最新UV平板打印工艺制作而成，色彩艳丽，绝缘性能优良，抗冲击力强，透光性佳，使用寿命长。</w:t>
            </w:r>
          </w:p>
          <w:p w14:paraId="67BBB25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触控操作键盘：高清彩色触摸屏，触摸屏尺寸不小于：7英寸，分辨率≥800*480，点触反应灵敏并伴有数据显示功能，可实时显示当前击打宣泄能量进度，并可记录此次击打训练的最高值。高档美观，操作方便简单。</w:t>
            </w:r>
          </w:p>
          <w:p w14:paraId="1C60AA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4.仿真宣泄靶：靶心直径35CM，超纤皮面料包裹高弹性海绵，内置可经受打击的3轴稳定模块组，采用加速度传感器灵敏度高、精度高，性能稳定、可靠、测算速度快。</w:t>
            </w:r>
          </w:p>
          <w:p w14:paraId="2FC6955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5.最大承受击打力：250公斤力。</w:t>
            </w:r>
          </w:p>
          <w:p w14:paraId="780FE72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安全防护设计：机器下部分采用超纤皮防护设计，可供用户进行踢打宣泄，在用户情绪激动时也能起到保护用户人身安全的效果。背置两组U型缓冲支架，同时安装有多个橡胶垫脚，用户击打宣泄时起到有效的减震作用，可以减小机器振动传到箱体引起的噪声。</w:t>
            </w:r>
          </w:p>
          <w:p w14:paraId="23FFB94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大宣泄主题选择：提供了疏导、缓解、克服、调整、释放、消除、战胜、脱离等8种常见的情绪问题而设定的宣泄主题，触摸按键，可根据实际情况任意触摸选择宣泄主题，操作界面高度集中。选择主题后系统将自动播放一段引导语音，可以通过双击主题按键跳过引导语音，直接进行宣泄。</w:t>
            </w:r>
          </w:p>
          <w:p w14:paraId="71546BE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8.高清语音操作引导：全程高清语音引导，引导男女声可随意切换，音量大小自主调节。</w:t>
            </w:r>
          </w:p>
          <w:p w14:paraId="6AC3148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智能击打效果及击打力度提醒：良好的可视效果，根据击打的力量、速度，通过16级点阵式同步声音感应多色LED灯显示，并显示具体击打力度数值。系统智能显示结果更精确，视觉效果更美观，有积极的心理暗示作用。LED灯应等级：多级分量显示LED光源控制：IC芯片控制，多种可变灯光。</w:t>
            </w:r>
          </w:p>
          <w:p w14:paraId="558A657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10.智能训练结束提醒：当宣泄使用一定时间后语音提醒，防止过度宣泄。</w:t>
            </w:r>
          </w:p>
          <w:p w14:paraId="3762980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11.智能分析用户数据：能分析宣泄者打击力度、持续的时间、频率及其变化，根据这些参数能与宣泄者实时地进行语言互动沟通，不同力量与时间频率，有不同语言互动效果。</w:t>
            </w:r>
          </w:p>
          <w:p w14:paraId="1BF5E03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12.帮助语音提醒：点击帮助按钮，系统自动播放操作语音，帮助用户学习了解操作流程, 内置大量语音常模。</w:t>
            </w:r>
          </w:p>
          <w:p w14:paraId="4006E55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13.智能红外自动感应开关机：当机器前方1米左右，有人的时候自动开机，在前方无人超过5分钟，自动关机。</w:t>
            </w:r>
          </w:p>
          <w:p w14:paraId="7FD1842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14.宣泄仪下方软包结构，保护来访者宣泄过程中因脚踢造成的误伤。</w:t>
            </w:r>
          </w:p>
        </w:tc>
        <w:tc>
          <w:tcPr>
            <w:tcW w:w="700" w:type="dxa"/>
            <w:shd w:val="clear" w:color="auto" w:fill="auto"/>
            <w:vAlign w:val="center"/>
          </w:tcPr>
          <w:p w14:paraId="02994D5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54654AFC">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28800</w:t>
            </w:r>
          </w:p>
        </w:tc>
      </w:tr>
      <w:tr w14:paraId="038CCF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60DFF1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55</w:t>
            </w:r>
          </w:p>
        </w:tc>
        <w:tc>
          <w:tcPr>
            <w:tcW w:w="716" w:type="dxa"/>
            <w:shd w:val="clear" w:color="auto" w:fill="auto"/>
            <w:vAlign w:val="center"/>
          </w:tcPr>
          <w:p w14:paraId="5522DCD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人形宣泄人</w:t>
            </w:r>
          </w:p>
        </w:tc>
        <w:tc>
          <w:tcPr>
            <w:tcW w:w="6717" w:type="dxa"/>
            <w:shd w:val="clear" w:color="auto" w:fill="auto"/>
            <w:vAlign w:val="center"/>
          </w:tcPr>
          <w:p w14:paraId="3640D97A">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十字人外形，高档PU皮包裹，高回力芯填充，注沙式分拆底座，方便运输。</w:t>
            </w:r>
          </w:p>
        </w:tc>
        <w:tc>
          <w:tcPr>
            <w:tcW w:w="700" w:type="dxa"/>
            <w:shd w:val="clear" w:color="auto" w:fill="auto"/>
            <w:vAlign w:val="center"/>
          </w:tcPr>
          <w:p w14:paraId="19F3484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179" w:type="dxa"/>
            <w:shd w:val="clear" w:color="auto" w:fill="auto"/>
            <w:vAlign w:val="center"/>
          </w:tcPr>
          <w:p w14:paraId="2EA1AFB4">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1600</w:t>
            </w:r>
          </w:p>
        </w:tc>
      </w:tr>
      <w:tr w14:paraId="57D190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49A6E2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w:t>
            </w:r>
          </w:p>
        </w:tc>
        <w:tc>
          <w:tcPr>
            <w:tcW w:w="716" w:type="dxa"/>
            <w:shd w:val="clear" w:color="auto" w:fill="auto"/>
            <w:vAlign w:val="center"/>
          </w:tcPr>
          <w:p w14:paraId="2E91BBF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渲泄球</w:t>
            </w:r>
          </w:p>
        </w:tc>
        <w:tc>
          <w:tcPr>
            <w:tcW w:w="6717" w:type="dxa"/>
            <w:shd w:val="clear" w:color="auto" w:fill="auto"/>
            <w:vAlign w:val="center"/>
          </w:tcPr>
          <w:p w14:paraId="085F1DCE">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尺寸：1100x440x440（允许±5mm）；高弹回力连接簧，高档PU皮包裹，高回力芯填充，注水/沙式分拆底座，方便运输，人体学结构设计，高稳定性</w:t>
            </w:r>
          </w:p>
        </w:tc>
        <w:tc>
          <w:tcPr>
            <w:tcW w:w="700" w:type="dxa"/>
            <w:shd w:val="clear" w:color="auto" w:fill="auto"/>
            <w:vAlign w:val="center"/>
          </w:tcPr>
          <w:p w14:paraId="31CB100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179" w:type="dxa"/>
            <w:shd w:val="clear" w:color="auto" w:fill="auto"/>
            <w:vAlign w:val="center"/>
          </w:tcPr>
          <w:p w14:paraId="7C41EB3D">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600</w:t>
            </w:r>
          </w:p>
        </w:tc>
      </w:tr>
      <w:tr w14:paraId="007C3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CD15905">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57</w:t>
            </w:r>
          </w:p>
        </w:tc>
        <w:tc>
          <w:tcPr>
            <w:tcW w:w="716" w:type="dxa"/>
            <w:shd w:val="clear" w:color="auto" w:fill="auto"/>
            <w:vAlign w:val="center"/>
          </w:tcPr>
          <w:p w14:paraId="259F512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沙发（一）</w:t>
            </w:r>
          </w:p>
        </w:tc>
        <w:tc>
          <w:tcPr>
            <w:tcW w:w="6717" w:type="dxa"/>
            <w:shd w:val="clear" w:color="auto" w:fill="auto"/>
            <w:vAlign w:val="center"/>
          </w:tcPr>
          <w:p w14:paraId="6CDD048E">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1.实木框架，密度海绵，面料采用高档棉麻，增加了面料的透气性与耐磨性;坐包与靠包可拆洗设计，温馨淡色，3+1组合。</w:t>
            </w:r>
          </w:p>
          <w:p w14:paraId="55251860">
            <w:pPr>
              <w:keepNext w:val="0"/>
              <w:keepLines w:val="0"/>
              <w:widowControl/>
              <w:suppressLineNumbers w:val="0"/>
              <w:spacing w:after="220" w:afterAutospacing="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2.实木茶几，尺寸约长97cm宽50cm高44cm（允许偏差±5mm）。</w:t>
            </w:r>
          </w:p>
        </w:tc>
        <w:tc>
          <w:tcPr>
            <w:tcW w:w="700" w:type="dxa"/>
            <w:shd w:val="clear" w:color="auto" w:fill="auto"/>
            <w:vAlign w:val="center"/>
          </w:tcPr>
          <w:p w14:paraId="2215842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1张</w:t>
            </w:r>
          </w:p>
        </w:tc>
        <w:tc>
          <w:tcPr>
            <w:tcW w:w="1179" w:type="dxa"/>
            <w:shd w:val="clear" w:color="auto" w:fill="auto"/>
            <w:vAlign w:val="center"/>
          </w:tcPr>
          <w:p w14:paraId="007DF4E3">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2000</w:t>
            </w:r>
          </w:p>
        </w:tc>
      </w:tr>
      <w:tr w14:paraId="107612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E55284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58</w:t>
            </w:r>
          </w:p>
        </w:tc>
        <w:tc>
          <w:tcPr>
            <w:tcW w:w="716" w:type="dxa"/>
            <w:shd w:val="clear" w:color="auto" w:fill="auto"/>
            <w:vAlign w:val="center"/>
          </w:tcPr>
          <w:p w14:paraId="40D6659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沙发（二）</w:t>
            </w:r>
          </w:p>
        </w:tc>
        <w:tc>
          <w:tcPr>
            <w:tcW w:w="6717" w:type="dxa"/>
            <w:shd w:val="clear" w:color="auto" w:fill="auto"/>
            <w:vAlign w:val="center"/>
          </w:tcPr>
          <w:p w14:paraId="2D38270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1.心理咨询师对学员进行一对一深度咨询工具，单人沙发2个，茶几1个；</w:t>
            </w:r>
          </w:p>
          <w:p w14:paraId="319CC92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2.实木框架，密度海绵，面料采用高档棉麻，增加了面料的透气性与耐磨性;坐包与靠包可拆洗设计，温馨淡色。</w:t>
            </w:r>
          </w:p>
        </w:tc>
        <w:tc>
          <w:tcPr>
            <w:tcW w:w="700" w:type="dxa"/>
            <w:shd w:val="clear" w:color="auto" w:fill="auto"/>
            <w:vAlign w:val="center"/>
          </w:tcPr>
          <w:p w14:paraId="3CDF4EA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000C6673">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1800</w:t>
            </w:r>
          </w:p>
        </w:tc>
      </w:tr>
      <w:tr w14:paraId="727E9F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50DC90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59</w:t>
            </w:r>
          </w:p>
        </w:tc>
        <w:tc>
          <w:tcPr>
            <w:tcW w:w="716" w:type="dxa"/>
            <w:shd w:val="clear" w:color="auto" w:fill="auto"/>
            <w:vAlign w:val="center"/>
          </w:tcPr>
          <w:p w14:paraId="32EC53C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宣泄室软垫</w:t>
            </w:r>
          </w:p>
        </w:tc>
        <w:tc>
          <w:tcPr>
            <w:tcW w:w="6717" w:type="dxa"/>
            <w:shd w:val="clear" w:color="auto" w:fill="auto"/>
            <w:vAlign w:val="center"/>
          </w:tcPr>
          <w:p w14:paraId="11B5622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软底≥20cm 厚，规格：4200×1500mm（允许偏差±5mm）。</w:t>
            </w:r>
          </w:p>
        </w:tc>
        <w:tc>
          <w:tcPr>
            <w:tcW w:w="700" w:type="dxa"/>
            <w:shd w:val="clear" w:color="auto" w:fill="auto"/>
            <w:vAlign w:val="center"/>
          </w:tcPr>
          <w:p w14:paraId="43D9B75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253F6889">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3600</w:t>
            </w:r>
          </w:p>
        </w:tc>
      </w:tr>
      <w:tr w14:paraId="557C5D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71E551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60</w:t>
            </w:r>
          </w:p>
        </w:tc>
        <w:tc>
          <w:tcPr>
            <w:tcW w:w="716" w:type="dxa"/>
            <w:shd w:val="clear" w:color="auto" w:fill="auto"/>
            <w:vAlign w:val="center"/>
          </w:tcPr>
          <w:p w14:paraId="5860581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辅助材料及安装调试</w:t>
            </w:r>
          </w:p>
        </w:tc>
        <w:tc>
          <w:tcPr>
            <w:tcW w:w="6717" w:type="dxa"/>
            <w:shd w:val="clear" w:color="auto" w:fill="auto"/>
            <w:vAlign w:val="center"/>
          </w:tcPr>
          <w:p w14:paraId="441694F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插座、铜芯电线（6平方毫米）、PC管等。</w:t>
            </w:r>
          </w:p>
        </w:tc>
        <w:tc>
          <w:tcPr>
            <w:tcW w:w="700" w:type="dxa"/>
            <w:shd w:val="clear" w:color="auto" w:fill="auto"/>
            <w:vAlign w:val="center"/>
          </w:tcPr>
          <w:p w14:paraId="18E019E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1批</w:t>
            </w:r>
          </w:p>
        </w:tc>
        <w:tc>
          <w:tcPr>
            <w:tcW w:w="1179" w:type="dxa"/>
            <w:shd w:val="clear" w:color="auto" w:fill="auto"/>
            <w:vAlign w:val="center"/>
          </w:tcPr>
          <w:p w14:paraId="17B80495">
            <w:pPr>
              <w:keepNext w:val="0"/>
              <w:keepLines w:val="0"/>
              <w:widowControl/>
              <w:suppressLineNumbers w:val="0"/>
              <w:jc w:val="center"/>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2"/>
                <w:szCs w:val="22"/>
                <w:u w:val="none"/>
                <w:lang w:val="en-US" w:eastAsia="zh-CN" w:bidi="ar"/>
              </w:rPr>
              <w:t>1040</w:t>
            </w:r>
          </w:p>
        </w:tc>
      </w:tr>
      <w:tr w14:paraId="055C1D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3105FE8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（九）科学实验室</w:t>
            </w:r>
          </w:p>
        </w:tc>
      </w:tr>
      <w:tr w14:paraId="54478E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A6B62DA">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24B6C7E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4BB284DC">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3B21FC7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5799EB2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7B8E33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2B6751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61</w:t>
            </w:r>
          </w:p>
        </w:tc>
        <w:tc>
          <w:tcPr>
            <w:tcW w:w="716" w:type="dxa"/>
            <w:shd w:val="clear" w:color="auto" w:fill="auto"/>
            <w:vAlign w:val="center"/>
          </w:tcPr>
          <w:p w14:paraId="45CF27B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教师演示台</w:t>
            </w:r>
          </w:p>
        </w:tc>
        <w:tc>
          <w:tcPr>
            <w:tcW w:w="6717" w:type="dxa"/>
            <w:shd w:val="clear" w:color="auto" w:fill="auto"/>
            <w:vAlign w:val="center"/>
          </w:tcPr>
          <w:p w14:paraId="464685A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2800×700×900mm，采用模具成型的专用铝合金型材制作，主体立柱为60*45mm带凹行槽双层铝合金方管，横连接杆为40×45mm的铝合金方管，铝合金壁厚不小于1.2mm，通过ABS专用连接件组装而成，应保证组装接缝严密，连接牢固，无松动现象。</w:t>
            </w:r>
          </w:p>
          <w:p w14:paraId="0326F39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2、台面采用12.7mm厚实芯理化板，四周覆厚为25.4mm，耐高温、耐磨、耐强酸碱、无毒、表面光滑、平整，不漏水、不变形，牢固耐用、美观大方；台体衬板：用厚度为16mm±0.3 mm、彩色和灰白色双面三聚氰胺板（即双饰面板）作为台体衬板，其内芯的基材为聚木屑纤维板，外漏截面采用1.5mm厚塑制优质封边条机械封边；甲醛释放限量指标应符合GB18580的要求。</w:t>
            </w:r>
          </w:p>
          <w:p w14:paraId="7613C63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3、桌脚：采用ABS工程塑料一次注塑成型的脚垫，高度可调节。柜门铰链：采用优质不锈钢定位铰链，铰链的壁厚不小于1.5mm，安全、牢固、防腐、耐用。</w:t>
            </w:r>
          </w:p>
          <w:p w14:paraId="4734295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4、抽屉滑道：采用优质消声三节滑轨，壁厚1.5mm优质合金钢板一次性成型加工，表面经环氧树脂静电喷涂。</w:t>
            </w:r>
          </w:p>
          <w:p w14:paraId="5669B68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5、台身结构：预含有多媒体功能架、电脑主机箱柜及散热片、侧面抽屉式视频展台柜、电源总控台、中控台等。</w:t>
            </w:r>
          </w:p>
        </w:tc>
        <w:tc>
          <w:tcPr>
            <w:tcW w:w="700" w:type="dxa"/>
            <w:shd w:val="clear" w:color="auto" w:fill="auto"/>
            <w:vAlign w:val="center"/>
          </w:tcPr>
          <w:p w14:paraId="4856B60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1张</w:t>
            </w:r>
          </w:p>
        </w:tc>
        <w:tc>
          <w:tcPr>
            <w:tcW w:w="1179" w:type="dxa"/>
            <w:shd w:val="clear" w:color="auto" w:fill="auto"/>
            <w:vAlign w:val="center"/>
          </w:tcPr>
          <w:p w14:paraId="140DB55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3800</w:t>
            </w:r>
          </w:p>
        </w:tc>
      </w:tr>
      <w:tr w14:paraId="32B0C2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A84CD7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62</w:t>
            </w:r>
          </w:p>
        </w:tc>
        <w:tc>
          <w:tcPr>
            <w:tcW w:w="716" w:type="dxa"/>
            <w:shd w:val="clear" w:color="auto" w:fill="auto"/>
            <w:vAlign w:val="center"/>
          </w:tcPr>
          <w:p w14:paraId="19487D9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教师实验椅</w:t>
            </w:r>
          </w:p>
        </w:tc>
        <w:tc>
          <w:tcPr>
            <w:tcW w:w="6717" w:type="dxa"/>
            <w:shd w:val="clear" w:color="auto" w:fill="auto"/>
            <w:vAlign w:val="center"/>
          </w:tcPr>
          <w:p w14:paraId="659DF50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五轮升降转椅，针织面料；钢塑支架。</w:t>
            </w:r>
          </w:p>
        </w:tc>
        <w:tc>
          <w:tcPr>
            <w:tcW w:w="700" w:type="dxa"/>
            <w:shd w:val="clear" w:color="auto" w:fill="auto"/>
            <w:vAlign w:val="center"/>
          </w:tcPr>
          <w:p w14:paraId="1A321FB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1张</w:t>
            </w:r>
          </w:p>
        </w:tc>
        <w:tc>
          <w:tcPr>
            <w:tcW w:w="1179" w:type="dxa"/>
            <w:shd w:val="clear" w:color="auto" w:fill="auto"/>
            <w:vAlign w:val="center"/>
          </w:tcPr>
          <w:p w14:paraId="4891AC5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360</w:t>
            </w:r>
          </w:p>
        </w:tc>
      </w:tr>
      <w:tr w14:paraId="1031BB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06D54D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63</w:t>
            </w:r>
          </w:p>
        </w:tc>
        <w:tc>
          <w:tcPr>
            <w:tcW w:w="716" w:type="dxa"/>
            <w:shd w:val="clear" w:color="auto" w:fill="auto"/>
            <w:vAlign w:val="center"/>
          </w:tcPr>
          <w:p w14:paraId="677EA92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演示台电源</w:t>
            </w:r>
          </w:p>
        </w:tc>
        <w:tc>
          <w:tcPr>
            <w:tcW w:w="6717" w:type="dxa"/>
            <w:shd w:val="clear" w:color="auto" w:fill="auto"/>
            <w:vAlign w:val="center"/>
          </w:tcPr>
          <w:p w14:paraId="7A67B62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1、依据JY/0374-2004标准生产；</w:t>
            </w:r>
          </w:p>
          <w:p w14:paraId="3ED9A82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2、主要技术指标：触摸式面板，全功能数字表显示，面板上装有防漏电保护开关和多功能安全交流电源插座，交直流输出均有自动过载保护和复位功能。</w:t>
            </w:r>
          </w:p>
          <w:p w14:paraId="30F2315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3、交流</w:t>
            </w: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输出2V～30V有“△”“▽”触摸键调整,每调整一次上升或下降2V,最大电流8A。直流输出0～30V，电流6A～3A．电压调节用“△”“▽”增减触</w:t>
            </w:r>
            <w:r>
              <w:rPr>
                <w:rFonts w:hint="eastAsia" w:ascii="宋体" w:hAnsi="宋体" w:eastAsia="宋体" w:cs="宋体"/>
                <w:i w:val="0"/>
                <w:iCs w:val="0"/>
                <w:color w:val="000000"/>
                <w:kern w:val="0"/>
                <w:sz w:val="21"/>
                <w:szCs w:val="21"/>
                <w:u w:val="none"/>
                <w:lang w:val="en-US" w:eastAsia="zh-CN" w:bidi="ar"/>
              </w:rPr>
              <w:t>摸开关，每触动一次上升或下降0.1V 。</w:t>
            </w:r>
          </w:p>
          <w:p w14:paraId="096218E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4、增设了大电流输出功能和直流高压输出10A输出20秒±2秒自动关断，有直流高压输出240V／300V自动过载保护和复位。</w:t>
            </w:r>
          </w:p>
          <w:p w14:paraId="06459F7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5、面板上设有控制学生四路220V/AC输出独立触摸开关。</w:t>
            </w:r>
          </w:p>
          <w:p w14:paraId="1E34138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面板上有控制供给学生做实验用的电源调节触摸式按扭四个2V、4V、8V、16V,来控制供学生用电源箱大变压器电源,可独立使用和合并使用,最高输出交流电压可达30V(有载情况下)。风机调速控制教师通过“启动”，“停止”按钮控制风机的启动和停止。调速器调节风量。</w:t>
            </w:r>
          </w:p>
        </w:tc>
        <w:tc>
          <w:tcPr>
            <w:tcW w:w="700" w:type="dxa"/>
            <w:shd w:val="clear" w:color="auto" w:fill="auto"/>
            <w:vAlign w:val="center"/>
          </w:tcPr>
          <w:p w14:paraId="38A1E7A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7F7F504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1960</w:t>
            </w:r>
          </w:p>
        </w:tc>
      </w:tr>
      <w:tr w14:paraId="49928A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37D397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64</w:t>
            </w:r>
          </w:p>
        </w:tc>
        <w:tc>
          <w:tcPr>
            <w:tcW w:w="716" w:type="dxa"/>
            <w:shd w:val="clear" w:color="auto" w:fill="auto"/>
            <w:vAlign w:val="center"/>
          </w:tcPr>
          <w:p w14:paraId="3CFE77D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学生实验桌</w:t>
            </w:r>
          </w:p>
        </w:tc>
        <w:tc>
          <w:tcPr>
            <w:tcW w:w="6717" w:type="dxa"/>
            <w:shd w:val="clear" w:color="auto" w:fill="auto"/>
            <w:vAlign w:val="center"/>
          </w:tcPr>
          <w:p w14:paraId="6D3DC1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2400×600×780mm，采用模具成型的专用铝合金型材制作，主体立柱为60*45mm带凹行槽铝合金方管，横连接杆为40×45mm的铝合金方管，铝合金壁厚不小于1.2mm，通过ABS专用连接件组装而成，应保证组装接缝严密，连接牢固，无松动现象。</w:t>
            </w:r>
          </w:p>
          <w:p w14:paraId="52ACB7A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2、台面采用不小于12.7mm厚实芯理化板，四周覆厚为25.4mm，耐高温、耐磨、耐强酸碱、无毒、表面光滑、平整，不漏水、不变形，牢固耐用、美观大方；</w:t>
            </w:r>
          </w:p>
          <w:p w14:paraId="67C520A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3、台体衬板：用厚度为16mm±0.3 mm、彩色和灰白色双面三聚氰胺板（即双饰面板）作为台体衬板，其内芯的基材为聚木屑纤维板，外漏截面采用1.5mm厚塑制优质封边条机械封边；甲醛释放限量指标应符合GB18580的要求。</w:t>
            </w:r>
          </w:p>
          <w:p w14:paraId="2352E74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4、桌脚：采用ABS工程塑料一次注塑成型的脚垫，高度可调节。</w:t>
            </w:r>
          </w:p>
        </w:tc>
        <w:tc>
          <w:tcPr>
            <w:tcW w:w="700" w:type="dxa"/>
            <w:shd w:val="clear" w:color="auto" w:fill="auto"/>
            <w:vAlign w:val="center"/>
          </w:tcPr>
          <w:p w14:paraId="5667F78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12张</w:t>
            </w:r>
          </w:p>
        </w:tc>
        <w:tc>
          <w:tcPr>
            <w:tcW w:w="1179" w:type="dxa"/>
            <w:shd w:val="clear" w:color="auto" w:fill="auto"/>
            <w:vAlign w:val="center"/>
          </w:tcPr>
          <w:p w14:paraId="5A1FD18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2400</w:t>
            </w:r>
          </w:p>
        </w:tc>
      </w:tr>
      <w:tr w14:paraId="5A14E8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11811D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65</w:t>
            </w:r>
          </w:p>
        </w:tc>
        <w:tc>
          <w:tcPr>
            <w:tcW w:w="716" w:type="dxa"/>
            <w:shd w:val="clear" w:color="auto" w:fill="auto"/>
            <w:vAlign w:val="center"/>
          </w:tcPr>
          <w:p w14:paraId="57F6514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学生桌电源</w:t>
            </w:r>
          </w:p>
        </w:tc>
        <w:tc>
          <w:tcPr>
            <w:tcW w:w="6717" w:type="dxa"/>
            <w:shd w:val="clear" w:color="auto" w:fill="auto"/>
            <w:vAlign w:val="center"/>
          </w:tcPr>
          <w:p w14:paraId="37A56C2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配有多用插座，220 V交流电源由教师演示台分A、B、C、D四组分组控制供给。并有工作指示灯,有漏电保护(在演示台上)。其他执行JY/T0374-2004《教学实验室设备 电源系统》标准。</w:t>
            </w:r>
          </w:p>
        </w:tc>
        <w:tc>
          <w:tcPr>
            <w:tcW w:w="700" w:type="dxa"/>
            <w:shd w:val="clear" w:color="auto" w:fill="auto"/>
            <w:vAlign w:val="center"/>
          </w:tcPr>
          <w:p w14:paraId="6764260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24个</w:t>
            </w:r>
          </w:p>
        </w:tc>
        <w:tc>
          <w:tcPr>
            <w:tcW w:w="1179" w:type="dxa"/>
            <w:shd w:val="clear" w:color="auto" w:fill="auto"/>
            <w:vAlign w:val="center"/>
          </w:tcPr>
          <w:p w14:paraId="001ACD9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60</w:t>
            </w:r>
          </w:p>
        </w:tc>
      </w:tr>
      <w:tr w14:paraId="48CAB7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5EE6EE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w:t>
            </w:r>
          </w:p>
        </w:tc>
        <w:tc>
          <w:tcPr>
            <w:tcW w:w="716" w:type="dxa"/>
            <w:shd w:val="clear" w:color="auto" w:fill="auto"/>
            <w:vAlign w:val="center"/>
          </w:tcPr>
          <w:p w14:paraId="2FCCDFE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学生凳</w:t>
            </w:r>
          </w:p>
        </w:tc>
        <w:tc>
          <w:tcPr>
            <w:tcW w:w="6717" w:type="dxa"/>
            <w:shd w:val="clear" w:color="auto" w:fill="auto"/>
            <w:vAlign w:val="center"/>
          </w:tcPr>
          <w:p w14:paraId="7730463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1、方形钢木结构，外形尺寸：340*240*440（长*宽*高），凳面采用E1级18mm厚双饰面板，厚度不小于1.0mm钢铁角包边、托底。</w:t>
            </w:r>
          </w:p>
          <w:p w14:paraId="6D588D6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2、凳腿：20*40*1.5mm厚钢质方管，与凳面垂直。</w:t>
            </w:r>
          </w:p>
          <w:p w14:paraId="79C2113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3、托管：凳面下托管20*20*1.5mm厚钢质方管；凳腿方管20*20*1.5mm厚。 </w:t>
            </w:r>
          </w:p>
        </w:tc>
        <w:tc>
          <w:tcPr>
            <w:tcW w:w="700" w:type="dxa"/>
            <w:shd w:val="clear" w:color="auto" w:fill="auto"/>
            <w:vAlign w:val="center"/>
          </w:tcPr>
          <w:p w14:paraId="0FA5D4F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48张</w:t>
            </w:r>
          </w:p>
        </w:tc>
        <w:tc>
          <w:tcPr>
            <w:tcW w:w="1179" w:type="dxa"/>
            <w:shd w:val="clear" w:color="auto" w:fill="auto"/>
            <w:vAlign w:val="center"/>
          </w:tcPr>
          <w:p w14:paraId="53AB9DB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80</w:t>
            </w:r>
          </w:p>
        </w:tc>
      </w:tr>
      <w:tr w14:paraId="422270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BEFB35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67</w:t>
            </w:r>
          </w:p>
        </w:tc>
        <w:tc>
          <w:tcPr>
            <w:tcW w:w="716" w:type="dxa"/>
            <w:shd w:val="clear" w:color="auto" w:fill="auto"/>
            <w:vAlign w:val="center"/>
          </w:tcPr>
          <w:p w14:paraId="447278E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实验水盆（水封式）</w:t>
            </w:r>
          </w:p>
        </w:tc>
        <w:tc>
          <w:tcPr>
            <w:tcW w:w="6717" w:type="dxa"/>
            <w:shd w:val="clear" w:color="auto" w:fill="auto"/>
            <w:vAlign w:val="center"/>
          </w:tcPr>
          <w:p w14:paraId="0DEB787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1、410×310×180mm，水槽：PP-R聚脂水封式水槽，水槽厚度≥5mm。</w:t>
            </w:r>
          </w:p>
          <w:p w14:paraId="7C80063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2、水槽应具有耐酸、耐热、耐有机溶剂：排水口应有水封装置。</w:t>
            </w:r>
          </w:p>
          <w:p w14:paraId="39FB4B5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3、水槽应采取台下托底式安装（带支撑托架），四周应密封，无漏水现象。</w:t>
            </w:r>
          </w:p>
          <w:p w14:paraId="6823B1A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4、水槽的上水、下水均应隐蔽。</w:t>
            </w:r>
          </w:p>
          <w:p w14:paraId="7AF018C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5、排水管必须连接可靠，避免因松动脱落造成漏水，引起电源短路，形成安全隐患。</w:t>
            </w:r>
          </w:p>
        </w:tc>
        <w:tc>
          <w:tcPr>
            <w:tcW w:w="700" w:type="dxa"/>
            <w:shd w:val="clear" w:color="auto" w:fill="auto"/>
            <w:vAlign w:val="center"/>
          </w:tcPr>
          <w:p w14:paraId="5417B75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13个</w:t>
            </w:r>
          </w:p>
        </w:tc>
        <w:tc>
          <w:tcPr>
            <w:tcW w:w="1179" w:type="dxa"/>
            <w:shd w:val="clear" w:color="auto" w:fill="auto"/>
            <w:vAlign w:val="center"/>
          </w:tcPr>
          <w:p w14:paraId="06CE8AD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140</w:t>
            </w:r>
          </w:p>
        </w:tc>
      </w:tr>
      <w:tr w14:paraId="6CD06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23ED7F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w:t>
            </w:r>
          </w:p>
        </w:tc>
        <w:tc>
          <w:tcPr>
            <w:tcW w:w="716" w:type="dxa"/>
            <w:shd w:val="clear" w:color="auto" w:fill="auto"/>
            <w:vAlign w:val="center"/>
          </w:tcPr>
          <w:p w14:paraId="08DB596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三联水嘴</w:t>
            </w:r>
          </w:p>
        </w:tc>
        <w:tc>
          <w:tcPr>
            <w:tcW w:w="6717" w:type="dxa"/>
            <w:shd w:val="clear" w:color="auto" w:fill="auto"/>
            <w:vAlign w:val="center"/>
          </w:tcPr>
          <w:p w14:paraId="2F2D455F">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1</w:t>
            </w:r>
            <w:r>
              <w:rPr>
                <w:rFonts w:hint="eastAsia" w:ascii="宋体" w:hAnsi="宋体" w:eastAsia="宋体" w:cs="宋体"/>
                <w:i w:val="0"/>
                <w:iCs w:val="0"/>
                <w:color w:val="000000"/>
                <w:kern w:val="0"/>
                <w:sz w:val="21"/>
                <w:szCs w:val="21"/>
                <w:highlight w:val="none"/>
                <w:u w:val="none"/>
                <w:lang w:val="en-US" w:eastAsia="zh-CN" w:bidi="ar"/>
              </w:rPr>
              <w:t>、鹅颈、高压快开式水嘴，材料内铜外覆塑，使用无水锈。</w:t>
            </w:r>
          </w:p>
          <w:p w14:paraId="41876C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r>
              <w:rPr>
                <w:rFonts w:hint="eastAsia" w:ascii="宋体" w:hAnsi="宋体" w:eastAsia="宋体" w:cs="宋体"/>
                <w:b/>
                <w:bCs/>
                <w:color w:val="auto"/>
                <w:sz w:val="21"/>
                <w:szCs w:val="21"/>
                <w:highlight w:val="none"/>
                <w:lang w:val="en-US" w:eastAsia="zh-CN"/>
              </w:rPr>
              <w:t>2、</w:t>
            </w:r>
            <w:r>
              <w:rPr>
                <w:rFonts w:hint="eastAsia" w:ascii="宋体" w:hAnsi="宋体" w:eastAsia="宋体" w:cs="宋体"/>
                <w:b/>
                <w:bCs/>
                <w:color w:val="auto"/>
                <w:sz w:val="21"/>
                <w:szCs w:val="21"/>
                <w:highlight w:val="none"/>
              </w:rPr>
              <w:t>投标文件中须提供所投产品获得国家确定的认证机构出具的、处于有效之内的节能产品认证证书扫描件并加盖投标人CA证书签章，否则投标文件无效。</w:t>
            </w:r>
          </w:p>
        </w:tc>
        <w:tc>
          <w:tcPr>
            <w:tcW w:w="700" w:type="dxa"/>
            <w:shd w:val="clear" w:color="auto" w:fill="auto"/>
            <w:vAlign w:val="center"/>
          </w:tcPr>
          <w:p w14:paraId="2A81492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13个</w:t>
            </w:r>
          </w:p>
        </w:tc>
        <w:tc>
          <w:tcPr>
            <w:tcW w:w="1179" w:type="dxa"/>
            <w:shd w:val="clear" w:color="auto" w:fill="auto"/>
            <w:vAlign w:val="center"/>
          </w:tcPr>
          <w:p w14:paraId="0094CF7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260</w:t>
            </w:r>
          </w:p>
        </w:tc>
      </w:tr>
      <w:tr w14:paraId="7A15C9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746808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69</w:t>
            </w:r>
          </w:p>
        </w:tc>
        <w:tc>
          <w:tcPr>
            <w:tcW w:w="716" w:type="dxa"/>
            <w:shd w:val="clear" w:color="auto" w:fill="auto"/>
            <w:vAlign w:val="center"/>
          </w:tcPr>
          <w:p w14:paraId="4143D7C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实验室电器布线及给排水布管</w:t>
            </w:r>
          </w:p>
        </w:tc>
        <w:tc>
          <w:tcPr>
            <w:tcW w:w="6717" w:type="dxa"/>
            <w:shd w:val="clear" w:color="auto" w:fill="auto"/>
            <w:vAlign w:val="center"/>
          </w:tcPr>
          <w:p w14:paraId="7E6044F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铺设耐压PVC套管，4平方毫米（或以上）铜芯总线，2.5平方毫米（或以上）铜芯支线，所用电源线必须取得检测合格证，实验室电源布线系统应配备专用地线。</w:t>
            </w:r>
          </w:p>
        </w:tc>
        <w:tc>
          <w:tcPr>
            <w:tcW w:w="700" w:type="dxa"/>
            <w:shd w:val="clear" w:color="auto" w:fill="auto"/>
            <w:vAlign w:val="center"/>
          </w:tcPr>
          <w:p w14:paraId="31BBB25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1批</w:t>
            </w:r>
          </w:p>
        </w:tc>
        <w:tc>
          <w:tcPr>
            <w:tcW w:w="1179" w:type="dxa"/>
            <w:shd w:val="clear" w:color="auto" w:fill="auto"/>
            <w:vAlign w:val="center"/>
          </w:tcPr>
          <w:p w14:paraId="50AB3F2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3000</w:t>
            </w:r>
          </w:p>
        </w:tc>
      </w:tr>
      <w:tr w14:paraId="404E5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64B66FF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（十）少队活动室</w:t>
            </w:r>
          </w:p>
        </w:tc>
      </w:tr>
      <w:tr w14:paraId="45E4BE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638C06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04C56B0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16DC2B1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3E8440E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3C58188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0ACEAE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AE1A715">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w:t>
            </w:r>
          </w:p>
        </w:tc>
        <w:tc>
          <w:tcPr>
            <w:tcW w:w="716" w:type="dxa"/>
            <w:shd w:val="clear" w:color="auto" w:fill="auto"/>
            <w:vAlign w:val="center"/>
          </w:tcPr>
          <w:p w14:paraId="5332CC5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会议桌</w:t>
            </w:r>
          </w:p>
        </w:tc>
        <w:tc>
          <w:tcPr>
            <w:tcW w:w="6717" w:type="dxa"/>
            <w:shd w:val="clear" w:color="auto" w:fill="auto"/>
            <w:vAlign w:val="center"/>
          </w:tcPr>
          <w:p w14:paraId="14634E3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1、长*宽*高：600*200*76cm。基材：采用优质环保高纤板，含水率低，甲醛释放量≤0.120mg/m³，符合GB/T 31765-2015《高密度纤维板》标准。</w:t>
            </w:r>
          </w:p>
          <w:p w14:paraId="142A3D2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2、面材：面板厚≥8cm，E1级环保标准板材，面板及包边贴优质木皮，含水率低，甲醛释放量≤0.1mg/m³，符合GB/T 18580-2017《室内装饰装修材料 人造板及其制品中甲醛释放限量》、GB/T 13010-2020《木材工业用单板》标准要求。</w:t>
            </w:r>
          </w:p>
        </w:tc>
        <w:tc>
          <w:tcPr>
            <w:tcW w:w="700" w:type="dxa"/>
            <w:shd w:val="clear" w:color="auto" w:fill="auto"/>
            <w:vAlign w:val="center"/>
          </w:tcPr>
          <w:p w14:paraId="215FBED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1张</w:t>
            </w:r>
          </w:p>
        </w:tc>
        <w:tc>
          <w:tcPr>
            <w:tcW w:w="1179" w:type="dxa"/>
            <w:shd w:val="clear" w:color="auto" w:fill="auto"/>
            <w:vAlign w:val="center"/>
          </w:tcPr>
          <w:p w14:paraId="031D95F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12600 </w:t>
            </w:r>
          </w:p>
        </w:tc>
      </w:tr>
      <w:tr w14:paraId="303910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343BC1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71</w:t>
            </w:r>
          </w:p>
        </w:tc>
        <w:tc>
          <w:tcPr>
            <w:tcW w:w="716" w:type="dxa"/>
            <w:shd w:val="clear" w:color="auto" w:fill="auto"/>
            <w:vAlign w:val="center"/>
          </w:tcPr>
          <w:p w14:paraId="6FA0ECE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会议椅子</w:t>
            </w:r>
          </w:p>
        </w:tc>
        <w:tc>
          <w:tcPr>
            <w:tcW w:w="6717" w:type="dxa"/>
            <w:shd w:val="clear" w:color="auto" w:fill="auto"/>
            <w:vAlign w:val="center"/>
          </w:tcPr>
          <w:p w14:paraId="5622F32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规格560*480*890</w:t>
            </w:r>
          </w:p>
          <w:p w14:paraId="334458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1、面料：坐面及背靠面均为优质西皮，厚度1.0，透气性强，柔软而富有韧性，防潮，防污易清洁，皮面舒适，光泽持久。</w:t>
            </w:r>
          </w:p>
          <w:p w14:paraId="57D69A8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海绵：海绵采用成型P.U发泡高密度阻燃海绵，软硬适中，回弹性强，抗变形能力强，根据人体工学原理设计，坐感舒适，坐的密度55kg/m3，靠背的密度40kg/m3,回弹力≥65%，坐背板，设计根据人体工学原理设计，曲木板材采用1.5mm夹板八层热压成型，成型板材约12mm，板材承受力300kg,经防虫防腐，防潮防化学处理，湿度少于8%。</w:t>
            </w:r>
          </w:p>
          <w:p w14:paraId="11DE630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3、椅架:橡木实木扶手及脚架，符合人体工程学设计。</w:t>
            </w:r>
          </w:p>
        </w:tc>
        <w:tc>
          <w:tcPr>
            <w:tcW w:w="700" w:type="dxa"/>
            <w:shd w:val="clear" w:color="auto" w:fill="auto"/>
            <w:vAlign w:val="center"/>
          </w:tcPr>
          <w:p w14:paraId="4253C6E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36张</w:t>
            </w:r>
          </w:p>
        </w:tc>
        <w:tc>
          <w:tcPr>
            <w:tcW w:w="1179" w:type="dxa"/>
            <w:shd w:val="clear" w:color="auto" w:fill="auto"/>
            <w:vAlign w:val="center"/>
          </w:tcPr>
          <w:p w14:paraId="4E5E372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700 </w:t>
            </w:r>
          </w:p>
        </w:tc>
      </w:tr>
      <w:tr w14:paraId="364B56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222E3F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w:t>
            </w:r>
          </w:p>
        </w:tc>
        <w:tc>
          <w:tcPr>
            <w:tcW w:w="716" w:type="dxa"/>
            <w:shd w:val="clear" w:color="auto" w:fill="auto"/>
            <w:vAlign w:val="center"/>
          </w:tcPr>
          <w:p w14:paraId="1111951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大军鼓</w:t>
            </w:r>
          </w:p>
        </w:tc>
        <w:tc>
          <w:tcPr>
            <w:tcW w:w="6717" w:type="dxa"/>
            <w:shd w:val="clear" w:color="auto" w:fill="auto"/>
            <w:vAlign w:val="center"/>
          </w:tcPr>
          <w:p w14:paraId="6204D0E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w:t>
            </w: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规格：直径：610mm；高：250mm；</w:t>
            </w:r>
          </w:p>
          <w:p w14:paraId="5353B4F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2、鼓腔：加厚0.5mm优质镀锌板(不锈钢) ,一次成型， 牢固不易生锈；鼓皮：正品0.188毫米PET外圈实心钢丝镶嵌，铝合金包边，平整导音佳很难脱落，发音低沉宏大，更能承受强力度的连续敲击；压圈：正品加厚1.2mm冷轧钢-次成型，光滑不割手，表面高温烤漆。美观耐用,不易变形，更换简单；鼓皮防护:压圈宽度超过3cm，能更好的保护鼓皮，防止割破滑坡；挂钩：正品1.2mm冷轧钢,冲压成型表现电镀，钩爪压槽,既美观又增加韧性，不易变形，经久耐用；颜色：红色，高温烤漆，不锈钢本色。</w:t>
            </w:r>
          </w:p>
          <w:p w14:paraId="0C4F4A0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3、各部件表面打磨光滑，无毛刺，无锐利边角，鼓框拼接整齐，胶合牢固，无裂开，声音饱满，浑厚。</w:t>
            </w:r>
          </w:p>
          <w:p w14:paraId="4788C78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4、配：鼓槌、背带。</w:t>
            </w:r>
          </w:p>
        </w:tc>
        <w:tc>
          <w:tcPr>
            <w:tcW w:w="700" w:type="dxa"/>
            <w:shd w:val="clear" w:color="auto" w:fill="auto"/>
            <w:vAlign w:val="center"/>
          </w:tcPr>
          <w:p w14:paraId="0150A54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4面</w:t>
            </w:r>
          </w:p>
        </w:tc>
        <w:tc>
          <w:tcPr>
            <w:tcW w:w="1179" w:type="dxa"/>
            <w:shd w:val="clear" w:color="auto" w:fill="auto"/>
            <w:vAlign w:val="center"/>
          </w:tcPr>
          <w:p w14:paraId="5569E87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220</w:t>
            </w:r>
          </w:p>
        </w:tc>
      </w:tr>
      <w:tr w14:paraId="38FF81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835019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73</w:t>
            </w:r>
          </w:p>
        </w:tc>
        <w:tc>
          <w:tcPr>
            <w:tcW w:w="716" w:type="dxa"/>
            <w:shd w:val="clear" w:color="auto" w:fill="auto"/>
            <w:vAlign w:val="center"/>
          </w:tcPr>
          <w:p w14:paraId="3029F188">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小军鼓</w:t>
            </w:r>
          </w:p>
        </w:tc>
        <w:tc>
          <w:tcPr>
            <w:tcW w:w="6717" w:type="dxa"/>
            <w:shd w:val="clear" w:color="auto" w:fill="auto"/>
            <w:vAlign w:val="center"/>
          </w:tcPr>
          <w:p w14:paraId="0EBEF7D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1、规格：直径：380mm；高：150mm；</w:t>
            </w:r>
          </w:p>
          <w:p w14:paraId="7C5C172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2、鼓腔：加厚0.5mm优质镀锌板(不锈钢) ,一次成型， 牢固不易生锈；鼓皮：正品0.188毫米PET外圈实心钢丝镶嵌，铝合金包边，平整导音佳很难脱落，发音低沉宏大，更能承受强力度的连续敲击；压圈：正品加厚1.2mm冷轧钢-次成型，光滑不割手，表面高温烤漆。美观耐用,不易变形，更换简单；鼓皮防护:压圈宽度超过3cm，能更好的保护鼓皮，防止割破滑坡；挂钩：正品1.2mm冷轧钢,冲压成型表现电镀，钩爪压槽,既美观又增加韧性，不易变形，经久耐用；颜色：红色，高温烤漆，不锈钢本色。</w:t>
            </w:r>
          </w:p>
          <w:p w14:paraId="6454B39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3、各部件表面打磨光滑，无毛刺，无锐利边角，鼓框拼接整齐，胶合牢固，无裂开，声音饱满，浑厚。</w:t>
            </w:r>
          </w:p>
          <w:p w14:paraId="47E760B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4、配：鼓槌、背带。</w:t>
            </w:r>
          </w:p>
        </w:tc>
        <w:tc>
          <w:tcPr>
            <w:tcW w:w="700" w:type="dxa"/>
            <w:shd w:val="clear" w:color="auto" w:fill="auto"/>
            <w:vAlign w:val="center"/>
          </w:tcPr>
          <w:p w14:paraId="291B53E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4面</w:t>
            </w:r>
          </w:p>
        </w:tc>
        <w:tc>
          <w:tcPr>
            <w:tcW w:w="1179" w:type="dxa"/>
            <w:shd w:val="clear" w:color="auto" w:fill="auto"/>
            <w:vAlign w:val="center"/>
          </w:tcPr>
          <w:p w14:paraId="507394C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90</w:t>
            </w:r>
          </w:p>
        </w:tc>
      </w:tr>
      <w:tr w14:paraId="271742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6D153C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74</w:t>
            </w:r>
          </w:p>
        </w:tc>
        <w:tc>
          <w:tcPr>
            <w:tcW w:w="716" w:type="dxa"/>
            <w:shd w:val="clear" w:color="auto" w:fill="auto"/>
            <w:vAlign w:val="center"/>
          </w:tcPr>
          <w:p w14:paraId="3AC6760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大擦</w:t>
            </w:r>
          </w:p>
        </w:tc>
        <w:tc>
          <w:tcPr>
            <w:tcW w:w="6717" w:type="dxa"/>
            <w:shd w:val="clear" w:color="auto" w:fill="auto"/>
            <w:vAlign w:val="center"/>
          </w:tcPr>
          <w:p w14:paraId="7B267C1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1、材质：响铜；</w:t>
            </w:r>
          </w:p>
          <w:p w14:paraId="337C202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2、规格：镲直径：≧30mm，镲重量约1350g；</w:t>
            </w:r>
          </w:p>
          <w:p w14:paraId="5CE13A3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3、结构：镲体为一圆形金属板，用响铜制成，中部隆起的半球形部分称“帽”，顶部钻有小孔，抛光打磨有光泽，音质响亮清脆；</w:t>
            </w:r>
          </w:p>
          <w:p w14:paraId="04C874F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4、功能要求：声音判断：互击时声音洪亮而强烈，穿透力很强，能烘托气氛，强烈的气势，音色高亢脆亮；</w:t>
            </w:r>
          </w:p>
          <w:p w14:paraId="35181FA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5、使用方法：演奏时左右手各握一个，互击发音。</w:t>
            </w:r>
          </w:p>
        </w:tc>
        <w:tc>
          <w:tcPr>
            <w:tcW w:w="700" w:type="dxa"/>
            <w:shd w:val="clear" w:color="auto" w:fill="auto"/>
            <w:vAlign w:val="center"/>
          </w:tcPr>
          <w:p w14:paraId="33385CC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4付</w:t>
            </w:r>
          </w:p>
        </w:tc>
        <w:tc>
          <w:tcPr>
            <w:tcW w:w="1179" w:type="dxa"/>
            <w:shd w:val="clear" w:color="auto" w:fill="auto"/>
            <w:vAlign w:val="center"/>
          </w:tcPr>
          <w:p w14:paraId="6B866D0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240</w:t>
            </w:r>
          </w:p>
        </w:tc>
      </w:tr>
      <w:tr w14:paraId="390C92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B28C32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75</w:t>
            </w:r>
          </w:p>
        </w:tc>
        <w:tc>
          <w:tcPr>
            <w:tcW w:w="716" w:type="dxa"/>
            <w:shd w:val="clear" w:color="auto" w:fill="auto"/>
            <w:vAlign w:val="center"/>
          </w:tcPr>
          <w:p w14:paraId="6A45E01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小擦</w:t>
            </w:r>
          </w:p>
        </w:tc>
        <w:tc>
          <w:tcPr>
            <w:tcW w:w="6717" w:type="dxa"/>
            <w:shd w:val="clear" w:color="auto" w:fill="auto"/>
            <w:vAlign w:val="center"/>
          </w:tcPr>
          <w:p w14:paraId="594C861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1、材质：响铜，音色更高亢脆亮。抛光处理。</w:t>
            </w:r>
          </w:p>
          <w:p w14:paraId="17E5516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2、尺寸：镲直径≥150㎜，厚度≥1mm，重量不小于：450g，碗顶钻孔系以布绳，两面为一副。</w:t>
            </w:r>
          </w:p>
          <w:p w14:paraId="78CE91A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3、制作精美，光洁，无毛刺。圆帽形，中间突起，镲体小而厚，产品光滑，平整，无毛刺、裂缝，周边无棱角表面抛光氧化处理并涂防锈油。</w:t>
            </w:r>
          </w:p>
          <w:p w14:paraId="0675DD9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4、功能要求：声音判断：互击时声音洪亮而强烈，穿透力很强，能烘托气氛，强烈的气势，音色高亢脆亮。</w:t>
            </w:r>
          </w:p>
          <w:p w14:paraId="560E7D9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5、使用方法：演奏时左右手各握一个，互击发音。</w:t>
            </w:r>
          </w:p>
        </w:tc>
        <w:tc>
          <w:tcPr>
            <w:tcW w:w="700" w:type="dxa"/>
            <w:shd w:val="clear" w:color="auto" w:fill="auto"/>
            <w:vAlign w:val="center"/>
          </w:tcPr>
          <w:p w14:paraId="43689E5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4付</w:t>
            </w:r>
          </w:p>
        </w:tc>
        <w:tc>
          <w:tcPr>
            <w:tcW w:w="1179" w:type="dxa"/>
            <w:shd w:val="clear" w:color="auto" w:fill="auto"/>
            <w:vAlign w:val="center"/>
          </w:tcPr>
          <w:p w14:paraId="4770F62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95</w:t>
            </w:r>
          </w:p>
        </w:tc>
      </w:tr>
      <w:tr w14:paraId="623321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5A1596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76</w:t>
            </w:r>
          </w:p>
        </w:tc>
        <w:tc>
          <w:tcPr>
            <w:tcW w:w="716" w:type="dxa"/>
            <w:shd w:val="clear" w:color="auto" w:fill="auto"/>
            <w:vAlign w:val="center"/>
          </w:tcPr>
          <w:p w14:paraId="2E937DE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小号</w:t>
            </w:r>
          </w:p>
        </w:tc>
        <w:tc>
          <w:tcPr>
            <w:tcW w:w="6717" w:type="dxa"/>
            <w:shd w:val="clear" w:color="auto" w:fill="auto"/>
            <w:vAlign w:val="center"/>
          </w:tcPr>
          <w:p w14:paraId="5A25C39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1、降B调立式活塞小号；调性：降B调 。</w:t>
            </w:r>
          </w:p>
          <w:p w14:paraId="3F9D3EE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2、表面处理：漆金、镀镍、镀银；</w:t>
            </w:r>
          </w:p>
          <w:p w14:paraId="7257057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3、材质：乐器专用黄铜管体；号口大约121mm，内管尺寸约11mm ；</w:t>
            </w:r>
          </w:p>
          <w:p w14:paraId="503372C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4、手感舒适，不锈钢金活塞，活塞采用数控机床加工，精密度更高。</w:t>
            </w:r>
          </w:p>
          <w:p w14:paraId="0EED717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5、加大号口，高低音通透，音准音色好，声音穿透力更强，共振更好共鸣更出色。</w:t>
            </w:r>
          </w:p>
          <w:p w14:paraId="503796A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6、烤漆喷涂，漆面持久，采用传统手工喷涂，更耐磨。</w:t>
            </w:r>
          </w:p>
          <w:p w14:paraId="3272FED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7、采用双放水阀门设计，方便清洁口水。</w:t>
            </w:r>
          </w:p>
          <w:p w14:paraId="5E116A7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8、配擦拭布、演奏手套、专用手提箱。</w:t>
            </w:r>
          </w:p>
        </w:tc>
        <w:tc>
          <w:tcPr>
            <w:tcW w:w="700" w:type="dxa"/>
            <w:shd w:val="clear" w:color="auto" w:fill="auto"/>
            <w:vAlign w:val="center"/>
          </w:tcPr>
          <w:p w14:paraId="32C94EC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4把</w:t>
            </w:r>
          </w:p>
        </w:tc>
        <w:tc>
          <w:tcPr>
            <w:tcW w:w="1179" w:type="dxa"/>
            <w:shd w:val="clear" w:color="auto" w:fill="auto"/>
            <w:vAlign w:val="center"/>
          </w:tcPr>
          <w:p w14:paraId="70BE7A5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1020</w:t>
            </w:r>
          </w:p>
        </w:tc>
      </w:tr>
      <w:tr w14:paraId="01258E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20013F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77</w:t>
            </w:r>
          </w:p>
        </w:tc>
        <w:tc>
          <w:tcPr>
            <w:tcW w:w="716" w:type="dxa"/>
            <w:shd w:val="clear" w:color="auto" w:fill="auto"/>
            <w:vAlign w:val="center"/>
          </w:tcPr>
          <w:p w14:paraId="5CA9539D">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指挥棒</w:t>
            </w:r>
          </w:p>
        </w:tc>
        <w:tc>
          <w:tcPr>
            <w:tcW w:w="6717" w:type="dxa"/>
            <w:shd w:val="clear" w:color="auto" w:fill="auto"/>
            <w:vAlign w:val="center"/>
          </w:tcPr>
          <w:p w14:paraId="6371171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1、规格：全长≧900mm，共两节；</w:t>
            </w:r>
          </w:p>
          <w:p w14:paraId="270F285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2、主体材质：不锈钢材质，结实耐用；</w:t>
            </w:r>
          </w:p>
          <w:p w14:paraId="5DCF8D1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3、表面平滑美观，整体经过精细的打磨，安全无毛刺，不伤手，放心使用，带黄绳碎头。</w:t>
            </w:r>
          </w:p>
        </w:tc>
        <w:tc>
          <w:tcPr>
            <w:tcW w:w="700" w:type="dxa"/>
            <w:shd w:val="clear" w:color="auto" w:fill="auto"/>
            <w:vAlign w:val="center"/>
          </w:tcPr>
          <w:p w14:paraId="6073267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1根</w:t>
            </w:r>
          </w:p>
        </w:tc>
        <w:tc>
          <w:tcPr>
            <w:tcW w:w="1179" w:type="dxa"/>
            <w:shd w:val="clear" w:color="auto" w:fill="auto"/>
            <w:vAlign w:val="center"/>
          </w:tcPr>
          <w:p w14:paraId="6E7E99F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100</w:t>
            </w:r>
          </w:p>
        </w:tc>
      </w:tr>
      <w:tr w14:paraId="49E784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93396A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78</w:t>
            </w:r>
          </w:p>
        </w:tc>
        <w:tc>
          <w:tcPr>
            <w:tcW w:w="716" w:type="dxa"/>
            <w:shd w:val="clear" w:color="auto" w:fill="auto"/>
            <w:vAlign w:val="center"/>
          </w:tcPr>
          <w:p w14:paraId="40084BC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教学用品柜</w:t>
            </w:r>
          </w:p>
        </w:tc>
        <w:tc>
          <w:tcPr>
            <w:tcW w:w="6717" w:type="dxa"/>
            <w:shd w:val="clear" w:color="auto" w:fill="auto"/>
            <w:vAlign w:val="center"/>
          </w:tcPr>
          <w:p w14:paraId="2121124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一、外形尺寸不小于:1050mm×500mm×1800mm。</w:t>
            </w:r>
          </w:p>
          <w:p w14:paraId="3FA1A29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二、结构，柜身：铝木结构。柜子上、下部各为三层，隔层板高度可调。柜子上部为对开内嵌式玻璃门，下部为对开内嵌式木门，每扇门均配拉手。</w:t>
            </w:r>
          </w:p>
          <w:p w14:paraId="4351BE6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三、材质</w:t>
            </w:r>
          </w:p>
          <w:p w14:paraId="0551A4D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1、所有铝合金型材、钢制立杆、固定扣均要求模具一次加工成型，且必须经过环氧树脂高温固化处理。</w:t>
            </w:r>
          </w:p>
          <w:p w14:paraId="2EAC24E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2、柜体框架为铝合金型材，前立柱不小于28mm×45mm，后立柱不小于45mm×45mm，横杆不小于28mm×45mm，铝型材厚度不小于1.2mm。</w:t>
            </w:r>
          </w:p>
          <w:p w14:paraId="7C277C9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3、钢制立杆、固定扣采用冷轧钢板制作，厚度不小于0.8mm。立杆上设有不同高度、不少于20个的调节孔。</w:t>
            </w:r>
          </w:p>
          <w:p w14:paraId="30ADBAC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4、隔层板底部设有日字型框架作托架，托架不小于980mm×400mm×15mm,采用不小于15mm×15mm×1.0mm矩形钢管制作。</w:t>
            </w:r>
          </w:p>
          <w:p w14:paraId="78CCA4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5、柜体各面所用板材采用优质中密度或高密度纤维板，厚度不小于15mm；柜门内嵌板厚度不小于5mm；隔层板厚度不小于12mm 且不大于13mm。</w:t>
            </w:r>
          </w:p>
          <w:p w14:paraId="77DD45A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6、必须配备铰链、可调式脚垫、拉手；</w:t>
            </w:r>
          </w:p>
          <w:p w14:paraId="6C0A4B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7、玻璃：采用规格不小于845mm×344mm，厚度≥4mm白色浮化玻璃。</w:t>
            </w:r>
          </w:p>
          <w:p w14:paraId="57F31C3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四、产品质量符合GB/T3324-2017《木家具通用技术条件》中的相关规定。有害物质限量必须符合GB/18584-2001《室内装饰装修材料木家具中有害物质限量》的规定。</w:t>
            </w:r>
          </w:p>
        </w:tc>
        <w:tc>
          <w:tcPr>
            <w:tcW w:w="700" w:type="dxa"/>
            <w:shd w:val="clear" w:color="auto" w:fill="auto"/>
            <w:vAlign w:val="center"/>
          </w:tcPr>
          <w:p w14:paraId="5FFCDBA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2个</w:t>
            </w:r>
          </w:p>
        </w:tc>
        <w:tc>
          <w:tcPr>
            <w:tcW w:w="1179" w:type="dxa"/>
            <w:shd w:val="clear" w:color="auto" w:fill="auto"/>
            <w:vAlign w:val="center"/>
          </w:tcPr>
          <w:p w14:paraId="74E2FC0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1200</w:t>
            </w:r>
          </w:p>
        </w:tc>
      </w:tr>
      <w:tr w14:paraId="3FC225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57DEB8F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（十一）阅览室</w:t>
            </w:r>
          </w:p>
        </w:tc>
      </w:tr>
      <w:tr w14:paraId="624985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CCB3B2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563AE0B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42F5E86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519282E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08EF9A5A">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12D36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6E3DB0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79</w:t>
            </w:r>
          </w:p>
        </w:tc>
        <w:tc>
          <w:tcPr>
            <w:tcW w:w="716" w:type="dxa"/>
            <w:shd w:val="clear" w:color="auto" w:fill="auto"/>
            <w:vAlign w:val="center"/>
          </w:tcPr>
          <w:p w14:paraId="10AB6F4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阅览桌椅</w:t>
            </w:r>
          </w:p>
        </w:tc>
        <w:tc>
          <w:tcPr>
            <w:tcW w:w="6717" w:type="dxa"/>
            <w:shd w:val="clear" w:color="auto" w:fill="auto"/>
            <w:vAlign w:val="center"/>
          </w:tcPr>
          <w:p w14:paraId="65AA683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阅览室桌椅要求：</w:t>
            </w:r>
          </w:p>
          <w:p w14:paraId="302DB5E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1.一桌四椅，采用松木实木板制作，不开裂，不变形，耐高温，人体工程学设计，坐感舒适，经久耐用，颜色为板栗色。</w:t>
            </w:r>
          </w:p>
          <w:p w14:paraId="62E689F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2.桌长1300mm（±3mm），宽680mm（±3mm）， 高77 cm（±2mm）， 面板厚≥25mm。</w:t>
            </w:r>
          </w:p>
          <w:p w14:paraId="0F106C9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3.椅总高800mm（±5mm），座宽400mm*400mm（±3mm），座高450mm（±3mm），面板厚≥25mm，椅脚厚45mm*45mm（±1mm）。</w:t>
            </w:r>
          </w:p>
        </w:tc>
        <w:tc>
          <w:tcPr>
            <w:tcW w:w="700" w:type="dxa"/>
            <w:shd w:val="clear" w:color="auto" w:fill="auto"/>
            <w:vAlign w:val="center"/>
          </w:tcPr>
          <w:p w14:paraId="77065AA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12套</w:t>
            </w:r>
          </w:p>
        </w:tc>
        <w:tc>
          <w:tcPr>
            <w:tcW w:w="1179" w:type="dxa"/>
            <w:shd w:val="clear" w:color="auto" w:fill="auto"/>
            <w:vAlign w:val="center"/>
          </w:tcPr>
          <w:p w14:paraId="6B521DF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1880</w:t>
            </w:r>
          </w:p>
        </w:tc>
      </w:tr>
      <w:tr w14:paraId="2552373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562254EE">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（十二）广播系统</w:t>
            </w:r>
          </w:p>
        </w:tc>
      </w:tr>
      <w:tr w14:paraId="1AA475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91C4A7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3400F3B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233A727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0854F2C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2DF6AEA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655375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4E2F14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80</w:t>
            </w:r>
          </w:p>
        </w:tc>
        <w:tc>
          <w:tcPr>
            <w:tcW w:w="716" w:type="dxa"/>
            <w:shd w:val="clear" w:color="auto" w:fill="auto"/>
            <w:vAlign w:val="center"/>
          </w:tcPr>
          <w:p w14:paraId="31C35C9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网络听学主机</w:t>
            </w:r>
          </w:p>
        </w:tc>
        <w:tc>
          <w:tcPr>
            <w:tcW w:w="6717" w:type="dxa"/>
            <w:shd w:val="clear" w:color="auto" w:fill="auto"/>
            <w:vAlign w:val="center"/>
          </w:tcPr>
          <w:p w14:paraId="159200A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1.采用工控机机箱设计，具有17.3英寸LED液晶显示屏，支持纯摸控制屏，服务器运载vindowsserver2008或以上操作系统。</w:t>
            </w:r>
          </w:p>
          <w:p w14:paraId="68D799E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2.支持1路短路触发开机接口，用于实现定时驱动开机运行。</w:t>
            </w:r>
          </w:p>
          <w:p w14:paraId="70A355B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3.具有≥8xUSB接口、≥6x串口接口、&gt;2x千兆网。配置不低于四核/i5处理器。</w:t>
            </w:r>
          </w:p>
          <w:p w14:paraId="7D2C343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4.设备支持1路VGA1路HDII输出接口，可将画面输出至大屏放大显示。</w:t>
            </w:r>
          </w:p>
          <w:p w14:paraId="5348BF5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5.支持操作系统配置通电自动开机、定时自动开机，定时自动关机功能。</w:t>
            </w:r>
          </w:p>
          <w:p w14:paraId="7FEB954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6.内置抽拉键盘、内置触控鼠标面板+左右按键设计，支持通过 USB 接口外接鼠标键盘。</w:t>
            </w:r>
          </w:p>
          <w:p w14:paraId="2CF7804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7.支持录音存储功能，可在后台自定义设置录音文件保存路径。</w:t>
            </w:r>
          </w:p>
          <w:p w14:paraId="6A18E4E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8.支持通过手机APP进行随时随地对IP 广播音箱/终端进行播控功能，可实现单条内容推送、音箱音量控制与暂停/播放、播放进度条拖拉等功能。</w:t>
            </w:r>
          </w:p>
          <w:p w14:paraId="0EEE206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9.支持通过手机APP实现在规定的时间内对IP广播音箱/终端会自动智能推送内容开始播放，支持音频文件智能推送的功能，可选10分钟、30 分钟、60 分钟、2小时。</w:t>
            </w:r>
          </w:p>
          <w:p w14:paraId="31C8DF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10.支持录音信息推送，输入文本内容转语音推送，常用语信息推送到对应的单个或多个IP 广播音箱/终端，支持即时推送，定时推送功能，并且可调整推送音量大小和播放次数。</w:t>
            </w:r>
          </w:p>
          <w:p w14:paraId="39D25470">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11.支持通过手机APP可实时查看音箱的空闲状态、离线状态、音量大小</w:t>
            </w:r>
            <w:r>
              <w:rPr>
                <w:rFonts w:hint="eastAsia" w:ascii="宋体" w:hAnsi="宋体" w:eastAsia="宋体" w:cs="宋体"/>
                <w:i w:val="0"/>
                <w:iCs w:val="0"/>
                <w:color w:val="000000"/>
                <w:kern w:val="0"/>
                <w:sz w:val="21"/>
                <w:szCs w:val="21"/>
                <w:highlight w:val="none"/>
                <w:u w:val="none"/>
                <w:lang w:val="en-US" w:eastAsia="zh-CN" w:bidi="ar"/>
              </w:rPr>
              <w:t>，远程控制音箱播放内容、音量大小、进度等功能。</w:t>
            </w:r>
          </w:p>
          <w:p w14:paraId="03CE1486">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★12.支持通过手机APP对网络音箱进行播放与语文教材同步的内容，包括:“课文朗读”、“字词听写”、“必背篇章”、“示范诵读”、“中华吟诵”等内容。</w:t>
            </w:r>
          </w:p>
          <w:p w14:paraId="7D62DE8E">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★13.支持通过手机APP 对网络音箱进行播放与英语教材同步的内容，包括:“人教版”、“场景对话”等内容。</w:t>
            </w:r>
          </w:p>
          <w:p w14:paraId="43546E9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★14.支持通过手机APP对网络音箱进行播放与音乐、综合、党建教材同步的内容，包括:“校园音乐”、“音乐大师”、“趣味数学”、“安全百科”、“国学启蒙”、“党建之声”、“廉洁自律”等内容。</w:t>
            </w:r>
          </w:p>
        </w:tc>
        <w:tc>
          <w:tcPr>
            <w:tcW w:w="700" w:type="dxa"/>
            <w:shd w:val="clear" w:color="auto" w:fill="auto"/>
            <w:vAlign w:val="center"/>
          </w:tcPr>
          <w:p w14:paraId="575D429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43A6221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20708</w:t>
            </w:r>
          </w:p>
        </w:tc>
      </w:tr>
      <w:tr w14:paraId="097CEC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6925EB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81</w:t>
            </w:r>
          </w:p>
        </w:tc>
        <w:tc>
          <w:tcPr>
            <w:tcW w:w="716" w:type="dxa"/>
            <w:shd w:val="clear" w:color="auto" w:fill="auto"/>
            <w:vAlign w:val="center"/>
          </w:tcPr>
          <w:p w14:paraId="06F17BA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数字化IP网络广播客户端管理软件</w:t>
            </w:r>
          </w:p>
        </w:tc>
        <w:tc>
          <w:tcPr>
            <w:tcW w:w="6717" w:type="dxa"/>
            <w:shd w:val="clear" w:color="auto" w:fill="auto"/>
            <w:vAlign w:val="center"/>
          </w:tcPr>
          <w:p w14:paraId="3E05300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1.软件是整个系统的运行核心，统一管理系统内所有音频终端，包括寻呼话筒、对讲终端、广播终端和消防接口设备，实时显示音频终端的IP地址、在线状态、任务状态、音量等运行状态。</w:t>
            </w:r>
          </w:p>
          <w:p w14:paraId="20C8520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撑各音频终端的运行，负责音频流传输管理，响应各音频终端播放请求和音频全双工交换，支持B/S架构，通过网页登陆可进行终端管理、用户管理、节目播放管理、音频文件管理、录音存贮、内部通讯调度处理等功能。</w:t>
            </w:r>
          </w:p>
          <w:p w14:paraId="21E953C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3.管理节目库资源，为所有音频终端器提供定时播放和实时点播媒体服务，响应各终端的节目播放请求，为各音频工作站提供数据接口服务。</w:t>
            </w:r>
          </w:p>
          <w:p w14:paraId="7AEF6B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4.提供全双工语音数据交换，响应各对讲终端的呼叫和通话请求，支持一键呼叫、一键对讲、一键求助、一键报警等通话模式，支持自动接听、手动接听，支持自定义接听提示音。</w:t>
            </w:r>
          </w:p>
          <w:p w14:paraId="3DDE2C5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多种呼叫策略，包括无响应转移、占线转移、关机转移，支持时间策略和转移策略自定义设置。支持设置对讲终端呼叫策略，可自定义通话时间0-180S或不受限，可选择是否自动接听，支持自定义选择来电铃声与等待铃声。</w:t>
            </w:r>
          </w:p>
          <w:p w14:paraId="533581F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6.支持终端短路输入联动触发，可任意设置联动触发方案和触发终端数量，触发方案包括短路输出、音乐播放、巡更警报等。</w:t>
            </w:r>
          </w:p>
          <w:p w14:paraId="4BAA23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7.编程定时任务，支持编程多套定时方案，支持选择任意终端和设置任意时间；支持定时任务执行测试、设置重复周期。支持定时任务多种音源选择（音乐播放、声卡采集、终端采集）。</w:t>
            </w:r>
          </w:p>
          <w:p w14:paraId="507B403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8.支持多套定时打铃方案同时启用，每套定时打铃方案支持多套任务同时进行，支持一键启用/停用所有方案。</w:t>
            </w:r>
          </w:p>
          <w:p w14:paraId="2BD473B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9.支持定时打铃功能，支持打铃方案克隆，任务执行与停止控制、定时任务禁用与启用功能。</w:t>
            </w:r>
          </w:p>
          <w:p w14:paraId="60EC08A5">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★10.支持定时巡更功能，支持自定义巡更任务的执行时间及重复周期，可自定义指示灯闪烁间隔时间0-30s。</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投标文件中须提供功能</w:t>
            </w:r>
            <w:r>
              <w:rPr>
                <w:rFonts w:hint="eastAsia" w:ascii="宋体" w:hAnsi="宋体" w:eastAsia="宋体" w:cs="宋体"/>
                <w:b/>
                <w:bCs/>
                <w:i w:val="0"/>
                <w:iCs w:val="0"/>
                <w:color w:val="000000"/>
                <w:kern w:val="0"/>
                <w:sz w:val="21"/>
                <w:szCs w:val="21"/>
                <w:u w:val="none"/>
                <w:lang w:val="en-US" w:eastAsia="zh-CN" w:bidi="ar"/>
              </w:rPr>
              <w:t>界面</w:t>
            </w:r>
            <w:r>
              <w:rPr>
                <w:rFonts w:hint="eastAsia" w:ascii="宋体" w:hAnsi="宋体" w:eastAsia="宋体" w:cs="宋体"/>
                <w:b/>
                <w:bCs/>
                <w:color w:val="auto"/>
                <w:sz w:val="21"/>
                <w:szCs w:val="21"/>
                <w:highlight w:val="none"/>
              </w:rPr>
              <w:t>截图并加盖供应商CA证书签章，否则投标文件无效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0969389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11.支持今日任务列表查看，轻松管理今日执行的所有定时任务信息和执行状态。</w:t>
            </w:r>
          </w:p>
          <w:p w14:paraId="2946171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12.日志记录系统运行状态，实时记录系统运行及终端工作状态，每次呼叫、通话和广播操作均有记录</w:t>
            </w:r>
          </w:p>
          <w:p w14:paraId="59C67F74">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★13.支持对8路功率分区终端进行功率控制分区设置，通过web页面后台或分控客户端均可设置分区。</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投标文件中须提供功能</w:t>
            </w:r>
            <w:r>
              <w:rPr>
                <w:rFonts w:hint="eastAsia" w:ascii="宋体" w:hAnsi="宋体" w:eastAsia="宋体" w:cs="宋体"/>
                <w:b/>
                <w:bCs/>
                <w:i w:val="0"/>
                <w:iCs w:val="0"/>
                <w:color w:val="000000"/>
                <w:kern w:val="0"/>
                <w:sz w:val="21"/>
                <w:szCs w:val="21"/>
                <w:u w:val="none"/>
                <w:lang w:val="en-US" w:eastAsia="zh-CN" w:bidi="ar"/>
              </w:rPr>
              <w:t>界面</w:t>
            </w:r>
            <w:r>
              <w:rPr>
                <w:rFonts w:hint="eastAsia" w:ascii="宋体" w:hAnsi="宋体" w:eastAsia="宋体" w:cs="宋体"/>
                <w:b/>
                <w:bCs/>
                <w:color w:val="auto"/>
                <w:sz w:val="21"/>
                <w:szCs w:val="21"/>
                <w:highlight w:val="none"/>
              </w:rPr>
              <w:t>截图并加盖供应商CA证书签章，否则投标文件无效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7BF55140">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★14.支持对终端设置时间显示配置，可设置0-6级别亮度值，可设置离线后不显示时间等模式。</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投标文件中须提供功能</w:t>
            </w:r>
            <w:r>
              <w:rPr>
                <w:rFonts w:hint="eastAsia" w:ascii="宋体" w:hAnsi="宋体" w:eastAsia="宋体" w:cs="宋体"/>
                <w:b/>
                <w:bCs/>
                <w:i w:val="0"/>
                <w:iCs w:val="0"/>
                <w:color w:val="000000"/>
                <w:kern w:val="0"/>
                <w:sz w:val="21"/>
                <w:szCs w:val="21"/>
                <w:u w:val="none"/>
                <w:lang w:val="en-US" w:eastAsia="zh-CN" w:bidi="ar"/>
              </w:rPr>
              <w:t>界面</w:t>
            </w:r>
            <w:r>
              <w:rPr>
                <w:rFonts w:hint="eastAsia" w:ascii="宋体" w:hAnsi="宋体" w:eastAsia="宋体" w:cs="宋体"/>
                <w:b/>
                <w:bCs/>
                <w:color w:val="auto"/>
                <w:sz w:val="21"/>
                <w:szCs w:val="21"/>
                <w:highlight w:val="none"/>
              </w:rPr>
              <w:t>截图并加盖供应商CA证书签章，否则投标文件无效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571D01F1">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★15.支持对终端设置不同的灯光模式，可分别自定义设置红灯亮、红灯灭、绿灯/蓝灯亮、绿灯/蓝灯灭时间0.1S-10S。</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投标文件中须提供功能</w:t>
            </w:r>
            <w:r>
              <w:rPr>
                <w:rFonts w:hint="eastAsia" w:ascii="宋体" w:hAnsi="宋体" w:eastAsia="宋体" w:cs="宋体"/>
                <w:b/>
                <w:bCs/>
                <w:i w:val="0"/>
                <w:iCs w:val="0"/>
                <w:color w:val="000000"/>
                <w:kern w:val="0"/>
                <w:sz w:val="21"/>
                <w:szCs w:val="21"/>
                <w:u w:val="none"/>
                <w:lang w:val="en-US" w:eastAsia="zh-CN" w:bidi="ar"/>
              </w:rPr>
              <w:t>界面</w:t>
            </w:r>
            <w:r>
              <w:rPr>
                <w:rFonts w:hint="eastAsia" w:ascii="宋体" w:hAnsi="宋体" w:eastAsia="宋体" w:cs="宋体"/>
                <w:b/>
                <w:bCs/>
                <w:color w:val="auto"/>
                <w:sz w:val="21"/>
                <w:szCs w:val="21"/>
                <w:highlight w:val="none"/>
              </w:rPr>
              <w:t>截图并加盖供应商CA证书签章，否则投标文件无效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155F992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16.支持配置终端冻结时间，在终端被冻结期间禁止终端执行任务，适用于考试或休息等场景。</w:t>
            </w:r>
          </w:p>
          <w:p w14:paraId="70B7052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17.支持广播、对讲、实时采集、终端监听进行录音；支持文本广播功能，可实现将文本转成语音，支持后台调整语速。</w:t>
            </w:r>
          </w:p>
          <w:p w14:paraId="398814F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18.支持后台换肤功能，可根据喜好自由切换皮肤主题。</w:t>
            </w:r>
          </w:p>
          <w:p w14:paraId="5FDF287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19.支持终端明细导出功能，支持通过表格方式导出当前系统终端的配置详情。支持批量修改定时任务的时间、执行终端。</w:t>
            </w:r>
          </w:p>
          <w:p w14:paraId="7EFD305C">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★20.支持移动端（手机 平板）实现鼠标移动、单双击和左右键对广播主机，电子白板、一体机和电脑等设备的远程操作功能。</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投标文件中须提供功能</w:t>
            </w:r>
            <w:r>
              <w:rPr>
                <w:rFonts w:hint="eastAsia" w:ascii="宋体" w:hAnsi="宋体" w:eastAsia="宋体" w:cs="宋体"/>
                <w:b/>
                <w:bCs/>
                <w:i w:val="0"/>
                <w:iCs w:val="0"/>
                <w:color w:val="000000"/>
                <w:kern w:val="0"/>
                <w:sz w:val="21"/>
                <w:szCs w:val="21"/>
                <w:u w:val="none"/>
                <w:lang w:val="en-US" w:eastAsia="zh-CN" w:bidi="ar"/>
              </w:rPr>
              <w:t>界面</w:t>
            </w:r>
            <w:r>
              <w:rPr>
                <w:rFonts w:hint="eastAsia" w:ascii="宋体" w:hAnsi="宋体" w:eastAsia="宋体" w:cs="宋体"/>
                <w:b/>
                <w:bCs/>
                <w:color w:val="auto"/>
                <w:sz w:val="21"/>
                <w:szCs w:val="21"/>
                <w:highlight w:val="none"/>
              </w:rPr>
              <w:t>截图并加盖供应商CA证书签章，否则投标文件无效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13C73A3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★21.移动端APP具备基本辅助工具，包括荧光笔、放大镜等。</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投标文件中须提供功能</w:t>
            </w:r>
            <w:r>
              <w:rPr>
                <w:rFonts w:hint="eastAsia" w:ascii="宋体" w:hAnsi="宋体" w:eastAsia="宋体" w:cs="宋体"/>
                <w:b/>
                <w:bCs/>
                <w:i w:val="0"/>
                <w:iCs w:val="0"/>
                <w:color w:val="000000"/>
                <w:kern w:val="0"/>
                <w:sz w:val="21"/>
                <w:szCs w:val="21"/>
                <w:u w:val="none"/>
                <w:lang w:val="en-US" w:eastAsia="zh-CN" w:bidi="ar"/>
              </w:rPr>
              <w:t>界面</w:t>
            </w:r>
            <w:r>
              <w:rPr>
                <w:rFonts w:hint="eastAsia" w:ascii="宋体" w:hAnsi="宋体" w:eastAsia="宋体" w:cs="宋体"/>
                <w:b/>
                <w:bCs/>
                <w:color w:val="auto"/>
                <w:sz w:val="21"/>
                <w:szCs w:val="21"/>
                <w:highlight w:val="none"/>
              </w:rPr>
              <w:t>截图并加盖供应商CA证书签章，否则投标文件无效</w:t>
            </w:r>
            <w:r>
              <w:rPr>
                <w:rFonts w:hint="eastAsia" w:ascii="宋体" w:hAnsi="宋体" w:eastAsia="宋体" w:cs="宋体"/>
                <w:b/>
                <w:bCs/>
                <w:i w:val="0"/>
                <w:iCs w:val="0"/>
                <w:color w:val="000000"/>
                <w:kern w:val="0"/>
                <w:sz w:val="21"/>
                <w:szCs w:val="21"/>
                <w:u w:val="none"/>
                <w:lang w:val="en-US" w:eastAsia="zh-CN" w:bidi="ar"/>
              </w:rPr>
              <w:t>）</w:t>
            </w:r>
          </w:p>
        </w:tc>
        <w:tc>
          <w:tcPr>
            <w:tcW w:w="700" w:type="dxa"/>
            <w:shd w:val="clear" w:color="auto" w:fill="auto"/>
            <w:vAlign w:val="center"/>
          </w:tcPr>
          <w:p w14:paraId="724B109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3F03919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7148</w:t>
            </w:r>
          </w:p>
        </w:tc>
      </w:tr>
      <w:tr w14:paraId="2BEAEC5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05C842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82</w:t>
            </w:r>
          </w:p>
        </w:tc>
        <w:tc>
          <w:tcPr>
            <w:tcW w:w="716" w:type="dxa"/>
            <w:shd w:val="clear" w:color="auto" w:fill="auto"/>
            <w:vAlign w:val="center"/>
          </w:tcPr>
          <w:p w14:paraId="07D52F9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控制器</w:t>
            </w:r>
          </w:p>
        </w:tc>
        <w:tc>
          <w:tcPr>
            <w:tcW w:w="6717" w:type="dxa"/>
            <w:shd w:val="clear" w:color="auto" w:fill="auto"/>
            <w:vAlign w:val="center"/>
          </w:tcPr>
          <w:p w14:paraId="2DFCEFF4">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★1.设备采用机柜式设计，自动实现卫星自动校时，使用地球同步卫星作为校时基准，与格林威治时间误差小于0.1秒。</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27445ADA">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★2.液晶显示屏可显示时间。</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6F2BF8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3.支持与公共广播系统对接作为校时系统。</w:t>
            </w:r>
          </w:p>
          <w:p w14:paraId="6CF0E71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4.系统带北斗卫星导航系统（BDS）+GPS卫星定位系统两大定位系统，可以实现后台远程切换两个不同系统。</w:t>
            </w:r>
          </w:p>
        </w:tc>
        <w:tc>
          <w:tcPr>
            <w:tcW w:w="700" w:type="dxa"/>
            <w:shd w:val="clear" w:color="auto" w:fill="auto"/>
            <w:vAlign w:val="center"/>
          </w:tcPr>
          <w:p w14:paraId="66EF1F3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7B88E60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4288</w:t>
            </w:r>
          </w:p>
        </w:tc>
      </w:tr>
      <w:tr w14:paraId="6E75B4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E59331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83</w:t>
            </w:r>
          </w:p>
        </w:tc>
        <w:tc>
          <w:tcPr>
            <w:tcW w:w="716" w:type="dxa"/>
            <w:shd w:val="clear" w:color="auto" w:fill="auto"/>
            <w:vAlign w:val="center"/>
          </w:tcPr>
          <w:p w14:paraId="35D3D82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寻呼话筒</w:t>
            </w:r>
          </w:p>
        </w:tc>
        <w:tc>
          <w:tcPr>
            <w:tcW w:w="6717" w:type="dxa"/>
            <w:shd w:val="clear" w:color="auto" w:fill="auto"/>
            <w:vAlign w:val="center"/>
          </w:tcPr>
          <w:p w14:paraId="551B5AB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1.采用话筒桌面式设计，带有≥7英寸显示屏，带触摸控制功能；显示屏自带数字键、功能键，支持通过触摸呼叫广播，支持呼叫分区及多个分区，呼叫全区广播；可支持≥10个按键自定义一键呼叫广播功能。</w:t>
            </w:r>
          </w:p>
          <w:p w14:paraId="0C34056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2.内置≥1路网络硬件音频解码模块，具有≥1路RJ45网络接口，≥100Mbps传输速率。</w:t>
            </w:r>
          </w:p>
          <w:p w14:paraId="2BF1F7D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3.支持监听任意终端功能，内置≥2W全频扬声器，实现双向通话和网络监听。</w:t>
            </w:r>
          </w:p>
          <w:p w14:paraId="30EEB26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★4.支持≥1路音频线路输入，支持采集播放功能；具有≥1路音频线路输出，可外接功率放大器。</w:t>
            </w:r>
            <w:r>
              <w:rPr>
                <w:rFonts w:hint="eastAsia" w:ascii="宋体" w:hAnsi="宋体" w:eastAsia="宋体" w:cs="宋体"/>
                <w:b/>
                <w:bCs/>
                <w:i w:val="0"/>
                <w:iCs w:val="0"/>
                <w:color w:val="000000"/>
                <w:kern w:val="0"/>
                <w:sz w:val="21"/>
                <w:szCs w:val="21"/>
                <w:u w:val="none"/>
                <w:lang w:val="en-US" w:eastAsia="zh-CN" w:bidi="ar"/>
              </w:rPr>
              <w:t>（提供设备线路输入与输出接口佐证图</w:t>
            </w:r>
            <w:r>
              <w:rPr>
                <w:rFonts w:hint="eastAsia" w:ascii="宋体" w:hAnsi="宋体" w:eastAsia="宋体" w:cs="宋体"/>
                <w:b/>
                <w:bCs/>
                <w:color w:val="auto"/>
                <w:sz w:val="21"/>
                <w:szCs w:val="21"/>
                <w:highlight w:val="none"/>
              </w:rPr>
              <w:t>并加盖供应商CA证书签章，否则投标文件无效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2BFC676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5.支持直接操作呼叫或对讲任意终端，支持通过话筒广播呼叫功能，广播延时低于100毫秒。</w:t>
            </w:r>
          </w:p>
          <w:p w14:paraId="2DDDC7B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6.支持多种呼叫策略，包括无响应转移、占线转移、关机转移；自动接听、手动接听，支持自定义接听提示音，支持转移时间、无人接听时间、呼叫等待时间自定义。</w:t>
            </w:r>
          </w:p>
          <w:p w14:paraId="693CACA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7.具有≥1个3.5耳机接口、≥1路3.5话筒输入接口。</w:t>
            </w:r>
          </w:p>
          <w:p w14:paraId="27872F3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★8.具有≥1路短路输出接口、≥1路短路输入接口。</w:t>
            </w:r>
            <w:r>
              <w:rPr>
                <w:rFonts w:hint="eastAsia" w:ascii="宋体" w:hAnsi="宋体" w:eastAsia="宋体" w:cs="宋体"/>
                <w:b/>
                <w:bCs/>
                <w:i w:val="0"/>
                <w:iCs w:val="0"/>
                <w:color w:val="000000"/>
                <w:kern w:val="0"/>
                <w:sz w:val="21"/>
                <w:szCs w:val="21"/>
                <w:u w:val="none"/>
                <w:lang w:val="en-US" w:eastAsia="zh-CN" w:bidi="ar"/>
              </w:rPr>
              <w:t>（提供设备短路输入与输出接口佐证图</w:t>
            </w:r>
            <w:r>
              <w:rPr>
                <w:rFonts w:hint="eastAsia" w:ascii="宋体" w:hAnsi="宋体" w:eastAsia="宋体" w:cs="宋体"/>
                <w:b/>
                <w:bCs/>
                <w:color w:val="auto"/>
                <w:sz w:val="21"/>
                <w:szCs w:val="21"/>
                <w:highlight w:val="none"/>
              </w:rPr>
              <w:t>并加盖供应商CA证书签章，否则投标文件无效</w:t>
            </w:r>
            <w:r>
              <w:rPr>
                <w:rFonts w:hint="eastAsia" w:ascii="宋体" w:hAnsi="宋体" w:eastAsia="宋体" w:cs="宋体"/>
                <w:b/>
                <w:bCs/>
                <w:i w:val="0"/>
                <w:iCs w:val="0"/>
                <w:color w:val="000000"/>
                <w:kern w:val="0"/>
                <w:sz w:val="21"/>
                <w:szCs w:val="21"/>
                <w:u w:val="none"/>
                <w:lang w:val="en-US" w:eastAsia="zh-CN" w:bidi="ar"/>
              </w:rPr>
              <w:t>）</w:t>
            </w:r>
          </w:p>
        </w:tc>
        <w:tc>
          <w:tcPr>
            <w:tcW w:w="700" w:type="dxa"/>
            <w:shd w:val="clear" w:color="auto" w:fill="auto"/>
            <w:vAlign w:val="center"/>
          </w:tcPr>
          <w:p w14:paraId="0919DD3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5A9BB11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3700</w:t>
            </w:r>
          </w:p>
        </w:tc>
      </w:tr>
      <w:tr w14:paraId="4A12D9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73F687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84</w:t>
            </w:r>
          </w:p>
        </w:tc>
        <w:tc>
          <w:tcPr>
            <w:tcW w:w="716" w:type="dxa"/>
            <w:shd w:val="clear" w:color="auto" w:fill="auto"/>
            <w:vAlign w:val="center"/>
          </w:tcPr>
          <w:p w14:paraId="0E77BC2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话筒呼叫控制嵌入软件</w:t>
            </w:r>
          </w:p>
        </w:tc>
        <w:tc>
          <w:tcPr>
            <w:tcW w:w="6717" w:type="dxa"/>
            <w:shd w:val="clear" w:color="auto" w:fill="auto"/>
            <w:vAlign w:val="center"/>
          </w:tcPr>
          <w:p w14:paraId="445B1D1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1.软件内嵌于话筒设备，实现话筒呼叫控制功能，支撑设备各项基本功能的运行。</w:t>
            </w:r>
          </w:p>
          <w:p w14:paraId="5F8241F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2.授权操作管理功能，支持服务器统一配置管理用户及密码。</w:t>
            </w:r>
          </w:p>
          <w:p w14:paraId="5AE64D6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3.支持新配置注册智能语音提示功能。</w:t>
            </w:r>
          </w:p>
          <w:p w14:paraId="0285F77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4.支持多种呼叫策略，包括呼叫转移、呼叫等待、无人接听提醒等。</w:t>
            </w:r>
          </w:p>
          <w:p w14:paraId="437C195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5.支持双向对讲功能，可与另一方对讲终端实现双向语音传输功能。</w:t>
            </w:r>
          </w:p>
          <w:p w14:paraId="753E7EF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6.可实现分区/全区进行喊话/广播功能。</w:t>
            </w:r>
          </w:p>
          <w:p w14:paraId="08D69D8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7.支持单独调节音量。</w:t>
            </w:r>
          </w:p>
        </w:tc>
        <w:tc>
          <w:tcPr>
            <w:tcW w:w="700" w:type="dxa"/>
            <w:shd w:val="clear" w:color="auto" w:fill="auto"/>
            <w:vAlign w:val="center"/>
          </w:tcPr>
          <w:p w14:paraId="74A98E2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10F3CEB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0</w:t>
            </w:r>
          </w:p>
        </w:tc>
      </w:tr>
      <w:tr w14:paraId="1B822C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6B06E7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85</w:t>
            </w:r>
          </w:p>
        </w:tc>
        <w:tc>
          <w:tcPr>
            <w:tcW w:w="716" w:type="dxa"/>
            <w:shd w:val="clear" w:color="auto" w:fill="auto"/>
            <w:vAlign w:val="center"/>
          </w:tcPr>
          <w:p w14:paraId="758F0A8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IP网络音箱</w:t>
            </w:r>
          </w:p>
        </w:tc>
        <w:tc>
          <w:tcPr>
            <w:tcW w:w="6717" w:type="dxa"/>
            <w:shd w:val="clear" w:color="auto" w:fill="auto"/>
            <w:vAlign w:val="center"/>
          </w:tcPr>
          <w:p w14:paraId="5BAB70C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1.内置≥1路网络硬件音频解码模块,具有≥1路RJ45网络接口，≥100Mbps传输速率。</w:t>
            </w:r>
          </w:p>
          <w:p w14:paraId="7B71683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2.支持≥1路音频线路输入接口，具有独立的音量调节功能。</w:t>
            </w:r>
          </w:p>
          <w:p w14:paraId="47EFA82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3.设备集成有数字功放，功率≥2×20W（MAX），具有≥1个主音箱和≥1个副音箱。</w:t>
            </w:r>
          </w:p>
          <w:p w14:paraId="43A785B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4.内置≥2级优先级功能设计：(1)AUX与网路背景音乐信号同级，混音输出。(2)网络报警信号优先AUX与网络背景音乐信号。</w:t>
            </w:r>
          </w:p>
          <w:p w14:paraId="15257F0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5.支持IPv6、IPv4网络协议。</w:t>
            </w:r>
          </w:p>
        </w:tc>
        <w:tc>
          <w:tcPr>
            <w:tcW w:w="700" w:type="dxa"/>
            <w:shd w:val="clear" w:color="auto" w:fill="auto"/>
            <w:vAlign w:val="center"/>
          </w:tcPr>
          <w:p w14:paraId="466B40F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7077C3F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1962</w:t>
            </w:r>
          </w:p>
        </w:tc>
      </w:tr>
      <w:tr w14:paraId="0EC0F8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F7199E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86</w:t>
            </w:r>
          </w:p>
        </w:tc>
        <w:tc>
          <w:tcPr>
            <w:tcW w:w="716" w:type="dxa"/>
            <w:shd w:val="clear" w:color="auto" w:fill="auto"/>
            <w:vAlign w:val="center"/>
          </w:tcPr>
          <w:p w14:paraId="10D5280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数字化IP网络终端嵌入软件</w:t>
            </w:r>
          </w:p>
        </w:tc>
        <w:tc>
          <w:tcPr>
            <w:tcW w:w="6717" w:type="dxa"/>
            <w:shd w:val="clear" w:color="auto" w:fill="auto"/>
            <w:vAlign w:val="center"/>
          </w:tcPr>
          <w:p w14:paraId="43361E0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1.软件内嵌于数字化IP网络终端设备，支撑设备各项基本功能的运行。</w:t>
            </w:r>
          </w:p>
          <w:p w14:paraId="01A8228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2.嵌入DSP音频处理技术，高保真解码音频文件；支持远程点播功能，支持节目播放。</w:t>
            </w:r>
          </w:p>
          <w:p w14:paraId="1F7E32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3.支持新配置注册智能语音提示功能。</w:t>
            </w:r>
          </w:p>
          <w:p w14:paraId="373CD1D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4.支持播放背景音乐功能，支持单独调节音量。</w:t>
            </w:r>
          </w:p>
          <w:p w14:paraId="5B20752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5.支持播放本地服务器的MP3文件；支持单独播放或分区/全区播放。</w:t>
            </w:r>
          </w:p>
        </w:tc>
        <w:tc>
          <w:tcPr>
            <w:tcW w:w="700" w:type="dxa"/>
            <w:shd w:val="clear" w:color="auto" w:fill="auto"/>
            <w:vAlign w:val="center"/>
          </w:tcPr>
          <w:p w14:paraId="404BE07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0E7DFA3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0</w:t>
            </w:r>
          </w:p>
        </w:tc>
      </w:tr>
      <w:tr w14:paraId="1D5DFE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C7CAE2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87</w:t>
            </w:r>
          </w:p>
        </w:tc>
        <w:tc>
          <w:tcPr>
            <w:tcW w:w="716" w:type="dxa"/>
            <w:shd w:val="clear" w:color="auto" w:fill="auto"/>
            <w:vAlign w:val="center"/>
          </w:tcPr>
          <w:p w14:paraId="564F5FC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电源管理器</w:t>
            </w:r>
          </w:p>
        </w:tc>
        <w:tc>
          <w:tcPr>
            <w:tcW w:w="6717" w:type="dxa"/>
            <w:shd w:val="clear" w:color="auto" w:fill="auto"/>
            <w:vAlign w:val="center"/>
          </w:tcPr>
          <w:p w14:paraId="72AF5A7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1.设有船型开关，支持主从机设置，通过主设备电源锁可一键开启或关闭所有从设备。</w:t>
            </w:r>
          </w:p>
          <w:p w14:paraId="5A5AE24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2.提供智能化电源控制管理，设置定时任务。支持顺序打开或关闭电源功能，支持设置电源的开关时序间隔。</w:t>
            </w:r>
          </w:p>
          <w:p w14:paraId="69465A9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3.具备≥8路电源输出插座，其中≥8路10A的插座规格，总电流达30A。支持实时监控插座功率。</w:t>
            </w:r>
          </w:p>
          <w:p w14:paraId="3CEA4C4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4.采用LCD显示屏，可显示温度信息，实时输入电压信息、时间信息、IP信息，定时任务信息等。</w:t>
            </w:r>
          </w:p>
          <w:p w14:paraId="1BA04C4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5.支持PC客户端软件管理，支持三层网络协议，支持跨网关控制和管理。</w:t>
            </w:r>
          </w:p>
          <w:p w14:paraId="2A8B1F6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6.支持对每一路电源输出进行定时编程，实现全自动无人值守的电源管理。</w:t>
            </w:r>
          </w:p>
          <w:p w14:paraId="6E79579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7.支持离线模式，本地自带定时程序，内置高精度时钟，在脱离服务器时，也能保证定时任务按时执行。</w:t>
            </w:r>
          </w:p>
          <w:p w14:paraId="3FA317AD">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★8.具备≥2个10M/100M网口，≥2路RS485接口、≥1路外接传感器供电接口。</w:t>
            </w:r>
            <w:r>
              <w:rPr>
                <w:rFonts w:hint="eastAsia" w:ascii="宋体" w:hAnsi="宋体" w:eastAsia="宋体" w:cs="宋体"/>
                <w:b/>
                <w:bCs/>
                <w:i w:val="0"/>
                <w:iCs w:val="0"/>
                <w:color w:val="000000"/>
                <w:kern w:val="0"/>
                <w:sz w:val="21"/>
                <w:szCs w:val="21"/>
                <w:u w:val="none"/>
                <w:lang w:val="en-US" w:eastAsia="zh-CN" w:bidi="ar"/>
              </w:rPr>
              <w:t>（提供接口佐证图</w:t>
            </w:r>
            <w:r>
              <w:rPr>
                <w:rFonts w:hint="eastAsia" w:ascii="宋体" w:hAnsi="宋体" w:eastAsia="宋体" w:cs="宋体"/>
                <w:b/>
                <w:bCs/>
                <w:color w:val="auto"/>
                <w:sz w:val="21"/>
                <w:szCs w:val="21"/>
                <w:highlight w:val="none"/>
              </w:rPr>
              <w:t>并加盖供应商CA证书签章，否则投标文件无效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56EA97A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9.带USB供电接口可以提供照明灯供电。</w:t>
            </w:r>
          </w:p>
        </w:tc>
        <w:tc>
          <w:tcPr>
            <w:tcW w:w="700" w:type="dxa"/>
            <w:shd w:val="clear" w:color="auto" w:fill="auto"/>
            <w:vAlign w:val="center"/>
          </w:tcPr>
          <w:p w14:paraId="286A2FC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5EC6153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3500</w:t>
            </w:r>
          </w:p>
        </w:tc>
      </w:tr>
      <w:tr w14:paraId="1D5D4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A6CE9E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88</w:t>
            </w:r>
          </w:p>
        </w:tc>
        <w:tc>
          <w:tcPr>
            <w:tcW w:w="716" w:type="dxa"/>
            <w:shd w:val="clear" w:color="auto" w:fill="auto"/>
            <w:vAlign w:val="center"/>
          </w:tcPr>
          <w:p w14:paraId="09FF532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机柜</w:t>
            </w:r>
          </w:p>
        </w:tc>
        <w:tc>
          <w:tcPr>
            <w:tcW w:w="6717" w:type="dxa"/>
            <w:shd w:val="clear" w:color="auto" w:fill="auto"/>
            <w:vAlign w:val="center"/>
          </w:tcPr>
          <w:p w14:paraId="48EFAA7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1.带线槽设计方便设备连接线梳理。</w:t>
            </w:r>
          </w:p>
          <w:p w14:paraId="21D23B1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2.同时安有万向脚轮和支撑脚；</w:t>
            </w:r>
          </w:p>
          <w:p w14:paraId="5E67450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3.左右侧门可拆、装；</w:t>
            </w:r>
          </w:p>
          <w:p w14:paraId="54161F5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4.机柜容量不小于33U；</w:t>
            </w:r>
          </w:p>
        </w:tc>
        <w:tc>
          <w:tcPr>
            <w:tcW w:w="700" w:type="dxa"/>
            <w:shd w:val="clear" w:color="auto" w:fill="auto"/>
            <w:vAlign w:val="center"/>
          </w:tcPr>
          <w:p w14:paraId="6D38528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770D7D2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4500</w:t>
            </w:r>
          </w:p>
        </w:tc>
      </w:tr>
      <w:tr w14:paraId="7404C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4D786D5">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89</w:t>
            </w:r>
          </w:p>
        </w:tc>
        <w:tc>
          <w:tcPr>
            <w:tcW w:w="716" w:type="dxa"/>
            <w:shd w:val="clear" w:color="auto" w:fill="auto"/>
            <w:vAlign w:val="center"/>
          </w:tcPr>
          <w:p w14:paraId="282C0B9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IP网络功放终端</w:t>
            </w:r>
          </w:p>
        </w:tc>
        <w:tc>
          <w:tcPr>
            <w:tcW w:w="6717" w:type="dxa"/>
            <w:shd w:val="clear" w:color="auto" w:fill="auto"/>
            <w:vAlign w:val="center"/>
          </w:tcPr>
          <w:p w14:paraId="594233D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1.设备采用标准≥19英寸机架设计，带有LCD显示屏。</w:t>
            </w:r>
          </w:p>
          <w:p w14:paraId="55B4EA7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2.内置≥1路网络硬件音频解码模块。</w:t>
            </w:r>
          </w:p>
          <w:p w14:paraId="4F89F54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3.支持≥1路线路输入和≥1路话筒输入接口，可独立调节音量。</w:t>
            </w:r>
          </w:p>
          <w:p w14:paraId="677F3C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4.支持高低音调节电位器控制。</w:t>
            </w:r>
          </w:p>
          <w:p w14:paraId="5FBBE6A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5.具有≥1路EMC输入接口，具有最高优先级。</w:t>
            </w:r>
          </w:p>
          <w:p w14:paraId="65EA753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6.具有≥1路音频输出接口。</w:t>
            </w:r>
          </w:p>
          <w:p w14:paraId="12E2A6C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7.具有≥1路三线制强切输出接口，无需强切电源。</w:t>
            </w:r>
          </w:p>
          <w:p w14:paraId="6D588A2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8.集成数字功放，功率≥500W；支持定压方式输出。</w:t>
            </w:r>
          </w:p>
          <w:p w14:paraId="43F16E5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9.支持通过后台软件对终端进行远程固件升级。</w:t>
            </w:r>
          </w:p>
          <w:p w14:paraId="2E3959C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10.具有≥1路RJ45网络接口，≥100Mbps传输速率。</w:t>
            </w:r>
          </w:p>
          <w:p w14:paraId="592BE9E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★11.自带≥1路100V定压功率备份输入接口，可灵活组成一主多备、多主一备、多主多备的高可靠公共打铃系统。</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73A232F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★12.内置高性能主/备切换检测模块，断网断电以及本机故障时≤0.3秒内切换到备份功率输入。</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tc>
        <w:tc>
          <w:tcPr>
            <w:tcW w:w="700" w:type="dxa"/>
            <w:shd w:val="clear" w:color="auto" w:fill="auto"/>
            <w:vAlign w:val="center"/>
          </w:tcPr>
          <w:p w14:paraId="414B884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21DC672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5000</w:t>
            </w:r>
          </w:p>
        </w:tc>
      </w:tr>
      <w:tr w14:paraId="12D338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3D366A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90</w:t>
            </w:r>
          </w:p>
        </w:tc>
        <w:tc>
          <w:tcPr>
            <w:tcW w:w="716" w:type="dxa"/>
            <w:shd w:val="clear" w:color="auto" w:fill="auto"/>
            <w:vAlign w:val="center"/>
          </w:tcPr>
          <w:p w14:paraId="6D5BF012">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数字IP网络平台终端嵌入软件</w:t>
            </w:r>
          </w:p>
        </w:tc>
        <w:tc>
          <w:tcPr>
            <w:tcW w:w="6717" w:type="dxa"/>
            <w:shd w:val="clear" w:color="auto" w:fill="auto"/>
            <w:vAlign w:val="center"/>
          </w:tcPr>
          <w:p w14:paraId="48EDC95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技术参数：</w:t>
            </w:r>
          </w:p>
          <w:p w14:paraId="7778643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1.软件内嵌于数字IP网络平台终端设备，支撑设备各项基本功能的运行。</w:t>
            </w:r>
          </w:p>
          <w:p w14:paraId="63BBC41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2.嵌入DSP音频处理技术，高保真解码音频文件；支持远程点播功能，支持节目播放。</w:t>
            </w:r>
          </w:p>
          <w:p w14:paraId="3F20C1F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3.支持新配置注册智能语音提示功能。</w:t>
            </w:r>
          </w:p>
          <w:p w14:paraId="1BC0E63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4.支持播放背景音乐功能，支持单独调节音量。</w:t>
            </w:r>
          </w:p>
          <w:p w14:paraId="7048BF9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5.支持播放本地服务器的MP3文件；支持单独播放或分区/全区播放。</w:t>
            </w:r>
          </w:p>
        </w:tc>
        <w:tc>
          <w:tcPr>
            <w:tcW w:w="700" w:type="dxa"/>
            <w:shd w:val="clear" w:color="auto" w:fill="auto"/>
            <w:vAlign w:val="center"/>
          </w:tcPr>
          <w:p w14:paraId="6A1C95D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3409833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0</w:t>
            </w:r>
          </w:p>
        </w:tc>
      </w:tr>
      <w:tr w14:paraId="5C84A3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5560B2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91</w:t>
            </w:r>
          </w:p>
        </w:tc>
        <w:tc>
          <w:tcPr>
            <w:tcW w:w="716" w:type="dxa"/>
            <w:shd w:val="clear" w:color="auto" w:fill="auto"/>
            <w:vAlign w:val="center"/>
          </w:tcPr>
          <w:p w14:paraId="3E494C5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壁挂音箱10W</w:t>
            </w:r>
          </w:p>
        </w:tc>
        <w:tc>
          <w:tcPr>
            <w:tcW w:w="6717" w:type="dxa"/>
            <w:shd w:val="clear" w:color="auto" w:fill="auto"/>
            <w:vAlign w:val="center"/>
          </w:tcPr>
          <w:p w14:paraId="446092B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1．额定功率（100V）：3W,6W,10W</w:t>
            </w:r>
          </w:p>
          <w:p w14:paraId="215BCF9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2．额定功率（70V）：1.5W,3W,5W</w:t>
            </w:r>
          </w:p>
          <w:p w14:paraId="3957185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3．灵敏度：91dB±3dB</w:t>
            </w:r>
          </w:p>
          <w:p w14:paraId="5A63941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4．频率响应：130Hz-18KHz</w:t>
            </w:r>
          </w:p>
          <w:p w14:paraId="1C5066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5．喇叭单元：6.5"×1</w:t>
            </w:r>
          </w:p>
          <w:p w14:paraId="026271F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6．防护等级：IP5X</w:t>
            </w:r>
          </w:p>
        </w:tc>
        <w:tc>
          <w:tcPr>
            <w:tcW w:w="700" w:type="dxa"/>
            <w:shd w:val="clear" w:color="auto" w:fill="auto"/>
            <w:vAlign w:val="center"/>
          </w:tcPr>
          <w:p w14:paraId="0FFBA26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20只</w:t>
            </w:r>
          </w:p>
        </w:tc>
        <w:tc>
          <w:tcPr>
            <w:tcW w:w="1179" w:type="dxa"/>
            <w:shd w:val="clear" w:color="auto" w:fill="auto"/>
            <w:vAlign w:val="center"/>
          </w:tcPr>
          <w:p w14:paraId="4EA8443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230</w:t>
            </w:r>
          </w:p>
        </w:tc>
      </w:tr>
      <w:tr w14:paraId="11A1BE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51E1D9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92</w:t>
            </w:r>
          </w:p>
        </w:tc>
        <w:tc>
          <w:tcPr>
            <w:tcW w:w="716" w:type="dxa"/>
            <w:shd w:val="clear" w:color="auto" w:fill="auto"/>
            <w:vAlign w:val="center"/>
          </w:tcPr>
          <w:p w14:paraId="3C0A27C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IP终端</w:t>
            </w:r>
          </w:p>
        </w:tc>
        <w:tc>
          <w:tcPr>
            <w:tcW w:w="6717" w:type="dxa"/>
            <w:shd w:val="clear" w:color="auto" w:fill="auto"/>
            <w:vAlign w:val="center"/>
          </w:tcPr>
          <w:p w14:paraId="4727114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1.设备采用≥19英寸机架设计，带有LCD显示屏。</w:t>
            </w:r>
          </w:p>
          <w:p w14:paraId="1992F5F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2.支持≥1路线路输入和≥1路话筒输入接口，可独立调节音量；支持高低音调节电位器控制。</w:t>
            </w:r>
          </w:p>
          <w:p w14:paraId="057CA27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3.具有≥1路EMC输入接口，具有最高优先级；具有≥1路音频输出接口。</w:t>
            </w:r>
          </w:p>
          <w:p w14:paraId="4DE998E5">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4.具有≥2路三线</w:t>
            </w:r>
            <w:r>
              <w:rPr>
                <w:rFonts w:hint="eastAsia" w:ascii="宋体" w:hAnsi="宋体" w:eastAsia="宋体" w:cs="宋体"/>
                <w:i w:val="0"/>
                <w:iCs w:val="0"/>
                <w:color w:val="000000"/>
                <w:kern w:val="0"/>
                <w:sz w:val="21"/>
                <w:szCs w:val="21"/>
                <w:highlight w:val="none"/>
                <w:u w:val="none"/>
                <w:lang w:val="en-US" w:eastAsia="zh-CN" w:bidi="ar"/>
              </w:rPr>
              <w:t>制强切输出接口，无需强切电源。</w:t>
            </w:r>
          </w:p>
          <w:p w14:paraId="04AB634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★5.支持≥2路电源输出插座，内置智能电源管理，无音乐或呼叫时，自动切断输出座电源，有信号时自动打开输出座电源。</w:t>
            </w:r>
          </w:p>
        </w:tc>
        <w:tc>
          <w:tcPr>
            <w:tcW w:w="700" w:type="dxa"/>
            <w:shd w:val="clear" w:color="auto" w:fill="auto"/>
            <w:vAlign w:val="center"/>
          </w:tcPr>
          <w:p w14:paraId="30B2D9D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1C15954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2900</w:t>
            </w:r>
          </w:p>
        </w:tc>
      </w:tr>
      <w:tr w14:paraId="2272F7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0CC83D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93</w:t>
            </w:r>
          </w:p>
        </w:tc>
        <w:tc>
          <w:tcPr>
            <w:tcW w:w="716" w:type="dxa"/>
            <w:shd w:val="clear" w:color="auto" w:fill="auto"/>
            <w:vAlign w:val="center"/>
          </w:tcPr>
          <w:p w14:paraId="7011FE1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数字化IP网络终端嵌入软件</w:t>
            </w:r>
          </w:p>
        </w:tc>
        <w:tc>
          <w:tcPr>
            <w:tcW w:w="6717" w:type="dxa"/>
            <w:shd w:val="clear" w:color="auto" w:fill="auto"/>
            <w:vAlign w:val="center"/>
          </w:tcPr>
          <w:p w14:paraId="292898A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1.软件内嵌于数字化IP网络终端设备，支撑设备各项基本功能的运行。</w:t>
            </w:r>
          </w:p>
          <w:p w14:paraId="5DF01F6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2.嵌入DSP音频处理技术，高保真解码音频文件；支持远程点播功能，支持节目播放。</w:t>
            </w:r>
          </w:p>
          <w:p w14:paraId="46CAEE1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3.支持新配置注册智能语音提示功能。</w:t>
            </w:r>
          </w:p>
          <w:p w14:paraId="46891A6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4.支持播放背景音乐功能，支持单独调节音量。</w:t>
            </w:r>
          </w:p>
          <w:p w14:paraId="336E0E3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5.支持播放本地服务器的MP3文件；支持单独播放或分区/全区播放。</w:t>
            </w:r>
          </w:p>
        </w:tc>
        <w:tc>
          <w:tcPr>
            <w:tcW w:w="700" w:type="dxa"/>
            <w:shd w:val="clear" w:color="auto" w:fill="auto"/>
            <w:vAlign w:val="center"/>
          </w:tcPr>
          <w:p w14:paraId="512A125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700A960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0</w:t>
            </w:r>
          </w:p>
        </w:tc>
      </w:tr>
      <w:tr w14:paraId="0E226C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13B116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94</w:t>
            </w:r>
          </w:p>
        </w:tc>
        <w:tc>
          <w:tcPr>
            <w:tcW w:w="716" w:type="dxa"/>
            <w:shd w:val="clear" w:color="auto" w:fill="auto"/>
            <w:vAlign w:val="center"/>
          </w:tcPr>
          <w:p w14:paraId="53D2C01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前置放大器</w:t>
            </w:r>
          </w:p>
        </w:tc>
        <w:tc>
          <w:tcPr>
            <w:tcW w:w="6717" w:type="dxa"/>
            <w:shd w:val="clear" w:color="auto" w:fill="auto"/>
            <w:vAlign w:val="center"/>
          </w:tcPr>
          <w:p w14:paraId="7125A92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1具有≥5路话筒（MIC）输入，≥3路标准信号线路（AUX）输入，≥2路紧急线路（EMC）输入；</w:t>
            </w:r>
          </w:p>
          <w:p w14:paraId="001B325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2.MIC 5具有最高优先、强行切入优先功能；MIC 5和EMC最高优先权限功能可通过拔动开关交替选择；</w:t>
            </w:r>
          </w:p>
          <w:p w14:paraId="7AFDE9F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3.紧急输入线路具有二级优先，强行切入优先功能；</w:t>
            </w:r>
          </w:p>
          <w:p w14:paraId="4A8377C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4.MIC1.2.3.4.5 和≥2路紧急输入（EMC）通道均附设有线路辅助输入接口功能；</w:t>
            </w:r>
          </w:p>
          <w:p w14:paraId="0EE75AF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5.具有默音深度调节旋钮和EMC输入增益调节旋钮。</w:t>
            </w:r>
          </w:p>
        </w:tc>
        <w:tc>
          <w:tcPr>
            <w:tcW w:w="700" w:type="dxa"/>
            <w:shd w:val="clear" w:color="auto" w:fill="auto"/>
            <w:vAlign w:val="center"/>
          </w:tcPr>
          <w:p w14:paraId="43CB9C6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5DC12A2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1500</w:t>
            </w:r>
          </w:p>
        </w:tc>
      </w:tr>
      <w:tr w14:paraId="57C9A2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DEF390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95</w:t>
            </w:r>
          </w:p>
        </w:tc>
        <w:tc>
          <w:tcPr>
            <w:tcW w:w="716" w:type="dxa"/>
            <w:shd w:val="clear" w:color="auto" w:fill="auto"/>
            <w:vAlign w:val="center"/>
          </w:tcPr>
          <w:p w14:paraId="27668E1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纯后级功放</w:t>
            </w:r>
          </w:p>
        </w:tc>
        <w:tc>
          <w:tcPr>
            <w:tcW w:w="6717" w:type="dxa"/>
            <w:shd w:val="clear" w:color="auto" w:fill="auto"/>
            <w:vAlign w:val="center"/>
          </w:tcPr>
          <w:p w14:paraId="2208CD2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1.采用D类数字功放技术，功率放大电路设计；</w:t>
            </w:r>
          </w:p>
          <w:p w14:paraId="23DB97D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2.额定输出功率：≥2000W；</w:t>
            </w:r>
          </w:p>
          <w:p w14:paraId="6260295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3.具有管道式散热结构，内置自动温度控制风扇冷却系统。</w:t>
            </w:r>
          </w:p>
          <w:p w14:paraId="3288A9A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4.具有≥1通道LINE不平衡TRS/XLR高品质多功能输入接口，≥1通道LINE平衡XLR级联输出。</w:t>
            </w:r>
          </w:p>
          <w:p w14:paraId="3BD0BF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5.内置PFC电路和软开关电源技术，开关机自动软启动控制。</w:t>
            </w:r>
          </w:p>
          <w:p w14:paraId="6EE75E2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6.功放电路，零交越失真。</w:t>
            </w:r>
          </w:p>
          <w:p w14:paraId="22EC251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7.内置智能削顶失真和过流压限系统，能保护扬声器单元。</w:t>
            </w:r>
          </w:p>
          <w:p w14:paraId="29EC38B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8.具有过温、过压、欠压、过流、短路多重智能检测保护系统。</w:t>
            </w:r>
          </w:p>
          <w:p w14:paraId="4996292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9.具有2种定阻和定压输出模式:4-16Ω/100V可选择。</w:t>
            </w:r>
          </w:p>
        </w:tc>
        <w:tc>
          <w:tcPr>
            <w:tcW w:w="700" w:type="dxa"/>
            <w:shd w:val="clear" w:color="auto" w:fill="auto"/>
            <w:vAlign w:val="center"/>
          </w:tcPr>
          <w:p w14:paraId="4C30FC7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21090D8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12000</w:t>
            </w:r>
          </w:p>
        </w:tc>
      </w:tr>
      <w:tr w14:paraId="564B792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4F38CB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96</w:t>
            </w:r>
          </w:p>
        </w:tc>
        <w:tc>
          <w:tcPr>
            <w:tcW w:w="716" w:type="dxa"/>
            <w:shd w:val="clear" w:color="auto" w:fill="auto"/>
            <w:vAlign w:val="center"/>
          </w:tcPr>
          <w:p w14:paraId="4BAF95D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音柱90W</w:t>
            </w:r>
          </w:p>
        </w:tc>
        <w:tc>
          <w:tcPr>
            <w:tcW w:w="6717" w:type="dxa"/>
            <w:shd w:val="clear" w:color="auto" w:fill="auto"/>
            <w:vAlign w:val="center"/>
          </w:tcPr>
          <w:p w14:paraId="66B8AAD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1．额定功率(100V)：90W；</w:t>
            </w:r>
          </w:p>
          <w:p w14:paraId="1F7F5F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2．额定功率(70V)：45W；</w:t>
            </w:r>
          </w:p>
          <w:p w14:paraId="0753F58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3．灵敏度≥93dB；</w:t>
            </w:r>
          </w:p>
          <w:p w14:paraId="1328531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4．频率响应：110Hz-15KHz；</w:t>
            </w:r>
          </w:p>
          <w:p w14:paraId="1B02C8C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5．防护等级：IP66；</w:t>
            </w:r>
          </w:p>
          <w:p w14:paraId="39D71C94">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6．喇叭单元：6.5"×3+3"×1 。</w:t>
            </w:r>
          </w:p>
        </w:tc>
        <w:tc>
          <w:tcPr>
            <w:tcW w:w="700" w:type="dxa"/>
            <w:shd w:val="clear" w:color="auto" w:fill="auto"/>
            <w:vAlign w:val="center"/>
          </w:tcPr>
          <w:p w14:paraId="2CED0A3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10只</w:t>
            </w:r>
          </w:p>
        </w:tc>
        <w:tc>
          <w:tcPr>
            <w:tcW w:w="1179" w:type="dxa"/>
            <w:shd w:val="clear" w:color="auto" w:fill="auto"/>
            <w:vAlign w:val="center"/>
          </w:tcPr>
          <w:p w14:paraId="5F8A95F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1000</w:t>
            </w:r>
          </w:p>
        </w:tc>
      </w:tr>
      <w:tr w14:paraId="5BDCE0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F4CD7D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97</w:t>
            </w:r>
          </w:p>
        </w:tc>
        <w:tc>
          <w:tcPr>
            <w:tcW w:w="716" w:type="dxa"/>
            <w:shd w:val="clear" w:color="auto" w:fill="auto"/>
            <w:vAlign w:val="center"/>
          </w:tcPr>
          <w:p w14:paraId="0654E5B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无线话筒</w:t>
            </w:r>
          </w:p>
        </w:tc>
        <w:tc>
          <w:tcPr>
            <w:tcW w:w="6717" w:type="dxa"/>
            <w:shd w:val="clear" w:color="auto" w:fill="auto"/>
            <w:vAlign w:val="center"/>
          </w:tcPr>
          <w:p w14:paraId="242F33D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1.频率指标：等同或优于530-580MHz，640-690MHz，调制方式：宽带FM，频道数目：≥200个频道。</w:t>
            </w:r>
          </w:p>
          <w:p w14:paraId="5740E80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2.配套有≥1台接收主机和≥2个无线手持话筒。</w:t>
            </w:r>
          </w:p>
          <w:p w14:paraId="2710521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3.采用UHF超高频段双真分集接收，并采用PLL锁相环多信道频率合成技术。</w:t>
            </w:r>
          </w:p>
          <w:p w14:paraId="03E35FC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4.接收机指标：采用自动选讯接收方式，灵敏度:≥12dB μV（80dBS/N)，频率响应:等同或优于50Hz-16.5kHz。</w:t>
            </w:r>
          </w:p>
          <w:p w14:paraId="7A2C7DC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5.发射机指标：音头采用动圈式麦克风；手持麦克风内置螺旋天线。</w:t>
            </w:r>
          </w:p>
          <w:p w14:paraId="4273A66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6.输出功率:≥30mW。</w:t>
            </w:r>
          </w:p>
        </w:tc>
        <w:tc>
          <w:tcPr>
            <w:tcW w:w="700" w:type="dxa"/>
            <w:shd w:val="clear" w:color="auto" w:fill="auto"/>
            <w:vAlign w:val="center"/>
          </w:tcPr>
          <w:p w14:paraId="1D13D54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4679318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5500</w:t>
            </w:r>
          </w:p>
        </w:tc>
      </w:tr>
      <w:tr w14:paraId="3E21B7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5FB5A0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98</w:t>
            </w:r>
          </w:p>
        </w:tc>
        <w:tc>
          <w:tcPr>
            <w:tcW w:w="716" w:type="dxa"/>
            <w:shd w:val="clear" w:color="auto" w:fill="auto"/>
            <w:vAlign w:val="center"/>
          </w:tcPr>
          <w:p w14:paraId="21DF939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话筒呼叫控制嵌入软件</w:t>
            </w:r>
          </w:p>
        </w:tc>
        <w:tc>
          <w:tcPr>
            <w:tcW w:w="6717" w:type="dxa"/>
            <w:shd w:val="clear" w:color="auto" w:fill="auto"/>
            <w:vAlign w:val="center"/>
          </w:tcPr>
          <w:p w14:paraId="4AE5E45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1.软件内嵌于无线话筒系统设备，话筒呼叫控制功能。</w:t>
            </w:r>
          </w:p>
          <w:p w14:paraId="0FFA29D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2.采用UHF超高频段双真分集接收，并采用PLL锁相环多信道频率合成技术。</w:t>
            </w:r>
          </w:p>
          <w:p w14:paraId="3623E26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3.支持自动选讯接收方式。</w:t>
            </w:r>
          </w:p>
          <w:p w14:paraId="6EA128E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4.支持信道选择、频率可调、可设置主机与话筒配对。</w:t>
            </w:r>
          </w:p>
        </w:tc>
        <w:tc>
          <w:tcPr>
            <w:tcW w:w="700" w:type="dxa"/>
            <w:shd w:val="clear" w:color="auto" w:fill="auto"/>
            <w:vAlign w:val="center"/>
          </w:tcPr>
          <w:p w14:paraId="5322661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1570A37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0</w:t>
            </w:r>
          </w:p>
        </w:tc>
      </w:tr>
      <w:tr w14:paraId="7A79D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FF31C5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99</w:t>
            </w:r>
          </w:p>
        </w:tc>
        <w:tc>
          <w:tcPr>
            <w:tcW w:w="716" w:type="dxa"/>
            <w:shd w:val="clear" w:color="auto" w:fill="auto"/>
            <w:vAlign w:val="center"/>
          </w:tcPr>
          <w:p w14:paraId="3AF6E3C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话筒天线</w:t>
            </w:r>
          </w:p>
        </w:tc>
        <w:tc>
          <w:tcPr>
            <w:tcW w:w="6717" w:type="dxa"/>
            <w:shd w:val="clear" w:color="auto" w:fill="auto"/>
            <w:vAlign w:val="center"/>
          </w:tcPr>
          <w:p w14:paraId="292244F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1.天线接收频段广，可接收470-960MHZ的频率</w:t>
            </w:r>
          </w:p>
          <w:p w14:paraId="613B0D4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2.天线极化方式：线性 </w:t>
            </w:r>
          </w:p>
          <w:p w14:paraId="7D41AB1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3.天线驻波比：≤2.0      </w:t>
            </w:r>
          </w:p>
          <w:p w14:paraId="1EA4E80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4.放大器增益：四档可调（-6dB/0dB/6dB/12dB)</w:t>
            </w:r>
          </w:p>
          <w:p w14:paraId="0E6F98E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5.放大器低噪：&lt;2.6dB</w:t>
            </w:r>
          </w:p>
        </w:tc>
        <w:tc>
          <w:tcPr>
            <w:tcW w:w="700" w:type="dxa"/>
            <w:shd w:val="clear" w:color="auto" w:fill="auto"/>
            <w:vAlign w:val="center"/>
          </w:tcPr>
          <w:p w14:paraId="40B0DF1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701D771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2672</w:t>
            </w:r>
          </w:p>
        </w:tc>
      </w:tr>
      <w:tr w14:paraId="791833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45F4C2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c>
          <w:tcPr>
            <w:tcW w:w="716" w:type="dxa"/>
            <w:shd w:val="clear" w:color="auto" w:fill="auto"/>
            <w:vAlign w:val="center"/>
          </w:tcPr>
          <w:p w14:paraId="2C50649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线材</w:t>
            </w:r>
          </w:p>
        </w:tc>
        <w:tc>
          <w:tcPr>
            <w:tcW w:w="6717" w:type="dxa"/>
            <w:shd w:val="clear" w:color="auto" w:fill="auto"/>
            <w:vAlign w:val="center"/>
          </w:tcPr>
          <w:p w14:paraId="080AB25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25米天线延长线：BNC插头*2，线径：7.2mm。</w:t>
            </w:r>
          </w:p>
        </w:tc>
        <w:tc>
          <w:tcPr>
            <w:tcW w:w="700" w:type="dxa"/>
            <w:shd w:val="clear" w:color="auto" w:fill="auto"/>
            <w:vAlign w:val="center"/>
          </w:tcPr>
          <w:p w14:paraId="07B2B5C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2根</w:t>
            </w:r>
          </w:p>
        </w:tc>
        <w:tc>
          <w:tcPr>
            <w:tcW w:w="1179" w:type="dxa"/>
            <w:shd w:val="clear" w:color="auto" w:fill="auto"/>
            <w:vAlign w:val="center"/>
          </w:tcPr>
          <w:p w14:paraId="09C86BF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600</w:t>
            </w:r>
          </w:p>
        </w:tc>
      </w:tr>
      <w:tr w14:paraId="1F0752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B49234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101</w:t>
            </w:r>
          </w:p>
        </w:tc>
        <w:tc>
          <w:tcPr>
            <w:tcW w:w="716" w:type="dxa"/>
            <w:shd w:val="clear" w:color="auto" w:fill="auto"/>
            <w:vAlign w:val="center"/>
          </w:tcPr>
          <w:p w14:paraId="713727E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交换机</w:t>
            </w:r>
          </w:p>
        </w:tc>
        <w:tc>
          <w:tcPr>
            <w:tcW w:w="6717" w:type="dxa"/>
            <w:shd w:val="clear" w:color="auto" w:fill="auto"/>
            <w:vAlign w:val="center"/>
          </w:tcPr>
          <w:p w14:paraId="64AFE7C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16口千兆非网管交换机。</w:t>
            </w:r>
          </w:p>
        </w:tc>
        <w:tc>
          <w:tcPr>
            <w:tcW w:w="700" w:type="dxa"/>
            <w:shd w:val="clear" w:color="auto" w:fill="auto"/>
            <w:vAlign w:val="center"/>
          </w:tcPr>
          <w:p w14:paraId="18F0439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179" w:type="dxa"/>
            <w:shd w:val="clear" w:color="auto" w:fill="auto"/>
            <w:vAlign w:val="center"/>
          </w:tcPr>
          <w:p w14:paraId="1F41ADB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500</w:t>
            </w:r>
          </w:p>
        </w:tc>
      </w:tr>
      <w:tr w14:paraId="53B4F3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D3637E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102</w:t>
            </w:r>
          </w:p>
        </w:tc>
        <w:tc>
          <w:tcPr>
            <w:tcW w:w="716" w:type="dxa"/>
            <w:shd w:val="clear" w:color="auto" w:fill="auto"/>
            <w:vAlign w:val="center"/>
          </w:tcPr>
          <w:p w14:paraId="0FA9927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前端设备机柜</w:t>
            </w:r>
          </w:p>
        </w:tc>
        <w:tc>
          <w:tcPr>
            <w:tcW w:w="6717" w:type="dxa"/>
            <w:shd w:val="clear" w:color="auto" w:fill="auto"/>
            <w:vAlign w:val="center"/>
          </w:tcPr>
          <w:p w14:paraId="327C5E5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确保设备的安全、‌稳定运行以及便于维护。</w:t>
            </w:r>
          </w:p>
        </w:tc>
        <w:tc>
          <w:tcPr>
            <w:tcW w:w="700" w:type="dxa"/>
            <w:shd w:val="clear" w:color="auto" w:fill="auto"/>
            <w:vAlign w:val="center"/>
          </w:tcPr>
          <w:p w14:paraId="7BE59CA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2套</w:t>
            </w:r>
          </w:p>
        </w:tc>
        <w:tc>
          <w:tcPr>
            <w:tcW w:w="1179" w:type="dxa"/>
            <w:shd w:val="clear" w:color="auto" w:fill="auto"/>
            <w:vAlign w:val="center"/>
          </w:tcPr>
          <w:p w14:paraId="08AD6F5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500</w:t>
            </w:r>
          </w:p>
        </w:tc>
      </w:tr>
      <w:tr w14:paraId="4ED08D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256132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103</w:t>
            </w:r>
          </w:p>
        </w:tc>
        <w:tc>
          <w:tcPr>
            <w:tcW w:w="716" w:type="dxa"/>
            <w:shd w:val="clear" w:color="auto" w:fill="auto"/>
            <w:vAlign w:val="center"/>
          </w:tcPr>
          <w:p w14:paraId="7C80C1B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音频连接线</w:t>
            </w:r>
          </w:p>
        </w:tc>
        <w:tc>
          <w:tcPr>
            <w:tcW w:w="6717" w:type="dxa"/>
            <w:shd w:val="clear" w:color="auto" w:fill="auto"/>
            <w:vAlign w:val="center"/>
          </w:tcPr>
          <w:p w14:paraId="25FF869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1.8米音频连接线：莲花（RCA）-莲花（RCA）。</w:t>
            </w:r>
          </w:p>
        </w:tc>
        <w:tc>
          <w:tcPr>
            <w:tcW w:w="700" w:type="dxa"/>
            <w:shd w:val="clear" w:color="auto" w:fill="auto"/>
            <w:vAlign w:val="center"/>
          </w:tcPr>
          <w:p w14:paraId="1E1FCE9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4根</w:t>
            </w:r>
          </w:p>
        </w:tc>
        <w:tc>
          <w:tcPr>
            <w:tcW w:w="1179" w:type="dxa"/>
            <w:shd w:val="clear" w:color="auto" w:fill="auto"/>
            <w:vAlign w:val="center"/>
          </w:tcPr>
          <w:p w14:paraId="73AD0D4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32</w:t>
            </w:r>
          </w:p>
        </w:tc>
      </w:tr>
      <w:tr w14:paraId="4C14F2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4B24BD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104</w:t>
            </w:r>
          </w:p>
        </w:tc>
        <w:tc>
          <w:tcPr>
            <w:tcW w:w="716" w:type="dxa"/>
            <w:shd w:val="clear" w:color="auto" w:fill="auto"/>
            <w:vAlign w:val="center"/>
          </w:tcPr>
          <w:p w14:paraId="20BEA86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音频连接线</w:t>
            </w:r>
          </w:p>
        </w:tc>
        <w:tc>
          <w:tcPr>
            <w:tcW w:w="6717" w:type="dxa"/>
            <w:shd w:val="clear" w:color="auto" w:fill="auto"/>
            <w:vAlign w:val="center"/>
          </w:tcPr>
          <w:p w14:paraId="53348D8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1.8米音频连接线：莲花（RCA）-6.35话筒插头。</w:t>
            </w:r>
          </w:p>
        </w:tc>
        <w:tc>
          <w:tcPr>
            <w:tcW w:w="700" w:type="dxa"/>
            <w:shd w:val="clear" w:color="auto" w:fill="auto"/>
            <w:vAlign w:val="center"/>
          </w:tcPr>
          <w:p w14:paraId="2729220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4根</w:t>
            </w:r>
          </w:p>
        </w:tc>
        <w:tc>
          <w:tcPr>
            <w:tcW w:w="1179" w:type="dxa"/>
            <w:shd w:val="clear" w:color="auto" w:fill="auto"/>
            <w:vAlign w:val="center"/>
          </w:tcPr>
          <w:p w14:paraId="3214A3E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24</w:t>
            </w:r>
          </w:p>
        </w:tc>
      </w:tr>
      <w:tr w14:paraId="0D223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9137B3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105</w:t>
            </w:r>
          </w:p>
        </w:tc>
        <w:tc>
          <w:tcPr>
            <w:tcW w:w="716" w:type="dxa"/>
            <w:shd w:val="clear" w:color="auto" w:fill="auto"/>
            <w:vAlign w:val="center"/>
          </w:tcPr>
          <w:p w14:paraId="0EABE01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音频连接线</w:t>
            </w:r>
          </w:p>
        </w:tc>
        <w:tc>
          <w:tcPr>
            <w:tcW w:w="6717" w:type="dxa"/>
            <w:shd w:val="clear" w:color="auto" w:fill="auto"/>
            <w:vAlign w:val="center"/>
          </w:tcPr>
          <w:p w14:paraId="6F71B10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1.8米音频连接线：3.5（耳机插头）-双莲花（RCA）。</w:t>
            </w:r>
          </w:p>
        </w:tc>
        <w:tc>
          <w:tcPr>
            <w:tcW w:w="700" w:type="dxa"/>
            <w:shd w:val="clear" w:color="auto" w:fill="auto"/>
            <w:vAlign w:val="center"/>
          </w:tcPr>
          <w:p w14:paraId="2BAFE37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2根</w:t>
            </w:r>
          </w:p>
        </w:tc>
        <w:tc>
          <w:tcPr>
            <w:tcW w:w="1179" w:type="dxa"/>
            <w:shd w:val="clear" w:color="auto" w:fill="auto"/>
            <w:vAlign w:val="center"/>
          </w:tcPr>
          <w:p w14:paraId="3CF9C02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32</w:t>
            </w:r>
          </w:p>
        </w:tc>
      </w:tr>
      <w:tr w14:paraId="690112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41A6DC5">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106</w:t>
            </w:r>
          </w:p>
        </w:tc>
        <w:tc>
          <w:tcPr>
            <w:tcW w:w="716" w:type="dxa"/>
            <w:shd w:val="clear" w:color="auto" w:fill="auto"/>
            <w:vAlign w:val="center"/>
          </w:tcPr>
          <w:p w14:paraId="6604D53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音频连接线</w:t>
            </w:r>
          </w:p>
        </w:tc>
        <w:tc>
          <w:tcPr>
            <w:tcW w:w="6717" w:type="dxa"/>
            <w:shd w:val="clear" w:color="auto" w:fill="auto"/>
            <w:vAlign w:val="center"/>
          </w:tcPr>
          <w:p w14:paraId="40F6822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1.8米音频连接线：6.35话筒插头*2，线径：0.3mm。</w:t>
            </w:r>
          </w:p>
        </w:tc>
        <w:tc>
          <w:tcPr>
            <w:tcW w:w="700" w:type="dxa"/>
            <w:shd w:val="clear" w:color="auto" w:fill="auto"/>
            <w:vAlign w:val="center"/>
          </w:tcPr>
          <w:p w14:paraId="703359E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2根</w:t>
            </w:r>
          </w:p>
        </w:tc>
        <w:tc>
          <w:tcPr>
            <w:tcW w:w="1179" w:type="dxa"/>
            <w:shd w:val="clear" w:color="auto" w:fill="auto"/>
            <w:vAlign w:val="center"/>
          </w:tcPr>
          <w:p w14:paraId="664A745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45</w:t>
            </w:r>
          </w:p>
        </w:tc>
      </w:tr>
      <w:tr w14:paraId="6B29D7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E275CF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107</w:t>
            </w:r>
          </w:p>
        </w:tc>
        <w:tc>
          <w:tcPr>
            <w:tcW w:w="716" w:type="dxa"/>
            <w:shd w:val="clear" w:color="auto" w:fill="auto"/>
            <w:vAlign w:val="center"/>
          </w:tcPr>
          <w:p w14:paraId="507B64A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系统集成费</w:t>
            </w:r>
          </w:p>
        </w:tc>
        <w:tc>
          <w:tcPr>
            <w:tcW w:w="6717" w:type="dxa"/>
            <w:shd w:val="clear" w:color="auto" w:fill="auto"/>
            <w:vAlign w:val="center"/>
          </w:tcPr>
          <w:p w14:paraId="472851F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施工布线，安装，调试。</w:t>
            </w:r>
          </w:p>
        </w:tc>
        <w:tc>
          <w:tcPr>
            <w:tcW w:w="700" w:type="dxa"/>
            <w:shd w:val="clear" w:color="auto" w:fill="auto"/>
            <w:vAlign w:val="center"/>
          </w:tcPr>
          <w:p w14:paraId="664A02D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1项</w:t>
            </w:r>
          </w:p>
        </w:tc>
        <w:tc>
          <w:tcPr>
            <w:tcW w:w="1179" w:type="dxa"/>
            <w:shd w:val="clear" w:color="auto" w:fill="auto"/>
            <w:vAlign w:val="center"/>
          </w:tcPr>
          <w:p w14:paraId="60FB98F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6000</w:t>
            </w:r>
          </w:p>
        </w:tc>
      </w:tr>
      <w:tr w14:paraId="22F06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268A9E4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（十三）录播教室</w:t>
            </w:r>
          </w:p>
        </w:tc>
      </w:tr>
      <w:tr w14:paraId="6F2F38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4637B1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377E41A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6D99A8E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29AE50D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7157E61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0D1C2A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66B3AF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108</w:t>
            </w:r>
          </w:p>
        </w:tc>
        <w:tc>
          <w:tcPr>
            <w:tcW w:w="716" w:type="dxa"/>
            <w:shd w:val="clear" w:color="auto" w:fill="auto"/>
            <w:vAlign w:val="center"/>
          </w:tcPr>
          <w:p w14:paraId="5B7C17A9">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智慧教育录播主机</w:t>
            </w:r>
          </w:p>
        </w:tc>
        <w:tc>
          <w:tcPr>
            <w:tcW w:w="6717" w:type="dxa"/>
            <w:shd w:val="clear" w:color="auto" w:fill="auto"/>
            <w:vAlign w:val="top"/>
          </w:tcPr>
          <w:p w14:paraId="312AF70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1、要求录播主机必须采用嵌入式硬件设计，内置Linux操作系统，支持7*24小时工作；不接受PC架构以及服务器设计方式；</w:t>
            </w:r>
          </w:p>
          <w:p w14:paraId="11A1198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2、系统集成录播系统、音频处理、编解码技术为一体，更符合信息化行业有关产品发展微小型化、低功耗、智能化和高可靠性需求；</w:t>
            </w:r>
          </w:p>
          <w:p w14:paraId="14CFD2B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3、支持不小于4路高清3G-SDI、支持不小于2路HDMI输入接口；不小于3路HDMI接口视频输出；</w:t>
            </w:r>
          </w:p>
          <w:p w14:paraId="514AE16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4、为了满足部分双教学大屏场景，要求2路HDMI输入接口支持同时接入，能够实现两路HDMI信号采集、其中一路最高支持4K分辨率接入，并支持老师教学过程中大屏操作的全自动跟踪切换；</w:t>
            </w:r>
          </w:p>
          <w:p w14:paraId="428B1D5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5、主机内含6口交换机，其中支持不少于4口POE供电，满足老师特写、讲台全景、学生特写、学生全景信号接入需求；</w:t>
            </w:r>
          </w:p>
          <w:p w14:paraId="072B56F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6、为满足不同音频输入需求，主机音频支持不少于1路莲花（RCA）MIC IN接口、1路凤凰端子MIC IN接口、1路凤凰LINE IN接口可选，同时，主机应支持不少于1路凤凰端子、1路双莲花LINE OUT可选；</w:t>
            </w:r>
          </w:p>
          <w:p w14:paraId="3EFA46E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6、录播主机支持本地导播功能，接上鼠标、标准键盘与显示器就可实现无延时本地导播，可以扩展硬件导播台；</w:t>
            </w:r>
          </w:p>
          <w:p w14:paraId="7024EFB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7、为了便于录播主机连接键鼠、导播控制键盘、USB移动存储设备，要求录播主机支持不小于3路USB接口 ；</w:t>
            </w:r>
          </w:p>
          <w:p w14:paraId="170D694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8、主机包含Reset按键，可以实现出厂设置恢复，能够实时初始化系统状态；</w:t>
            </w:r>
          </w:p>
          <w:p w14:paraId="22445BA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9、主机前面板配置液晶屏，支持显示主机版本、IP地址等信息，实现清晰管理设备操控；</w:t>
            </w:r>
          </w:p>
          <w:p w14:paraId="33617A3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10、控制接口不小6路，可用于控制摄像机云台与控制面板等设备，其中一路带供电，可直接对接控制面板、无需额外给控制面板提供电源；</w:t>
            </w:r>
          </w:p>
          <w:p w14:paraId="7B13AC6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11、系统内置跟踪功能，无需额外配置跟踪主机即可实现智能图像识别跟踪分析与处理功能，跟踪对象不需要佩戴任何辅助装置，便可对老师和学生的动作、移动进行准确定位、跟踪，清楚的记录整个教学活动；</w:t>
            </w:r>
          </w:p>
          <w:p w14:paraId="7F753A6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12、系统内置不小于2T存储空间，支持双硬盘接入，最大支持不少于16T硬盘存储空间，录制文件既可存储在本地硬盘，可以上传到云资源管理平台或第三方FTP服务器；</w:t>
            </w:r>
          </w:p>
          <w:p w14:paraId="31CE207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13、支持H.323、SIP协议，能够对接第三方视频会议终端，实现互动场景录制。</w:t>
            </w:r>
          </w:p>
        </w:tc>
        <w:tc>
          <w:tcPr>
            <w:tcW w:w="700" w:type="dxa"/>
            <w:shd w:val="clear" w:color="auto" w:fill="auto"/>
            <w:vAlign w:val="center"/>
          </w:tcPr>
          <w:p w14:paraId="58AB3B1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 台</w:t>
            </w:r>
          </w:p>
        </w:tc>
        <w:tc>
          <w:tcPr>
            <w:tcW w:w="1179" w:type="dxa"/>
            <w:shd w:val="clear" w:color="auto" w:fill="auto"/>
            <w:vAlign w:val="center"/>
          </w:tcPr>
          <w:p w14:paraId="7B9F2E9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13000 </w:t>
            </w:r>
          </w:p>
        </w:tc>
      </w:tr>
      <w:tr w14:paraId="4D9F1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21726C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109</w:t>
            </w:r>
          </w:p>
        </w:tc>
        <w:tc>
          <w:tcPr>
            <w:tcW w:w="716" w:type="dxa"/>
            <w:shd w:val="clear" w:color="auto" w:fill="auto"/>
            <w:vAlign w:val="center"/>
          </w:tcPr>
          <w:p w14:paraId="35395943">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录播主机管理软件</w:t>
            </w:r>
          </w:p>
        </w:tc>
        <w:tc>
          <w:tcPr>
            <w:tcW w:w="6717" w:type="dxa"/>
            <w:shd w:val="clear" w:color="auto" w:fill="auto"/>
            <w:vAlign w:val="top"/>
          </w:tcPr>
          <w:p w14:paraId="293CA40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1、录播主机系统软件须出厂即安装于录播主机内，要求支持网络导播与本地导播两种导播方式；要求网络导播软件支持windows以及国产操作系统、如UOS等；</w:t>
            </w:r>
          </w:p>
          <w:p w14:paraId="542D18E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2、为了更清楚了解系统状态，系统应支持版本信息、序列号、设备型号、硬盘空间、剩余硬盘空间、跟踪机位信息、网络连接、平台接入信息等显示；</w:t>
            </w:r>
          </w:p>
          <w:p w14:paraId="47FA118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3、系统支持视频文件上传、下载、异常修复、本地点播、删除等基本功能，支持通过状态标记自动检测课件上传是否成功，对于状态标记上传失败的课件资源支持人工手动续传；</w:t>
            </w:r>
          </w:p>
          <w:p w14:paraId="4387CAB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4、系统支持插入外接移动存储设备一键拷贝下载功能，并可选择多路外接移动设备；</w:t>
            </w:r>
          </w:p>
          <w:p w14:paraId="0484BA7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5、系统支持异常课件修复和课件列表修复功能，在录制过程中或其他不可抗拒因素导致设备突然断电使录制的课件异常时，可通过录播主机管理页面一键修复功能，修复异常课件为正常课件资源；</w:t>
            </w:r>
          </w:p>
          <w:p w14:paraId="7186887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6、系统支持输入音视频信号状态显示，如分辨率等；支持音频输入接口自由选择；</w:t>
            </w:r>
          </w:p>
          <w:p w14:paraId="497F97B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7、支持跟踪机位设置，支持根据具体配置选择系统状态，如四机位、三机位等模式选择，实现不同的跟踪录制效果；</w:t>
            </w:r>
          </w:p>
          <w:p w14:paraId="515914C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8、支持主机HDMI输出设定，支持分辨率、频率设置，支持HDMI输出音频开关；</w:t>
            </w:r>
          </w:p>
          <w:p w14:paraId="7E8B4DD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9、支持教室属性设置，如常规录播教室、互动教室；并可对互动协议进行自由选择，支持H.323\SIP等标准协议，同时支持厂家私有协议互动；</w:t>
            </w:r>
          </w:p>
          <w:p w14:paraId="4FD1E74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录播系统支持双流、单流模式互动：单流互动时要求听讲教室一个屏幕即可显示主讲教室的人物视频主流画面与PPT或板书的辅流画面；双流互动时，听讲教室使用两台显示器，分别显示主流老师画面与副流电脑PPT、板书画面；</w:t>
            </w:r>
          </w:p>
          <w:p w14:paraId="4C543CE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11、主讲教室可根据需要切换互动模式，如自由讨论、课间休息、对讲模式等，各互动教室录播设备跟随互动模式变化，切换为对应的画面输出效果。</w:t>
            </w:r>
          </w:p>
          <w:p w14:paraId="7DA2BB5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12、支持与厂家小组研讨协作教学系统联动，实现更精细化的研讨型教学课程录制效果；</w:t>
            </w:r>
          </w:p>
          <w:p w14:paraId="266D48D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13、支持web端发起互动教学，包括呼叫、挂断等，可实时显示互动教学连接状态，方便管理；</w:t>
            </w:r>
          </w:p>
          <w:p w14:paraId="6A10EFB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14、支持不少于6路流媒体图像设置，每一路均支持RTSP、RTMP、HTTP等协议自由选择，并可自由选择流媒体具体内容，如电影模式，老师特写/全景，学生特写/全景，电脑信号等；</w:t>
            </w:r>
          </w:p>
          <w:p w14:paraId="52E3E2E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15、支持IPv4、IPv6协议、支持将设备映射到公网、设置公网IP；支持网络状态检测、如上下行速度、网络抖动、丢包率等；</w:t>
            </w:r>
          </w:p>
          <w:p w14:paraId="55263F2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16、提供管理员和访客两种用户管理，支持对用户进行密码修改设定，不同的用户是相同的后台操作应用；</w:t>
            </w:r>
          </w:p>
          <w:p w14:paraId="557A883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17、支持中控对接，可选串口中控和网络中控；支持物联网MQTT标准协议，无缝对接物联网集控平台，将设备信息、状态以及基本的控制操作对接到物联网集控平台，如录制控制、直播开关等；</w:t>
            </w:r>
          </w:p>
          <w:p w14:paraId="76704A3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18、支持对接厂家资源管理平台，实现录播集中管理，包括录制、直播、设备开关机状态、视频资源管理等应用；支持标准的FTP协议将文件上传到第三方FTP服务器进行文件统一管理；</w:t>
            </w:r>
          </w:p>
          <w:p w14:paraId="38C24B9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19、支持远程升级、时间同步、以及EDID设置，以便兼容不同设备的接入；</w:t>
            </w:r>
          </w:p>
          <w:p w14:paraId="2613DE39">
            <w:pPr>
              <w:keepNext w:val="0"/>
              <w:keepLines w:val="0"/>
              <w:widowControl/>
              <w:suppressLineNumbers w:val="0"/>
              <w:jc w:val="left"/>
              <w:textAlignment w:val="top"/>
              <w:rPr>
                <w:rFonts w:hint="eastAsia" w:ascii="宋体" w:hAnsi="宋体" w:eastAsia="宋体" w:cs="宋体"/>
                <w:b w:val="0"/>
                <w:bCs w:val="0"/>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20、要求系统支持英文、简体、繁体三语版本切换，满足不同用户的应用需</w:t>
            </w:r>
            <w:r>
              <w:rPr>
                <w:rFonts w:hint="eastAsia" w:ascii="宋体" w:hAnsi="宋体" w:eastAsia="宋体" w:cs="宋体"/>
                <w:b w:val="0"/>
                <w:bCs w:val="0"/>
                <w:i w:val="0"/>
                <w:iCs w:val="0"/>
                <w:color w:val="000000"/>
                <w:kern w:val="0"/>
                <w:sz w:val="21"/>
                <w:szCs w:val="21"/>
                <w:highlight w:val="none"/>
                <w:u w:val="none"/>
                <w:lang w:val="en-US" w:eastAsia="zh-CN" w:bidi="ar"/>
              </w:rPr>
              <w:t>求；</w:t>
            </w:r>
          </w:p>
          <w:p w14:paraId="1800ABC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val="0"/>
                <w:bCs w:val="0"/>
                <w:i w:val="0"/>
                <w:iCs w:val="0"/>
                <w:color w:val="000000"/>
                <w:kern w:val="0"/>
                <w:sz w:val="21"/>
                <w:szCs w:val="21"/>
                <w:highlight w:val="none"/>
                <w:u w:val="none"/>
                <w:lang w:val="en-US" w:eastAsia="zh-CN" w:bidi="ar"/>
              </w:rPr>
              <w:t>21</w:t>
            </w:r>
            <w:r>
              <w:rPr>
                <w:rFonts w:hint="eastAsia" w:ascii="宋体" w:hAnsi="宋体" w:eastAsia="宋体" w:cs="宋体"/>
                <w:b w:val="0"/>
                <w:bCs w:val="0"/>
                <w:i w:val="0"/>
                <w:iCs w:val="0"/>
                <w:color w:val="000000" w:themeColor="text1"/>
                <w:kern w:val="0"/>
                <w:sz w:val="21"/>
                <w:szCs w:val="21"/>
                <w:highlight w:val="none"/>
                <w:u w:val="none"/>
                <w:lang w:val="en-US" w:eastAsia="zh-CN" w:bidi="ar"/>
                <w14:textFill>
                  <w14:solidFill>
                    <w14:schemeClr w14:val="tx1"/>
                  </w14:solidFill>
                </w14:textFill>
              </w:rPr>
              <w:t>、提供智慧教育录播主机系统软件著作权证书。</w:t>
            </w:r>
          </w:p>
        </w:tc>
        <w:tc>
          <w:tcPr>
            <w:tcW w:w="700" w:type="dxa"/>
            <w:shd w:val="clear" w:color="auto" w:fill="auto"/>
            <w:vAlign w:val="center"/>
          </w:tcPr>
          <w:p w14:paraId="15E49B5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 套</w:t>
            </w:r>
          </w:p>
        </w:tc>
        <w:tc>
          <w:tcPr>
            <w:tcW w:w="1179" w:type="dxa"/>
            <w:shd w:val="clear" w:color="auto" w:fill="auto"/>
            <w:vAlign w:val="center"/>
          </w:tcPr>
          <w:p w14:paraId="2ACF342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18000 </w:t>
            </w:r>
          </w:p>
        </w:tc>
      </w:tr>
      <w:tr w14:paraId="17E7BC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6381E8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110</w:t>
            </w:r>
          </w:p>
        </w:tc>
        <w:tc>
          <w:tcPr>
            <w:tcW w:w="716" w:type="dxa"/>
            <w:shd w:val="clear" w:color="auto" w:fill="auto"/>
            <w:vAlign w:val="center"/>
          </w:tcPr>
          <w:p w14:paraId="06E5D04F">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跟踪识别软件</w:t>
            </w:r>
          </w:p>
        </w:tc>
        <w:tc>
          <w:tcPr>
            <w:tcW w:w="6717" w:type="dxa"/>
            <w:shd w:val="clear" w:color="auto" w:fill="auto"/>
            <w:vAlign w:val="top"/>
          </w:tcPr>
          <w:p w14:paraId="683899B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1、支持教室讲台、学生区域侦测区绘制，实现录播主机全自动跟踪切换；</w:t>
            </w:r>
          </w:p>
          <w:p w14:paraId="5BE31F6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2、系统支持对云台摄像机镜头和焦距进行控制，实现对教学活动中老师、学生、板书的自动跟踪拍摄和切换；</w:t>
            </w:r>
          </w:p>
          <w:p w14:paraId="393C7501">
            <w:pPr>
              <w:keepNext w:val="0"/>
              <w:keepLines w:val="0"/>
              <w:widowControl/>
              <w:suppressLineNumbers w:val="0"/>
              <w:jc w:val="left"/>
              <w:textAlignment w:val="top"/>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kern w:val="0"/>
                <w:sz w:val="21"/>
                <w:szCs w:val="21"/>
                <w:u w:val="none"/>
                <w:lang w:val="en-US" w:eastAsia="zh-CN" w:bidi="ar"/>
              </w:rPr>
              <w:t>3、系统支持多个屏蔽区设置，可屏蔽观摩室和教室之间的玻璃墙，避免因玻璃</w:t>
            </w: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墙反射而造成学生特写画面捕捉不到的问题，同时支持屏蔽教室后方因听课教师（或家长）意外站立或走动而导致的错误特写画面；</w:t>
            </w:r>
          </w:p>
          <w:p w14:paraId="410B646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val="0"/>
                <w:bCs w:val="0"/>
                <w:i w:val="0"/>
                <w:iCs w:val="0"/>
                <w:color w:val="000000" w:themeColor="text1"/>
                <w:kern w:val="0"/>
                <w:sz w:val="21"/>
                <w:szCs w:val="21"/>
                <w:highlight w:val="none"/>
                <w:u w:val="none"/>
                <w:lang w:val="en-US" w:eastAsia="zh-CN" w:bidi="ar"/>
                <w14:textFill>
                  <w14:solidFill>
                    <w14:schemeClr w14:val="tx1"/>
                  </w14:solidFill>
                </w14:textFill>
              </w:rPr>
              <w:t>4、提供行为识别软件著作权证书。</w:t>
            </w:r>
          </w:p>
        </w:tc>
        <w:tc>
          <w:tcPr>
            <w:tcW w:w="700" w:type="dxa"/>
            <w:shd w:val="clear" w:color="auto" w:fill="auto"/>
            <w:vAlign w:val="center"/>
          </w:tcPr>
          <w:p w14:paraId="50E8373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 套</w:t>
            </w:r>
          </w:p>
        </w:tc>
        <w:tc>
          <w:tcPr>
            <w:tcW w:w="1179" w:type="dxa"/>
            <w:shd w:val="clear" w:color="auto" w:fill="auto"/>
            <w:vAlign w:val="center"/>
          </w:tcPr>
          <w:p w14:paraId="0255981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9000</w:t>
            </w:r>
          </w:p>
        </w:tc>
      </w:tr>
      <w:tr w14:paraId="07B0CD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19" w:type="dxa"/>
            <w:shd w:val="clear" w:color="auto" w:fill="auto"/>
            <w:noWrap/>
            <w:vAlign w:val="center"/>
          </w:tcPr>
          <w:p w14:paraId="7FF7DF6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111</w:t>
            </w:r>
          </w:p>
        </w:tc>
        <w:tc>
          <w:tcPr>
            <w:tcW w:w="716" w:type="dxa"/>
            <w:shd w:val="clear" w:color="auto" w:fill="auto"/>
            <w:vAlign w:val="center"/>
          </w:tcPr>
          <w:p w14:paraId="09860E4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云台摄像机</w:t>
            </w:r>
          </w:p>
        </w:tc>
        <w:tc>
          <w:tcPr>
            <w:tcW w:w="6717" w:type="dxa"/>
            <w:shd w:val="clear" w:color="auto" w:fill="auto"/>
            <w:vAlign w:val="top"/>
          </w:tcPr>
          <w:p w14:paraId="6CCCDDA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1、采用1/2.8英寸CMOS,有效像素≥207万；</w:t>
            </w:r>
          </w:p>
          <w:p w14:paraId="4F343E9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2、支持1080p/60,1080p/50,1080i/60,1080i/50,1080p/30,1080p/25,720p/60,720p/50,720p/30,720p/25</w:t>
            </w:r>
          </w:p>
          <w:p w14:paraId="18A8FF0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SD:480i,576i多种信号制式；</w:t>
            </w:r>
          </w:p>
          <w:p w14:paraId="1CCF053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3、镜头焦距≥20X光学变焦,f4.42mm~88.5mm,F1.8~F2.8；数字变焦≥16X；</w:t>
            </w:r>
          </w:p>
          <w:p w14:paraId="4EA7C11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4、最低照度0.5Lux@(F1.8,AGCON)；</w:t>
            </w:r>
          </w:p>
          <w:p w14:paraId="7A9C744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5、快门速度1/30s~1/10000s；</w:t>
            </w:r>
          </w:p>
          <w:p w14:paraId="71D01BB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6、支持白平衡自动，室内，室外，一键，手动，指定色温；</w:t>
            </w:r>
          </w:p>
          <w:p w14:paraId="6DCA215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7、支持背光补偿，支持2D&amp;3D数字降噪；</w:t>
            </w:r>
          </w:p>
          <w:p w14:paraId="7F5DA55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8、信噪比≥55dB；</w:t>
            </w:r>
          </w:p>
          <w:p w14:paraId="505C3D5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9、水平视场角60.7°~3.36°、垂直视场角34.1°~1.89°；</w:t>
            </w:r>
          </w:p>
          <w:p w14:paraId="45D2A8A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10、支持扩展预置位数量≥255；</w:t>
            </w:r>
          </w:p>
          <w:p w14:paraId="36EC7F9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11、输出接口支持≥1路HDMI，≥1路,3G-SDI；≥1路,CVBS；</w:t>
            </w:r>
          </w:p>
          <w:p w14:paraId="33CB0E1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12、网络接口≥1路,RJ45:10M/100M自适应以太网口；</w:t>
            </w:r>
          </w:p>
          <w:p w14:paraId="5CE9B78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13、音频接口≥1路,LineIn,3.5mm音频接口；</w:t>
            </w:r>
          </w:p>
          <w:p w14:paraId="23E075E5">
            <w:pPr>
              <w:keepNext w:val="0"/>
              <w:keepLines w:val="0"/>
              <w:widowControl/>
              <w:suppressLineNumbers w:val="0"/>
              <w:jc w:val="left"/>
              <w:textAlignment w:val="top"/>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14、USB接口≥1路,USB2.0 。</w:t>
            </w:r>
          </w:p>
        </w:tc>
        <w:tc>
          <w:tcPr>
            <w:tcW w:w="700" w:type="dxa"/>
            <w:shd w:val="clear" w:color="auto" w:fill="auto"/>
            <w:vAlign w:val="center"/>
          </w:tcPr>
          <w:p w14:paraId="117424D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 台</w:t>
            </w:r>
          </w:p>
        </w:tc>
        <w:tc>
          <w:tcPr>
            <w:tcW w:w="1179" w:type="dxa"/>
            <w:shd w:val="clear" w:color="auto" w:fill="auto"/>
            <w:vAlign w:val="center"/>
          </w:tcPr>
          <w:p w14:paraId="044D408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2100 </w:t>
            </w:r>
          </w:p>
        </w:tc>
      </w:tr>
      <w:tr w14:paraId="189A1F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0622B4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112</w:t>
            </w:r>
          </w:p>
        </w:tc>
        <w:tc>
          <w:tcPr>
            <w:tcW w:w="716" w:type="dxa"/>
            <w:shd w:val="clear" w:color="auto" w:fill="auto"/>
            <w:vAlign w:val="center"/>
          </w:tcPr>
          <w:p w14:paraId="15811F34">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高清摄像机系统软件</w:t>
            </w:r>
          </w:p>
        </w:tc>
        <w:tc>
          <w:tcPr>
            <w:tcW w:w="6717" w:type="dxa"/>
            <w:shd w:val="clear" w:color="auto" w:fill="auto"/>
            <w:vAlign w:val="top"/>
          </w:tcPr>
          <w:p w14:paraId="1107846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1、要求支持在Windows 2000/2003/XP/vista/7/8/10等环境正常运行；</w:t>
            </w:r>
          </w:p>
          <w:p w14:paraId="43FE687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2、要求支持通过网线直连或交换机、路由器等方式进行连接配置；</w:t>
            </w:r>
          </w:p>
          <w:p w14:paraId="47A4640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3、支持HTTP、RTSP、PTZ等端口配置；</w:t>
            </w:r>
          </w:p>
          <w:p w14:paraId="41280AE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4、支持预置位设置，可设置预置位0-254；</w:t>
            </w:r>
          </w:p>
          <w:p w14:paraId="389FC42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5、要求支持50Hz（PAL）、60Hz（NTSC）和拨码优先三种制式；</w:t>
            </w:r>
          </w:p>
          <w:p w14:paraId="10CB18C3">
            <w:pPr>
              <w:keepNext w:val="0"/>
              <w:keepLines w:val="0"/>
              <w:widowControl/>
              <w:suppressLineNumbers w:val="0"/>
              <w:jc w:val="left"/>
              <w:textAlignment w:val="top"/>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6、为满足不同场景拍摄效果，支持亮度、饱和度、对比度、锐度、色度等图像效</w:t>
            </w:r>
            <w:r>
              <w:rPr>
                <w:rFonts w:hint="eastAsia" w:ascii="宋体" w:hAnsi="宋体" w:eastAsia="宋体" w:cs="宋体"/>
                <w:i w:val="0"/>
                <w:iCs w:val="0"/>
                <w:color w:val="000000"/>
                <w:kern w:val="0"/>
                <w:sz w:val="21"/>
                <w:szCs w:val="21"/>
                <w:highlight w:val="none"/>
                <w:u w:val="none"/>
                <w:lang w:val="en-US" w:eastAsia="zh-CN" w:bidi="ar"/>
              </w:rPr>
              <w:t>果调节功能；</w:t>
            </w:r>
          </w:p>
          <w:p w14:paraId="4E24720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val="0"/>
                <w:bCs w:val="0"/>
                <w:i w:val="0"/>
                <w:iCs w:val="0"/>
                <w:color w:val="000000" w:themeColor="text1"/>
                <w:kern w:val="0"/>
                <w:sz w:val="21"/>
                <w:szCs w:val="21"/>
                <w:highlight w:val="none"/>
                <w:u w:val="none"/>
                <w:lang w:val="en-US" w:eastAsia="zh-CN" w:bidi="ar"/>
                <w14:textFill>
                  <w14:solidFill>
                    <w14:schemeClr w14:val="tx1"/>
                  </w14:solidFill>
                </w14:textFill>
              </w:rPr>
              <w:t>7 、提供摄像机系统软件著作权证书。</w:t>
            </w:r>
          </w:p>
        </w:tc>
        <w:tc>
          <w:tcPr>
            <w:tcW w:w="700" w:type="dxa"/>
            <w:shd w:val="clear" w:color="auto" w:fill="auto"/>
            <w:vAlign w:val="center"/>
          </w:tcPr>
          <w:p w14:paraId="2255B93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 套</w:t>
            </w:r>
          </w:p>
        </w:tc>
        <w:tc>
          <w:tcPr>
            <w:tcW w:w="1179" w:type="dxa"/>
            <w:shd w:val="clear" w:color="auto" w:fill="auto"/>
            <w:vAlign w:val="center"/>
          </w:tcPr>
          <w:p w14:paraId="0E8BD86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2600</w:t>
            </w:r>
          </w:p>
        </w:tc>
      </w:tr>
      <w:tr w14:paraId="61A266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ADF2A8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113</w:t>
            </w:r>
          </w:p>
        </w:tc>
        <w:tc>
          <w:tcPr>
            <w:tcW w:w="716" w:type="dxa"/>
            <w:shd w:val="clear" w:color="auto" w:fill="auto"/>
            <w:vAlign w:val="center"/>
          </w:tcPr>
          <w:p w14:paraId="6C2FFECD">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跟踪定位摄像机</w:t>
            </w:r>
          </w:p>
        </w:tc>
        <w:tc>
          <w:tcPr>
            <w:tcW w:w="6717" w:type="dxa"/>
            <w:shd w:val="clear" w:color="auto" w:fill="auto"/>
            <w:vAlign w:val="top"/>
          </w:tcPr>
          <w:p w14:paraId="4C9D66F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 采用不低于1/2.8 英寸  CMOS 传感器, 总像素不小于200万；</w:t>
            </w:r>
          </w:p>
          <w:p w14:paraId="343028A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 最低照度不低于：彩色0.6Lux@F1.2；黑白0.08Lux@F1.2；</w:t>
            </w:r>
          </w:p>
          <w:p w14:paraId="5A02413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 信噪比 不小于50dB(AGC OFF) ；</w:t>
            </w:r>
          </w:p>
          <w:p w14:paraId="46EA979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 编码格式支持：H.264；</w:t>
            </w:r>
          </w:p>
          <w:p w14:paraId="0E5E2D4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 供电：DC12V；</w:t>
            </w:r>
          </w:p>
          <w:p w14:paraId="068CE21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 设备功率不大于3W；</w:t>
            </w:r>
          </w:p>
        </w:tc>
        <w:tc>
          <w:tcPr>
            <w:tcW w:w="700" w:type="dxa"/>
            <w:shd w:val="clear" w:color="auto" w:fill="auto"/>
            <w:vAlign w:val="center"/>
          </w:tcPr>
          <w:p w14:paraId="3BD370C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 台</w:t>
            </w:r>
          </w:p>
        </w:tc>
        <w:tc>
          <w:tcPr>
            <w:tcW w:w="1179" w:type="dxa"/>
            <w:shd w:val="clear" w:color="auto" w:fill="auto"/>
            <w:vAlign w:val="center"/>
          </w:tcPr>
          <w:p w14:paraId="7E142F5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1200 </w:t>
            </w:r>
          </w:p>
        </w:tc>
      </w:tr>
      <w:tr w14:paraId="26B5C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FFAA12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114</w:t>
            </w:r>
          </w:p>
        </w:tc>
        <w:tc>
          <w:tcPr>
            <w:tcW w:w="716" w:type="dxa"/>
            <w:shd w:val="clear" w:color="auto" w:fill="auto"/>
            <w:vAlign w:val="center"/>
          </w:tcPr>
          <w:p w14:paraId="65703A80">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音频处理器</w:t>
            </w:r>
          </w:p>
        </w:tc>
        <w:tc>
          <w:tcPr>
            <w:tcW w:w="6717" w:type="dxa"/>
            <w:shd w:val="clear" w:color="auto" w:fill="auto"/>
            <w:vAlign w:val="top"/>
          </w:tcPr>
          <w:p w14:paraId="10B1677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1、可通过USB进行远程输出，远程参考输入，软件升级和参数配置；</w:t>
            </w:r>
          </w:p>
          <w:p w14:paraId="7617423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2、集成自动噪音抑制技术（去除包含空调、排气扇等噪音干扰）,保证声音质量；</w:t>
            </w:r>
          </w:p>
          <w:p w14:paraId="232488E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3、6路差分输入，支持软硬件48V幻象供电开启关闭；</w:t>
            </w:r>
          </w:p>
          <w:p w14:paraId="51C6847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4、3路Line-IN输入；</w:t>
            </w:r>
          </w:p>
          <w:p w14:paraId="0062030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5、3路Line-OUT输出；</w:t>
            </w:r>
          </w:p>
          <w:p w14:paraId="01A60DF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6、6路平衡输入可做16段EQ处理（其他输入、输出不作EQ处理）；</w:t>
            </w:r>
          </w:p>
          <w:p w14:paraId="340FBA6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7、抗混响功能，课件、无线麦、吊麦按照优先级自动输出，确保音质清晰；</w:t>
            </w:r>
          </w:p>
          <w:p w14:paraId="6CE9E97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8、破音保护功能：防止学生齐声朗读时，输出破音，影响听感和舒适度；</w:t>
            </w:r>
          </w:p>
          <w:p w14:paraId="05FE740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9、两边同时互动，录制声音不卡顿、不掉字；</w:t>
            </w:r>
          </w:p>
          <w:p w14:paraId="25F6EA4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10、智能混音功能，保证音质清晰干净；</w:t>
            </w:r>
          </w:p>
          <w:p w14:paraId="0D0ACAD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11、NOMA功能～根据开启的MIC数量自动调整系统的输出电平，不会因为输入电平的叠加而使系统的输出增益提高；</w:t>
            </w:r>
          </w:p>
          <w:p w14:paraId="56E82D1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12、语音抗混响功能，避免多路语音互相干扰，突出重要语音信号；</w:t>
            </w:r>
          </w:p>
          <w:p w14:paraId="2C874D7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13、回声消除功能：无线麦克风、吊麦的混音需要进行AEC处理，参考信号为远程音频信号。</w:t>
            </w:r>
          </w:p>
        </w:tc>
        <w:tc>
          <w:tcPr>
            <w:tcW w:w="700" w:type="dxa"/>
            <w:shd w:val="clear" w:color="auto" w:fill="auto"/>
            <w:vAlign w:val="center"/>
          </w:tcPr>
          <w:p w14:paraId="7EAE6B8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3CB0003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2100 </w:t>
            </w:r>
          </w:p>
        </w:tc>
      </w:tr>
      <w:tr w14:paraId="4D750B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3BC815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115</w:t>
            </w:r>
          </w:p>
        </w:tc>
        <w:tc>
          <w:tcPr>
            <w:tcW w:w="716" w:type="dxa"/>
            <w:shd w:val="clear" w:color="auto" w:fill="auto"/>
            <w:vAlign w:val="center"/>
          </w:tcPr>
          <w:p w14:paraId="7AAA92A4">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指向麦克风</w:t>
            </w:r>
          </w:p>
        </w:tc>
        <w:tc>
          <w:tcPr>
            <w:tcW w:w="6717" w:type="dxa"/>
            <w:shd w:val="clear" w:color="auto" w:fill="auto"/>
            <w:vAlign w:val="top"/>
          </w:tcPr>
          <w:p w14:paraId="6E3A439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1、频率响应 100Hz～18KHz；</w:t>
            </w:r>
          </w:p>
          <w:p w14:paraId="3BB5477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2、灵敏度 -40dB±3 dB （re 0dB=1V/Pa@1kHz）</w:t>
            </w:r>
          </w:p>
          <w:p w14:paraId="0608525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3、指向特性 超心型 ≤135°；</w:t>
            </w:r>
          </w:p>
          <w:p w14:paraId="0880E9B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4、输出阻抗 200Ω±30%；</w:t>
            </w:r>
          </w:p>
          <w:p w14:paraId="021AA75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5、输出幅度 Max 300mV；</w:t>
            </w:r>
          </w:p>
          <w:p w14:paraId="159F8D4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6、最大承受声压 110dB SPL（A计权@1KHz，THD≤1%）；</w:t>
            </w:r>
          </w:p>
          <w:p w14:paraId="3C42D08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7、动态范围 76dB（A）；</w:t>
            </w:r>
          </w:p>
          <w:p w14:paraId="7A93AA4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8、信噪比 60dB（A)（re 94dBSPL=1Pa@1KHz)；</w:t>
            </w:r>
          </w:p>
          <w:p w14:paraId="4D2B0B9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9、幻象供电直流48V；</w:t>
            </w:r>
          </w:p>
          <w:p w14:paraId="2C98917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10、输出连接器 外置式3针卡侬公头XLR-3-12C；</w:t>
            </w:r>
          </w:p>
          <w:p w14:paraId="62930BD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11、附属品防风海绵罩。</w:t>
            </w:r>
          </w:p>
        </w:tc>
        <w:tc>
          <w:tcPr>
            <w:tcW w:w="700" w:type="dxa"/>
            <w:shd w:val="clear" w:color="auto" w:fill="auto"/>
            <w:vAlign w:val="center"/>
          </w:tcPr>
          <w:p w14:paraId="6A38493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6支</w:t>
            </w:r>
          </w:p>
        </w:tc>
        <w:tc>
          <w:tcPr>
            <w:tcW w:w="1179" w:type="dxa"/>
            <w:shd w:val="clear" w:color="auto" w:fill="auto"/>
            <w:vAlign w:val="center"/>
          </w:tcPr>
          <w:p w14:paraId="6998B12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600</w:t>
            </w:r>
          </w:p>
        </w:tc>
      </w:tr>
      <w:tr w14:paraId="134AB3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2C71B5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116</w:t>
            </w:r>
          </w:p>
        </w:tc>
        <w:tc>
          <w:tcPr>
            <w:tcW w:w="716" w:type="dxa"/>
            <w:shd w:val="clear" w:color="auto" w:fill="auto"/>
            <w:vAlign w:val="center"/>
          </w:tcPr>
          <w:p w14:paraId="2C4D2B4E">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无线麦克风</w:t>
            </w:r>
          </w:p>
        </w:tc>
        <w:tc>
          <w:tcPr>
            <w:tcW w:w="6717" w:type="dxa"/>
            <w:shd w:val="clear" w:color="auto" w:fill="auto"/>
            <w:vAlign w:val="top"/>
          </w:tcPr>
          <w:p w14:paraId="7A996D7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1、无线麦克风集音频发射处理器、天线、电池、拾音麦克风于一体，配合一体化有源音箱，无需任何外接辅助设备即可实现本地扩声功能。</w:t>
            </w:r>
          </w:p>
          <w:p w14:paraId="29F521D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2、采样率≥48KHz，16bit；扩音增益≥15dB；声频响150Hz-16kHz，声信噪比≥60dB；配合一体化有源音箱，扩音延时≤35ms。</w:t>
            </w:r>
          </w:p>
          <w:p w14:paraId="5D9D330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3、用Wi-Fi射频频段传输，有效避免环境中运营商U段（700MHz）信号干扰。</w:t>
            </w:r>
          </w:p>
          <w:p w14:paraId="52CB5BD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4、支持2.4GHz与5GHz双频段工作，信道数量≥26个。</w:t>
            </w:r>
          </w:p>
          <w:p w14:paraId="394977D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5、电续航时间≥7小时，满电状态可满足一天内10节课（45分钟/一节课）的高频授课，充电10分钟满足一节课（45分钟/一节课）授课时间。</w:t>
            </w:r>
          </w:p>
          <w:p w14:paraId="5988B1A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6、采用红外对码方式连接，避免连接到其他教室音箱。可在5S内快速完成与教学扩声音箱对码，无需繁琐操作。</w:t>
            </w:r>
          </w:p>
          <w:p w14:paraId="6E57A4C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7、支持两个无线麦克风同时配对一套一体化有源音箱使用，实现两个麦克风混音输出进行扩音。</w:t>
            </w:r>
          </w:p>
          <w:p w14:paraId="1508D7A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8、具备3.5mm外置麦克风接口，可搭配其他麦克风进行使用，比如头戴式、挂耳式的外置麦克风。</w:t>
            </w:r>
          </w:p>
          <w:p w14:paraId="297351E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9、空旷无干扰的环境，无线传输有效距离≥15 米。</w:t>
            </w:r>
          </w:p>
        </w:tc>
        <w:tc>
          <w:tcPr>
            <w:tcW w:w="700" w:type="dxa"/>
            <w:shd w:val="clear" w:color="auto" w:fill="auto"/>
            <w:vAlign w:val="center"/>
          </w:tcPr>
          <w:p w14:paraId="430EACD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2支</w:t>
            </w:r>
          </w:p>
        </w:tc>
        <w:tc>
          <w:tcPr>
            <w:tcW w:w="1179" w:type="dxa"/>
            <w:shd w:val="clear" w:color="auto" w:fill="auto"/>
            <w:vAlign w:val="center"/>
          </w:tcPr>
          <w:p w14:paraId="0159ABA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450</w:t>
            </w:r>
          </w:p>
        </w:tc>
      </w:tr>
      <w:tr w14:paraId="7F87F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8B865A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117</w:t>
            </w:r>
          </w:p>
        </w:tc>
        <w:tc>
          <w:tcPr>
            <w:tcW w:w="716" w:type="dxa"/>
            <w:shd w:val="clear" w:color="auto" w:fill="auto"/>
            <w:vAlign w:val="center"/>
          </w:tcPr>
          <w:p w14:paraId="29190479">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有源音箱</w:t>
            </w:r>
          </w:p>
        </w:tc>
        <w:tc>
          <w:tcPr>
            <w:tcW w:w="6717" w:type="dxa"/>
            <w:shd w:val="clear" w:color="auto" w:fill="auto"/>
            <w:vAlign w:val="top"/>
          </w:tcPr>
          <w:p w14:paraId="54AFA23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1、额定功率：50W；</w:t>
            </w:r>
          </w:p>
          <w:p w14:paraId="62497BD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2、额定阻抗：4Ω；</w:t>
            </w:r>
          </w:p>
          <w:p w14:paraId="79C33C7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3、频率响应：55Hz-18kHz；</w:t>
            </w:r>
          </w:p>
          <w:p w14:paraId="366434B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4、驱动器：1个5.5寸长冲程低音驱动器、1个前纸盆高音；</w:t>
            </w:r>
          </w:p>
          <w:p w14:paraId="5210C1D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5、额定输入电平：话筒 15mV（非平衡）；输入：1路广播输入（70V－110V输入），2路立体声RCA接口；</w:t>
            </w:r>
          </w:p>
          <w:p w14:paraId="22E630D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6、灵敏度：85dB/1W/1M；</w:t>
            </w:r>
          </w:p>
          <w:p w14:paraId="2E38A7B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7、信噪比：85dB；</w:t>
            </w:r>
          </w:p>
          <w:p w14:paraId="529D61E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8、最大声压级：96dB；</w:t>
            </w:r>
          </w:p>
          <w:p w14:paraId="3E8C4FF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9、箱体型式：倒相式。</w:t>
            </w:r>
          </w:p>
        </w:tc>
        <w:tc>
          <w:tcPr>
            <w:tcW w:w="700" w:type="dxa"/>
            <w:shd w:val="clear" w:color="auto" w:fill="auto"/>
            <w:vAlign w:val="center"/>
          </w:tcPr>
          <w:p w14:paraId="6B7AB75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 对</w:t>
            </w:r>
          </w:p>
        </w:tc>
        <w:tc>
          <w:tcPr>
            <w:tcW w:w="1179" w:type="dxa"/>
            <w:shd w:val="clear" w:color="auto" w:fill="auto"/>
            <w:vAlign w:val="center"/>
          </w:tcPr>
          <w:p w14:paraId="37260BF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800 </w:t>
            </w:r>
          </w:p>
        </w:tc>
      </w:tr>
      <w:tr w14:paraId="56DBF6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AC8B43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118</w:t>
            </w:r>
          </w:p>
        </w:tc>
        <w:tc>
          <w:tcPr>
            <w:tcW w:w="716" w:type="dxa"/>
            <w:shd w:val="clear" w:color="auto" w:fill="auto"/>
            <w:vAlign w:val="center"/>
          </w:tcPr>
          <w:p w14:paraId="7B801864">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讲台桌</w:t>
            </w:r>
          </w:p>
        </w:tc>
        <w:tc>
          <w:tcPr>
            <w:tcW w:w="6717" w:type="dxa"/>
            <w:shd w:val="clear" w:color="auto" w:fill="auto"/>
            <w:vAlign w:val="top"/>
          </w:tcPr>
          <w:p w14:paraId="1C21691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1.整体设计符合人机工程学，整体采用分体式结构，规格为长1200mm、宽700mm、高1000mm；</w:t>
            </w:r>
          </w:p>
          <w:p w14:paraId="07D532C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2.多媒体讲台整体采用1.0mm优质冷轧钢板，无接缝，边缘及拐角均采用圆弧设计，确保学生安全，耐冲击性强，防盗性能优越。</w:t>
            </w:r>
          </w:p>
          <w:p w14:paraId="23E0149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3.颜色选用哑光灰白色，LOGO板及下体前门采用木纹色，表面经脱脂磷化工艺处理后选用优质塑粉静电喷涂而成，耐腐蚀性强，有效保护学生视力，美观耐用。</w:t>
            </w:r>
          </w:p>
          <w:p w14:paraId="5219B11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4.显示器采用翻转结构，可容纳不同规格的显示器（17-23寸），结构独特新颖大幅度减少遮挡学生视线。</w:t>
            </w:r>
          </w:p>
          <w:p w14:paraId="3379CE1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键盘采用翻转式结构，节省空间，操作简单方便；键盘为标准键盘，桌面右侧为隐藏式抽屉，可放置视频展台，空间560*540*200mm，承载重量≥12kg。键盘盒下方为中控，可放置260x160mm内的中央控制器，整体结构紧凑，空间设计合理。</w:t>
            </w:r>
          </w:p>
          <w:p w14:paraId="2D29D0C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6.所有布线孔均采用绝缘品装置隔离电源线，安全可靠。全部的加工件均采用模具成型，先进的工装夹具、配合全自动焊接工艺，保障尺寸精度及各部件一致性。</w:t>
            </w:r>
          </w:p>
        </w:tc>
        <w:tc>
          <w:tcPr>
            <w:tcW w:w="700" w:type="dxa"/>
            <w:shd w:val="clear" w:color="auto" w:fill="auto"/>
            <w:vAlign w:val="center"/>
          </w:tcPr>
          <w:p w14:paraId="5586C89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0BA731F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1800 </w:t>
            </w:r>
          </w:p>
        </w:tc>
      </w:tr>
      <w:tr w14:paraId="14643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140934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119</w:t>
            </w:r>
          </w:p>
        </w:tc>
        <w:tc>
          <w:tcPr>
            <w:tcW w:w="716" w:type="dxa"/>
            <w:shd w:val="clear" w:color="auto" w:fill="auto"/>
            <w:vAlign w:val="center"/>
          </w:tcPr>
          <w:p w14:paraId="35F0D0C2">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液晶控制面板</w:t>
            </w:r>
          </w:p>
        </w:tc>
        <w:tc>
          <w:tcPr>
            <w:tcW w:w="6717" w:type="dxa"/>
            <w:shd w:val="clear" w:color="auto" w:fill="auto"/>
            <w:vAlign w:val="top"/>
          </w:tcPr>
          <w:p w14:paraId="5EA9D7E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★1、液晶面板尺寸≥7寸，支持TF存储卡接入，支持不少于4路USB接口；</w:t>
            </w:r>
          </w:p>
          <w:p w14:paraId="72BD7F7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2、支持不少于1路HDMI高清信号接口和1路3.5音频输出接口</w:t>
            </w:r>
          </w:p>
          <w:p w14:paraId="4D78335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 系统要求支持安卓7.0以上操作系统。</w:t>
            </w:r>
          </w:p>
        </w:tc>
        <w:tc>
          <w:tcPr>
            <w:tcW w:w="700" w:type="dxa"/>
            <w:shd w:val="clear" w:color="auto" w:fill="auto"/>
            <w:vAlign w:val="center"/>
          </w:tcPr>
          <w:p w14:paraId="760A80E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1AF2383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1900 </w:t>
            </w:r>
          </w:p>
        </w:tc>
      </w:tr>
      <w:tr w14:paraId="3AD671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DBC564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120</w:t>
            </w:r>
          </w:p>
        </w:tc>
        <w:tc>
          <w:tcPr>
            <w:tcW w:w="716" w:type="dxa"/>
            <w:shd w:val="clear" w:color="auto" w:fill="auto"/>
            <w:vAlign w:val="center"/>
          </w:tcPr>
          <w:p w14:paraId="3B2BD563">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电视</w:t>
            </w:r>
          </w:p>
        </w:tc>
        <w:tc>
          <w:tcPr>
            <w:tcW w:w="6717" w:type="dxa"/>
            <w:shd w:val="clear" w:color="auto" w:fill="auto"/>
            <w:vAlign w:val="center"/>
          </w:tcPr>
          <w:p w14:paraId="18B80D3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1、65寸液晶电视，4K超高清，LED电视，网络电视，WIFI智能电视，含吊架。</w:t>
            </w:r>
          </w:p>
          <w:p w14:paraId="0EBB28C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★2、</w:t>
            </w:r>
            <w:r>
              <w:rPr>
                <w:rFonts w:hint="eastAsia" w:ascii="宋体" w:hAnsi="宋体" w:eastAsia="宋体" w:cs="宋体"/>
                <w:b/>
                <w:bCs/>
                <w:color w:val="auto"/>
                <w:sz w:val="21"/>
                <w:szCs w:val="21"/>
                <w:highlight w:val="none"/>
              </w:rPr>
              <w:t>投标文件中须提供所投产品获得国家确定的认证机构出具的、处于有效之内的节能产品认证证书扫描件并加盖投标人CA证书签章，否则投标文件无效。</w:t>
            </w:r>
          </w:p>
        </w:tc>
        <w:tc>
          <w:tcPr>
            <w:tcW w:w="700" w:type="dxa"/>
            <w:shd w:val="clear" w:color="auto" w:fill="auto"/>
            <w:vAlign w:val="center"/>
          </w:tcPr>
          <w:p w14:paraId="056C235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3BE99CF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3500 </w:t>
            </w:r>
          </w:p>
        </w:tc>
      </w:tr>
      <w:tr w14:paraId="4A3C36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61FDA8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121</w:t>
            </w:r>
          </w:p>
        </w:tc>
        <w:tc>
          <w:tcPr>
            <w:tcW w:w="716" w:type="dxa"/>
            <w:shd w:val="clear" w:color="auto" w:fill="auto"/>
            <w:vAlign w:val="center"/>
          </w:tcPr>
          <w:p w14:paraId="064216C3">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机柜</w:t>
            </w:r>
          </w:p>
        </w:tc>
        <w:tc>
          <w:tcPr>
            <w:tcW w:w="6717" w:type="dxa"/>
            <w:shd w:val="clear" w:color="auto" w:fill="auto"/>
            <w:vAlign w:val="center"/>
          </w:tcPr>
          <w:p w14:paraId="41DC1CE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22U机柜。</w:t>
            </w:r>
          </w:p>
        </w:tc>
        <w:tc>
          <w:tcPr>
            <w:tcW w:w="700" w:type="dxa"/>
            <w:shd w:val="clear" w:color="auto" w:fill="auto"/>
            <w:vAlign w:val="center"/>
          </w:tcPr>
          <w:p w14:paraId="1A959F8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75366CD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1000 </w:t>
            </w:r>
          </w:p>
        </w:tc>
      </w:tr>
      <w:tr w14:paraId="27CC29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18C32B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122</w:t>
            </w:r>
          </w:p>
        </w:tc>
        <w:tc>
          <w:tcPr>
            <w:tcW w:w="716" w:type="dxa"/>
            <w:shd w:val="clear" w:color="auto" w:fill="auto"/>
            <w:vAlign w:val="center"/>
          </w:tcPr>
          <w:p w14:paraId="28DF6F3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交换机</w:t>
            </w:r>
          </w:p>
        </w:tc>
        <w:tc>
          <w:tcPr>
            <w:tcW w:w="6717" w:type="dxa"/>
            <w:shd w:val="clear" w:color="auto" w:fill="auto"/>
            <w:vAlign w:val="center"/>
          </w:tcPr>
          <w:p w14:paraId="1CDBEE3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16口千兆交换机。</w:t>
            </w:r>
          </w:p>
        </w:tc>
        <w:tc>
          <w:tcPr>
            <w:tcW w:w="700" w:type="dxa"/>
            <w:shd w:val="clear" w:color="auto" w:fill="auto"/>
            <w:vAlign w:val="center"/>
          </w:tcPr>
          <w:p w14:paraId="3F490C7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766054D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800 </w:t>
            </w:r>
          </w:p>
        </w:tc>
      </w:tr>
      <w:tr w14:paraId="7DDEE3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463381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123</w:t>
            </w:r>
          </w:p>
        </w:tc>
        <w:tc>
          <w:tcPr>
            <w:tcW w:w="716" w:type="dxa"/>
            <w:shd w:val="clear" w:color="auto" w:fill="auto"/>
            <w:vAlign w:val="center"/>
          </w:tcPr>
          <w:p w14:paraId="3D683434">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系统集成</w:t>
            </w:r>
          </w:p>
        </w:tc>
        <w:tc>
          <w:tcPr>
            <w:tcW w:w="6717" w:type="dxa"/>
            <w:shd w:val="clear" w:color="auto" w:fill="auto"/>
            <w:vAlign w:val="center"/>
          </w:tcPr>
          <w:p w14:paraId="31E4EB1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系统集成、线材等。</w:t>
            </w:r>
          </w:p>
        </w:tc>
        <w:tc>
          <w:tcPr>
            <w:tcW w:w="700" w:type="dxa"/>
            <w:shd w:val="clear" w:color="auto" w:fill="auto"/>
            <w:vAlign w:val="center"/>
          </w:tcPr>
          <w:p w14:paraId="53B68A8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76361C5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2000 </w:t>
            </w:r>
          </w:p>
        </w:tc>
      </w:tr>
      <w:tr w14:paraId="585E4D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061DDB8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（十四）多媒体教室</w:t>
            </w:r>
          </w:p>
        </w:tc>
      </w:tr>
      <w:tr w14:paraId="4C742D7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75CBE8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79423D8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6CECD68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1D66572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789CD62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2A771E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E4FC4F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124</w:t>
            </w:r>
          </w:p>
        </w:tc>
        <w:tc>
          <w:tcPr>
            <w:tcW w:w="716" w:type="dxa"/>
            <w:shd w:val="clear" w:color="auto" w:fill="auto"/>
            <w:vAlign w:val="center"/>
          </w:tcPr>
          <w:p w14:paraId="4AAD4C3D">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户内全彩LED屏</w:t>
            </w:r>
          </w:p>
        </w:tc>
        <w:tc>
          <w:tcPr>
            <w:tcW w:w="6717" w:type="dxa"/>
            <w:shd w:val="clear" w:color="auto" w:fill="auto"/>
            <w:vAlign w:val="center"/>
          </w:tcPr>
          <w:p w14:paraId="278DE772">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1.LED显示屏灯珠采用表贴三合一铜线封装；LED封装形式：SMD1515黑灯；</w:t>
            </w:r>
          </w:p>
          <w:p w14:paraId="32A1A799">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2.LED显示屏采用≤1.86mm点间距；</w:t>
            </w:r>
          </w:p>
          <w:p w14:paraId="10363345">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3.LED显示屏模组尺寸320mm*160mm；</w:t>
            </w:r>
          </w:p>
          <w:p w14:paraId="7FC2BAFB">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4.LED显示屏采用前/后维护方式，可正面拆卸模组、接收卡、电源等低压器件，具备热插拔能力；</w:t>
            </w:r>
          </w:p>
          <w:p w14:paraId="2BD09CDB">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5.LED显示屏符合等同或优于IP5X防护等级；</w:t>
            </w:r>
          </w:p>
          <w:p w14:paraId="3CCE6C31">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6.LED显示屏亮度可达到200-800CD/m²，可通过配套软件0-100%调节，设置亮度定时调节；</w:t>
            </w:r>
          </w:p>
          <w:p w14:paraId="5D3D361C">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7.LED显示屏对比度≥10000：1；LED显示屏杂点率≤1/100000且无连续失控点；LED显示屏亮度均匀性≥99%；LED显示色度均匀性±0.001Cx,Cy之内；LED显示屏像素中心距相对偏差≤1%；LED显示屏观看水平/垂直视角≥175°；LED显示屏平均故障恢复时间（MTTR）≤2分钟；</w:t>
            </w:r>
          </w:p>
          <w:p w14:paraId="5E9F4175">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8.LED显示屏刷新频率≥4200Hz，可通过配套控制软件调节刷新率设置选项；</w:t>
            </w:r>
          </w:p>
          <w:p w14:paraId="7B668CBD">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9.LED显示屏色温100K-20000K连续可调，可设冷色、暖色、标准等多档白场调节,色温为8500K时，100%、75%、50%、25%四档电平白场调节色温误差≤100K；</w:t>
            </w:r>
          </w:p>
          <w:p w14:paraId="7C2D7880">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10.LED显示屏峰值功耗为≤500W/㎡；LED显示屏平均功耗为≤125W/㎡；</w:t>
            </w:r>
          </w:p>
          <w:p w14:paraId="7C6447BC">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11.LED显示屏为防止金属离子迁移、线路短路现象，PCB采用FR-4四层板同等级或更高材料，PCB导线更宽、导线间距和过孔间距更大，能更好的杜绝模块黑屏、显示异常、灯珠缺色、毛毛虫等现象，表面沉金处理，板厚≥1.6mm，铜厚≥1盎司，TG≥150℃，PCB板表面具备防潮/防尘/防静电/抗氧化，防霉等级≤1级；</w:t>
            </w:r>
          </w:p>
          <w:p w14:paraId="0C40D915">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★12.LED显示屏依据GB/T 5169.16-2017标准，测试温度在650℃，时间30秒，样品燃烧火焰或熔融物应该在灼热丝测试结束后30秒内熄灭，并且样品燃烧的火焰或熔融物滴落时不能使下方的测试纸燃烧，（PCB板、线材、电源、连接件）阻燃等级达到V-0等级；</w:t>
            </w:r>
          </w:p>
          <w:p w14:paraId="39531E11">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★13.LED显示屏依据GB/T 2423.17-2008进行试验，产品在温度35℃、盐雾为浓度5%的NaCl溶液、PH值7.0、连续喷雾2小时后静置22小时为1个循环周期/总共3个循环周期的条件下试验后，产品外观无生锈现象，可以无故障运行，符合盐雾10级要求；</w:t>
            </w:r>
          </w:p>
          <w:p w14:paraId="5B0093FA">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14.LED显示屏在温度25℃、湿度40%RH、大气压力100.2kpa条件工作状态下要求距离产品四周的1m处最大噪声声压&lt;2db；</w:t>
            </w:r>
          </w:p>
          <w:p w14:paraId="6B19BAAB">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15.LED显示屏符合EMCCLASSB抗干扰能力，要求运行稳定不受外界各射频电磁场的干扰；</w:t>
            </w:r>
          </w:p>
          <w:p w14:paraId="08B8435C">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★16.LED显示屏具备低蓝光模式，可在控制软件中选择30%、40%、70%三挡调节显示屏蓝光输出，有效减少蓝光辐射对眼睛的伤害；</w:t>
            </w:r>
            <w:r>
              <w:rPr>
                <w:rFonts w:hint="eastAsia" w:ascii="宋体" w:hAnsi="宋体" w:eastAsia="宋体" w:cs="宋体"/>
                <w:b/>
                <w:bCs/>
                <w:i w:val="0"/>
                <w:iCs w:val="0"/>
                <w:color w:val="000000"/>
                <w:kern w:val="0"/>
                <w:sz w:val="21"/>
                <w:szCs w:val="21"/>
                <w:highlight w:val="none"/>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highlight w:val="none"/>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highlight w:val="none"/>
                <w:u w:val="none"/>
                <w:lang w:val="en-US" w:eastAsia="zh-CN" w:bidi="ar"/>
              </w:rPr>
              <w:t>）</w:t>
            </w:r>
          </w:p>
          <w:p w14:paraId="5EA3C67D">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★17.通过移动端（手机或平板）远程控制演讲电脑的PPT，可将打开对应电脑的PPT等格式文档功能，并且支持PPT全屏、翻页等功能</w:t>
            </w: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w:t>
            </w:r>
          </w:p>
        </w:tc>
        <w:tc>
          <w:tcPr>
            <w:tcW w:w="700" w:type="dxa"/>
            <w:shd w:val="clear" w:color="auto" w:fill="auto"/>
            <w:vAlign w:val="center"/>
          </w:tcPr>
          <w:p w14:paraId="5B67EF4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9.9840 平方米</w:t>
            </w:r>
          </w:p>
        </w:tc>
        <w:tc>
          <w:tcPr>
            <w:tcW w:w="1179" w:type="dxa"/>
            <w:shd w:val="clear" w:color="auto" w:fill="auto"/>
            <w:vAlign w:val="center"/>
          </w:tcPr>
          <w:p w14:paraId="2D6F00F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7000 </w:t>
            </w:r>
          </w:p>
        </w:tc>
      </w:tr>
      <w:tr w14:paraId="480B0B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5765A4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125</w:t>
            </w:r>
          </w:p>
        </w:tc>
        <w:tc>
          <w:tcPr>
            <w:tcW w:w="716" w:type="dxa"/>
            <w:shd w:val="clear" w:color="auto" w:fill="auto"/>
            <w:vAlign w:val="center"/>
          </w:tcPr>
          <w:p w14:paraId="64BDCAD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台式电脑</w:t>
            </w:r>
          </w:p>
        </w:tc>
        <w:tc>
          <w:tcPr>
            <w:tcW w:w="6717" w:type="dxa"/>
            <w:shd w:val="clear" w:color="auto" w:fill="auto"/>
            <w:vAlign w:val="center"/>
          </w:tcPr>
          <w:p w14:paraId="79F8242D">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1、处理器：I5-10500；内存：8G；硬盘：1T机械硬盘；包含21.5英寸显示器。</w:t>
            </w:r>
          </w:p>
          <w:p w14:paraId="4F3BFE9C">
            <w:pPr>
              <w:keepNext w:val="0"/>
              <w:keepLines w:val="0"/>
              <w:widowControl/>
              <w:suppressLineNumbers w:val="0"/>
              <w:jc w:val="left"/>
              <w:textAlignment w:val="center"/>
              <w:rPr>
                <w:rFonts w:hint="default"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w:t>
            </w:r>
            <w:r>
              <w:rPr>
                <w:rFonts w:hint="eastAsia" w:ascii="宋体" w:hAnsi="宋体" w:eastAsia="宋体" w:cs="宋体"/>
                <w:b/>
                <w:bCs/>
                <w:i w:val="0"/>
                <w:iCs w:val="0"/>
                <w:color w:val="000000"/>
                <w:kern w:val="0"/>
                <w:sz w:val="21"/>
                <w:szCs w:val="21"/>
                <w:highlight w:val="none"/>
                <w:u w:val="none"/>
                <w:lang w:val="en-US" w:eastAsia="zh-CN" w:bidi="ar"/>
              </w:rPr>
              <w:t>2、</w:t>
            </w:r>
            <w:r>
              <w:rPr>
                <w:rFonts w:hint="eastAsia" w:ascii="宋体" w:hAnsi="宋体" w:eastAsia="宋体" w:cs="宋体"/>
                <w:b/>
                <w:bCs/>
                <w:color w:val="auto"/>
                <w:sz w:val="21"/>
                <w:szCs w:val="21"/>
                <w:highlight w:val="none"/>
              </w:rPr>
              <w:t>投标文件中须提供所投产品获得国家确定的认证机构出具的、处于有效之内的节能产品认证证书扫描件并加盖投标人CA证书签章，否则投标文件无效。</w:t>
            </w:r>
          </w:p>
        </w:tc>
        <w:tc>
          <w:tcPr>
            <w:tcW w:w="700" w:type="dxa"/>
            <w:shd w:val="clear" w:color="auto" w:fill="auto"/>
            <w:vAlign w:val="center"/>
          </w:tcPr>
          <w:p w14:paraId="14EB8A2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272AC6A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4800 </w:t>
            </w:r>
          </w:p>
        </w:tc>
      </w:tr>
      <w:tr w14:paraId="5BE527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9A82CB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126</w:t>
            </w:r>
          </w:p>
        </w:tc>
        <w:tc>
          <w:tcPr>
            <w:tcW w:w="716" w:type="dxa"/>
            <w:shd w:val="clear" w:color="auto" w:fill="auto"/>
            <w:vAlign w:val="center"/>
          </w:tcPr>
          <w:p w14:paraId="1A9B7F7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视频处理器</w:t>
            </w:r>
          </w:p>
        </w:tc>
        <w:tc>
          <w:tcPr>
            <w:tcW w:w="6717" w:type="dxa"/>
            <w:shd w:val="clear" w:color="auto" w:fill="auto"/>
            <w:vAlign w:val="center"/>
          </w:tcPr>
          <w:p w14:paraId="64D88D8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1.支持≥3个窗口和≥1路OSD。</w:t>
            </w:r>
          </w:p>
          <w:p w14:paraId="379D661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2.支持快捷配屏和高级配屏功能。</w:t>
            </w:r>
          </w:p>
          <w:p w14:paraId="5EE76F6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3.支持HDMI、DVI输入分辨率自定义调节。</w:t>
            </w:r>
          </w:p>
          <w:p w14:paraId="728A803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4.支持设备间备份设置。</w:t>
            </w:r>
          </w:p>
          <w:p w14:paraId="5DCD3A8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5.视频输出最大带载高达390万像素，最大宽度10240像素，最大高度8192像素。</w:t>
            </w:r>
          </w:p>
          <w:p w14:paraId="1A744A0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6.支持带载屏体亮度调节。</w:t>
            </w:r>
          </w:p>
          <w:p w14:paraId="2DA6A30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7.支持一键将优先级最低的窗口全屏自动缩放。</w:t>
            </w:r>
          </w:p>
          <w:p w14:paraId="4745707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8.支持创建≥10个用户场景作为模板保存，方便使用。</w:t>
            </w:r>
          </w:p>
          <w:p w14:paraId="488523D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9.支持选择HDMI输入源或DVI输入源作为同步信号，达到输出的场级同步。</w:t>
            </w:r>
          </w:p>
          <w:p w14:paraId="6C042C1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10.前面板配备直观的LCD显示界面，清晰的按键灯提示，简化了系统的控制操作。</w:t>
            </w:r>
          </w:p>
          <w:p w14:paraId="68CD698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11.支持音频输入输出。</w:t>
            </w:r>
          </w:p>
        </w:tc>
        <w:tc>
          <w:tcPr>
            <w:tcW w:w="700" w:type="dxa"/>
            <w:shd w:val="clear" w:color="auto" w:fill="auto"/>
            <w:vAlign w:val="center"/>
          </w:tcPr>
          <w:p w14:paraId="1BA9691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63ABFC3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6200 </w:t>
            </w:r>
          </w:p>
        </w:tc>
      </w:tr>
      <w:tr w14:paraId="6F7524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A43E2C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127</w:t>
            </w:r>
          </w:p>
        </w:tc>
        <w:tc>
          <w:tcPr>
            <w:tcW w:w="716" w:type="dxa"/>
            <w:shd w:val="clear" w:color="auto" w:fill="auto"/>
            <w:vAlign w:val="center"/>
          </w:tcPr>
          <w:p w14:paraId="113E687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显示屏控制设备嵌入式软件</w:t>
            </w:r>
          </w:p>
        </w:tc>
        <w:tc>
          <w:tcPr>
            <w:tcW w:w="6717" w:type="dxa"/>
            <w:shd w:val="clear" w:color="auto" w:fill="auto"/>
            <w:vAlign w:val="center"/>
          </w:tcPr>
          <w:p w14:paraId="2EDCB82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LED显示屏控制设备嵌入式软件是一款用于LED显示屏控制和播放的专业软件。该软件功能丰富、性能优越，兼具良好的操作界面，易学易用；软件提供了丰富灵活的视频切换功能、分区特效，以及三维特效动画，让显示屏的显示效果得到完美展现。</w:t>
            </w:r>
          </w:p>
          <w:p w14:paraId="115468A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2.支持视频、音频、图像、文字、Flash、Gif等形式的媒体文件播放；</w:t>
            </w:r>
          </w:p>
          <w:p w14:paraId="79BBDB5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3.支持Microsoft office的Word、Excel、PPT显示；支持多页面多分区节目编辑；</w:t>
            </w:r>
          </w:p>
          <w:p w14:paraId="4D9A146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4.支持时钟、计时、网页、表格、数据库、天气预报显示；支持外部视频、环境信息、体育比分、桌面拷贝播放；</w:t>
            </w:r>
          </w:p>
          <w:p w14:paraId="56D4483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5.支持对LED大屏幕的手工校正，同时兼容其它专业校正设备采集的校正数据。</w:t>
            </w:r>
          </w:p>
        </w:tc>
        <w:tc>
          <w:tcPr>
            <w:tcW w:w="700" w:type="dxa"/>
            <w:shd w:val="clear" w:color="auto" w:fill="auto"/>
            <w:vAlign w:val="center"/>
          </w:tcPr>
          <w:p w14:paraId="089DB83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7FCA49A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0 </w:t>
            </w:r>
          </w:p>
        </w:tc>
      </w:tr>
      <w:tr w14:paraId="5D84380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0F17C2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128</w:t>
            </w:r>
          </w:p>
        </w:tc>
        <w:tc>
          <w:tcPr>
            <w:tcW w:w="716" w:type="dxa"/>
            <w:shd w:val="clear" w:color="auto" w:fill="auto"/>
            <w:vAlign w:val="center"/>
          </w:tcPr>
          <w:p w14:paraId="4B9E01E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配电柜10KW</w:t>
            </w:r>
          </w:p>
        </w:tc>
        <w:tc>
          <w:tcPr>
            <w:tcW w:w="6717" w:type="dxa"/>
            <w:shd w:val="clear" w:color="auto" w:fill="auto"/>
            <w:vAlign w:val="center"/>
          </w:tcPr>
          <w:p w14:paraId="013E649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1.额定功率：10KW，输出路数：≥3路；</w:t>
            </w:r>
          </w:p>
          <w:p w14:paraId="39E7DD2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2.输入电压：三相五线制AC380V±10％，频率50Hz±5％，具有高温断电、浪涌、短路、过流、过载等保护功能；</w:t>
            </w:r>
          </w:p>
          <w:p w14:paraId="11302CD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3.内置避雷器，具有避雷防雷功能。</w:t>
            </w:r>
          </w:p>
          <w:p w14:paraId="1C88347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4.配电柜含多功能卡控制，具有远程控制功能、RS232串口或千兆网口通信。</w:t>
            </w:r>
          </w:p>
          <w:p w14:paraId="0E59629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5.通过LED显示屏智慧控制系统软件搭配多功能卡实现电源监视、温度监控、亮度调节（需搭配光探头）等操作。</w:t>
            </w:r>
          </w:p>
        </w:tc>
        <w:tc>
          <w:tcPr>
            <w:tcW w:w="700" w:type="dxa"/>
            <w:shd w:val="clear" w:color="auto" w:fill="auto"/>
            <w:vAlign w:val="center"/>
          </w:tcPr>
          <w:p w14:paraId="6223BD7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725919C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3400 </w:t>
            </w:r>
          </w:p>
        </w:tc>
      </w:tr>
      <w:tr w14:paraId="38941F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7" w:hRule="atLeast"/>
        </w:trPr>
        <w:tc>
          <w:tcPr>
            <w:tcW w:w="619" w:type="dxa"/>
            <w:shd w:val="clear" w:color="auto" w:fill="auto"/>
            <w:noWrap/>
            <w:vAlign w:val="center"/>
          </w:tcPr>
          <w:p w14:paraId="543A252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129</w:t>
            </w:r>
          </w:p>
        </w:tc>
        <w:tc>
          <w:tcPr>
            <w:tcW w:w="716" w:type="dxa"/>
            <w:shd w:val="clear" w:color="auto" w:fill="auto"/>
            <w:vAlign w:val="center"/>
          </w:tcPr>
          <w:p w14:paraId="29215FD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技术服务费</w:t>
            </w:r>
          </w:p>
        </w:tc>
        <w:tc>
          <w:tcPr>
            <w:tcW w:w="6717" w:type="dxa"/>
            <w:shd w:val="clear" w:color="auto" w:fill="auto"/>
            <w:vAlign w:val="center"/>
          </w:tcPr>
          <w:p w14:paraId="0805839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1.用于安装支撑屏体的结构及安装费用；</w:t>
            </w:r>
          </w:p>
          <w:p w14:paraId="16E5B4B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2.包边要求：采用铝塑板，不锈钢进行包边，颜色默认为黑色及灰色，或客户自选。</w:t>
            </w:r>
          </w:p>
        </w:tc>
        <w:tc>
          <w:tcPr>
            <w:tcW w:w="700" w:type="dxa"/>
            <w:shd w:val="clear" w:color="auto" w:fill="auto"/>
            <w:vAlign w:val="center"/>
          </w:tcPr>
          <w:p w14:paraId="67911D1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10.6820 平方米</w:t>
            </w:r>
          </w:p>
        </w:tc>
        <w:tc>
          <w:tcPr>
            <w:tcW w:w="1179" w:type="dxa"/>
            <w:shd w:val="clear" w:color="auto" w:fill="auto"/>
            <w:vAlign w:val="center"/>
          </w:tcPr>
          <w:p w14:paraId="03323C6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1000 </w:t>
            </w:r>
          </w:p>
        </w:tc>
      </w:tr>
      <w:tr w14:paraId="0D2BE9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571664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130</w:t>
            </w:r>
          </w:p>
        </w:tc>
        <w:tc>
          <w:tcPr>
            <w:tcW w:w="716" w:type="dxa"/>
            <w:shd w:val="clear" w:color="auto" w:fill="auto"/>
            <w:vAlign w:val="center"/>
          </w:tcPr>
          <w:p w14:paraId="31FDDAF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线材</w:t>
            </w:r>
          </w:p>
        </w:tc>
        <w:tc>
          <w:tcPr>
            <w:tcW w:w="6717" w:type="dxa"/>
            <w:shd w:val="clear" w:color="auto" w:fill="auto"/>
            <w:vAlign w:val="center"/>
          </w:tcPr>
          <w:p w14:paraId="23692F6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动力电缆YJV- 0.6/1kV－4*6+1*4 电源线RVV3*2.5mm²，超6类网线，CAT6-RJ45水晶头，槽式电缆桥架XQJ-C 100*100。</w:t>
            </w:r>
          </w:p>
        </w:tc>
        <w:tc>
          <w:tcPr>
            <w:tcW w:w="700" w:type="dxa"/>
            <w:shd w:val="clear" w:color="auto" w:fill="auto"/>
            <w:vAlign w:val="center"/>
          </w:tcPr>
          <w:p w14:paraId="29BEF03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1批</w:t>
            </w:r>
          </w:p>
        </w:tc>
        <w:tc>
          <w:tcPr>
            <w:tcW w:w="1179" w:type="dxa"/>
            <w:shd w:val="clear" w:color="auto" w:fill="auto"/>
            <w:vAlign w:val="center"/>
          </w:tcPr>
          <w:p w14:paraId="45AFEFF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2000 </w:t>
            </w:r>
          </w:p>
        </w:tc>
      </w:tr>
      <w:tr w14:paraId="56E992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ACB21B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131</w:t>
            </w:r>
          </w:p>
        </w:tc>
        <w:tc>
          <w:tcPr>
            <w:tcW w:w="716" w:type="dxa"/>
            <w:shd w:val="clear" w:color="auto" w:fill="auto"/>
            <w:vAlign w:val="center"/>
          </w:tcPr>
          <w:p w14:paraId="39BA694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包装材料</w:t>
            </w:r>
          </w:p>
        </w:tc>
        <w:tc>
          <w:tcPr>
            <w:tcW w:w="6717" w:type="dxa"/>
            <w:shd w:val="clear" w:color="auto" w:fill="auto"/>
            <w:vAlign w:val="center"/>
          </w:tcPr>
          <w:p w14:paraId="236F3E4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8mm胶合免熏蒸木箱。</w:t>
            </w:r>
          </w:p>
        </w:tc>
        <w:tc>
          <w:tcPr>
            <w:tcW w:w="700" w:type="dxa"/>
            <w:shd w:val="clear" w:color="auto" w:fill="auto"/>
            <w:vAlign w:val="center"/>
          </w:tcPr>
          <w:p w14:paraId="63D57C5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9.9840 平方米</w:t>
            </w:r>
          </w:p>
        </w:tc>
        <w:tc>
          <w:tcPr>
            <w:tcW w:w="1179" w:type="dxa"/>
            <w:shd w:val="clear" w:color="auto" w:fill="auto"/>
            <w:vAlign w:val="center"/>
          </w:tcPr>
          <w:p w14:paraId="50B2AFB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120 </w:t>
            </w:r>
          </w:p>
        </w:tc>
      </w:tr>
      <w:tr w14:paraId="0FD6B8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992B4A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132</w:t>
            </w:r>
          </w:p>
        </w:tc>
        <w:tc>
          <w:tcPr>
            <w:tcW w:w="716" w:type="dxa"/>
            <w:shd w:val="clear" w:color="auto" w:fill="auto"/>
            <w:vAlign w:val="center"/>
          </w:tcPr>
          <w:p w14:paraId="4A2E509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专业音箱200W</w:t>
            </w:r>
          </w:p>
        </w:tc>
        <w:tc>
          <w:tcPr>
            <w:tcW w:w="6717" w:type="dxa"/>
            <w:shd w:val="clear" w:color="auto" w:fill="auto"/>
            <w:vAlign w:val="center"/>
          </w:tcPr>
          <w:p w14:paraId="3E4C678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1.阻抗：8Ω；</w:t>
            </w:r>
          </w:p>
          <w:p w14:paraId="3A27CB5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2.频响：等同或优于60Hz~20KHz；</w:t>
            </w:r>
          </w:p>
          <w:p w14:paraId="20133B9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3.额定功率≥200W；</w:t>
            </w:r>
          </w:p>
          <w:p w14:paraId="61A6ED6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4.灵敏度≥96dB/W/M；</w:t>
            </w:r>
          </w:p>
          <w:p w14:paraId="1FF0F9D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5.水平覆盖角≥80°，垂直覆盖角≥60°；</w:t>
            </w:r>
          </w:p>
          <w:p w14:paraId="67BB7F7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6.高音：1.4"压缩高音单元×1；</w:t>
            </w:r>
          </w:p>
          <w:p w14:paraId="43D5146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7.低音：8"低音×1 。</w:t>
            </w:r>
          </w:p>
        </w:tc>
        <w:tc>
          <w:tcPr>
            <w:tcW w:w="700" w:type="dxa"/>
            <w:shd w:val="clear" w:color="auto" w:fill="auto"/>
            <w:vAlign w:val="center"/>
          </w:tcPr>
          <w:p w14:paraId="5018E3B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4只</w:t>
            </w:r>
          </w:p>
        </w:tc>
        <w:tc>
          <w:tcPr>
            <w:tcW w:w="1179" w:type="dxa"/>
            <w:shd w:val="clear" w:color="auto" w:fill="auto"/>
            <w:vAlign w:val="center"/>
          </w:tcPr>
          <w:p w14:paraId="681A81D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2800 </w:t>
            </w:r>
          </w:p>
        </w:tc>
      </w:tr>
      <w:tr w14:paraId="07788C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FAF043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133</w:t>
            </w:r>
          </w:p>
        </w:tc>
        <w:tc>
          <w:tcPr>
            <w:tcW w:w="716" w:type="dxa"/>
            <w:shd w:val="clear" w:color="auto" w:fill="auto"/>
            <w:vAlign w:val="center"/>
          </w:tcPr>
          <w:p w14:paraId="55A59F7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专业功放</w:t>
            </w:r>
          </w:p>
        </w:tc>
        <w:tc>
          <w:tcPr>
            <w:tcW w:w="6717" w:type="dxa"/>
            <w:shd w:val="clear" w:color="auto" w:fill="auto"/>
            <w:vAlign w:val="center"/>
          </w:tcPr>
          <w:p w14:paraId="3916BC8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1.1U机箱设计，采用D类数字功放设计方案。</w:t>
            </w:r>
          </w:p>
          <w:p w14:paraId="7C08B4D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2.标准XLR输入接口，和LINK输出口。</w:t>
            </w:r>
          </w:p>
          <w:p w14:paraId="77C01E7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3.电源采用开关电源技术，效率高，有效的抑制电源谐波。</w:t>
            </w:r>
          </w:p>
          <w:p w14:paraId="20A7B6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4.内置智能削峰限幅器，支持开机软启动，防止开机时向电网吸收大电流，干扰其它用电设备。 </w:t>
            </w:r>
          </w:p>
          <w:p w14:paraId="3682B3D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5.具有：过压保护，欠压保护，过流保护，直流保护，输出短路保护，温控风扇等功能。</w:t>
            </w:r>
          </w:p>
          <w:p w14:paraId="4ECECE8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6.输出功率：立体声@8Ω：≥350W×2；立体声@4Ω：≥600W×2。</w:t>
            </w:r>
          </w:p>
        </w:tc>
        <w:tc>
          <w:tcPr>
            <w:tcW w:w="700" w:type="dxa"/>
            <w:shd w:val="clear" w:color="auto" w:fill="auto"/>
            <w:vAlign w:val="center"/>
          </w:tcPr>
          <w:p w14:paraId="0AA81EF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179" w:type="dxa"/>
            <w:shd w:val="clear" w:color="auto" w:fill="auto"/>
            <w:vAlign w:val="center"/>
          </w:tcPr>
          <w:p w14:paraId="19CD144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4500 </w:t>
            </w:r>
          </w:p>
        </w:tc>
      </w:tr>
      <w:tr w14:paraId="259A2F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DC9371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134</w:t>
            </w:r>
          </w:p>
        </w:tc>
        <w:tc>
          <w:tcPr>
            <w:tcW w:w="716" w:type="dxa"/>
            <w:shd w:val="clear" w:color="auto" w:fill="auto"/>
            <w:vAlign w:val="center"/>
          </w:tcPr>
          <w:p w14:paraId="1CA9712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支架HJ系列</w:t>
            </w:r>
          </w:p>
        </w:tc>
        <w:tc>
          <w:tcPr>
            <w:tcW w:w="6717" w:type="dxa"/>
            <w:shd w:val="clear" w:color="auto" w:fill="auto"/>
            <w:vAlign w:val="center"/>
          </w:tcPr>
          <w:p w14:paraId="7962A95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1.固定面板孔位尺寸（长*宽）： 140mm*65mm；</w:t>
            </w:r>
          </w:p>
          <w:p w14:paraId="2180A9D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2.箱体固定面板孔位尺寸（长*宽）： 128mm*70mm；</w:t>
            </w:r>
          </w:p>
          <w:p w14:paraId="038DA28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3.设备面板尺寸：160mm*90mm。</w:t>
            </w:r>
          </w:p>
        </w:tc>
        <w:tc>
          <w:tcPr>
            <w:tcW w:w="700" w:type="dxa"/>
            <w:shd w:val="clear" w:color="auto" w:fill="auto"/>
            <w:vAlign w:val="center"/>
          </w:tcPr>
          <w:p w14:paraId="3BB1AB3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w:t>
            </w:r>
          </w:p>
        </w:tc>
        <w:tc>
          <w:tcPr>
            <w:tcW w:w="1179" w:type="dxa"/>
            <w:shd w:val="clear" w:color="auto" w:fill="auto"/>
            <w:vAlign w:val="center"/>
          </w:tcPr>
          <w:p w14:paraId="5DAD4AB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150 </w:t>
            </w:r>
          </w:p>
        </w:tc>
      </w:tr>
      <w:tr w14:paraId="3C8BA6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215E75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135</w:t>
            </w:r>
          </w:p>
        </w:tc>
        <w:tc>
          <w:tcPr>
            <w:tcW w:w="716" w:type="dxa"/>
            <w:shd w:val="clear" w:color="auto" w:fill="auto"/>
            <w:vAlign w:val="center"/>
          </w:tcPr>
          <w:p w14:paraId="2725C9F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专业音箱150W</w:t>
            </w:r>
          </w:p>
        </w:tc>
        <w:tc>
          <w:tcPr>
            <w:tcW w:w="6717" w:type="dxa"/>
            <w:shd w:val="clear" w:color="auto" w:fill="auto"/>
            <w:vAlign w:val="center"/>
          </w:tcPr>
          <w:p w14:paraId="362B650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1.阻抗：8Ω；</w:t>
            </w:r>
          </w:p>
          <w:p w14:paraId="0D7954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2.频响：等同或优于65Hz~20KHz；</w:t>
            </w:r>
          </w:p>
          <w:p w14:paraId="7B7E5EB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3.额定功率≥150W；</w:t>
            </w:r>
          </w:p>
          <w:p w14:paraId="7AB1D18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4.灵敏度≥95dB/W/M；</w:t>
            </w:r>
          </w:p>
          <w:p w14:paraId="0B33AF2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5.水平覆盖角≥80°，垂直覆盖角≥60°；</w:t>
            </w:r>
          </w:p>
          <w:p w14:paraId="3DE4478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6.高音：3"锥形高音单元×2；</w:t>
            </w:r>
          </w:p>
          <w:p w14:paraId="75A2AED0">
            <w:pPr>
              <w:keepNext w:val="0"/>
              <w:keepLines w:val="0"/>
              <w:widowControl/>
              <w:suppressLineNumbers w:val="0"/>
              <w:jc w:val="left"/>
              <w:textAlignment w:val="center"/>
              <w:rPr>
                <w:rFonts w:hint="default"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7.低音：8"低音×1 。</w:t>
            </w:r>
          </w:p>
        </w:tc>
        <w:tc>
          <w:tcPr>
            <w:tcW w:w="700" w:type="dxa"/>
            <w:shd w:val="clear" w:color="auto" w:fill="auto"/>
            <w:vAlign w:val="center"/>
          </w:tcPr>
          <w:p w14:paraId="42518A0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2只</w:t>
            </w:r>
          </w:p>
        </w:tc>
        <w:tc>
          <w:tcPr>
            <w:tcW w:w="1179" w:type="dxa"/>
            <w:shd w:val="clear" w:color="auto" w:fill="auto"/>
            <w:vAlign w:val="center"/>
          </w:tcPr>
          <w:p w14:paraId="1AD06AF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2300 </w:t>
            </w:r>
          </w:p>
        </w:tc>
      </w:tr>
      <w:tr w14:paraId="0E0073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EF150A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136</w:t>
            </w:r>
          </w:p>
        </w:tc>
        <w:tc>
          <w:tcPr>
            <w:tcW w:w="716" w:type="dxa"/>
            <w:shd w:val="clear" w:color="auto" w:fill="auto"/>
            <w:vAlign w:val="center"/>
          </w:tcPr>
          <w:p w14:paraId="620BAFD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专业功放</w:t>
            </w:r>
          </w:p>
        </w:tc>
        <w:tc>
          <w:tcPr>
            <w:tcW w:w="6717" w:type="dxa"/>
            <w:shd w:val="clear" w:color="auto" w:fill="auto"/>
            <w:vAlign w:val="center"/>
          </w:tcPr>
          <w:p w14:paraId="1CBA3E8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1.1U机箱设计，采用D类数字功放设计方案。</w:t>
            </w:r>
          </w:p>
          <w:p w14:paraId="00D37DA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2.标准XLR输入接口，和LINK输出口。</w:t>
            </w:r>
          </w:p>
          <w:p w14:paraId="4FC779E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3.电源采用开关电源技术，效率高，有效的抑制电源谐波。</w:t>
            </w:r>
          </w:p>
          <w:p w14:paraId="0A22F0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4.内置智能削峰限幅器，支持开机软启动，防止开机时向电网吸收大电流，干扰其它用电设备。 </w:t>
            </w:r>
          </w:p>
          <w:p w14:paraId="4EA65AB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5.具有：过压保护，欠压保护，过流保护，直流保护，输出短路保护，温控风扇等功能。</w:t>
            </w:r>
          </w:p>
          <w:p w14:paraId="0E877A9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6.输出功率：立体声@8Ω：≥200W×2；立体声@4Ω：≥400W×2。</w:t>
            </w:r>
          </w:p>
        </w:tc>
        <w:tc>
          <w:tcPr>
            <w:tcW w:w="700" w:type="dxa"/>
            <w:shd w:val="clear" w:color="auto" w:fill="auto"/>
            <w:vAlign w:val="center"/>
          </w:tcPr>
          <w:p w14:paraId="748A01A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6BF830D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3600 </w:t>
            </w:r>
          </w:p>
        </w:tc>
      </w:tr>
      <w:tr w14:paraId="69530D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46EEF8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137</w:t>
            </w:r>
          </w:p>
        </w:tc>
        <w:tc>
          <w:tcPr>
            <w:tcW w:w="716" w:type="dxa"/>
            <w:shd w:val="clear" w:color="auto" w:fill="auto"/>
            <w:vAlign w:val="center"/>
          </w:tcPr>
          <w:p w14:paraId="38A04A02">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支架HJ系列</w:t>
            </w:r>
          </w:p>
        </w:tc>
        <w:tc>
          <w:tcPr>
            <w:tcW w:w="6717" w:type="dxa"/>
            <w:shd w:val="clear" w:color="auto" w:fill="auto"/>
            <w:vAlign w:val="center"/>
          </w:tcPr>
          <w:p w14:paraId="1B873FB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固定面板孔位尺寸（长*宽）： 140mm*65mm；</w:t>
            </w:r>
          </w:p>
          <w:p w14:paraId="424977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箱体固定面板孔位尺寸（长*宽）： 128mm*70mm；</w:t>
            </w:r>
          </w:p>
          <w:p w14:paraId="677FDCB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设备面板尺寸：160mm*90mm。</w:t>
            </w:r>
          </w:p>
        </w:tc>
        <w:tc>
          <w:tcPr>
            <w:tcW w:w="700" w:type="dxa"/>
            <w:shd w:val="clear" w:color="auto" w:fill="auto"/>
            <w:vAlign w:val="center"/>
          </w:tcPr>
          <w:p w14:paraId="694029D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2只</w:t>
            </w:r>
          </w:p>
        </w:tc>
        <w:tc>
          <w:tcPr>
            <w:tcW w:w="1179" w:type="dxa"/>
            <w:shd w:val="clear" w:color="auto" w:fill="auto"/>
            <w:vAlign w:val="center"/>
          </w:tcPr>
          <w:p w14:paraId="51DC641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150 </w:t>
            </w:r>
          </w:p>
        </w:tc>
      </w:tr>
      <w:tr w14:paraId="69C6AC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A2B7FE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138</w:t>
            </w:r>
          </w:p>
        </w:tc>
        <w:tc>
          <w:tcPr>
            <w:tcW w:w="716" w:type="dxa"/>
            <w:shd w:val="clear" w:color="auto" w:fill="auto"/>
            <w:vAlign w:val="center"/>
          </w:tcPr>
          <w:p w14:paraId="76BBBF1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调音台</w:t>
            </w:r>
          </w:p>
        </w:tc>
        <w:tc>
          <w:tcPr>
            <w:tcW w:w="6717" w:type="dxa"/>
            <w:shd w:val="clear" w:color="auto" w:fill="auto"/>
            <w:vAlign w:val="center"/>
          </w:tcPr>
          <w:p w14:paraId="1E3D3777">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1.支持≥8路麦克风输入兼容6路线路输入接口，支持≥2路立体声输入接口，≥4路RCA输入，话筒接口幻象电源：+48V。</w:t>
            </w:r>
          </w:p>
          <w:p w14:paraId="312EADB6">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★2.具有≥2组立体主输出、≥4路编组输出、≥4路辅助输出、≥1组立体声监听输出、≥1个耳机监听输出、≥1组主混音断点插入、≥6个断点插入。</w:t>
            </w: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（提供接口佐证图</w:t>
            </w:r>
            <w:r>
              <w:rPr>
                <w:rFonts w:hint="eastAsia" w:ascii="宋体" w:hAnsi="宋体" w:eastAsia="宋体" w:cs="宋体"/>
                <w:b/>
                <w:bCs/>
                <w:color w:val="auto"/>
                <w:sz w:val="21"/>
                <w:szCs w:val="21"/>
                <w:highlight w:val="none"/>
              </w:rPr>
              <w:t>并加盖供应商CA证书签章，否则投标文件无效</w:t>
            </w:r>
            <w:r>
              <w:rPr>
                <w:rFonts w:hint="eastAsia" w:ascii="宋体" w:hAnsi="宋体" w:eastAsia="宋体" w:cs="宋体"/>
                <w:b/>
                <w:bCs/>
                <w:i w:val="0"/>
                <w:iCs w:val="0"/>
                <w:color w:val="000000" w:themeColor="text1"/>
                <w:kern w:val="0"/>
                <w:sz w:val="21"/>
                <w:szCs w:val="21"/>
                <w:u w:val="none"/>
                <w:lang w:val="en-US" w:eastAsia="zh-CN" w:bidi="ar"/>
                <w14:textFill>
                  <w14:solidFill>
                    <w14:schemeClr w14:val="tx1"/>
                  </w14:solidFill>
                </w14:textFill>
              </w:rPr>
              <w:t>）</w:t>
            </w:r>
          </w:p>
          <w:p w14:paraId="3126488E">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3.内</w:t>
            </w: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置≥24位DSP效果器，提供≥100种预设效果。</w:t>
            </w:r>
          </w:p>
          <w:p w14:paraId="2BECF57B">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4.具备≥13个60mm行程的高精密碳膜推子。</w:t>
            </w:r>
          </w:p>
          <w:p w14:paraId="1BCB3E48">
            <w:pPr>
              <w:keepNext w:val="0"/>
              <w:keepLines w:val="0"/>
              <w:widowControl/>
              <w:suppressLineNumbers w:val="0"/>
              <w:jc w:val="left"/>
              <w:textAlignment w:val="cente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pPr>
            <w:r>
              <w:rPr>
                <w:rFonts w:hint="eastAsia" w:ascii="宋体" w:hAnsi="宋体" w:eastAsia="宋体" w:cs="宋体"/>
                <w:i w:val="0"/>
                <w:iCs w:val="0"/>
                <w:color w:val="000000" w:themeColor="text1"/>
                <w:kern w:val="0"/>
                <w:sz w:val="21"/>
                <w:szCs w:val="21"/>
                <w:highlight w:val="none"/>
                <w:u w:val="none"/>
                <w:lang w:val="en-US" w:eastAsia="zh-CN" w:bidi="ar"/>
                <w14:textFill>
                  <w14:solidFill>
                    <w14:schemeClr w14:val="tx1"/>
                  </w14:solidFill>
                </w14:textFill>
              </w:rPr>
              <w:t>★5.内置USB声卡模块，支持连接电脑进行音乐播放和声音录音；内置MP3播放器，支持≥1个USB接口接U盘播放音乐。</w:t>
            </w:r>
          </w:p>
        </w:tc>
        <w:tc>
          <w:tcPr>
            <w:tcW w:w="700" w:type="dxa"/>
            <w:shd w:val="clear" w:color="auto" w:fill="auto"/>
            <w:vAlign w:val="center"/>
          </w:tcPr>
          <w:p w14:paraId="0E405507">
            <w:pPr>
              <w:keepNext w:val="0"/>
              <w:keepLines w:val="0"/>
              <w:widowControl/>
              <w:suppressLineNumbers w:val="0"/>
              <w:jc w:val="center"/>
              <w:textAlignment w:val="center"/>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i w:val="0"/>
                <w:iCs w:val="0"/>
                <w:color w:val="000000" w:themeColor="text1"/>
                <w:kern w:val="0"/>
                <w:sz w:val="21"/>
                <w:szCs w:val="21"/>
                <w:u w:val="none"/>
                <w:lang w:val="en-US" w:eastAsia="zh-CN" w:bidi="ar"/>
                <w14:textFill>
                  <w14:solidFill>
                    <w14:schemeClr w14:val="tx1"/>
                  </w14:solidFill>
                </w14:textFill>
              </w:rPr>
              <w:t>1台</w:t>
            </w:r>
          </w:p>
        </w:tc>
        <w:tc>
          <w:tcPr>
            <w:tcW w:w="1179" w:type="dxa"/>
            <w:shd w:val="clear" w:color="auto" w:fill="auto"/>
            <w:vAlign w:val="center"/>
          </w:tcPr>
          <w:p w14:paraId="0065402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6000 </w:t>
            </w:r>
          </w:p>
        </w:tc>
      </w:tr>
      <w:tr w14:paraId="6ECF30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818FBF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139</w:t>
            </w:r>
          </w:p>
        </w:tc>
        <w:tc>
          <w:tcPr>
            <w:tcW w:w="716" w:type="dxa"/>
            <w:shd w:val="clear" w:color="auto" w:fill="auto"/>
            <w:vAlign w:val="center"/>
          </w:tcPr>
          <w:p w14:paraId="1467E0E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音频处理器</w:t>
            </w:r>
          </w:p>
        </w:tc>
        <w:tc>
          <w:tcPr>
            <w:tcW w:w="6717" w:type="dxa"/>
            <w:shd w:val="clear" w:color="auto" w:fill="auto"/>
            <w:vAlign w:val="center"/>
          </w:tcPr>
          <w:p w14:paraId="0E6A100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1.数字音频处理器支持≥8路平衡式话筒/线路输入通道，采用裸线接口端子，平衡接法；支持≥8路平衡式线路输出，采用裸线接口端子，平衡接法。</w:t>
            </w:r>
          </w:p>
          <w:p w14:paraId="3947DF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输入通道支持前级放大、信号发生器、扩展器、压缩器、≥12段参量均衡，≥31段图示均衡、闪避器、AGC自动增益、AM自动混音功能（门限式、增益共享式）、AFC自适应反馈消除、AEC回声消除、ANC噪声消除、音频矩阵。</w:t>
            </w:r>
            <w:r>
              <w:rPr>
                <w:rFonts w:hint="eastAsia" w:ascii="宋体" w:hAnsi="宋体" w:eastAsia="宋体" w:cs="宋体"/>
                <w:b/>
                <w:bCs/>
                <w:i w:val="0"/>
                <w:iCs w:val="0"/>
                <w:color w:val="000000"/>
                <w:kern w:val="0"/>
                <w:sz w:val="21"/>
                <w:szCs w:val="21"/>
                <w:u w:val="none"/>
                <w:lang w:val="en-US" w:eastAsia="zh-CN" w:bidi="ar"/>
              </w:rPr>
              <w:t>（投标文件中须提供设备界面截图并加盖供应商CA证书签章，否则投标文件无效）</w:t>
            </w:r>
          </w:p>
          <w:p w14:paraId="305D386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★3.输出通道支持≥12段参量均衡，≥31段图示均衡、延时器、分频器、高低通滤波器、限幅器。</w:t>
            </w:r>
            <w:r>
              <w:rPr>
                <w:rFonts w:hint="eastAsia" w:ascii="宋体" w:hAnsi="宋体" w:eastAsia="宋体" w:cs="宋体"/>
                <w:b/>
                <w:bCs/>
                <w:i w:val="0"/>
                <w:iCs w:val="0"/>
                <w:color w:val="000000"/>
                <w:kern w:val="0"/>
                <w:sz w:val="21"/>
                <w:szCs w:val="21"/>
                <w:u w:val="none"/>
                <w:lang w:val="en-US" w:eastAsia="zh-CN" w:bidi="ar"/>
              </w:rPr>
              <w:t>（投标文件中须提供设备界面截图并加盖供应商CA证书签章，否则投标文件无效）</w:t>
            </w:r>
          </w:p>
          <w:p w14:paraId="1855D13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4.高性能专业DSP处理器，支持≥32bit/48kHz的声音，支持输入通道48V幻象供电。</w:t>
            </w:r>
          </w:p>
          <w:p w14:paraId="75CC73A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★5.具有2英寸IPS真彩显示屏，支持显示设备网络信息、实时电平、通道静音状态。</w:t>
            </w:r>
            <w:r>
              <w:rPr>
                <w:rFonts w:hint="eastAsia" w:ascii="宋体" w:hAnsi="宋体" w:eastAsia="宋体" w:cs="宋体"/>
                <w:b/>
                <w:bCs/>
                <w:i w:val="0"/>
                <w:iCs w:val="0"/>
                <w:color w:val="000000"/>
                <w:kern w:val="0"/>
                <w:sz w:val="21"/>
                <w:szCs w:val="21"/>
                <w:u w:val="none"/>
                <w:lang w:val="en-US" w:eastAsia="zh-CN" w:bidi="ar"/>
              </w:rPr>
              <w:t>（投标文件中须提供设备界面截图并加盖供应商CA证书签章，否则投标文件无效）</w:t>
            </w:r>
          </w:p>
          <w:p w14:paraId="59B3ED24">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★6.支持通过APP软件进行操作控制，面板具备USB接口，支持多媒体存储，可进行播放或存储录播。</w:t>
            </w:r>
            <w:r>
              <w:rPr>
                <w:rFonts w:hint="eastAsia" w:ascii="宋体" w:hAnsi="宋体" w:eastAsia="宋体" w:cs="宋体"/>
                <w:b/>
                <w:bCs/>
                <w:i w:val="0"/>
                <w:iCs w:val="0"/>
                <w:color w:val="000000"/>
                <w:kern w:val="0"/>
                <w:sz w:val="21"/>
                <w:szCs w:val="21"/>
                <w:u w:val="none"/>
                <w:lang w:val="en-US" w:eastAsia="zh-CN" w:bidi="ar"/>
              </w:rPr>
              <w:t>（投标文件中须提供功能界面截图及接口截图并加盖供应商CA证书签章，否则投标文件无效）</w:t>
            </w:r>
          </w:p>
          <w:p w14:paraId="0E73F6D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7.配置双向RS-232接口，可用于控制外部设备；配置RS-485接口，可实现自动摄像跟踪功能。配置≥8通道可编程GPIO控制接口（可自定义输入输出）。</w:t>
            </w:r>
          </w:p>
          <w:p w14:paraId="1A6D085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8.支持断电自动保护记忆功能。支持通道拷贝、粘贴、联控功能。管理控制软件可工作在XP/Windows7、8、10等系统环境下。</w:t>
            </w:r>
          </w:p>
          <w:p w14:paraId="1A9B67E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9.≥8个场景预设，支持场景信息导入、场景信息导出。</w:t>
            </w:r>
          </w:p>
        </w:tc>
        <w:tc>
          <w:tcPr>
            <w:tcW w:w="700" w:type="dxa"/>
            <w:shd w:val="clear" w:color="auto" w:fill="auto"/>
            <w:vAlign w:val="center"/>
          </w:tcPr>
          <w:p w14:paraId="7B1AF99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39BB1F4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8000 </w:t>
            </w:r>
          </w:p>
        </w:tc>
      </w:tr>
      <w:tr w14:paraId="18A692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E62375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140</w:t>
            </w:r>
          </w:p>
        </w:tc>
        <w:tc>
          <w:tcPr>
            <w:tcW w:w="716" w:type="dxa"/>
            <w:shd w:val="clear" w:color="auto" w:fill="auto"/>
            <w:vAlign w:val="center"/>
          </w:tcPr>
          <w:p w14:paraId="3FE09EC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无线话筒</w:t>
            </w:r>
          </w:p>
        </w:tc>
        <w:tc>
          <w:tcPr>
            <w:tcW w:w="6717" w:type="dxa"/>
            <w:shd w:val="clear" w:color="auto" w:fill="auto"/>
            <w:vAlign w:val="center"/>
          </w:tcPr>
          <w:p w14:paraId="1B03D6F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1.具有≥1台接收主机、≥2只无线手持话筒；频率范围：等同或优于540MHz-590MHz、640MHz-690MHz。</w:t>
            </w:r>
          </w:p>
          <w:p w14:paraId="78FAAE5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2.接收机具有≥2路平衡输出、≥1路非平衡混音输出。</w:t>
            </w:r>
          </w:p>
          <w:p w14:paraId="2AA4637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3.具有自动频率扫描功能，可快速地给麦克风找到清晰的频率。</w:t>
            </w:r>
          </w:p>
          <w:p w14:paraId="7D0A8DC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4.支持混响调节功能，比例调节、延时调节、电平调节不低于25个档位。</w:t>
            </w:r>
          </w:p>
          <w:p w14:paraId="279AC79C">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★5.支持麦克风均衡器调节功能，不低于高、中、低音三种调节档位。</w:t>
            </w:r>
            <w:r>
              <w:rPr>
                <w:rFonts w:hint="eastAsia" w:ascii="宋体" w:hAnsi="宋体" w:eastAsia="宋体" w:cs="宋体"/>
                <w:b/>
                <w:bCs/>
                <w:i w:val="0"/>
                <w:iCs w:val="0"/>
                <w:color w:val="000000"/>
                <w:kern w:val="0"/>
                <w:sz w:val="21"/>
                <w:szCs w:val="21"/>
                <w:u w:val="none"/>
                <w:lang w:val="en-US" w:eastAsia="zh-CN" w:bidi="ar"/>
              </w:rPr>
              <w:t>（投标文件中须提供软件界面截图及接口截图并加盖供应商CA证书签章，否则投标文件无效）</w:t>
            </w:r>
          </w:p>
          <w:p w14:paraId="455CF80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6.接收机具有显示屏，用户可通过显示屏查看设备发射功率强度、音频加密状态、电池电量、频率数值、智能静音状态、静音标志。</w:t>
            </w:r>
          </w:p>
          <w:p w14:paraId="0488CAE3">
            <w:pP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★7.具有自动静音功能，麦克风跌落、抛掷时，毫秒级响应自动静音，避免冲击声；产品静置5秒自动静音。</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385EB4E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8.麦克风具有长时间静置自动关机功能，设备自动检测工作状态（使用状态、静置状态），静置时间大于等于8分钟后，设备自动关机。</w:t>
            </w:r>
          </w:p>
          <w:p w14:paraId="752A4D8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9.接收机具英寸TFT LCD显示屏，支持显示开、关机动态画面。</w:t>
            </w:r>
          </w:p>
          <w:p w14:paraId="458E59C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10.手持麦具有不小于2.2英寸OLED屏显示屏。</w:t>
            </w:r>
          </w:p>
        </w:tc>
        <w:tc>
          <w:tcPr>
            <w:tcW w:w="700" w:type="dxa"/>
            <w:shd w:val="clear" w:color="auto" w:fill="auto"/>
            <w:vAlign w:val="center"/>
          </w:tcPr>
          <w:p w14:paraId="12FCA31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4C19B10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4000 </w:t>
            </w:r>
          </w:p>
        </w:tc>
      </w:tr>
      <w:tr w14:paraId="1BBCC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7366D2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141</w:t>
            </w:r>
          </w:p>
        </w:tc>
        <w:tc>
          <w:tcPr>
            <w:tcW w:w="716" w:type="dxa"/>
            <w:shd w:val="clear" w:color="auto" w:fill="auto"/>
            <w:vAlign w:val="center"/>
          </w:tcPr>
          <w:p w14:paraId="53D5020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壁挂天线</w:t>
            </w:r>
          </w:p>
        </w:tc>
        <w:tc>
          <w:tcPr>
            <w:tcW w:w="6717" w:type="dxa"/>
            <w:shd w:val="clear" w:color="auto" w:fill="auto"/>
            <w:vAlign w:val="center"/>
          </w:tcPr>
          <w:p w14:paraId="358AE5F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1.射频频率范围：等同或优于450-950MHz</w:t>
            </w:r>
          </w:p>
          <w:p w14:paraId="7395390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2.驻波比：≤2.0</w:t>
            </w:r>
          </w:p>
          <w:p w14:paraId="6EB3FD6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3.输入阻抗：50Ω</w:t>
            </w:r>
          </w:p>
          <w:p w14:paraId="1E951F1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4.指向性：≥180度指向</w:t>
            </w:r>
          </w:p>
        </w:tc>
        <w:tc>
          <w:tcPr>
            <w:tcW w:w="700" w:type="dxa"/>
            <w:shd w:val="clear" w:color="auto" w:fill="auto"/>
            <w:vAlign w:val="center"/>
          </w:tcPr>
          <w:p w14:paraId="111C367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179" w:type="dxa"/>
            <w:shd w:val="clear" w:color="auto" w:fill="auto"/>
            <w:vAlign w:val="center"/>
          </w:tcPr>
          <w:p w14:paraId="2DC8631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2000 </w:t>
            </w:r>
          </w:p>
        </w:tc>
      </w:tr>
      <w:tr w14:paraId="623384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274C1F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142</w:t>
            </w:r>
          </w:p>
        </w:tc>
        <w:tc>
          <w:tcPr>
            <w:tcW w:w="716" w:type="dxa"/>
            <w:shd w:val="clear" w:color="auto" w:fill="auto"/>
            <w:vAlign w:val="center"/>
          </w:tcPr>
          <w:p w14:paraId="0714EAD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会议系统主机</w:t>
            </w:r>
          </w:p>
        </w:tc>
        <w:tc>
          <w:tcPr>
            <w:tcW w:w="6717" w:type="dxa"/>
            <w:shd w:val="clear" w:color="auto" w:fill="auto"/>
            <w:vAlign w:val="center"/>
          </w:tcPr>
          <w:p w14:paraId="73C4D0FE">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 5GHz的通信频段，拥有更强的抗干扰能力，提供更大的带宽和传输速度，并不受移动电话和其他蓝牙设备干扰，确保实现最佳的信号接收。</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218847E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2、内置高性能DSP处理器，具有EQ、音量、延时器等调节功能。</w:t>
            </w:r>
          </w:p>
          <w:p w14:paraId="56F16C2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3、音频输入接口包括有1路RCA非平衡输入口、1路卡侬头平衡输入口。音频输出接口包括有1路RCA非平衡输出口、1路卡侬头平衡输出口。</w:t>
            </w:r>
          </w:p>
          <w:p w14:paraId="2A2E525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★4、支持通过WEB端控制音频参数(包括EQ、音量、延时器、话筒灵敏度等)、话筒状态同步、中英俄法四种语言切换、控制角色分离主机。</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32A4DDB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5、PC软件可查看在线无线单元的电池电量、WiFi信号强度等信息状态，支持一键关闭所有无线单元。</w:t>
            </w:r>
          </w:p>
          <w:p w14:paraId="6F66BA0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6、具有WIFI网络接口(带POE 功能)，可以直接连接无线AP，也可以通过连接网络交换机扩充无线AP数量，提供更大的无线覆盖范围。</w:t>
            </w:r>
          </w:p>
          <w:p w14:paraId="104E7E1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7、具有消防报警联动触发接口，提供火灾报警信息，第一时间提醒会场人员紧急撤离，确保与会人员安全。</w:t>
            </w:r>
          </w:p>
          <w:p w14:paraId="1CF1F6C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★8、具有1路RS-485接口，最大支持5台摄像机实现摄像跟踪，支持PELCO-D、VISCA控制协议。配合摄像跟踪主机达到多路视频摄像跟踪功能。</w:t>
            </w:r>
            <w:r>
              <w:rPr>
                <w:rFonts w:hint="eastAsia" w:ascii="宋体" w:hAnsi="宋体" w:eastAsia="宋体" w:cs="宋体"/>
                <w:b/>
                <w:bCs/>
                <w:i w:val="0"/>
                <w:iCs w:val="0"/>
                <w:color w:val="000000"/>
                <w:kern w:val="0"/>
                <w:sz w:val="21"/>
                <w:szCs w:val="21"/>
                <w:u w:val="none"/>
                <w:lang w:val="en-US" w:eastAsia="zh-CN" w:bidi="ar"/>
              </w:rPr>
              <w:t>（投标时须提供国家认可的第三方检测机构出具的关于该功能检测报告扫描件）</w:t>
            </w:r>
          </w:p>
        </w:tc>
        <w:tc>
          <w:tcPr>
            <w:tcW w:w="700" w:type="dxa"/>
            <w:shd w:val="clear" w:color="auto" w:fill="auto"/>
            <w:vAlign w:val="center"/>
          </w:tcPr>
          <w:p w14:paraId="787DC7F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79794AB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7500 </w:t>
            </w:r>
          </w:p>
        </w:tc>
      </w:tr>
      <w:tr w14:paraId="321A1A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E51FBB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143</w:t>
            </w:r>
          </w:p>
        </w:tc>
        <w:tc>
          <w:tcPr>
            <w:tcW w:w="716" w:type="dxa"/>
            <w:shd w:val="clear" w:color="auto" w:fill="auto"/>
            <w:vAlign w:val="center"/>
          </w:tcPr>
          <w:p w14:paraId="074A0AB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会议话筒处理器</w:t>
            </w:r>
          </w:p>
        </w:tc>
        <w:tc>
          <w:tcPr>
            <w:tcW w:w="6717" w:type="dxa"/>
            <w:shd w:val="clear" w:color="auto" w:fill="auto"/>
            <w:vAlign w:val="center"/>
          </w:tcPr>
          <w:p w14:paraId="57050C8D">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★1.具有自动混音功能，包括增益共享型自动混音以及门限型自动混音。具有自动增益功能，能够有效将话筒音量保持在一定动态范围。</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5F529E9B">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★2.具有AFC反馈抑制功能，采用陷波+移频双方式，能够自动抓取啸叫点并设置陷波器陷波，陷波器支持≥12个固定点≥+12个动态点，可有效消除啸叫功能。</w:t>
            </w:r>
            <w:r>
              <w:rPr>
                <w:rFonts w:hint="eastAsia" w:ascii="宋体" w:hAnsi="宋体" w:eastAsia="宋体" w:cs="宋体"/>
                <w:b/>
                <w:bCs/>
                <w:i w:val="0"/>
                <w:iCs w:val="0"/>
                <w:color w:val="000000"/>
                <w:kern w:val="0"/>
                <w:sz w:val="21"/>
                <w:szCs w:val="21"/>
                <w:u w:val="none"/>
                <w:lang w:val="en-US" w:eastAsia="zh-CN" w:bidi="ar"/>
              </w:rPr>
              <w:t>（</w:t>
            </w:r>
            <w:r>
              <w:rPr>
                <w:rFonts w:hint="eastAsia" w:ascii="宋体" w:hAnsi="宋体" w:eastAsia="宋体" w:cs="宋体"/>
                <w:b/>
                <w:bCs/>
                <w:color w:val="auto"/>
                <w:sz w:val="21"/>
                <w:szCs w:val="21"/>
                <w:highlight w:val="none"/>
              </w:rPr>
              <w:t>投标时须提供国家认可的第三方检测机构出具的</w:t>
            </w:r>
            <w:r>
              <w:rPr>
                <w:rFonts w:hint="eastAsia" w:ascii="宋体" w:hAnsi="宋体" w:eastAsia="宋体" w:cs="宋体"/>
                <w:b/>
                <w:bCs/>
                <w:i w:val="0"/>
                <w:iCs w:val="0"/>
                <w:color w:val="000000"/>
                <w:kern w:val="0"/>
                <w:sz w:val="21"/>
                <w:szCs w:val="21"/>
                <w:u w:val="none"/>
                <w:lang w:val="en-US" w:eastAsia="zh-CN" w:bidi="ar"/>
              </w:rPr>
              <w:t>该功能检测</w:t>
            </w:r>
            <w:r>
              <w:rPr>
                <w:rFonts w:hint="eastAsia" w:ascii="宋体" w:hAnsi="宋体" w:eastAsia="宋体" w:cs="宋体"/>
                <w:b/>
                <w:bCs/>
                <w:i w:val="0"/>
                <w:iCs w:val="0"/>
                <w:color w:val="000000"/>
                <w:kern w:val="0"/>
                <w:sz w:val="21"/>
                <w:szCs w:val="21"/>
                <w:highlight w:val="none"/>
                <w:u w:val="none"/>
                <w:lang w:val="en-US" w:eastAsia="zh-CN" w:bidi="ar"/>
              </w:rPr>
              <w:t>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highlight w:val="none"/>
                <w:u w:val="none"/>
                <w:lang w:val="en-US" w:eastAsia="zh-CN" w:bidi="ar"/>
              </w:rPr>
              <w:t>）</w:t>
            </w:r>
          </w:p>
          <w:p w14:paraId="0484D5E2">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★3.具有话筒语音激励功能，可设置跟踪阈值，当话筒发言达阈值时可实现联动摄像跟踪功能。具有EQ调节功能，输出具有≥31段图示均衡器调节。</w:t>
            </w:r>
          </w:p>
          <w:p w14:paraId="26BFDEC7">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4.具有≥2路网口，用于连接无线AP和与会议主机通信；通过网络协议对接数字会议主机，实现音频数据传输。具有≥1路EXTENSION接口，用于连接会议主机扩展口。具有≥1路卡侬平衡输出，≥1路莲花非平衡输出。</w:t>
            </w:r>
          </w:p>
          <w:p w14:paraId="0052343A">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5.具有≥1路RS-485通信接口，支持对接摄像机实现摄像跟踪。具有≥1路RS-232通信接口（摄像跟踪），对接中控系统主机或摄像跟踪主机实现发言摄像跟踪功能。具有≥1路RS-232通信接口（语音转写），支持对接语音转写服务器，实现语音转写功能。</w:t>
            </w:r>
          </w:p>
          <w:p w14:paraId="0A46F3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★6.支持话筒同时开麦数量≥16个有线单元+≥8个无线单元。</w:t>
            </w:r>
          </w:p>
        </w:tc>
        <w:tc>
          <w:tcPr>
            <w:tcW w:w="700" w:type="dxa"/>
            <w:shd w:val="clear" w:color="auto" w:fill="auto"/>
            <w:vAlign w:val="center"/>
          </w:tcPr>
          <w:p w14:paraId="210B3EA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6E3D87D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6000 </w:t>
            </w:r>
          </w:p>
        </w:tc>
      </w:tr>
      <w:tr w14:paraId="1A0AEC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F4B253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144</w:t>
            </w:r>
          </w:p>
        </w:tc>
        <w:tc>
          <w:tcPr>
            <w:tcW w:w="716" w:type="dxa"/>
            <w:shd w:val="clear" w:color="auto" w:fill="auto"/>
            <w:vAlign w:val="center"/>
          </w:tcPr>
          <w:p w14:paraId="28854F28">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会议话筒</w:t>
            </w:r>
          </w:p>
        </w:tc>
        <w:tc>
          <w:tcPr>
            <w:tcW w:w="6717" w:type="dxa"/>
            <w:shd w:val="clear" w:color="auto" w:fill="auto"/>
            <w:vAlign w:val="center"/>
          </w:tcPr>
          <w:p w14:paraId="73DEC07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1.采用心型指向性驻极体麦克风，要求内部具有DSP音频处理，没有“噗噗”的低频冲击声，内部具有反馈抑制功能，可有效地防止啸叫。</w:t>
            </w:r>
          </w:p>
          <w:p w14:paraId="7637F48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2.采用≥128位AES加密技术，支持 WPA/WPA2 无线安全技术。</w:t>
            </w:r>
          </w:p>
          <w:p w14:paraId="221000B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3.支持触摸按键签到功能。具备优先权功能，可关闭正在发言的所有代表话筒。具有声控功能。具有发言计时和定时发言功能。</w:t>
            </w:r>
          </w:p>
          <w:p w14:paraId="56AC346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4.具备TYPE-C口，可进行升级程序和在线充电，内置容量锂电池，电池容量≥4800mAh，可持续≥15小时发言。</w:t>
            </w:r>
          </w:p>
          <w:p w14:paraId="3AAC84E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5.支持后台≥5段EQ调节功能。</w:t>
            </w:r>
          </w:p>
          <w:p w14:paraId="6B93CA0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6.咪杆长度：380mm（黑色）</w:t>
            </w:r>
          </w:p>
        </w:tc>
        <w:tc>
          <w:tcPr>
            <w:tcW w:w="700" w:type="dxa"/>
            <w:shd w:val="clear" w:color="auto" w:fill="auto"/>
            <w:vAlign w:val="center"/>
          </w:tcPr>
          <w:p w14:paraId="22FDE4C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1D67B44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2600 </w:t>
            </w:r>
          </w:p>
        </w:tc>
      </w:tr>
      <w:tr w14:paraId="7C8ED9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7BEC71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145</w:t>
            </w:r>
          </w:p>
        </w:tc>
        <w:tc>
          <w:tcPr>
            <w:tcW w:w="716" w:type="dxa"/>
            <w:shd w:val="clear" w:color="auto" w:fill="auto"/>
            <w:vAlign w:val="center"/>
          </w:tcPr>
          <w:p w14:paraId="2B60929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会议话筒</w:t>
            </w:r>
          </w:p>
        </w:tc>
        <w:tc>
          <w:tcPr>
            <w:tcW w:w="6717" w:type="dxa"/>
            <w:shd w:val="clear" w:color="auto" w:fill="auto"/>
            <w:vAlign w:val="center"/>
          </w:tcPr>
          <w:p w14:paraId="152CDCD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1.采用心型指向性驻极体麦克风，要求内部具有DSP音频处理；内部具有反馈抑制功能。</w:t>
            </w:r>
          </w:p>
          <w:p w14:paraId="1CAC565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2.采用≥128位AES加密技术，支持 WPA/WPA2 无线安全技术.</w:t>
            </w:r>
          </w:p>
          <w:p w14:paraId="4E6456E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3.支持触摸按键签到功能。具有声控功能。具有发言计时和定时发言功能。</w:t>
            </w:r>
          </w:p>
          <w:p w14:paraId="506AEC9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4.具备TYPE-C口，可进行升级程序和在线充电，内置容量锂电池，电池容量≥4800mAh，可持续≥15小时发言。</w:t>
            </w:r>
          </w:p>
          <w:p w14:paraId="4BB2AEF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5.支持后台≥5段EQ调节功能。</w:t>
            </w:r>
          </w:p>
          <w:p w14:paraId="1F4CCD3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6.咪杆长度：380mm（黑色）</w:t>
            </w:r>
          </w:p>
        </w:tc>
        <w:tc>
          <w:tcPr>
            <w:tcW w:w="700" w:type="dxa"/>
            <w:shd w:val="clear" w:color="auto" w:fill="auto"/>
            <w:vAlign w:val="center"/>
          </w:tcPr>
          <w:p w14:paraId="6F12F2F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5台</w:t>
            </w:r>
          </w:p>
        </w:tc>
        <w:tc>
          <w:tcPr>
            <w:tcW w:w="1179" w:type="dxa"/>
            <w:shd w:val="clear" w:color="auto" w:fill="auto"/>
            <w:vAlign w:val="center"/>
          </w:tcPr>
          <w:p w14:paraId="4245559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2600 </w:t>
            </w:r>
          </w:p>
        </w:tc>
      </w:tr>
      <w:tr w14:paraId="7FCC9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C1AEB15">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146</w:t>
            </w:r>
          </w:p>
        </w:tc>
        <w:tc>
          <w:tcPr>
            <w:tcW w:w="716" w:type="dxa"/>
            <w:shd w:val="clear" w:color="auto" w:fill="auto"/>
            <w:vAlign w:val="center"/>
          </w:tcPr>
          <w:p w14:paraId="3AC9052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发射器</w:t>
            </w:r>
          </w:p>
        </w:tc>
        <w:tc>
          <w:tcPr>
            <w:tcW w:w="6717" w:type="dxa"/>
            <w:shd w:val="clear" w:color="auto" w:fill="auto"/>
            <w:vAlign w:val="center"/>
          </w:tcPr>
          <w:p w14:paraId="205A1EB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1.遵从Wi-Fi 6协议标准（IEEE 802.11ax），向下兼容802.11a/b/g/n/ac/Wave2，支持MU-MIMO，允许AP同时接收多个终端发送数据，整机最大传输速率可达1.601Gbps</w:t>
            </w:r>
          </w:p>
          <w:p w14:paraId="16F76CE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2.支持OFDMA空间复用技术和1024QAM调制解调算法。</w:t>
            </w:r>
          </w:p>
          <w:p w14:paraId="38D49B2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3.支持中文SSID，可指定最长包含≥31个字符的SSID，也可以使用中英文混合的SSID</w:t>
            </w:r>
          </w:p>
          <w:p w14:paraId="3E693D9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4.支持WPA3安全协议。</w:t>
            </w:r>
          </w:p>
          <w:p w14:paraId="41B762B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5.支持等同或优于80/160MHz的高带宽频段。</w:t>
            </w:r>
          </w:p>
        </w:tc>
        <w:tc>
          <w:tcPr>
            <w:tcW w:w="700" w:type="dxa"/>
            <w:shd w:val="clear" w:color="auto" w:fill="auto"/>
            <w:vAlign w:val="center"/>
          </w:tcPr>
          <w:p w14:paraId="0DF0DD8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01E95B7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4800 </w:t>
            </w:r>
          </w:p>
        </w:tc>
      </w:tr>
      <w:tr w14:paraId="4DCDD2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8E0187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147</w:t>
            </w:r>
          </w:p>
        </w:tc>
        <w:tc>
          <w:tcPr>
            <w:tcW w:w="716" w:type="dxa"/>
            <w:shd w:val="clear" w:color="auto" w:fill="auto"/>
            <w:vAlign w:val="center"/>
          </w:tcPr>
          <w:p w14:paraId="7AC869E8">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充电箱</w:t>
            </w:r>
          </w:p>
        </w:tc>
        <w:tc>
          <w:tcPr>
            <w:tcW w:w="6717" w:type="dxa"/>
            <w:shd w:val="clear" w:color="auto" w:fill="auto"/>
            <w:vAlign w:val="center"/>
          </w:tcPr>
          <w:p w14:paraId="4A873DD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1.充电箱具有≥10个USB接口，支持使用USB线充电，提供5V/9V供电。一端连接充电器一端连接会议单元,支持18W快充。支持同时插满所有USB接口。</w:t>
            </w:r>
          </w:p>
          <w:p w14:paraId="620B746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2.根据设备的耐受电流大小充电器会自动匹配合适的电流大小给设备充电，同时有过流保护功能。</w:t>
            </w:r>
          </w:p>
          <w:p w14:paraId="00768DC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3.智能自动电路保护，所有USB插口均具有短路保护功能和自恢复功能。</w:t>
            </w:r>
          </w:p>
        </w:tc>
        <w:tc>
          <w:tcPr>
            <w:tcW w:w="700" w:type="dxa"/>
            <w:shd w:val="clear" w:color="auto" w:fill="auto"/>
            <w:vAlign w:val="center"/>
          </w:tcPr>
          <w:p w14:paraId="7D7DDAB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159B760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2300 </w:t>
            </w:r>
          </w:p>
        </w:tc>
      </w:tr>
      <w:tr w14:paraId="37A1F6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021467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148</w:t>
            </w:r>
          </w:p>
        </w:tc>
        <w:tc>
          <w:tcPr>
            <w:tcW w:w="716" w:type="dxa"/>
            <w:shd w:val="clear" w:color="auto" w:fill="auto"/>
            <w:vAlign w:val="center"/>
          </w:tcPr>
          <w:p w14:paraId="754D8D5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机柜</w:t>
            </w:r>
          </w:p>
        </w:tc>
        <w:tc>
          <w:tcPr>
            <w:tcW w:w="6717" w:type="dxa"/>
            <w:shd w:val="clear" w:color="auto" w:fill="auto"/>
            <w:vAlign w:val="center"/>
          </w:tcPr>
          <w:p w14:paraId="76DCC03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1.尺寸:600X800X2055mm</w:t>
            </w:r>
          </w:p>
          <w:p w14:paraId="1CE3AEC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2.容量:42U</w:t>
            </w:r>
          </w:p>
          <w:p w14:paraId="1493609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3.配置:8位10APDU插排一个，固定板3块，风扇部件2组，4只两寸重型脚轮，M6方螺母钉40套，内六角扳手一只。</w:t>
            </w:r>
          </w:p>
        </w:tc>
        <w:tc>
          <w:tcPr>
            <w:tcW w:w="700" w:type="dxa"/>
            <w:shd w:val="clear" w:color="auto" w:fill="auto"/>
            <w:vAlign w:val="center"/>
          </w:tcPr>
          <w:p w14:paraId="0C037BC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0E481ED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2500 </w:t>
            </w:r>
          </w:p>
        </w:tc>
      </w:tr>
      <w:tr w14:paraId="095428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A61F29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149</w:t>
            </w:r>
          </w:p>
        </w:tc>
        <w:tc>
          <w:tcPr>
            <w:tcW w:w="716" w:type="dxa"/>
            <w:shd w:val="clear" w:color="auto" w:fill="auto"/>
            <w:vAlign w:val="center"/>
          </w:tcPr>
          <w:p w14:paraId="0DF0DA4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电源管理器</w:t>
            </w:r>
          </w:p>
        </w:tc>
        <w:tc>
          <w:tcPr>
            <w:tcW w:w="6717" w:type="dxa"/>
            <w:shd w:val="clear" w:color="auto" w:fill="auto"/>
            <w:vAlign w:val="center"/>
          </w:tcPr>
          <w:p w14:paraId="3FC8F91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1.支持不小于8通道电源时序打开/关闭，每路动作延时时间：1秒，支持远程控制（上电+24V直流信号）8通道电源时序打开/关闭—当电源开关处于off位置时有效。支持配置CH1和CH2通道为受控或不受控状态。</w:t>
            </w:r>
          </w:p>
          <w:p w14:paraId="54B05E1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2.当远程控制有效时同时控制后板ALARM（报警）端口导通以起到级联控制ALARM（报警）功能。</w:t>
            </w:r>
          </w:p>
          <w:p w14:paraId="6B6698C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3.单个通道最大负载功率≥2200W，所有通道负载总功率不小于6000W。输出连接器：多用途电源插座。</w:t>
            </w:r>
          </w:p>
          <w:p w14:paraId="4830FD8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4.具有一路及以上USB输出接口。</w:t>
            </w:r>
          </w:p>
        </w:tc>
        <w:tc>
          <w:tcPr>
            <w:tcW w:w="700" w:type="dxa"/>
            <w:shd w:val="clear" w:color="auto" w:fill="auto"/>
            <w:vAlign w:val="center"/>
          </w:tcPr>
          <w:p w14:paraId="2EE064E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179" w:type="dxa"/>
            <w:shd w:val="clear" w:color="auto" w:fill="auto"/>
            <w:vAlign w:val="center"/>
          </w:tcPr>
          <w:p w14:paraId="550AD1A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1000 </w:t>
            </w:r>
          </w:p>
        </w:tc>
      </w:tr>
      <w:tr w14:paraId="3A5C08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0656CE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150</w:t>
            </w:r>
          </w:p>
        </w:tc>
        <w:tc>
          <w:tcPr>
            <w:tcW w:w="716" w:type="dxa"/>
            <w:shd w:val="clear" w:color="auto" w:fill="auto"/>
            <w:vAlign w:val="center"/>
          </w:tcPr>
          <w:p w14:paraId="25D3C6D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音频连接线</w:t>
            </w:r>
          </w:p>
        </w:tc>
        <w:tc>
          <w:tcPr>
            <w:tcW w:w="6717" w:type="dxa"/>
            <w:shd w:val="clear" w:color="auto" w:fill="auto"/>
            <w:vAlign w:val="center"/>
          </w:tcPr>
          <w:p w14:paraId="65570C2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5米音频连接线：3.5（耳机插头）*1,6.35话筒插头*2,线径：0.3mm。</w:t>
            </w:r>
          </w:p>
        </w:tc>
        <w:tc>
          <w:tcPr>
            <w:tcW w:w="700" w:type="dxa"/>
            <w:shd w:val="clear" w:color="auto" w:fill="auto"/>
            <w:vAlign w:val="center"/>
          </w:tcPr>
          <w:p w14:paraId="616A675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2根</w:t>
            </w:r>
          </w:p>
        </w:tc>
        <w:tc>
          <w:tcPr>
            <w:tcW w:w="1179" w:type="dxa"/>
            <w:shd w:val="clear" w:color="auto" w:fill="auto"/>
            <w:vAlign w:val="center"/>
          </w:tcPr>
          <w:p w14:paraId="77B3D01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73 </w:t>
            </w:r>
          </w:p>
        </w:tc>
      </w:tr>
      <w:tr w14:paraId="035EE7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A7C4D1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151</w:t>
            </w:r>
          </w:p>
        </w:tc>
        <w:tc>
          <w:tcPr>
            <w:tcW w:w="716" w:type="dxa"/>
            <w:shd w:val="clear" w:color="auto" w:fill="auto"/>
            <w:vAlign w:val="center"/>
          </w:tcPr>
          <w:p w14:paraId="4A6B05E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音频连接线</w:t>
            </w:r>
          </w:p>
        </w:tc>
        <w:tc>
          <w:tcPr>
            <w:tcW w:w="6717" w:type="dxa"/>
            <w:shd w:val="clear" w:color="auto" w:fill="auto"/>
            <w:vAlign w:val="center"/>
          </w:tcPr>
          <w:p w14:paraId="50E4C28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5米音频连接线：6.35话筒插头*1，卡侬头（公）*1，线径：0.3mm。</w:t>
            </w:r>
          </w:p>
        </w:tc>
        <w:tc>
          <w:tcPr>
            <w:tcW w:w="700" w:type="dxa"/>
            <w:shd w:val="clear" w:color="auto" w:fill="auto"/>
            <w:vAlign w:val="center"/>
          </w:tcPr>
          <w:p w14:paraId="0674D3C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1根</w:t>
            </w:r>
          </w:p>
        </w:tc>
        <w:tc>
          <w:tcPr>
            <w:tcW w:w="1179" w:type="dxa"/>
            <w:shd w:val="clear" w:color="auto" w:fill="auto"/>
            <w:vAlign w:val="center"/>
          </w:tcPr>
          <w:p w14:paraId="3A2974F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66 </w:t>
            </w:r>
          </w:p>
        </w:tc>
      </w:tr>
      <w:tr w14:paraId="05FDEA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406060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152</w:t>
            </w:r>
          </w:p>
        </w:tc>
        <w:tc>
          <w:tcPr>
            <w:tcW w:w="716" w:type="dxa"/>
            <w:shd w:val="clear" w:color="auto" w:fill="auto"/>
            <w:vAlign w:val="center"/>
          </w:tcPr>
          <w:p w14:paraId="7DFC701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音频连接线</w:t>
            </w:r>
          </w:p>
        </w:tc>
        <w:tc>
          <w:tcPr>
            <w:tcW w:w="6717" w:type="dxa"/>
            <w:shd w:val="clear" w:color="auto" w:fill="auto"/>
            <w:vAlign w:val="center"/>
          </w:tcPr>
          <w:p w14:paraId="5427BE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5米音频连接线：卡侬头（母）*1卡侬头（公）*1，线径：0.3mm。</w:t>
            </w:r>
          </w:p>
        </w:tc>
        <w:tc>
          <w:tcPr>
            <w:tcW w:w="700" w:type="dxa"/>
            <w:shd w:val="clear" w:color="auto" w:fill="auto"/>
            <w:vAlign w:val="center"/>
          </w:tcPr>
          <w:p w14:paraId="14E97CC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4根</w:t>
            </w:r>
          </w:p>
        </w:tc>
        <w:tc>
          <w:tcPr>
            <w:tcW w:w="1179" w:type="dxa"/>
            <w:shd w:val="clear" w:color="auto" w:fill="auto"/>
            <w:vAlign w:val="center"/>
          </w:tcPr>
          <w:p w14:paraId="4D5151D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72 </w:t>
            </w:r>
          </w:p>
        </w:tc>
      </w:tr>
      <w:tr w14:paraId="477EE36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013D01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153</w:t>
            </w:r>
          </w:p>
        </w:tc>
        <w:tc>
          <w:tcPr>
            <w:tcW w:w="716" w:type="dxa"/>
            <w:shd w:val="clear" w:color="auto" w:fill="auto"/>
            <w:vAlign w:val="center"/>
          </w:tcPr>
          <w:p w14:paraId="2B476E82">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音频连接线</w:t>
            </w:r>
          </w:p>
        </w:tc>
        <w:tc>
          <w:tcPr>
            <w:tcW w:w="6717" w:type="dxa"/>
            <w:shd w:val="clear" w:color="auto" w:fill="auto"/>
            <w:vAlign w:val="center"/>
          </w:tcPr>
          <w:p w14:paraId="0B10044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5米音频连接线：卡农头（母）*1，线径：0.3mm。</w:t>
            </w:r>
          </w:p>
        </w:tc>
        <w:tc>
          <w:tcPr>
            <w:tcW w:w="700" w:type="dxa"/>
            <w:shd w:val="clear" w:color="auto" w:fill="auto"/>
            <w:vAlign w:val="center"/>
          </w:tcPr>
          <w:p w14:paraId="02AD10D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4根</w:t>
            </w:r>
          </w:p>
        </w:tc>
        <w:tc>
          <w:tcPr>
            <w:tcW w:w="1179" w:type="dxa"/>
            <w:shd w:val="clear" w:color="auto" w:fill="auto"/>
            <w:vAlign w:val="center"/>
          </w:tcPr>
          <w:p w14:paraId="2A11BE4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56 </w:t>
            </w:r>
          </w:p>
        </w:tc>
      </w:tr>
      <w:tr w14:paraId="39541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760F7F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154</w:t>
            </w:r>
          </w:p>
        </w:tc>
        <w:tc>
          <w:tcPr>
            <w:tcW w:w="716" w:type="dxa"/>
            <w:shd w:val="clear" w:color="auto" w:fill="auto"/>
            <w:vAlign w:val="center"/>
          </w:tcPr>
          <w:p w14:paraId="0E79A0E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音频连接线</w:t>
            </w:r>
          </w:p>
        </w:tc>
        <w:tc>
          <w:tcPr>
            <w:tcW w:w="6717" w:type="dxa"/>
            <w:shd w:val="clear" w:color="auto" w:fill="auto"/>
            <w:vAlign w:val="center"/>
          </w:tcPr>
          <w:p w14:paraId="3D43FEA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5米音频连接线：卡农头（公）*1，线径：0.3mm。</w:t>
            </w:r>
          </w:p>
        </w:tc>
        <w:tc>
          <w:tcPr>
            <w:tcW w:w="700" w:type="dxa"/>
            <w:shd w:val="clear" w:color="auto" w:fill="auto"/>
            <w:vAlign w:val="center"/>
          </w:tcPr>
          <w:p w14:paraId="55675F1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7根</w:t>
            </w:r>
          </w:p>
        </w:tc>
        <w:tc>
          <w:tcPr>
            <w:tcW w:w="1179" w:type="dxa"/>
            <w:shd w:val="clear" w:color="auto" w:fill="auto"/>
            <w:vAlign w:val="center"/>
          </w:tcPr>
          <w:p w14:paraId="6E310B9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56 </w:t>
            </w:r>
          </w:p>
        </w:tc>
      </w:tr>
      <w:tr w14:paraId="559BE7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5E371C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155</w:t>
            </w:r>
          </w:p>
        </w:tc>
        <w:tc>
          <w:tcPr>
            <w:tcW w:w="716" w:type="dxa"/>
            <w:shd w:val="clear" w:color="auto" w:fill="auto"/>
            <w:vAlign w:val="center"/>
          </w:tcPr>
          <w:p w14:paraId="2C993C5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系统集成费</w:t>
            </w:r>
          </w:p>
        </w:tc>
        <w:tc>
          <w:tcPr>
            <w:tcW w:w="6717" w:type="dxa"/>
            <w:shd w:val="clear" w:color="auto" w:fill="auto"/>
            <w:vAlign w:val="center"/>
          </w:tcPr>
          <w:p w14:paraId="1F8031F2">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多媒体插座，音响线，75-5，同轴线，BNC铜芯接头，75-5，同轴线，直径7.2mm，馈线50-5-1，200/卷，六类屏蔽网线，六类水晶头工程级50U镀金100个装 RJ45千兆网线接头 CAT6，100个一盒，铜芯护套线RVV3*1.5，双芯咪线RVPE2*0.5 等施工安装调试。</w:t>
            </w:r>
          </w:p>
        </w:tc>
        <w:tc>
          <w:tcPr>
            <w:tcW w:w="700" w:type="dxa"/>
            <w:shd w:val="clear" w:color="auto" w:fill="auto"/>
            <w:vAlign w:val="center"/>
          </w:tcPr>
          <w:p w14:paraId="277692F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1批</w:t>
            </w:r>
          </w:p>
        </w:tc>
        <w:tc>
          <w:tcPr>
            <w:tcW w:w="1179" w:type="dxa"/>
            <w:shd w:val="clear" w:color="auto" w:fill="auto"/>
            <w:vAlign w:val="center"/>
          </w:tcPr>
          <w:p w14:paraId="271C8E2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 xml:space="preserve">4930 </w:t>
            </w:r>
          </w:p>
        </w:tc>
      </w:tr>
      <w:tr w14:paraId="09DABA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FF8136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156</w:t>
            </w:r>
          </w:p>
        </w:tc>
        <w:tc>
          <w:tcPr>
            <w:tcW w:w="716" w:type="dxa"/>
            <w:shd w:val="clear" w:color="auto" w:fill="auto"/>
            <w:vAlign w:val="center"/>
          </w:tcPr>
          <w:p w14:paraId="74D9ACFB">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软座椅</w:t>
            </w:r>
          </w:p>
        </w:tc>
        <w:tc>
          <w:tcPr>
            <w:tcW w:w="6717" w:type="dxa"/>
            <w:shd w:val="clear" w:color="auto" w:fill="auto"/>
            <w:vAlign w:val="center"/>
          </w:tcPr>
          <w:p w14:paraId="1A394431">
            <w:pPr>
              <w:keepNext w:val="0"/>
              <w:keepLines w:val="0"/>
              <w:widowControl/>
              <w:suppressLineNumbers w:val="0"/>
              <w:ind w:firstLine="420" w:firstLineChars="20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座椅需根据人体工程学进行设计制造，设计独特新颖，背绵横向及纵向曲线皆贴合人体背部座姿态的形体曲线，能更好的包容人体背部，有效的增强背部的舒适度，让人久坐不会产生疲劳感，整体曲线圆滑柔和，极具美感。背板更好的包容着背绵，为椅背提供坚实的依靠，整体曲线圆滑柔和。座椅靠背和坐垫的弯曲度要求；符合人体工程学，座椅外形美观，时尚；座高和净深合理。座椅上各个部位的设计都遵循合理和优化的机械原理。</w:t>
            </w:r>
          </w:p>
          <w:p w14:paraId="7AF558F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★座椅规格：总高：1030   中心距：580；  座内宽：500；  误差：±5-10mm</w:t>
            </w:r>
          </w:p>
          <w:p w14:paraId="371069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椅背：（1）背外板：采用进口高密度硬木多层板，经模具冷压成型，表层为优质榉木皮，经过打磨，批灰处理之后，使用PE透明底油打底，再次打磨，修色。最后表面喷一层(哑光、亮光)面油，用100ww的太阳灯烘干为止，环保、不褪色、抗变型、精制而成，美观大方.厚度为16mm。（2）背内板：采用优质夹板经模具压注成型，厚度≥6mm，外型成弧型，美观大方，具有曲线美。（3）背海绵：采用高密度冷发泡定型海绵，曲线符合人体工程学原理，密度≥45kg/m3，使座椅在长时间使用下不变形，舒适度好，回弹性好，永不变形。</w:t>
            </w:r>
          </w:p>
          <w:p w14:paraId="70A3CCE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椅座：（1）座外板：采用进口高密度硬木多层板，经模具冷压成型，表层为优质榉木皮，经过打磨，批灰处理之后，使用PE透明底油打底，再次打磨，修色。最后表面喷一层(哑光、亮光)面油，用100ww的太阳灯烘干为止，环保、不褪色、抗变型、美观大方，座板使用排钻机开圆孔，便于通风凉爽吸音。厚度为13mm。（2）座海绵：采用高密度冷发泡定型海绵。海绵密度≥45kg/m3，使座椅在长时间使用下不变形，舒适度好，回弹性好，永不变形。（3）座框架结构：座绵内置内置实木框，座垫回复系统加有阻尼装置，阻尼装置完全隐藏不外露，回复时间为1—1.5秒（回复速度可调），回复过程无冲击、无噪声，耐久性试验达到5万次及以上。保证静音要求，座垫回复噪声＜8dB(A)。外形结实耐用，坐感更舒适。</w:t>
            </w:r>
          </w:p>
          <w:p w14:paraId="33F19B5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3.椅脚：采用冷轧钢2.0mm模具冲压成型、经防氧化外理。</w:t>
            </w:r>
          </w:p>
          <w:p w14:paraId="685A41D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4.扶手面：右边扶手采用优质橡木（非橡胶木）同时采用脱水干燥缓冲处理，外履环保烤漆后能有效的耐磨、耐污、不易退色。</w:t>
            </w:r>
          </w:p>
          <w:p w14:paraId="0571969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5.写字板：采用防火写字板，并开有笔槽，方便放取书物、书写笔。写字板表面进行烤漆工艺处理，平整，环保，美观大方，具有抗腐蚀、抗冲击、耐老化、耐磨。</w:t>
            </w:r>
          </w:p>
          <w:p w14:paraId="7456EF0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6.布料：采用优质进口高级专用麻绒仿毛布料，软硬适中、手感舒适、粘接牢固，使用长时间无皱褶，无断裂、不起球、不褪色、防静电处理、耐磨、吸声、抗污。</w:t>
            </w:r>
          </w:p>
          <w:p w14:paraId="1177700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回位功能：采用阻尼回复机构，精确定位，零回复噪音，阻尼装置完全隐蔽，不外露。座垫回位速度可调（2-6秒），噪音低至A声级（≤26dBA），固定座板采用隐藏式反扣方便拆装（使用内六角螺丝，防止损坏座板，不能使用自攻丝），方法简单、可靠，可大幅提升座椅的使用寿命，无故障使用30万次以上。观众离座时，座垫自动缓慢而有力回翻，回翻过程绝无冲击和噪音，从而保证会场的静音效果。</w:t>
            </w:r>
          </w:p>
          <w:p w14:paraId="6F13A8F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3496310" cy="1703070"/>
                  <wp:effectExtent l="0" t="0" r="8890" b="11430"/>
                  <wp:docPr id="13" name="图片 12" descr="3765523987c98af987bd157e1658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3765523987c98af987bd157e1658154"/>
                          <pic:cNvPicPr>
                            <a:picLocks noChangeAspect="1"/>
                          </pic:cNvPicPr>
                        </pic:nvPicPr>
                        <pic:blipFill>
                          <a:blip r:embed="rId16"/>
                          <a:stretch>
                            <a:fillRect/>
                          </a:stretch>
                        </pic:blipFill>
                        <pic:spPr>
                          <a:xfrm>
                            <a:off x="0" y="0"/>
                            <a:ext cx="3496310" cy="1703070"/>
                          </a:xfrm>
                          <a:prstGeom prst="rect">
                            <a:avLst/>
                          </a:prstGeom>
                          <a:noFill/>
                          <a:ln w="9525">
                            <a:noFill/>
                          </a:ln>
                        </pic:spPr>
                      </pic:pic>
                    </a:graphicData>
                  </a:graphic>
                </wp:inline>
              </w:drawing>
            </w:r>
            <w:r>
              <w:rPr>
                <w:rFonts w:hint="eastAsia"/>
                <w:lang w:val="en-US" w:eastAsia="zh-CN"/>
              </w:rPr>
              <w:t xml:space="preserve">                     </w:t>
            </w:r>
            <w:r>
              <w:drawing>
                <wp:inline distT="0" distB="0" distL="114300" distR="114300">
                  <wp:extent cx="1072515" cy="1242695"/>
                  <wp:effectExtent l="0" t="0" r="13335" b="14605"/>
                  <wp:docPr id="12" name="图片 62" descr="09ad1b322247e5327e0520d9dc85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62" descr="09ad1b322247e5327e0520d9dc85523"/>
                          <pic:cNvPicPr>
                            <a:picLocks noChangeAspect="1"/>
                          </pic:cNvPicPr>
                        </pic:nvPicPr>
                        <pic:blipFill>
                          <a:blip r:embed="rId17"/>
                          <a:stretch>
                            <a:fillRect/>
                          </a:stretch>
                        </pic:blipFill>
                        <pic:spPr>
                          <a:xfrm>
                            <a:off x="0" y="0"/>
                            <a:ext cx="1072515" cy="1242695"/>
                          </a:xfrm>
                          <a:prstGeom prst="rect">
                            <a:avLst/>
                          </a:prstGeom>
                          <a:noFill/>
                          <a:ln w="9525">
                            <a:noFill/>
                          </a:ln>
                        </pic:spPr>
                      </pic:pic>
                    </a:graphicData>
                  </a:graphic>
                </wp:inline>
              </w:drawing>
            </w:r>
          </w:p>
        </w:tc>
        <w:tc>
          <w:tcPr>
            <w:tcW w:w="700" w:type="dxa"/>
            <w:shd w:val="clear" w:color="auto" w:fill="auto"/>
            <w:vAlign w:val="center"/>
          </w:tcPr>
          <w:p w14:paraId="3FFFA03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120张</w:t>
            </w:r>
          </w:p>
        </w:tc>
        <w:tc>
          <w:tcPr>
            <w:tcW w:w="1179" w:type="dxa"/>
            <w:shd w:val="clear" w:color="auto" w:fill="auto"/>
            <w:vAlign w:val="center"/>
          </w:tcPr>
          <w:p w14:paraId="370F915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615</w:t>
            </w:r>
          </w:p>
        </w:tc>
      </w:tr>
      <w:tr w14:paraId="22EDB4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9055E3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157</w:t>
            </w:r>
          </w:p>
        </w:tc>
        <w:tc>
          <w:tcPr>
            <w:tcW w:w="716" w:type="dxa"/>
            <w:shd w:val="clear" w:color="auto" w:fill="auto"/>
            <w:vAlign w:val="center"/>
          </w:tcPr>
          <w:p w14:paraId="5AD195B7">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条桌</w:t>
            </w:r>
          </w:p>
        </w:tc>
        <w:tc>
          <w:tcPr>
            <w:tcW w:w="6717" w:type="dxa"/>
            <w:shd w:val="clear" w:color="auto" w:fill="auto"/>
            <w:vAlign w:val="center"/>
          </w:tcPr>
          <w:p w14:paraId="7DBB597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1、1200*400*750mm（±5mm），基材：E1级中纤板。</w:t>
            </w:r>
          </w:p>
          <w:p w14:paraId="0642746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2、面材：0.6mm厚优质木皮贴面。 </w:t>
            </w:r>
          </w:p>
          <w:p w14:paraId="5B968A8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3、油漆：采用环保型透明哑光PU聚酯面漆，达到E1级环保标准。油漆工艺五底三面，表面硬度达到3H级烤漆工艺；</w:t>
            </w:r>
          </w:p>
          <w:p w14:paraId="399C490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4、五金件：采用国产优质五金件。</w:t>
            </w:r>
          </w:p>
          <w:p w14:paraId="02055AE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参考图：</w:t>
            </w:r>
          </w:p>
          <w:p w14:paraId="54591E3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drawing>
                <wp:inline distT="0" distB="0" distL="114300" distR="114300">
                  <wp:extent cx="4013200" cy="1824990"/>
                  <wp:effectExtent l="0" t="0" r="6350" b="3810"/>
                  <wp:docPr id="127" name="图片 127" descr="1720434823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descr="1720434823802"/>
                          <pic:cNvPicPr>
                            <a:picLocks noChangeAspect="1"/>
                          </pic:cNvPicPr>
                        </pic:nvPicPr>
                        <pic:blipFill>
                          <a:blip r:embed="rId18"/>
                          <a:stretch>
                            <a:fillRect/>
                          </a:stretch>
                        </pic:blipFill>
                        <pic:spPr>
                          <a:xfrm>
                            <a:off x="0" y="0"/>
                            <a:ext cx="4013200" cy="1824990"/>
                          </a:xfrm>
                          <a:prstGeom prst="rect">
                            <a:avLst/>
                          </a:prstGeom>
                        </pic:spPr>
                      </pic:pic>
                    </a:graphicData>
                  </a:graphic>
                </wp:inline>
              </w:drawing>
            </w:r>
          </w:p>
        </w:tc>
        <w:tc>
          <w:tcPr>
            <w:tcW w:w="700" w:type="dxa"/>
            <w:shd w:val="clear" w:color="auto" w:fill="auto"/>
            <w:vAlign w:val="center"/>
          </w:tcPr>
          <w:p w14:paraId="0DFC5CF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6张</w:t>
            </w:r>
          </w:p>
        </w:tc>
        <w:tc>
          <w:tcPr>
            <w:tcW w:w="1179" w:type="dxa"/>
            <w:shd w:val="clear" w:color="auto" w:fill="auto"/>
            <w:vAlign w:val="center"/>
          </w:tcPr>
          <w:p w14:paraId="4840025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580</w:t>
            </w:r>
          </w:p>
        </w:tc>
      </w:tr>
      <w:tr w14:paraId="0C2AEA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797E40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158</w:t>
            </w:r>
          </w:p>
        </w:tc>
        <w:tc>
          <w:tcPr>
            <w:tcW w:w="716" w:type="dxa"/>
            <w:shd w:val="clear" w:color="auto" w:fill="auto"/>
            <w:vAlign w:val="center"/>
          </w:tcPr>
          <w:p w14:paraId="0DB5C33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主席桌</w:t>
            </w:r>
          </w:p>
        </w:tc>
        <w:tc>
          <w:tcPr>
            <w:tcW w:w="6717" w:type="dxa"/>
            <w:shd w:val="clear" w:color="auto" w:fill="auto"/>
            <w:vAlign w:val="center"/>
          </w:tcPr>
          <w:p w14:paraId="474A3E0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1、规格1600*600*760mm（±5mm）；</w:t>
            </w:r>
          </w:p>
          <w:p w14:paraId="2D5FF58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基材采用E1级（甲醛释放量≤5mg/100g,相当于E0级)优质环保型中密度纤维板，经过防虫、防腐等化学处理，含水率9％，密度达0.9g/cm³，静曲强度≥23MPa，甲醛释放量≤5mg/100g；符合GB/T11718-2009《中密度纤维板》和GB 18580-2001《室内装饰装修材料人造板及其制品中甲醛释放限量》标准；</w:t>
            </w:r>
          </w:p>
          <w:p w14:paraId="7E063F6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3、饰面采用厚度0.6mmAAA级胡桃木皮，选料是无腐、无裂痕、无虫眼和死节，耐磨性强、不起球、防静电、阻燃、纹理自然，并经过烘干、防虫、防污、防腐处理，甲醛释放量0.1mg/L。</w:t>
            </w:r>
          </w:p>
          <w:p w14:paraId="018A9D3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4、油漆：采用高级环保型聚脂漆，符合GB 18581-2009《室内装饰装修材料溶剂型木器涂料中有害物质限量》标准；采用封闭式油漆工艺，表面光亮平整，颜色均匀、硬度高。耐磨性强，色泽效果持久，漆膜饱满，手感光滑。油漆无颗粒、气泡、渣点、附着性强，涂膜强韧，封边细腻，线条均匀，转角过渡自然，间隙细小且均等。</w:t>
            </w:r>
          </w:p>
          <w:p w14:paraId="4AB4570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5、铰链等配件选用优质五金配件，连接处均紧密拼接，安全、坚固、静音。</w:t>
            </w:r>
          </w:p>
          <w:p w14:paraId="00065FC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6、所有偏心件外露接口处均加装嵌入式孔帽，外表美观，并且有效减少甲醛通过孔眼处释放，环保安全。</w:t>
            </w:r>
          </w:p>
          <w:p w14:paraId="40EC24E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7、产品符合GB/T3324-2008《木家具通用技术条件》标准。提供检测报告：1、底漆 2、免漆 3、底漆固化剂 4、面漆固化剂。</w:t>
            </w:r>
          </w:p>
          <w:p w14:paraId="2A8EE69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2011680" cy="1228090"/>
                  <wp:effectExtent l="0" t="0" r="7620" b="10160"/>
                  <wp:docPr id="1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
                          <pic:cNvPicPr>
                            <a:picLocks noChangeAspect="1"/>
                          </pic:cNvPicPr>
                        </pic:nvPicPr>
                        <pic:blipFill>
                          <a:blip r:embed="rId19"/>
                          <a:srcRect l="12622" t="3824" r="4778" b="14536"/>
                          <a:stretch>
                            <a:fillRect/>
                          </a:stretch>
                        </pic:blipFill>
                        <pic:spPr>
                          <a:xfrm>
                            <a:off x="0" y="0"/>
                            <a:ext cx="2011680" cy="1228090"/>
                          </a:xfrm>
                          <a:prstGeom prst="rect">
                            <a:avLst/>
                          </a:prstGeom>
                          <a:noFill/>
                          <a:ln w="9525">
                            <a:noFill/>
                          </a:ln>
                        </pic:spPr>
                      </pic:pic>
                    </a:graphicData>
                  </a:graphic>
                </wp:inline>
              </w:drawing>
            </w:r>
          </w:p>
        </w:tc>
        <w:tc>
          <w:tcPr>
            <w:tcW w:w="700" w:type="dxa"/>
            <w:shd w:val="clear" w:color="auto" w:fill="auto"/>
            <w:vAlign w:val="center"/>
          </w:tcPr>
          <w:p w14:paraId="7DD647C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4张</w:t>
            </w:r>
          </w:p>
        </w:tc>
        <w:tc>
          <w:tcPr>
            <w:tcW w:w="1179" w:type="dxa"/>
            <w:shd w:val="clear" w:color="auto" w:fill="auto"/>
            <w:vAlign w:val="center"/>
          </w:tcPr>
          <w:p w14:paraId="5F54D78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2600</w:t>
            </w:r>
          </w:p>
        </w:tc>
      </w:tr>
      <w:tr w14:paraId="302B13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182A21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159</w:t>
            </w:r>
          </w:p>
        </w:tc>
        <w:tc>
          <w:tcPr>
            <w:tcW w:w="716" w:type="dxa"/>
            <w:shd w:val="clear" w:color="auto" w:fill="auto"/>
            <w:vAlign w:val="center"/>
          </w:tcPr>
          <w:p w14:paraId="460A1E0F">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主席椅子</w:t>
            </w:r>
          </w:p>
        </w:tc>
        <w:tc>
          <w:tcPr>
            <w:tcW w:w="6717" w:type="dxa"/>
            <w:shd w:val="clear" w:color="auto" w:fill="auto"/>
            <w:vAlign w:val="center"/>
          </w:tcPr>
          <w:p w14:paraId="7359B36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1、面料采用优质西皮，柔软、舒适；</w:t>
            </w:r>
          </w:p>
          <w:p w14:paraId="3A39476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2、采用品牌PU成型45#高密度海绵，软硬适中，回弹性能好，抗变形能力强。</w:t>
            </w:r>
          </w:p>
          <w:p w14:paraId="16F7BDF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3、椅架:采用橡木实木制作,经过防虫、防腐特殊处理，含水率不超过12%，确保坚固可靠，背底采用高频热压机加工成型多层弯曲木板，符合人体工程学，高靠背，实木扶手经四底三面喷漆处理。</w:t>
            </w:r>
          </w:p>
          <w:p w14:paraId="635794A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095375" cy="868045"/>
                  <wp:effectExtent l="0" t="0" r="9525" b="825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20"/>
                          <a:stretch>
                            <a:fillRect/>
                          </a:stretch>
                        </pic:blipFill>
                        <pic:spPr>
                          <a:xfrm rot="10800000" flipH="1" flipV="1">
                            <a:off x="0" y="0"/>
                            <a:ext cx="1095375" cy="868045"/>
                          </a:xfrm>
                          <a:prstGeom prst="rect">
                            <a:avLst/>
                          </a:prstGeom>
                          <a:noFill/>
                          <a:ln w="9525">
                            <a:noFill/>
                          </a:ln>
                        </pic:spPr>
                      </pic:pic>
                    </a:graphicData>
                  </a:graphic>
                </wp:inline>
              </w:drawing>
            </w:r>
          </w:p>
        </w:tc>
        <w:tc>
          <w:tcPr>
            <w:tcW w:w="700" w:type="dxa"/>
            <w:shd w:val="clear" w:color="auto" w:fill="auto"/>
            <w:vAlign w:val="center"/>
          </w:tcPr>
          <w:p w14:paraId="291193C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8张</w:t>
            </w:r>
          </w:p>
        </w:tc>
        <w:tc>
          <w:tcPr>
            <w:tcW w:w="1179" w:type="dxa"/>
            <w:shd w:val="clear" w:color="auto" w:fill="auto"/>
            <w:vAlign w:val="center"/>
          </w:tcPr>
          <w:p w14:paraId="775A30C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700</w:t>
            </w:r>
          </w:p>
        </w:tc>
      </w:tr>
      <w:tr w14:paraId="35C97B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ABE1AE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160</w:t>
            </w:r>
          </w:p>
        </w:tc>
        <w:tc>
          <w:tcPr>
            <w:tcW w:w="716" w:type="dxa"/>
            <w:shd w:val="clear" w:color="auto" w:fill="auto"/>
            <w:vAlign w:val="center"/>
          </w:tcPr>
          <w:p w14:paraId="16D03D1D">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发言台</w:t>
            </w:r>
          </w:p>
        </w:tc>
        <w:tc>
          <w:tcPr>
            <w:tcW w:w="6717" w:type="dxa"/>
            <w:shd w:val="clear" w:color="auto" w:fill="auto"/>
            <w:vAlign w:val="center"/>
          </w:tcPr>
          <w:p w14:paraId="28FB3D2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尺寸为：900mm*800mm*1100mm（允许偏差±5mm）</w:t>
            </w:r>
          </w:p>
          <w:p w14:paraId="54D3EEB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1、基材采用符合国标环保达E1型中纤密度板，经过防潮、防虫、防腐等化学处理。</w:t>
            </w:r>
          </w:p>
          <w:p w14:paraId="21610BE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2、饰面采用胡桃木皮面，厚度为0.6mm以上，</w:t>
            </w:r>
          </w:p>
          <w:p w14:paraId="565592D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3、油漆采用无灰油漆工艺喷涂，透明度高、耐磨、耐高温手感细腻，漆面硬度达3H以上，颜总体色均匀，硬度高、耐磨性强、能长久保持漆面效果；</w:t>
            </w:r>
          </w:p>
          <w:p w14:paraId="58FA83E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符合国GB/T3324-1995/GB/T2384-1998家具技术标准。提供检测报告：1、底漆 2、免漆 3、底漆固化剂 4、面漆固化剂。 </w:t>
            </w:r>
          </w:p>
        </w:tc>
        <w:tc>
          <w:tcPr>
            <w:tcW w:w="700" w:type="dxa"/>
            <w:shd w:val="clear" w:color="auto" w:fill="auto"/>
            <w:vAlign w:val="center"/>
          </w:tcPr>
          <w:p w14:paraId="59CD84B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179" w:type="dxa"/>
            <w:shd w:val="clear" w:color="auto" w:fill="auto"/>
            <w:vAlign w:val="center"/>
          </w:tcPr>
          <w:p w14:paraId="66A8868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1600</w:t>
            </w:r>
          </w:p>
        </w:tc>
      </w:tr>
      <w:tr w14:paraId="387414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860E5E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161</w:t>
            </w:r>
          </w:p>
        </w:tc>
        <w:tc>
          <w:tcPr>
            <w:tcW w:w="716" w:type="dxa"/>
            <w:shd w:val="clear" w:color="auto" w:fill="auto"/>
            <w:vAlign w:val="center"/>
          </w:tcPr>
          <w:p w14:paraId="3180B488">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highlight w:val="none"/>
                <w:u w:val="none"/>
                <w:lang w:val="en-US" w:eastAsia="zh-CN" w:bidi="ar"/>
              </w:rPr>
              <w:t>柜式空调</w:t>
            </w:r>
          </w:p>
        </w:tc>
        <w:tc>
          <w:tcPr>
            <w:tcW w:w="6717" w:type="dxa"/>
            <w:shd w:val="clear" w:color="auto" w:fill="auto"/>
            <w:vAlign w:val="center"/>
          </w:tcPr>
          <w:p w14:paraId="721A4EE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1、电压/频率：220V/50Hz</w:t>
            </w:r>
          </w:p>
          <w:p w14:paraId="02ED3B3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2、能效等级：一级能效</w:t>
            </w:r>
          </w:p>
          <w:p w14:paraId="0550C6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3、内机噪音(dB(A)：高风档46</w:t>
            </w:r>
          </w:p>
          <w:p w14:paraId="1D6727D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4、扫风方式：左右扫风</w:t>
            </w:r>
          </w:p>
          <w:p w14:paraId="6AFCEAD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5、冷暖类型：冷暖</w:t>
            </w:r>
          </w:p>
          <w:p w14:paraId="089D673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6、智能类型：智能</w:t>
            </w:r>
          </w:p>
          <w:p w14:paraId="1713A488">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7、变频/</w:t>
            </w:r>
            <w:r>
              <w:rPr>
                <w:rFonts w:hint="eastAsia" w:ascii="宋体" w:hAnsi="宋体" w:eastAsia="宋体" w:cs="宋体"/>
                <w:i w:val="0"/>
                <w:iCs w:val="0"/>
                <w:color w:val="000000"/>
                <w:kern w:val="0"/>
                <w:sz w:val="21"/>
                <w:szCs w:val="21"/>
                <w:highlight w:val="none"/>
                <w:u w:val="none"/>
                <w:lang w:val="en-US" w:eastAsia="zh-CN" w:bidi="ar"/>
              </w:rPr>
              <w:t>定频：变频</w:t>
            </w:r>
          </w:p>
          <w:p w14:paraId="0AF42A16">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8、产品匹数：3匹</w:t>
            </w:r>
          </w:p>
          <w:p w14:paraId="69665A7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w:t>
            </w:r>
            <w:r>
              <w:rPr>
                <w:rFonts w:hint="eastAsia" w:ascii="宋体" w:hAnsi="宋体" w:eastAsia="宋体" w:cs="宋体"/>
                <w:b/>
                <w:bCs/>
                <w:color w:val="auto"/>
                <w:sz w:val="21"/>
                <w:szCs w:val="21"/>
                <w:highlight w:val="none"/>
                <w:lang w:val="en-US" w:eastAsia="zh-CN"/>
              </w:rPr>
              <w:t>9</w:t>
            </w:r>
            <w:r>
              <w:rPr>
                <w:rFonts w:hint="eastAsia" w:ascii="宋体" w:hAnsi="宋体" w:eastAsia="宋体" w:cs="宋体"/>
                <w:b/>
                <w:bCs/>
                <w:color w:val="auto"/>
                <w:sz w:val="21"/>
                <w:szCs w:val="21"/>
                <w:highlight w:val="none"/>
                <w:lang w:eastAsia="zh-CN"/>
              </w:rPr>
              <w:t>、</w:t>
            </w:r>
            <w:r>
              <w:rPr>
                <w:rFonts w:hint="eastAsia" w:ascii="宋体" w:hAnsi="宋体" w:eastAsia="宋体" w:cs="宋体"/>
                <w:b/>
                <w:bCs/>
                <w:color w:val="auto"/>
                <w:sz w:val="21"/>
                <w:szCs w:val="21"/>
                <w:highlight w:val="none"/>
              </w:rPr>
              <w:t>投标文件中须提供所投产品获得国家确定的认证机构出具的、处于有效之内的节能产品认证证书扫描件并加盖投标人CA证书签章，否则投标文件无效。</w:t>
            </w:r>
          </w:p>
        </w:tc>
        <w:tc>
          <w:tcPr>
            <w:tcW w:w="700" w:type="dxa"/>
            <w:shd w:val="clear" w:color="auto" w:fill="auto"/>
            <w:vAlign w:val="center"/>
          </w:tcPr>
          <w:p w14:paraId="2FAAA65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4台</w:t>
            </w:r>
          </w:p>
        </w:tc>
        <w:tc>
          <w:tcPr>
            <w:tcW w:w="1179" w:type="dxa"/>
            <w:shd w:val="clear" w:color="auto" w:fill="auto"/>
            <w:vAlign w:val="center"/>
          </w:tcPr>
          <w:p w14:paraId="48D2D77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7100</w:t>
            </w:r>
          </w:p>
        </w:tc>
      </w:tr>
      <w:tr w14:paraId="638FA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7373DB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162</w:t>
            </w:r>
          </w:p>
        </w:tc>
        <w:tc>
          <w:tcPr>
            <w:tcW w:w="716" w:type="dxa"/>
            <w:shd w:val="clear" w:color="auto" w:fill="auto"/>
            <w:vAlign w:val="center"/>
          </w:tcPr>
          <w:p w14:paraId="2D21A0D7">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配件辅材及安装调试</w:t>
            </w:r>
          </w:p>
        </w:tc>
        <w:tc>
          <w:tcPr>
            <w:tcW w:w="6717" w:type="dxa"/>
            <w:shd w:val="clear" w:color="auto" w:fill="auto"/>
            <w:vAlign w:val="center"/>
          </w:tcPr>
          <w:p w14:paraId="675936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PVC管（国标25管）、电源插座、各种电源线、开关等附材、五金件等。</w:t>
            </w:r>
          </w:p>
        </w:tc>
        <w:tc>
          <w:tcPr>
            <w:tcW w:w="700" w:type="dxa"/>
            <w:shd w:val="clear" w:color="auto" w:fill="auto"/>
            <w:vAlign w:val="center"/>
          </w:tcPr>
          <w:p w14:paraId="4AD18D7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1批</w:t>
            </w:r>
          </w:p>
        </w:tc>
        <w:tc>
          <w:tcPr>
            <w:tcW w:w="1179" w:type="dxa"/>
            <w:shd w:val="clear" w:color="auto" w:fill="auto"/>
            <w:vAlign w:val="center"/>
          </w:tcPr>
          <w:p w14:paraId="57369EB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1000</w:t>
            </w:r>
          </w:p>
        </w:tc>
      </w:tr>
      <w:tr w14:paraId="4DBCFB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9931" w:type="dxa"/>
            <w:gridSpan w:val="5"/>
            <w:shd w:val="clear" w:color="auto" w:fill="auto"/>
            <w:noWrap/>
            <w:vAlign w:val="center"/>
          </w:tcPr>
          <w:p w14:paraId="312868F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（十五）监控系统</w:t>
            </w:r>
          </w:p>
        </w:tc>
      </w:tr>
      <w:tr w14:paraId="32C9FC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55CB66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716" w:type="dxa"/>
            <w:shd w:val="clear" w:color="auto" w:fill="auto"/>
            <w:vAlign w:val="center"/>
          </w:tcPr>
          <w:p w14:paraId="57EEB76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717" w:type="dxa"/>
            <w:shd w:val="clear" w:color="auto" w:fill="auto"/>
            <w:vAlign w:val="center"/>
          </w:tcPr>
          <w:p w14:paraId="01E7271E">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700" w:type="dxa"/>
            <w:shd w:val="clear" w:color="auto" w:fill="auto"/>
            <w:vAlign w:val="center"/>
          </w:tcPr>
          <w:p w14:paraId="2B0B516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179" w:type="dxa"/>
            <w:shd w:val="clear" w:color="auto" w:fill="auto"/>
            <w:vAlign w:val="center"/>
          </w:tcPr>
          <w:p w14:paraId="7FDA3CE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347349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D1D6CC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163</w:t>
            </w:r>
          </w:p>
        </w:tc>
        <w:tc>
          <w:tcPr>
            <w:tcW w:w="716" w:type="dxa"/>
            <w:shd w:val="clear" w:color="auto" w:fill="auto"/>
            <w:vAlign w:val="center"/>
          </w:tcPr>
          <w:p w14:paraId="57A3190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无刷通用摆闸（左侧）</w:t>
            </w:r>
          </w:p>
        </w:tc>
        <w:tc>
          <w:tcPr>
            <w:tcW w:w="6717" w:type="dxa"/>
            <w:shd w:val="clear" w:color="auto" w:fill="auto"/>
            <w:vAlign w:val="top"/>
          </w:tcPr>
          <w:p w14:paraId="5DB40B8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左机芯： </w:t>
            </w:r>
          </w:p>
          <w:p w14:paraId="426B7B5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 电机类型：直流无刷电机 ；</w:t>
            </w:r>
          </w:p>
          <w:p w14:paraId="4669E9E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 箱体材质：SUS304拉丝不锈钢，箱体厚度1.5mm ；</w:t>
            </w:r>
          </w:p>
          <w:p w14:paraId="0C11507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 门翼材质：不锈钢圆管/亚克力（厚度10mm），门翼上沿离地高度84cm ；</w:t>
            </w:r>
          </w:p>
          <w:p w14:paraId="11B4E19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 门翼灯带：门翼灯支持红、绿、蓝、白四种颜色，自定义配置； </w:t>
            </w:r>
          </w:p>
          <w:p w14:paraId="51BF213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5. 通道宽度：550-1400mm，超过1100mm，仅支持不锈钢门翼； </w:t>
            </w:r>
          </w:p>
          <w:p w14:paraId="2CA79E8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 红外对数：14对 ；</w:t>
            </w:r>
          </w:p>
          <w:p w14:paraId="69BF27D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7. 使用环境：室内室外； </w:t>
            </w:r>
          </w:p>
          <w:p w14:paraId="64B0971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8. 操作系统：嵌入式Linux操作系统； </w:t>
            </w:r>
          </w:p>
          <w:p w14:paraId="241BEBA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 通道管理：支持通过web实现人员权限、设备参数、设备状态等功能管理 ；</w:t>
            </w:r>
          </w:p>
          <w:p w14:paraId="4BF5381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 设备容量：支持20万张卡，20万条事件记录 ；</w:t>
            </w:r>
          </w:p>
          <w:p w14:paraId="59C852D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11. 产品尺寸：1500mm*131mm(机芯凸出尺寸71mm)*1003mm； </w:t>
            </w:r>
          </w:p>
          <w:p w14:paraId="79E5F23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12. 通行速度：20-60人/分钟（实际通行速率受人员情况和通行模式影响） ；</w:t>
            </w:r>
          </w:p>
          <w:p w14:paraId="516972D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 电压功率：AC 100~240V/50~60HZ （单通道） ；</w:t>
            </w:r>
          </w:p>
          <w:p w14:paraId="4BEDE51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14. 额定功率：280W（单通道）； </w:t>
            </w:r>
          </w:p>
          <w:p w14:paraId="64CD9B3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15. 工作温度：-40℃-+70℃； </w:t>
            </w:r>
          </w:p>
          <w:p w14:paraId="5221F0E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16. 工作湿度：10% 至95%（不凝聚成水滴）； </w:t>
            </w:r>
          </w:p>
          <w:p w14:paraId="48B7D10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17. 净重：左66.1kg、中82.4kg、右64.1kg ；</w:t>
            </w:r>
          </w:p>
          <w:p w14:paraId="58D7AFC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通道功能： </w:t>
            </w:r>
          </w:p>
          <w:p w14:paraId="388F591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 通行模式：设备支持进出方向通行状态（受控、常开、常闭、感应、无障碍）的灵活配置； </w:t>
            </w:r>
          </w:p>
          <w:p w14:paraId="35DF1AB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 自动复位：设备具有自动复位功能，开门后在规定的时间内未通行，系统将自动取消用户的本次通行的权限，可设定通行时间； </w:t>
            </w:r>
          </w:p>
          <w:p w14:paraId="0853C10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 记忆模式：设备支持记忆模式，可实现连续快速通行； </w:t>
            </w:r>
          </w:p>
          <w:p w14:paraId="561DB9D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 断电通行：设备标配超级电容，断电时门翼自动打开，人员可自由通行，防止恐慌 ； </w:t>
            </w:r>
          </w:p>
          <w:p w14:paraId="7CA82AA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5. 消防联动：设备具有消防联动接口，当消防信号触发时，门翼自动打开，快速引导人员疏散； </w:t>
            </w:r>
          </w:p>
          <w:p w14:paraId="735E3E0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6. 双重防夹：设备支持机械/红外双重防夹功能； </w:t>
            </w:r>
          </w:p>
          <w:p w14:paraId="68E4BBA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7. 尾随报警：当通道中同时通行人数超过其允许通行的人数时会有报警提示，同时上传报警事件； </w:t>
            </w:r>
          </w:p>
          <w:p w14:paraId="5780161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 红外屏蔽：若通道内红外对射有损坏，可通过屏蔽已损坏的红外对射，让通道暂时恢复使用 ；</w:t>
            </w:r>
          </w:p>
          <w:p w14:paraId="11F863A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 NFC连接：支持带NFC功能安卓手机通过触碰快速无线接入设备，并登录手机WEB进行设备管理；</w:t>
            </w:r>
          </w:p>
          <w:p w14:paraId="32BB695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715135" cy="1111885"/>
                  <wp:effectExtent l="0" t="0" r="0" b="0"/>
                  <wp:docPr id="5"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 descr="Picture"/>
                          <pic:cNvPicPr>
                            <a:picLocks noChangeAspect="1"/>
                          </pic:cNvPicPr>
                        </pic:nvPicPr>
                        <pic:blipFill>
                          <a:blip r:embed="rId21"/>
                          <a:srcRect r="53947"/>
                          <a:stretch>
                            <a:fillRect/>
                          </a:stretch>
                        </pic:blipFill>
                        <pic:spPr>
                          <a:xfrm>
                            <a:off x="0" y="0"/>
                            <a:ext cx="1715135" cy="1111885"/>
                          </a:xfrm>
                          <a:prstGeom prst="rect">
                            <a:avLst/>
                          </a:prstGeom>
                        </pic:spPr>
                      </pic:pic>
                    </a:graphicData>
                  </a:graphic>
                </wp:inline>
              </w:drawing>
            </w:r>
          </w:p>
        </w:tc>
        <w:tc>
          <w:tcPr>
            <w:tcW w:w="700" w:type="dxa"/>
            <w:shd w:val="clear" w:color="auto" w:fill="auto"/>
            <w:vAlign w:val="center"/>
          </w:tcPr>
          <w:p w14:paraId="485CEAA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3A13877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15000</w:t>
            </w:r>
          </w:p>
        </w:tc>
      </w:tr>
      <w:tr w14:paraId="66373C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9DB98B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164</w:t>
            </w:r>
          </w:p>
        </w:tc>
        <w:tc>
          <w:tcPr>
            <w:tcW w:w="716" w:type="dxa"/>
            <w:shd w:val="clear" w:color="auto" w:fill="auto"/>
            <w:vAlign w:val="center"/>
          </w:tcPr>
          <w:p w14:paraId="69187107">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无刷通用摆闸（中间）</w:t>
            </w:r>
          </w:p>
        </w:tc>
        <w:tc>
          <w:tcPr>
            <w:tcW w:w="6717" w:type="dxa"/>
            <w:shd w:val="clear" w:color="auto" w:fill="auto"/>
            <w:vAlign w:val="top"/>
          </w:tcPr>
          <w:p w14:paraId="01A588E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中间机芯： </w:t>
            </w:r>
          </w:p>
          <w:p w14:paraId="28E7CF4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 电机类型：直流无刷电机； </w:t>
            </w:r>
          </w:p>
          <w:p w14:paraId="15CED1F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 箱体材质：SUS304拉丝不锈钢，箱体厚度1.5mm ；</w:t>
            </w:r>
          </w:p>
          <w:p w14:paraId="3D1E55A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 门翼材质：不锈钢圆管/亚克力（厚度10mm），门翼上沿离地高度84cm ；</w:t>
            </w:r>
          </w:p>
          <w:p w14:paraId="4FC0947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 门翼灯带：门翼灯支持红、绿、蓝、白四种颜色，自定义配置； </w:t>
            </w:r>
          </w:p>
          <w:p w14:paraId="2A2D226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 通道宽度：550-1400mm，超过1100mm，仅支持不锈钢门翼 ；</w:t>
            </w:r>
          </w:p>
          <w:p w14:paraId="14A7DF0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 红外对数：14对 ；</w:t>
            </w:r>
          </w:p>
          <w:p w14:paraId="32DEE5A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7. 使用环境：室内室外； </w:t>
            </w:r>
          </w:p>
          <w:p w14:paraId="42BAD7E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8. 操作系统：嵌入式Linux操作系统； </w:t>
            </w:r>
          </w:p>
          <w:p w14:paraId="5F8A094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9. 通道管理：支持通过web实现人员权限、设备参数、设备状态等功能管理； </w:t>
            </w:r>
          </w:p>
          <w:p w14:paraId="09429A7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10. 设备容量：支持20万张卡，20万条事件记录； </w:t>
            </w:r>
          </w:p>
          <w:p w14:paraId="7ED8235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11. 产品尺寸：1500mm*131mm(机芯凸出尺寸71mm)*1003mm ；</w:t>
            </w:r>
          </w:p>
          <w:p w14:paraId="3D5A3EF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12. 通行速度：20-60人/分钟（实际通行速率受人员情况和通行模式影响）； </w:t>
            </w:r>
          </w:p>
          <w:p w14:paraId="1A700D2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13. 电压功率：AC 100~240V/50~60HZ （单通道）； </w:t>
            </w:r>
          </w:p>
          <w:p w14:paraId="5F36798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14. 额定功率：280W（单通道）； </w:t>
            </w:r>
          </w:p>
          <w:p w14:paraId="4AD081C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15. 工作温度：-40℃-+70℃； </w:t>
            </w:r>
          </w:p>
          <w:p w14:paraId="15B0D59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16. 工作湿度：10% 至95%（不凝聚成水滴）； </w:t>
            </w:r>
          </w:p>
          <w:p w14:paraId="47E3522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17. 净重：左66.1kg、中82.4kg、右64.1kg ；</w:t>
            </w:r>
          </w:p>
          <w:p w14:paraId="1645A19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通道功能： </w:t>
            </w:r>
          </w:p>
          <w:p w14:paraId="4530024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 通行模式：设备支持进出方向通行状态（受控、常开、常闭、感应、无障碍）的灵活配置 ；</w:t>
            </w:r>
          </w:p>
          <w:p w14:paraId="41653D5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 自动复位：设备具有自动复位功能，开门后在规定的时间内未通行，系统将自动取消用户的本次通行的权限，可设定通行时间； </w:t>
            </w:r>
          </w:p>
          <w:p w14:paraId="1D5738E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 记忆模式：设备支持记忆模式，可实现连续快速通行； </w:t>
            </w:r>
          </w:p>
          <w:p w14:paraId="13C7D7E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 断电通行：设备标配超级电容，断电时门翼自动打开，人员可自由通行，防止恐慌；  </w:t>
            </w:r>
          </w:p>
          <w:p w14:paraId="57B9736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 消防联动：设备具有消防联动接口，当消防信号触发时，门翼自动打开，快速引导人员疏散 ；</w:t>
            </w:r>
          </w:p>
          <w:p w14:paraId="58BD99B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6. 双重防夹：设备支持机械/红外双重防夹功能； </w:t>
            </w:r>
          </w:p>
          <w:p w14:paraId="5305565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 尾随报警：当通道中同时通行人数超过其允许通行的人数时会有报警提示，同时上传报警事件 ；</w:t>
            </w:r>
          </w:p>
          <w:p w14:paraId="6452069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8. 红外屏蔽：若通道内红外对射有损坏，可通过屏蔽已损坏的红外对射，让通道暂时恢复使用； </w:t>
            </w:r>
          </w:p>
          <w:p w14:paraId="145B9B5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 NFC连接：支持带NFC功能安卓手机通过触碰快速无线接入设备，并登录手机WEB进行设备管理。</w:t>
            </w:r>
          </w:p>
          <w:p w14:paraId="5307303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889000" cy="927735"/>
                  <wp:effectExtent l="0" t="0" r="0" b="0"/>
                  <wp:docPr id="7"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descr="Picture"/>
                          <pic:cNvPicPr>
                            <a:picLocks noChangeAspect="1"/>
                          </pic:cNvPicPr>
                        </pic:nvPicPr>
                        <pic:blipFill>
                          <a:blip r:embed="rId21"/>
                          <a:srcRect l="36519" r="35603"/>
                          <a:stretch>
                            <a:fillRect/>
                          </a:stretch>
                        </pic:blipFill>
                        <pic:spPr>
                          <a:xfrm>
                            <a:off x="0" y="0"/>
                            <a:ext cx="889000" cy="927735"/>
                          </a:xfrm>
                          <a:prstGeom prst="rect">
                            <a:avLst/>
                          </a:prstGeom>
                        </pic:spPr>
                      </pic:pic>
                    </a:graphicData>
                  </a:graphic>
                </wp:inline>
              </w:drawing>
            </w:r>
          </w:p>
        </w:tc>
        <w:tc>
          <w:tcPr>
            <w:tcW w:w="700" w:type="dxa"/>
            <w:shd w:val="clear" w:color="auto" w:fill="auto"/>
            <w:vAlign w:val="center"/>
          </w:tcPr>
          <w:p w14:paraId="35B8BB5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39918C1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23500</w:t>
            </w:r>
          </w:p>
        </w:tc>
      </w:tr>
      <w:tr w14:paraId="072DF2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83BE62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165</w:t>
            </w:r>
          </w:p>
        </w:tc>
        <w:tc>
          <w:tcPr>
            <w:tcW w:w="716" w:type="dxa"/>
            <w:shd w:val="clear" w:color="auto" w:fill="auto"/>
            <w:vAlign w:val="center"/>
          </w:tcPr>
          <w:p w14:paraId="6833BBB0">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无刷通用摆闸（右侧）</w:t>
            </w:r>
          </w:p>
        </w:tc>
        <w:tc>
          <w:tcPr>
            <w:tcW w:w="6717" w:type="dxa"/>
            <w:shd w:val="clear" w:color="auto" w:fill="auto"/>
            <w:vAlign w:val="top"/>
          </w:tcPr>
          <w:p w14:paraId="19C9E5F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右机芯： </w:t>
            </w:r>
          </w:p>
          <w:p w14:paraId="7177674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 电机类型：直流无刷电机； </w:t>
            </w:r>
          </w:p>
          <w:p w14:paraId="4D59642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 箱体材质：SUS304拉丝不锈钢，箱体厚度1.5mm； </w:t>
            </w:r>
          </w:p>
          <w:p w14:paraId="7E16B86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 门翼材质：不锈钢圆管/亚克力（厚度10mm），门翼上沿离地高度84cm ；</w:t>
            </w:r>
          </w:p>
          <w:p w14:paraId="768A653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 门翼灯带：门翼灯支持红、绿、蓝、白四种颜色，自定义配置； </w:t>
            </w:r>
          </w:p>
          <w:p w14:paraId="59452FF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5. 通道宽度：550-1400mm，超过1100mm，仅支持不锈钢门翼； </w:t>
            </w:r>
          </w:p>
          <w:p w14:paraId="4933178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 红外对数：14对 ；</w:t>
            </w:r>
          </w:p>
          <w:p w14:paraId="469F1B3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7. 使用环境：室内室外； </w:t>
            </w:r>
          </w:p>
          <w:p w14:paraId="1C22554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 操作系统：嵌入式Linux操作系统 ；</w:t>
            </w:r>
          </w:p>
          <w:p w14:paraId="1F4ADE2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 通道管理：支持通过web实现人员权限、设备参数、设备状态等功能管理；</w:t>
            </w:r>
          </w:p>
          <w:p w14:paraId="4FAEA9D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10. 设备容量：支持20万张卡，20万条事件记录； </w:t>
            </w:r>
          </w:p>
          <w:p w14:paraId="7943217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11. 产品尺寸：1500mm*131mm(机芯凸出尺寸71mm)*1003mm； </w:t>
            </w:r>
          </w:p>
          <w:p w14:paraId="1449F28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12. 通行速度：20-60人/分钟（实际通行速率受人员情况和通行模式影响）； </w:t>
            </w:r>
          </w:p>
          <w:p w14:paraId="541F280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13. 电压功率：AC 100~240V/50~60HZ （单通道）； </w:t>
            </w:r>
          </w:p>
          <w:p w14:paraId="2212DA8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 额定功率：280W（单通道） ；</w:t>
            </w:r>
          </w:p>
          <w:p w14:paraId="7708C55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15. 工作温度：-40℃-+70℃； </w:t>
            </w:r>
          </w:p>
          <w:p w14:paraId="1C1A4C9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16. 工作湿度：10% 至95%（不凝聚成水滴）； </w:t>
            </w:r>
          </w:p>
          <w:p w14:paraId="1A0BBD6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17. 净重：左66.1kg、中82.4kg、右64.1kg； </w:t>
            </w:r>
          </w:p>
          <w:p w14:paraId="6F95E03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通道功能： </w:t>
            </w:r>
          </w:p>
          <w:p w14:paraId="1927C3B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 通行模式：设备支持进出方向通行状态（受控、常开、常闭、感应、无障碍）的灵活配置； </w:t>
            </w:r>
          </w:p>
          <w:p w14:paraId="3253571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 自动复位：设备具有自动复位功能，开门后在规定的时间内未通行，系统将自动取消用户的本次通行的权限，可设定通行时间； </w:t>
            </w:r>
          </w:p>
          <w:p w14:paraId="6376BF2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 记忆模式：设备支持记忆模式，可实现连续快速通行； </w:t>
            </w:r>
          </w:p>
          <w:p w14:paraId="73A34E9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 断电通行：设备标配超级电容，断电时门翼自动打开，人员可自由通行，防止恐慌 ； </w:t>
            </w:r>
          </w:p>
          <w:p w14:paraId="7AAB825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5. 消防联动：设备具有消防联动接口，当消防信号触发时，门翼自动打开，快速引导人员疏散； </w:t>
            </w:r>
          </w:p>
          <w:p w14:paraId="56292FD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6. 双重防夹：设备支持机械/红外双重防夹功能； </w:t>
            </w:r>
          </w:p>
          <w:p w14:paraId="2E1026C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7. 尾随报警：当通道中同时通行人数超过其允许通行的人数时会有报警提示，同时上传报警事件； </w:t>
            </w:r>
          </w:p>
          <w:p w14:paraId="19A46B3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59616" behindDoc="0" locked="0" layoutInCell="1" allowOverlap="1">
                  <wp:simplePos x="0" y="0"/>
                  <wp:positionH relativeFrom="column">
                    <wp:posOffset>3110865</wp:posOffset>
                  </wp:positionH>
                  <wp:positionV relativeFrom="paragraph">
                    <wp:posOffset>368935</wp:posOffset>
                  </wp:positionV>
                  <wp:extent cx="963930" cy="727075"/>
                  <wp:effectExtent l="0" t="0" r="0" b="0"/>
                  <wp:wrapSquare wrapText="bothSides"/>
                  <wp:docPr id="8"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1" descr="Picture"/>
                          <pic:cNvPicPr>
                            <a:picLocks noChangeAspect="1"/>
                          </pic:cNvPicPr>
                        </pic:nvPicPr>
                        <pic:blipFill>
                          <a:blip r:embed="rId21"/>
                          <a:srcRect l="57187" t="21629" r="18017"/>
                          <a:stretch>
                            <a:fillRect/>
                          </a:stretch>
                        </pic:blipFill>
                        <pic:spPr>
                          <a:xfrm>
                            <a:off x="0" y="0"/>
                            <a:ext cx="963930" cy="727075"/>
                          </a:xfrm>
                          <a:prstGeom prst="rect">
                            <a:avLst/>
                          </a:prstGeom>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8. 红外屏蔽：若通道内红外对射有损坏，可通过屏蔽已损坏的红外对射，让通道暂时恢复使用； </w:t>
            </w:r>
          </w:p>
          <w:p w14:paraId="671CC4E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9. NFC连接：支持带NFC功能安卓手机通过触碰快速无线接入设备，并登录手机WEB进行设备管理。</w:t>
            </w:r>
          </w:p>
          <w:p w14:paraId="55880771">
            <w:pPr>
              <w:keepNext w:val="0"/>
              <w:keepLines w:val="0"/>
              <w:widowControl/>
              <w:suppressLineNumbers w:val="0"/>
              <w:jc w:val="left"/>
              <w:textAlignment w:val="top"/>
            </w:pPr>
          </w:p>
          <w:p w14:paraId="5B634B54">
            <w:pPr>
              <w:keepNext w:val="0"/>
              <w:keepLines w:val="0"/>
              <w:widowControl/>
              <w:suppressLineNumbers w:val="0"/>
              <w:jc w:val="left"/>
              <w:textAlignment w:val="top"/>
              <w:rPr>
                <w:rFonts w:hint="eastAsia" w:eastAsia="微软雅黑"/>
                <w:lang w:eastAsia="zh-CN"/>
              </w:rPr>
            </w:pPr>
            <w:r>
              <w:drawing>
                <wp:anchor distT="0" distB="0" distL="114300" distR="114300" simplePos="0" relativeHeight="251758592" behindDoc="0" locked="0" layoutInCell="1" allowOverlap="1">
                  <wp:simplePos x="0" y="0"/>
                  <wp:positionH relativeFrom="column">
                    <wp:posOffset>1779270</wp:posOffset>
                  </wp:positionH>
                  <wp:positionV relativeFrom="paragraph">
                    <wp:posOffset>-6350</wp:posOffset>
                  </wp:positionV>
                  <wp:extent cx="2098040" cy="1033145"/>
                  <wp:effectExtent l="0" t="0" r="0" b="0"/>
                  <wp:wrapSquare wrapText="bothSides"/>
                  <wp:docPr id="9"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1" descr="Picture"/>
                          <pic:cNvPicPr>
                            <a:picLocks noChangeAspect="1"/>
                          </pic:cNvPicPr>
                        </pic:nvPicPr>
                        <pic:blipFill>
                          <a:blip r:embed="rId21"/>
                          <a:srcRect l="19807" r="19189"/>
                          <a:stretch>
                            <a:fillRect/>
                          </a:stretch>
                        </pic:blipFill>
                        <pic:spPr>
                          <a:xfrm>
                            <a:off x="0" y="0"/>
                            <a:ext cx="2098040" cy="1033145"/>
                          </a:xfrm>
                          <a:prstGeom prst="rect">
                            <a:avLst/>
                          </a:prstGeom>
                        </pic:spPr>
                      </pic:pic>
                    </a:graphicData>
                  </a:graphic>
                </wp:anchor>
              </w:drawing>
            </w:r>
            <w:r>
              <w:rPr>
                <w:rFonts w:hint="eastAsia"/>
              </w:rPr>
              <w:t>无刷通用摆闸</w:t>
            </w:r>
            <w:r>
              <w:rPr>
                <w:rFonts w:hint="eastAsia"/>
                <w:lang w:eastAsia="zh-CN"/>
              </w:rPr>
              <w:t>整体参考图：</w:t>
            </w:r>
          </w:p>
          <w:p w14:paraId="0C088338">
            <w:pPr>
              <w:pStyle w:val="6"/>
              <w:rPr>
                <w:rFonts w:hint="eastAsia"/>
                <w:lang w:val="en-US" w:eastAsia="zh-CN"/>
              </w:rPr>
            </w:pPr>
          </w:p>
        </w:tc>
        <w:tc>
          <w:tcPr>
            <w:tcW w:w="700" w:type="dxa"/>
            <w:shd w:val="clear" w:color="auto" w:fill="auto"/>
            <w:vAlign w:val="center"/>
          </w:tcPr>
          <w:p w14:paraId="2D6A986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6F47C4A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15000</w:t>
            </w:r>
          </w:p>
        </w:tc>
      </w:tr>
      <w:tr w14:paraId="2D72E8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849F5E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166</w:t>
            </w:r>
          </w:p>
        </w:tc>
        <w:tc>
          <w:tcPr>
            <w:tcW w:w="716" w:type="dxa"/>
            <w:shd w:val="clear" w:color="auto" w:fill="auto"/>
            <w:vAlign w:val="center"/>
          </w:tcPr>
          <w:p w14:paraId="33607139">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身份信息识别产品</w:t>
            </w:r>
          </w:p>
        </w:tc>
        <w:tc>
          <w:tcPr>
            <w:tcW w:w="6717" w:type="dxa"/>
            <w:shd w:val="clear" w:color="auto" w:fill="auto"/>
            <w:vAlign w:val="top"/>
          </w:tcPr>
          <w:p w14:paraId="53C8951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操作系统：嵌入式Linux操作系统；</w:t>
            </w:r>
          </w:p>
          <w:p w14:paraId="6AD57A1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屏幕参数： 7英寸LCD触摸显示屏，屏幕比例9:16，屏幕分辨率600*1024；</w:t>
            </w:r>
          </w:p>
          <w:p w14:paraId="2B0423D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摄像头参数：采用宽动态200万双目摄像头；</w:t>
            </w:r>
          </w:p>
          <w:p w14:paraId="119293B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认证方式：支持人脸、密码、二维码（通过摄像头识别）认证方式，可通过 485 接口外接读卡器，也通过 USB 接口外接身份证，实现人证比对功能；</w:t>
            </w:r>
          </w:p>
          <w:p w14:paraId="77D8563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人脸识别：采用深度学习算法，支持照片、视频防假；1:N人脸识别速度≤0.2s，人脸验证准确率≥99%；</w:t>
            </w:r>
          </w:p>
          <w:p w14:paraId="71A120E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存储容量：本地支持50000张人脸、50000张卡（外接读卡器），100000条事件记录；</w:t>
            </w:r>
          </w:p>
          <w:p w14:paraId="6C98702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硬件接口：LAN*1、RS485*1、韦根*1（双向 26/34）、USB*1、电锁*1、门磁*1、报警输入*2、报警输出*1、开门按钮*1；</w:t>
            </w:r>
          </w:p>
          <w:p w14:paraId="7863901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通信方式：有线网络、WiFi；</w:t>
            </w:r>
          </w:p>
          <w:p w14:paraId="20BC8C5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使用环境：IP65，室内外环境（室外使用必须搭配遮阳罩）；</w:t>
            </w:r>
          </w:p>
          <w:p w14:paraId="6342AD2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安装方式：配合人员通道安装；</w:t>
            </w:r>
          </w:p>
          <w:p w14:paraId="54009B6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工作电压： DC 12V/2A；</w:t>
            </w:r>
          </w:p>
          <w:p w14:paraId="42B7A05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产品尺寸：228.6mm*126.6mm*31.55mm （不含支架的设备尺寸）；</w:t>
            </w:r>
          </w:p>
          <w:p w14:paraId="2B4EDCB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设备重量：净重1.7kg 毛重2.6kg。</w:t>
            </w:r>
          </w:p>
          <w:p w14:paraId="5D2FEC8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功能介绍：</w:t>
            </w:r>
          </w:p>
          <w:p w14:paraId="1B421F6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可视对讲：支持和云平台、客户端、室内机、管理机进行可视对讲；支持配置一键呼叫室内机或管理机；支持副门口机或围墙机模式；</w:t>
            </w:r>
          </w:p>
          <w:p w14:paraId="703DD4C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视频预览：支持管理中心远程视频预览，支持接入NVR设备，实现视频监控录像，编码格式H.264；</w:t>
            </w:r>
          </w:p>
          <w:p w14:paraId="480DB68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口罩检测：支持口罩检测模式，可配置提醒戴口罩模式、强制戴口罩模式，关联门禁控制；</w:t>
            </w:r>
          </w:p>
          <w:p w14:paraId="456B97B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安全帽检测：支持工地安全帽检测功能，可配置提醒安全帽模式、强制戴安全帽模式，关联门禁控制；</w:t>
            </w:r>
          </w:p>
          <w:p w14:paraId="01CFCF8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识别界面可配：识别主界面的“呼叫”、“二维码”、“密码”的按键图标可分别配置是否显示；</w:t>
            </w:r>
          </w:p>
          <w:p w14:paraId="4CB30E4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认证结果显示可配：支持认证成功界面的“照片”、“姓名”、“工号”信息可配置是否显示；</w:t>
            </w:r>
          </w:p>
          <w:p w14:paraId="1B87793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认证结果语音自定义：集成文字转语音（TTS）和语音合成技术，认证成功和认证失败的语音可以分别配置4个时间段进行自定义播报，同时认证成功的语音可叠加播报姓名；</w:t>
            </w:r>
          </w:p>
          <w:p w14:paraId="2AC8A49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外接安全模块：支持通过RS485接入门控安全模块，防止主机被恶意破坏的情况下，门锁不被打开；</w:t>
            </w:r>
          </w:p>
          <w:p w14:paraId="13B818C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外接读卡器：支持通过RS485或韦根（W26/W34）接口外接1个读卡器，同时可实现单门反潜回功能；</w:t>
            </w:r>
          </w:p>
          <w:p w14:paraId="5976838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读卡器模式：支持通过RS485或韦根（W26/W34）接入门禁控制器，作为读卡器模式使用；</w:t>
            </w:r>
          </w:p>
          <w:p w14:paraId="660B243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门禁计划模板：支持255组计划模板管理，128个周计划，1024个假日计划；支持常开、常闭时段管理；</w:t>
            </w:r>
          </w:p>
          <w:p w14:paraId="0230524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组合认证：刷卡+密码、刷卡+人脸、人脸+密码等组合认证方式；</w:t>
            </w:r>
          </w:p>
          <w:p w14:paraId="56971E4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多重认证：支持多个人员认证（人脸、刷卡等）通过后才开门（外接读卡器后可实现含刷卡多重认证）；</w:t>
            </w:r>
          </w:p>
          <w:p w14:paraId="4261327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黑名单核验：支持中心下发黑名单人员信息，实现本地黑名单核验；</w:t>
            </w:r>
          </w:p>
          <w:p w14:paraId="30C03D2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报警功能：设备支持防拆报警、门被外力开起报警、胁迫卡和胁迫密码报警、黑名单报警等；</w:t>
            </w:r>
          </w:p>
          <w:p w14:paraId="369BF73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事件上传：在线状态下将设备认证结果及联动抓拍照片实时上传给平台，支持断网续传功能，设备离线状态下产生事件在与平台连接后会重新上传；</w:t>
            </w:r>
          </w:p>
          <w:p w14:paraId="3106300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单机使用：设备可进行本地管理，支持本地注册人脸、查询、设置、管理设备参数等；</w:t>
            </w:r>
          </w:p>
          <w:p w14:paraId="06AE4FB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WEB管理：支持Web端管理，可进行人员管理、参数配置、事件查询、系统维护等操作。</w:t>
            </w:r>
          </w:p>
          <w:p w14:paraId="37D4463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788795" cy="1222375"/>
                  <wp:effectExtent l="0" t="0" r="0" b="0"/>
                  <wp:docPr id="14"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 descr="Picture"/>
                          <pic:cNvPicPr>
                            <a:picLocks noChangeAspect="1"/>
                          </pic:cNvPicPr>
                        </pic:nvPicPr>
                        <pic:blipFill>
                          <a:blip r:embed="rId22"/>
                          <a:stretch>
                            <a:fillRect/>
                          </a:stretch>
                        </pic:blipFill>
                        <pic:spPr>
                          <a:xfrm>
                            <a:off x="0" y="0"/>
                            <a:ext cx="1788795" cy="1222375"/>
                          </a:xfrm>
                          <a:prstGeom prst="rect">
                            <a:avLst/>
                          </a:prstGeom>
                        </pic:spPr>
                      </pic:pic>
                    </a:graphicData>
                  </a:graphic>
                </wp:inline>
              </w:drawing>
            </w:r>
          </w:p>
        </w:tc>
        <w:tc>
          <w:tcPr>
            <w:tcW w:w="700" w:type="dxa"/>
            <w:shd w:val="clear" w:color="auto" w:fill="auto"/>
            <w:vAlign w:val="center"/>
          </w:tcPr>
          <w:p w14:paraId="57DE87D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4台</w:t>
            </w:r>
          </w:p>
        </w:tc>
        <w:tc>
          <w:tcPr>
            <w:tcW w:w="1179" w:type="dxa"/>
            <w:shd w:val="clear" w:color="auto" w:fill="auto"/>
            <w:vAlign w:val="center"/>
          </w:tcPr>
          <w:p w14:paraId="762EB46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3800</w:t>
            </w:r>
          </w:p>
        </w:tc>
      </w:tr>
      <w:tr w14:paraId="06062C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705CA3B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167</w:t>
            </w:r>
          </w:p>
        </w:tc>
        <w:tc>
          <w:tcPr>
            <w:tcW w:w="716" w:type="dxa"/>
            <w:shd w:val="clear" w:color="auto" w:fill="auto"/>
            <w:vAlign w:val="center"/>
          </w:tcPr>
          <w:p w14:paraId="76A69AA3">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门禁产品安装配件</w:t>
            </w:r>
          </w:p>
        </w:tc>
        <w:tc>
          <w:tcPr>
            <w:tcW w:w="6717" w:type="dxa"/>
            <w:shd w:val="clear" w:color="auto" w:fill="auto"/>
            <w:vAlign w:val="center"/>
          </w:tcPr>
          <w:p w14:paraId="6F342E3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56544" behindDoc="0" locked="0" layoutInCell="1" allowOverlap="1">
                  <wp:simplePos x="0" y="0"/>
                  <wp:positionH relativeFrom="column">
                    <wp:posOffset>1884045</wp:posOffset>
                  </wp:positionH>
                  <wp:positionV relativeFrom="paragraph">
                    <wp:posOffset>34925</wp:posOffset>
                  </wp:positionV>
                  <wp:extent cx="1989455" cy="895350"/>
                  <wp:effectExtent l="0" t="0" r="0" b="0"/>
                  <wp:wrapSquare wrapText="bothSides"/>
                  <wp:docPr id="15"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 descr="Picture"/>
                          <pic:cNvPicPr>
                            <a:picLocks noChangeAspect="1"/>
                          </pic:cNvPicPr>
                        </pic:nvPicPr>
                        <pic:blipFill>
                          <a:blip r:embed="rId23"/>
                          <a:stretch>
                            <a:fillRect/>
                          </a:stretch>
                        </pic:blipFill>
                        <pic:spPr>
                          <a:xfrm>
                            <a:off x="0" y="0"/>
                            <a:ext cx="1989455" cy="895350"/>
                          </a:xfrm>
                          <a:prstGeom prst="rect">
                            <a:avLst/>
                          </a:prstGeom>
                        </pic:spPr>
                      </pic:pic>
                    </a:graphicData>
                  </a:graphic>
                </wp:anchor>
              </w:drawing>
            </w:r>
            <w:r>
              <w:rPr>
                <w:rFonts w:hint="eastAsia" w:ascii="宋体" w:hAnsi="宋体" w:eastAsia="宋体" w:cs="宋体"/>
                <w:i w:val="0"/>
                <w:iCs w:val="0"/>
                <w:color w:val="000000"/>
                <w:kern w:val="0"/>
                <w:sz w:val="21"/>
                <w:szCs w:val="21"/>
                <w:u w:val="none"/>
                <w:lang w:val="en-US" w:eastAsia="zh-CN" w:bidi="ar"/>
              </w:rPr>
              <w:t>1、尺寸：133.17mm*80mm*250.48mm</w:t>
            </w:r>
          </w:p>
          <w:p w14:paraId="4CEC1CC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700" w:type="dxa"/>
            <w:shd w:val="clear" w:color="auto" w:fill="auto"/>
            <w:vAlign w:val="center"/>
          </w:tcPr>
          <w:p w14:paraId="61E0972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4台</w:t>
            </w:r>
          </w:p>
        </w:tc>
        <w:tc>
          <w:tcPr>
            <w:tcW w:w="1179" w:type="dxa"/>
            <w:shd w:val="clear" w:color="auto" w:fill="auto"/>
            <w:vAlign w:val="center"/>
          </w:tcPr>
          <w:p w14:paraId="470360E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90</w:t>
            </w:r>
          </w:p>
        </w:tc>
      </w:tr>
      <w:tr w14:paraId="5283FB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57BFEEC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168</w:t>
            </w:r>
          </w:p>
        </w:tc>
        <w:tc>
          <w:tcPr>
            <w:tcW w:w="716" w:type="dxa"/>
            <w:shd w:val="clear" w:color="auto" w:fill="auto"/>
            <w:vAlign w:val="center"/>
          </w:tcPr>
          <w:p w14:paraId="2F9CD6B1">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身份信息识别产品</w:t>
            </w:r>
          </w:p>
        </w:tc>
        <w:tc>
          <w:tcPr>
            <w:tcW w:w="6717" w:type="dxa"/>
            <w:shd w:val="clear" w:color="auto" w:fill="auto"/>
            <w:vAlign w:val="top"/>
          </w:tcPr>
          <w:p w14:paraId="0A00C2B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1、3.97英寸触摸显示屏，屏幕分辨率800*480；</w:t>
            </w:r>
          </w:p>
          <w:p w14:paraId="773826E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2、采用200万双目摄像头，有照片视频防假功能；</w:t>
            </w:r>
          </w:p>
          <w:p w14:paraId="159277C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3、支持人脸采集、卡片录入（ID/IC/普通CPU/国密CPU卡/二三代身份证序列号）；</w:t>
            </w:r>
          </w:p>
          <w:p w14:paraId="12209AE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4、支持有线网络、无线WiFi、USB口通信；</w:t>
            </w:r>
          </w:p>
          <w:p w14:paraId="28C3421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5、支持在线采集，通过网络协议或USB口对接到平台，平台进行在线采集，采集信息实时上传；</w:t>
            </w:r>
          </w:p>
          <w:p w14:paraId="38B960D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57568" behindDoc="0" locked="0" layoutInCell="1" allowOverlap="1">
                  <wp:simplePos x="0" y="0"/>
                  <wp:positionH relativeFrom="column">
                    <wp:posOffset>2710180</wp:posOffset>
                  </wp:positionH>
                  <wp:positionV relativeFrom="paragraph">
                    <wp:posOffset>38100</wp:posOffset>
                  </wp:positionV>
                  <wp:extent cx="1321435" cy="1079500"/>
                  <wp:effectExtent l="0" t="0" r="12065" b="6350"/>
                  <wp:wrapSquare wrapText="bothSides"/>
                  <wp:docPr id="16"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Picture"/>
                          <pic:cNvPicPr>
                            <a:picLocks noChangeAspect="1"/>
                          </pic:cNvPicPr>
                        </pic:nvPicPr>
                        <pic:blipFill>
                          <a:blip r:embed="rId24"/>
                          <a:stretch>
                            <a:fillRect/>
                          </a:stretch>
                        </pic:blipFill>
                        <pic:spPr>
                          <a:xfrm>
                            <a:off x="0" y="0"/>
                            <a:ext cx="1321435" cy="1079500"/>
                          </a:xfrm>
                          <a:prstGeom prst="rect">
                            <a:avLst/>
                          </a:prstGeom>
                        </pic:spPr>
                      </pic:pic>
                    </a:graphicData>
                  </a:graphic>
                </wp:anchor>
              </w:drawing>
            </w:r>
            <w:r>
              <w:rPr>
                <w:rFonts w:hint="eastAsia" w:ascii="宋体" w:hAnsi="宋体" w:eastAsia="宋体" w:cs="宋体"/>
                <w:i w:val="0"/>
                <w:iCs w:val="0"/>
                <w:color w:val="000000"/>
                <w:kern w:val="0"/>
                <w:sz w:val="21"/>
                <w:szCs w:val="21"/>
                <w:u w:val="none"/>
                <w:lang w:val="en-US" w:eastAsia="zh-CN" w:bidi="ar"/>
              </w:rPr>
              <w:t>6、工作电压：DC12V/1.5A (自带电源适配器）；</w:t>
            </w:r>
          </w:p>
          <w:p w14:paraId="5D59E40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7、尺寸：122mm*125mm*138mm</w:t>
            </w:r>
          </w:p>
          <w:p w14:paraId="72F5534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p>
        </w:tc>
        <w:tc>
          <w:tcPr>
            <w:tcW w:w="700" w:type="dxa"/>
            <w:shd w:val="clear" w:color="auto" w:fill="auto"/>
            <w:vAlign w:val="center"/>
          </w:tcPr>
          <w:p w14:paraId="1C144AE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5C647F9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3500</w:t>
            </w:r>
          </w:p>
        </w:tc>
      </w:tr>
      <w:tr w14:paraId="4CEA61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4417819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169</w:t>
            </w:r>
          </w:p>
        </w:tc>
        <w:tc>
          <w:tcPr>
            <w:tcW w:w="716" w:type="dxa"/>
            <w:shd w:val="clear" w:color="auto" w:fill="auto"/>
            <w:vAlign w:val="center"/>
          </w:tcPr>
          <w:p w14:paraId="348E3AE5">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智能球型摄像机</w:t>
            </w:r>
          </w:p>
        </w:tc>
        <w:tc>
          <w:tcPr>
            <w:tcW w:w="6717" w:type="dxa"/>
            <w:shd w:val="clear" w:color="auto" w:fill="auto"/>
            <w:vAlign w:val="top"/>
          </w:tcPr>
          <w:p w14:paraId="2FC569E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海康威视E系列7寸全彩球机;</w:t>
            </w:r>
          </w:p>
          <w:p w14:paraId="1E51025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支持1/2.8" 400万23倍光学变焦镜头，采用高效补光阵列，低功耗，红外补光150 m，白光补光30 m;</w:t>
            </w:r>
          </w:p>
          <w:p w14:paraId="2A99137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支持区域入侵侦测、越界侦测、进入区域侦测和离开区域侦等智能侦测;</w:t>
            </w:r>
          </w:p>
          <w:p w14:paraId="386833F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适用于交通道路，广场、公园、出入口、园区周界等场景;</w:t>
            </w:r>
          </w:p>
          <w:p w14:paraId="0CEBF34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支持最大2560 × 1440 @30 fps高清画面输出;</w:t>
            </w:r>
          </w:p>
          <w:p w14:paraId="73E1CD7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支持切换为人脸抓拍模式，最大同时抓拍5张人脸;</w:t>
            </w:r>
          </w:p>
          <w:p w14:paraId="52A3143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支持H.265高效压缩算法，可较大节省存储空间;</w:t>
            </w:r>
          </w:p>
          <w:p w14:paraId="0F75178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支持超低照度，0.005 Lux @F1.5（彩色），0.001 Lux @F1.5（黑白），0 Lux with IR;</w:t>
            </w:r>
          </w:p>
          <w:p w14:paraId="08847B0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支持23倍光学变倍，16倍数字变倍;</w:t>
            </w:r>
          </w:p>
          <w:p w14:paraId="03FB38A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支持玻璃加热除雾;</w:t>
            </w:r>
          </w:p>
          <w:p w14:paraId="1078294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支持三码流技术，每路码流可独立配置分辨率及帧率;</w:t>
            </w:r>
          </w:p>
          <w:p w14:paraId="0AC3C09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支持真宽动态;</w:t>
            </w:r>
          </w:p>
          <w:p w14:paraId="57C49DA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支持3D数字降噪、强光抑制、SmartIR;</w:t>
            </w:r>
          </w:p>
          <w:p w14:paraId="28D4197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支持360°水平旋转，垂直方向-15°~90°（自动翻转） ;</w:t>
            </w:r>
          </w:p>
          <w:p w14:paraId="0869736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支持3D定位，可通过鼠标框选目标以实现目标的快速定位与捕捉;</w:t>
            </w:r>
          </w:p>
          <w:p w14:paraId="72B3EF7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支持定时任务、一键守望、一键巡航功能;</w:t>
            </w:r>
          </w:p>
          <w:p w14:paraId="529890E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支持最大512 GB的 MicroSD/MicroSDHC/MicroSDXC卡存储;</w:t>
            </w:r>
          </w:p>
          <w:p w14:paraId="6424A85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支持海康SDK、开放型网络视频接口、ISAPI、GB/T28181、ISUP、萤石云平台接入;</w:t>
            </w:r>
          </w:p>
          <w:p w14:paraId="5CDF054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防雷、防浪涌、防突波，IP66防护等级;</w:t>
            </w:r>
          </w:p>
          <w:p w14:paraId="18A5E6E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支持定时抓图与事件抓图功能;</w:t>
            </w:r>
          </w:p>
          <w:p w14:paraId="3C2B739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传感器类型：1/2.8＂ progressive scan CMOS</w:t>
            </w:r>
          </w:p>
          <w:p w14:paraId="3E60853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最低照度：彩色：0.005Lux @ (F1.5，AGC ON)；黑白：0.001Lux @(F1.5，AGC ON)；0 Lux with IR </w:t>
            </w:r>
          </w:p>
          <w:p w14:paraId="55B290E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宽动态：支持真宽动态 </w:t>
            </w:r>
          </w:p>
          <w:p w14:paraId="3C44B21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焦距：5.9-135.7 mm,23倍光学变倍</w:t>
            </w:r>
          </w:p>
          <w:p w14:paraId="40EBB74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视场角：60.2°~3.4°（广角~望远）   </w:t>
            </w:r>
          </w:p>
          <w:p w14:paraId="5C1DF6C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补光灯类型：混合补光</w:t>
            </w:r>
          </w:p>
          <w:p w14:paraId="790E435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补光灯距离：【白光】30m</w:t>
            </w:r>
          </w:p>
          <w:p w14:paraId="5000655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【红外】150m</w:t>
            </w:r>
          </w:p>
          <w:p w14:paraId="23BD81C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防补光过曝：支持 </w:t>
            </w:r>
          </w:p>
          <w:p w14:paraId="30F65FB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水平范围：水平360°</w:t>
            </w:r>
          </w:p>
          <w:p w14:paraId="2C854C5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垂直范围：-15°-90°(自动翻转)</w:t>
            </w:r>
          </w:p>
          <w:p w14:paraId="6AD7E1B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水平速度：水平键控速度：0.1°-160°/s,速度可设;水平预置点速度：240°/s</w:t>
            </w:r>
          </w:p>
          <w:p w14:paraId="1819A85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垂直速度：垂直键控速度：0.1°-120°/s,速度可设;垂直预置点速度：200°/s </w:t>
            </w:r>
          </w:p>
          <w:p w14:paraId="1CE5627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主码流帧率分辨率：50 Hz：25 fps（2560 × 1440，1920 × 1080，1280 × 960，1280 × 720）</w:t>
            </w:r>
          </w:p>
          <w:p w14:paraId="7858350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60 Hz：30 fps（2560 × 1440，1920 × 1080，1280 × 960，1280 × 720）</w:t>
            </w:r>
          </w:p>
          <w:p w14:paraId="6243E12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视频压缩标准：H.265;H.264;MJPEG </w:t>
            </w:r>
          </w:p>
          <w:p w14:paraId="71469BF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网络接口：RJ45网口;自适应10M/100M网络数据</w:t>
            </w:r>
          </w:p>
          <w:p w14:paraId="5399C6F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SD卡扩展：内置Micro SD卡插槽，支持Micro SD/Micro SDHC/Micro SDXC卡（最大支持512GB）</w:t>
            </w:r>
          </w:p>
          <w:p w14:paraId="2AB4477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报警输入：2路报警输入</w:t>
            </w:r>
          </w:p>
          <w:p w14:paraId="3C07FFC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报警输出：1路报警输出</w:t>
            </w:r>
          </w:p>
          <w:p w14:paraId="3171D5B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音频输入：1路音频输入，音频峰值：2-2.4V[p-p]，输入阻抗：1 kΩ±10%</w:t>
            </w:r>
          </w:p>
          <w:p w14:paraId="074636D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音频输出：1路音频输出，线性电平，阻抗:600Ω </w:t>
            </w:r>
          </w:p>
          <w:p w14:paraId="5C64525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使用环境说明：1、请勿将设备使用在振动或冲击环境下，如车载、动车、船舶、港口塔吊、大型采矿机械上等</w:t>
            </w:r>
          </w:p>
          <w:p w14:paraId="0AEC51F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2、请勿将设备使用在强腐蚀、强酸、高盐碱地区，如海上岛屿、海上平台、海上船舶、化工、熏蒸、海边（5公里以内）等特殊腐蚀环境</w:t>
            </w:r>
          </w:p>
          <w:p w14:paraId="5447150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3、请勿将设备应用在强电磁干扰环境，如广播塔天线主发射方向、变电站合闸区、电网输电线近区、轨道受电弓、雷达、医用核磁共振、4G/5G/FM基站天线附近等强电磁干扰高频辐射环境</w:t>
            </w:r>
          </w:p>
          <w:p w14:paraId="071D668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4、请勿将设备使用在极热、极冷、多尘或者长时间高湿度等环境下，参考工作温湿度要求</w:t>
            </w:r>
          </w:p>
          <w:p w14:paraId="63D38A9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供电方式：AC24V</w:t>
            </w:r>
          </w:p>
          <w:p w14:paraId="3C69C17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电流及功耗：最大功耗：42 W（其中红外灯最大功耗：16W）</w:t>
            </w:r>
          </w:p>
          <w:p w14:paraId="760C238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工作温湿度：-30℃-65℃;湿度小于90%</w:t>
            </w:r>
          </w:p>
          <w:p w14:paraId="34DD1C7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恢复出厂设置：支持</w:t>
            </w:r>
          </w:p>
          <w:p w14:paraId="57ADCFB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除雾：加热玻璃除雾 </w:t>
            </w:r>
          </w:p>
          <w:p w14:paraId="27615E9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尺寸：Φ220×353.4mm </w:t>
            </w:r>
          </w:p>
          <w:p w14:paraId="2E4997B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重量：4.5Kg </w:t>
            </w:r>
          </w:p>
          <w:p w14:paraId="53FD9B1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防护：IP66;抗干扰能力强，适用于严酷的电磁环境，符合GB/T17626.2/3/4/5/6四级标准 </w:t>
            </w:r>
          </w:p>
          <w:p w14:paraId="5FC9E70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276350" cy="1276350"/>
                  <wp:effectExtent l="0" t="0" r="0" b="0"/>
                  <wp:docPr id="17"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 descr="Picture"/>
                          <pic:cNvPicPr>
                            <a:picLocks noChangeAspect="1"/>
                          </pic:cNvPicPr>
                        </pic:nvPicPr>
                        <pic:blipFill>
                          <a:blip r:embed="rId25"/>
                          <a:stretch>
                            <a:fillRect/>
                          </a:stretch>
                        </pic:blipFill>
                        <pic:spPr>
                          <a:xfrm>
                            <a:off x="0" y="0"/>
                            <a:ext cx="1276350" cy="1276350"/>
                          </a:xfrm>
                          <a:prstGeom prst="rect">
                            <a:avLst/>
                          </a:prstGeom>
                        </pic:spPr>
                      </pic:pic>
                    </a:graphicData>
                  </a:graphic>
                </wp:inline>
              </w:drawing>
            </w:r>
          </w:p>
        </w:tc>
        <w:tc>
          <w:tcPr>
            <w:tcW w:w="700" w:type="dxa"/>
            <w:shd w:val="clear" w:color="auto" w:fill="auto"/>
            <w:vAlign w:val="center"/>
          </w:tcPr>
          <w:p w14:paraId="114D3C4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5台</w:t>
            </w:r>
          </w:p>
        </w:tc>
        <w:tc>
          <w:tcPr>
            <w:tcW w:w="1179" w:type="dxa"/>
            <w:shd w:val="clear" w:color="auto" w:fill="auto"/>
            <w:vAlign w:val="center"/>
          </w:tcPr>
          <w:p w14:paraId="133185E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4500</w:t>
            </w:r>
          </w:p>
        </w:tc>
      </w:tr>
      <w:tr w14:paraId="4E919D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333597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170</w:t>
            </w:r>
          </w:p>
        </w:tc>
        <w:tc>
          <w:tcPr>
            <w:tcW w:w="716" w:type="dxa"/>
            <w:shd w:val="clear" w:color="auto" w:fill="auto"/>
            <w:vAlign w:val="center"/>
          </w:tcPr>
          <w:p w14:paraId="7548E4C0">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400万枪机</w:t>
            </w:r>
          </w:p>
        </w:tc>
        <w:tc>
          <w:tcPr>
            <w:tcW w:w="6717" w:type="dxa"/>
            <w:shd w:val="clear" w:color="auto" w:fill="auto"/>
            <w:vAlign w:val="top"/>
          </w:tcPr>
          <w:p w14:paraId="565CC42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最高分辨率可达2560 × 1440 @25 fps;</w:t>
            </w:r>
          </w:p>
          <w:p w14:paraId="2CAEB48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支持用户登录锁定机制，及密码复杂度提示;</w:t>
            </w:r>
          </w:p>
          <w:p w14:paraId="6595CA7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支持SmartIR，防止夜间红外过曝;</w:t>
            </w:r>
          </w:p>
          <w:p w14:paraId="73BCCDE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支持背光补偿，强光抑制，3D数字降噪，数字宽动态，适应不同环境;</w:t>
            </w:r>
          </w:p>
          <w:p w14:paraId="065D32B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支持ROI感兴趣区域增强编码;</w:t>
            </w:r>
          </w:p>
          <w:p w14:paraId="5FEE123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支持开放型网络视频接口，ISAPI，SDK，GB28181协议，支持萤石平台接入;</w:t>
            </w:r>
          </w:p>
          <w:p w14:paraId="46FBFB6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1个内置麦克风;</w:t>
            </w:r>
          </w:p>
          <w:p w14:paraId="6A2B473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采用高效阵列红外灯，使用寿命长，红外照射最远可达50 m;</w:t>
            </w:r>
          </w:p>
          <w:p w14:paraId="36E841D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符合IP66防尘防水设计，可靠性高;</w:t>
            </w:r>
          </w:p>
          <w:p w14:paraId="601B271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传感器类型：1/2.7" Progressive Scan CMOS</w:t>
            </w:r>
          </w:p>
          <w:p w14:paraId="52F244E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最低照度：彩色：0.005 Lux @（F1.2，AGC ON），0 Lux with IR</w:t>
            </w:r>
          </w:p>
          <w:p w14:paraId="4B53D8C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最大图像尺寸：2560 × 1440</w:t>
            </w:r>
          </w:p>
          <w:p w14:paraId="7798FB7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宽动态：数字宽动态 </w:t>
            </w:r>
          </w:p>
          <w:p w14:paraId="764103F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焦距&amp;视场角：4 mm，水平视场角：70°，垂直视场角：35°，对角视场角：85°</w:t>
            </w:r>
          </w:p>
          <w:p w14:paraId="63BFDC9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 mm，水平视场角：46°，垂直视场角：24°，对角视场角：54°</w:t>
            </w:r>
          </w:p>
          <w:p w14:paraId="43B70AF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 mm，水平视场角：43°，垂直视场角：24°，对角视场角：50°</w:t>
            </w:r>
          </w:p>
          <w:p w14:paraId="03F09BB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12 mm，水平视场角：27°，垂直视场角：15°，对角视场角：31°  </w:t>
            </w:r>
          </w:p>
          <w:p w14:paraId="11268B5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红外波长范围：850 nm</w:t>
            </w:r>
          </w:p>
          <w:p w14:paraId="6DB50D0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防补光过曝：支持</w:t>
            </w:r>
          </w:p>
          <w:p w14:paraId="647761E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补光灯类型：红外灯</w:t>
            </w:r>
          </w:p>
          <w:p w14:paraId="6F999CA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补光距离：最远可达50 m </w:t>
            </w:r>
          </w:p>
          <w:p w14:paraId="252AD61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视频压缩标准：主码流：H.265/H.264</w:t>
            </w:r>
          </w:p>
          <w:p w14:paraId="2D0BFA1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子码流：H.265/H.264/MJPEG </w:t>
            </w:r>
          </w:p>
          <w:p w14:paraId="3188B2B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音频：1个内置麦克风</w:t>
            </w:r>
          </w:p>
          <w:p w14:paraId="08E588D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网络：1个RJ45 10 M/100 M自适应以太网口 </w:t>
            </w:r>
          </w:p>
          <w:p w14:paraId="40A52F8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启动及工作温湿度：-30 ℃~60 ℃，湿度小于95%（无凝结）</w:t>
            </w:r>
          </w:p>
          <w:p w14:paraId="264D27F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存储温湿度：-30 ℃~60 ℃，湿度小于95%（无凝结）</w:t>
            </w:r>
          </w:p>
          <w:p w14:paraId="20EB4DA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恢复出厂设置：支持客户端或浏览器恢复</w:t>
            </w:r>
          </w:p>
          <w:p w14:paraId="09E31FC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供电方式：DC：12 V ± 25%，支持防反接保护</w:t>
            </w:r>
          </w:p>
          <w:p w14:paraId="6DF47B8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PoE：IEEE 802.3af，Class 3</w:t>
            </w:r>
          </w:p>
          <w:p w14:paraId="705FA6B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电流及功耗：DC：12 V，0.42 A，最大功耗：5 W</w:t>
            </w:r>
          </w:p>
          <w:p w14:paraId="2B484CA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PoE：IEEE 802.3af，CLASS 3，最大功耗：6.5 W</w:t>
            </w:r>
          </w:p>
          <w:p w14:paraId="4E1E440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电源接口类型：Ø5.5 mm圆口</w:t>
            </w:r>
          </w:p>
          <w:p w14:paraId="4FB426C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55520" behindDoc="0" locked="0" layoutInCell="1" allowOverlap="1">
                  <wp:simplePos x="0" y="0"/>
                  <wp:positionH relativeFrom="column">
                    <wp:posOffset>2592705</wp:posOffset>
                  </wp:positionH>
                  <wp:positionV relativeFrom="paragraph">
                    <wp:posOffset>186690</wp:posOffset>
                  </wp:positionV>
                  <wp:extent cx="1199515" cy="1199515"/>
                  <wp:effectExtent l="0" t="0" r="635" b="635"/>
                  <wp:wrapSquare wrapText="bothSides"/>
                  <wp:docPr id="18"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 descr="Picture"/>
                          <pic:cNvPicPr>
                            <a:picLocks noChangeAspect="1"/>
                          </pic:cNvPicPr>
                        </pic:nvPicPr>
                        <pic:blipFill>
                          <a:blip r:embed="rId26"/>
                          <a:stretch>
                            <a:fillRect/>
                          </a:stretch>
                        </pic:blipFill>
                        <pic:spPr>
                          <a:xfrm>
                            <a:off x="0" y="0"/>
                            <a:ext cx="1199515" cy="1199515"/>
                          </a:xfrm>
                          <a:prstGeom prst="rect">
                            <a:avLst/>
                          </a:prstGeom>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 产品尺寸：87.1 × 83.7 × 171.7 mm</w:t>
            </w:r>
          </w:p>
          <w:p w14:paraId="458C2A1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包装尺寸：216 × 121 × 118 mm</w:t>
            </w:r>
          </w:p>
          <w:p w14:paraId="30536D4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设备重量：360 g</w:t>
            </w:r>
          </w:p>
          <w:p w14:paraId="2A9C7B5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带包装重量：519 g </w:t>
            </w:r>
          </w:p>
          <w:p w14:paraId="61CBC3D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防护：IP66 </w:t>
            </w:r>
          </w:p>
        </w:tc>
        <w:tc>
          <w:tcPr>
            <w:tcW w:w="700" w:type="dxa"/>
            <w:shd w:val="clear" w:color="auto" w:fill="auto"/>
            <w:vAlign w:val="center"/>
          </w:tcPr>
          <w:p w14:paraId="24FD9EF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38台</w:t>
            </w:r>
          </w:p>
        </w:tc>
        <w:tc>
          <w:tcPr>
            <w:tcW w:w="1179" w:type="dxa"/>
            <w:shd w:val="clear" w:color="auto" w:fill="auto"/>
            <w:vAlign w:val="center"/>
          </w:tcPr>
          <w:p w14:paraId="529AF3F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680</w:t>
            </w:r>
          </w:p>
        </w:tc>
      </w:tr>
      <w:tr w14:paraId="237C8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0A8994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171</w:t>
            </w:r>
          </w:p>
        </w:tc>
        <w:tc>
          <w:tcPr>
            <w:tcW w:w="716" w:type="dxa"/>
            <w:shd w:val="clear" w:color="auto" w:fill="auto"/>
            <w:vAlign w:val="center"/>
          </w:tcPr>
          <w:p w14:paraId="79FC415F">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400万半球</w:t>
            </w:r>
          </w:p>
        </w:tc>
        <w:tc>
          <w:tcPr>
            <w:tcW w:w="6717" w:type="dxa"/>
            <w:shd w:val="clear" w:color="auto" w:fill="auto"/>
            <w:vAlign w:val="top"/>
          </w:tcPr>
          <w:p w14:paraId="628CFD0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最高分辨率可达2560 × 1440 @25 fps;</w:t>
            </w:r>
          </w:p>
          <w:p w14:paraId="5B59AA0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支持用户登录锁定机制，及密码复杂度提示;</w:t>
            </w:r>
          </w:p>
          <w:p w14:paraId="419C62E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支持SmartIR，防止夜间红外过曝;</w:t>
            </w:r>
          </w:p>
          <w:p w14:paraId="63A25F7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支持背光补偿，强光抑制，3D数字降噪，数字宽动态，适应不同环境;</w:t>
            </w:r>
          </w:p>
          <w:p w14:paraId="2983D4E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支持ROI感兴趣区域增强编码;</w:t>
            </w:r>
          </w:p>
          <w:p w14:paraId="23B0D9E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支持开放型网络视频接口，ISAPI，SDK，GB28181协议，支持萤石平台接入;</w:t>
            </w:r>
          </w:p>
          <w:p w14:paraId="2BF8955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1个内置麦克风;</w:t>
            </w:r>
          </w:p>
          <w:p w14:paraId="58B9CAF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采用高效阵列红外灯，使用寿命长，红外照射最远可达30 m;</w:t>
            </w:r>
          </w:p>
          <w:p w14:paraId="61C565C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符合IP66防尘防水设计，可靠性高;</w:t>
            </w:r>
          </w:p>
          <w:p w14:paraId="479AD9A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传感器类型：1/2.7" Progressive Scan CMOS</w:t>
            </w:r>
          </w:p>
          <w:p w14:paraId="0DDE01E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最大图像尺寸：2560 × 1440</w:t>
            </w:r>
          </w:p>
          <w:p w14:paraId="687DD75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最低照度：彩色：0.005 Lux @（F1.2, AGC ON），0 Lux with IR</w:t>
            </w:r>
          </w:p>
          <w:p w14:paraId="38CEDF1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宽动态：数字宽动态</w:t>
            </w:r>
          </w:p>
          <w:p w14:paraId="609C403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调节角度：水平：0°~360°，垂直：0°~75°，旋转：0°~360° </w:t>
            </w:r>
          </w:p>
          <w:p w14:paraId="7E2EFFB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焦距&amp;视场角：2.8 mm：水平视场角：94°，垂直视场角：49°，对角视场角：114°</w:t>
            </w:r>
          </w:p>
          <w:p w14:paraId="1278105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 mm，水平视场角：70°，垂直视场角：35°，对角视场角：85°</w:t>
            </w:r>
          </w:p>
          <w:p w14:paraId="5F271C1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 mm，水平视场角：46°，垂直视场角：24°，对角视场角：54°</w:t>
            </w:r>
          </w:p>
          <w:p w14:paraId="3B23F6D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8 mm，水平视场角：43°，垂直视场角：24°，对角视场角：50° </w:t>
            </w:r>
          </w:p>
          <w:p w14:paraId="305DEC5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12 mm，水平视场角：27°，垂直视场角：15°，对角视场角：31°  </w:t>
            </w:r>
          </w:p>
          <w:p w14:paraId="3B549B4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红外波长范围：850 nm</w:t>
            </w:r>
          </w:p>
          <w:p w14:paraId="11ECC96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防补光过曝：支持</w:t>
            </w:r>
          </w:p>
          <w:p w14:paraId="78E17DE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补光灯类型：红外灯</w:t>
            </w:r>
          </w:p>
          <w:p w14:paraId="3C0A2FF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补光距离：最远可达30 m </w:t>
            </w:r>
          </w:p>
          <w:p w14:paraId="6C1A85F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视频压缩标准：主码流：H.265/H.264</w:t>
            </w:r>
          </w:p>
          <w:p w14:paraId="0C2AEA1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子码流：H.265/H.264/MJPEG </w:t>
            </w:r>
          </w:p>
          <w:p w14:paraId="5C08280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音频：1个内置麦克风</w:t>
            </w:r>
          </w:p>
          <w:p w14:paraId="282979B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网络：1个RJ45 10 M/100 M自适应以太网口 </w:t>
            </w:r>
          </w:p>
          <w:p w14:paraId="433E632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存储温湿度：-30 ℃~60 ℃，湿度小于95%（无凝结）</w:t>
            </w:r>
          </w:p>
          <w:p w14:paraId="53603A9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启动及工作温湿度：-30 ℃~60 ℃，湿度小于95%（无凝结）</w:t>
            </w:r>
          </w:p>
          <w:p w14:paraId="581D9B1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恢复出厂设置：支持客户端或浏览器恢复</w:t>
            </w:r>
          </w:p>
          <w:p w14:paraId="3C3E163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供电方式：DC：12 V ± 25%，支持防反接保护</w:t>
            </w:r>
          </w:p>
          <w:p w14:paraId="0C3F893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PoE：IEEE 802.3af，CLASS 3</w:t>
            </w:r>
          </w:p>
          <w:p w14:paraId="1BB2A6A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电流及功耗：DC：12 V，0.42 A，最大功耗：5 W</w:t>
            </w:r>
          </w:p>
          <w:p w14:paraId="5EAE763B">
            <w:pPr>
              <w:keepNext w:val="0"/>
              <w:keepLines w:val="0"/>
              <w:widowControl/>
              <w:suppressLineNumbers w:val="0"/>
              <w:ind w:firstLine="210" w:firstLineChars="10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PoE： IEEE 802.3af，CLASS 3，最大功耗：6.5 W</w:t>
            </w:r>
          </w:p>
          <w:p w14:paraId="2AE4F56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电源接口类型：Ø5.5 mm圆口</w:t>
            </w:r>
          </w:p>
          <w:p w14:paraId="2F4D2FA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产品尺寸：Ø110 × 93 mm</w:t>
            </w:r>
          </w:p>
          <w:p w14:paraId="10C467F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54496" behindDoc="0" locked="0" layoutInCell="1" allowOverlap="1">
                  <wp:simplePos x="0" y="0"/>
                  <wp:positionH relativeFrom="column">
                    <wp:posOffset>2709545</wp:posOffset>
                  </wp:positionH>
                  <wp:positionV relativeFrom="paragraph">
                    <wp:posOffset>-8856345</wp:posOffset>
                  </wp:positionV>
                  <wp:extent cx="1192530" cy="1192530"/>
                  <wp:effectExtent l="0" t="0" r="7620" b="7620"/>
                  <wp:wrapSquare wrapText="bothSides"/>
                  <wp:docPr id="19"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 descr="Picture"/>
                          <pic:cNvPicPr>
                            <a:picLocks noChangeAspect="1"/>
                          </pic:cNvPicPr>
                        </pic:nvPicPr>
                        <pic:blipFill>
                          <a:blip r:embed="rId27"/>
                          <a:stretch>
                            <a:fillRect/>
                          </a:stretch>
                        </pic:blipFill>
                        <pic:spPr>
                          <a:xfrm>
                            <a:off x="0" y="0"/>
                            <a:ext cx="1192530" cy="1192530"/>
                          </a:xfrm>
                          <a:prstGeom prst="rect">
                            <a:avLst/>
                          </a:prstGeom>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 包装尺寸：145 × 145 × 128 mm</w:t>
            </w:r>
          </w:p>
          <w:p w14:paraId="4356A87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设备重量：300 g</w:t>
            </w:r>
          </w:p>
          <w:p w14:paraId="06C43A9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带包装重量：440 g </w:t>
            </w:r>
          </w:p>
          <w:p w14:paraId="5F81C03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防护：IP66 </w:t>
            </w:r>
          </w:p>
        </w:tc>
        <w:tc>
          <w:tcPr>
            <w:tcW w:w="700" w:type="dxa"/>
            <w:shd w:val="clear" w:color="auto" w:fill="auto"/>
            <w:vAlign w:val="center"/>
          </w:tcPr>
          <w:p w14:paraId="7DCACE9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60台</w:t>
            </w:r>
          </w:p>
        </w:tc>
        <w:tc>
          <w:tcPr>
            <w:tcW w:w="1179" w:type="dxa"/>
            <w:shd w:val="clear" w:color="auto" w:fill="auto"/>
            <w:vAlign w:val="center"/>
          </w:tcPr>
          <w:p w14:paraId="490C9E9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680</w:t>
            </w:r>
          </w:p>
        </w:tc>
      </w:tr>
      <w:tr w14:paraId="135E71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6A353DF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172</w:t>
            </w:r>
          </w:p>
        </w:tc>
        <w:tc>
          <w:tcPr>
            <w:tcW w:w="716" w:type="dxa"/>
            <w:shd w:val="clear" w:color="auto" w:fill="auto"/>
            <w:vAlign w:val="center"/>
          </w:tcPr>
          <w:p w14:paraId="5C7AE484">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200路24盘位录像机</w:t>
            </w:r>
          </w:p>
        </w:tc>
        <w:tc>
          <w:tcPr>
            <w:tcW w:w="6717" w:type="dxa"/>
            <w:shd w:val="clear" w:color="auto" w:fill="auto"/>
            <w:vAlign w:val="top"/>
          </w:tcPr>
          <w:p w14:paraId="508F080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4U机架式24盘位网络硬盘录像机，整机采用短机箱设计，搭载1+1冗余电源</w:t>
            </w:r>
          </w:p>
          <w:p w14:paraId="3398B4E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【硬件规格】</w:t>
            </w:r>
          </w:p>
          <w:p w14:paraId="7285726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存储接口：24个SATA接口，支持硬盘热插拔，已内置24块16T AI盘</w:t>
            </w:r>
          </w:p>
          <w:p w14:paraId="4F71A65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视频接口：1×HDMI</w:t>
            </w:r>
          </w:p>
          <w:p w14:paraId="6BCB3E2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网络接口：4×RJ45 10/100/1000Mbps自适应以太网口</w:t>
            </w:r>
          </w:p>
          <w:p w14:paraId="1ED2473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串行接口：1路RS-232接口</w:t>
            </w:r>
          </w:p>
          <w:p w14:paraId="4CC49B9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USB接口：2×USB 2.0，2×USB 3.0</w:t>
            </w:r>
          </w:p>
          <w:p w14:paraId="3D2D482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【产品性能】</w:t>
            </w:r>
          </w:p>
          <w:p w14:paraId="09DC635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输入带宽：1024Mbps（开启RAID后为512Mbps）；1024Mbps带宽需配合负载均衡模式</w:t>
            </w:r>
          </w:p>
          <w:p w14:paraId="24AD2F9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输出带宽：1024Mbps（开启RAID后为512Mbps）；1024Mbps带宽需配合负载均衡模式</w:t>
            </w:r>
          </w:p>
          <w:p w14:paraId="13D16D1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接入能力：200路H.264、H.265格式高清码流接入</w:t>
            </w:r>
          </w:p>
          <w:p w14:paraId="3421A73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解码能力：最大支持12×1080P</w:t>
            </w:r>
          </w:p>
          <w:p w14:paraId="5A57D46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显示能力：最大支持4K输出</w:t>
            </w:r>
          </w:p>
          <w:p w14:paraId="69742D3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RAID模式：RAID0、RAID1、RAID5、RAID6、RAID10，支持全局热备盘</w:t>
            </w:r>
          </w:p>
          <w:p w14:paraId="4162624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524000" cy="1041400"/>
                  <wp:effectExtent l="0" t="0" r="0" b="0"/>
                  <wp:docPr id="29"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1" descr="Picture"/>
                          <pic:cNvPicPr>
                            <a:picLocks noChangeAspect="1"/>
                          </pic:cNvPicPr>
                        </pic:nvPicPr>
                        <pic:blipFill>
                          <a:blip r:embed="rId28"/>
                          <a:stretch>
                            <a:fillRect/>
                          </a:stretch>
                        </pic:blipFill>
                        <pic:spPr>
                          <a:xfrm>
                            <a:off x="0" y="0"/>
                            <a:ext cx="1524000" cy="1041400"/>
                          </a:xfrm>
                          <a:prstGeom prst="rect">
                            <a:avLst/>
                          </a:prstGeom>
                        </pic:spPr>
                      </pic:pic>
                    </a:graphicData>
                  </a:graphic>
                </wp:inline>
              </w:drawing>
            </w:r>
          </w:p>
        </w:tc>
        <w:tc>
          <w:tcPr>
            <w:tcW w:w="700" w:type="dxa"/>
            <w:shd w:val="clear" w:color="auto" w:fill="auto"/>
            <w:vAlign w:val="center"/>
          </w:tcPr>
          <w:p w14:paraId="70FB692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1F3C6E2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85000</w:t>
            </w:r>
          </w:p>
        </w:tc>
      </w:tr>
      <w:tr w14:paraId="4D18C8A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C153B15">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173</w:t>
            </w:r>
          </w:p>
        </w:tc>
        <w:tc>
          <w:tcPr>
            <w:tcW w:w="716" w:type="dxa"/>
            <w:shd w:val="clear" w:color="auto" w:fill="auto"/>
            <w:vAlign w:val="center"/>
          </w:tcPr>
          <w:p w14:paraId="2CAD9144">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千兆交换机</w:t>
            </w:r>
          </w:p>
        </w:tc>
        <w:tc>
          <w:tcPr>
            <w:tcW w:w="6717" w:type="dxa"/>
            <w:shd w:val="clear" w:color="auto" w:fill="auto"/>
            <w:vAlign w:val="top"/>
          </w:tcPr>
          <w:p w14:paraId="5FB5B64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提供24个千兆PoE电口，2个千兆光口 </w:t>
            </w:r>
          </w:p>
          <w:p w14:paraId="133DCC7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交换容量：52 Gbps </w:t>
            </w:r>
          </w:p>
          <w:p w14:paraId="0D60566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包转发率：38.69 Mpps </w:t>
            </w:r>
          </w:p>
          <w:p w14:paraId="5C8B711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支持IEEE 802.3at/af </w:t>
            </w:r>
          </w:p>
          <w:p w14:paraId="0C672E0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端口最大供电功率：30 W </w:t>
            </w:r>
          </w:p>
          <w:p w14:paraId="7C34E0F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整机最大供电功率：225W </w:t>
            </w:r>
          </w:p>
          <w:p w14:paraId="0464CCC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支持IEEE 802.3、IEEE 802.3u、IEEE 802.3x </w:t>
            </w:r>
          </w:p>
          <w:p w14:paraId="4F1E686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支持6 KV防浪涌（PoE口） </w:t>
            </w:r>
          </w:p>
          <w:p w14:paraId="43D341B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支持PoE输出功率管理 </w:t>
            </w:r>
          </w:p>
          <w:p w14:paraId="5C30F3E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浪涌防护：6 KV</w:t>
            </w:r>
          </w:p>
          <w:p w14:paraId="7C4A154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524000" cy="1016000"/>
                  <wp:effectExtent l="0" t="0" r="0" b="0"/>
                  <wp:docPr id="30"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 descr="Picture"/>
                          <pic:cNvPicPr>
                            <a:picLocks noChangeAspect="1"/>
                          </pic:cNvPicPr>
                        </pic:nvPicPr>
                        <pic:blipFill>
                          <a:blip r:embed="rId29"/>
                          <a:stretch>
                            <a:fillRect/>
                          </a:stretch>
                        </pic:blipFill>
                        <pic:spPr>
                          <a:xfrm>
                            <a:off x="0" y="0"/>
                            <a:ext cx="1524000" cy="1016000"/>
                          </a:xfrm>
                          <a:prstGeom prst="rect">
                            <a:avLst/>
                          </a:prstGeom>
                        </pic:spPr>
                      </pic:pic>
                    </a:graphicData>
                  </a:graphic>
                </wp:inline>
              </w:drawing>
            </w:r>
          </w:p>
        </w:tc>
        <w:tc>
          <w:tcPr>
            <w:tcW w:w="700" w:type="dxa"/>
            <w:shd w:val="clear" w:color="auto" w:fill="auto"/>
            <w:vAlign w:val="center"/>
          </w:tcPr>
          <w:p w14:paraId="0562FE2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6台</w:t>
            </w:r>
          </w:p>
        </w:tc>
        <w:tc>
          <w:tcPr>
            <w:tcW w:w="1179" w:type="dxa"/>
            <w:shd w:val="clear" w:color="auto" w:fill="auto"/>
            <w:vAlign w:val="center"/>
          </w:tcPr>
          <w:p w14:paraId="28E72C0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2500</w:t>
            </w:r>
          </w:p>
        </w:tc>
      </w:tr>
      <w:tr w14:paraId="036135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336FC98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174</w:t>
            </w:r>
          </w:p>
        </w:tc>
        <w:tc>
          <w:tcPr>
            <w:tcW w:w="716" w:type="dxa"/>
            <w:shd w:val="clear" w:color="auto" w:fill="auto"/>
            <w:vAlign w:val="center"/>
          </w:tcPr>
          <w:p w14:paraId="044B1B51">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液晶显示器</w:t>
            </w:r>
          </w:p>
        </w:tc>
        <w:tc>
          <w:tcPr>
            <w:tcW w:w="6717" w:type="dxa"/>
            <w:shd w:val="clear" w:color="auto" w:fill="auto"/>
            <w:vAlign w:val="top"/>
          </w:tcPr>
          <w:p w14:paraId="2FE2194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65寸行业4K塑胶监控显示器</w:t>
            </w:r>
          </w:p>
          <w:p w14:paraId="34BE381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支持3840 × 2160超高清显示</w:t>
            </w:r>
          </w:p>
          <w:p w14:paraId="5BC3EE6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1.07B 真色彩，高清晰画质，高对比度</w:t>
            </w:r>
          </w:p>
          <w:p w14:paraId="3FD2399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采用超宽视角屏幕（上下左右）178°</w:t>
            </w:r>
          </w:p>
          <w:p w14:paraId="7423ADD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3D数字图象降噪处理技术，画质更真实更清晰</w:t>
            </w:r>
          </w:p>
          <w:p w14:paraId="596B0E6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支持文本、图片、音频、视频等多种格式多媒体播放</w:t>
            </w:r>
          </w:p>
          <w:p w14:paraId="43A33FC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显示尺寸：65 inch</w:t>
            </w:r>
          </w:p>
          <w:p w14:paraId="3A24C15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屏幕可视区域：1428.48 (H) mm × 803.52 (V)mm</w:t>
            </w:r>
          </w:p>
          <w:p w14:paraId="43DF66D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物理分辨率：3840 × 2160</w:t>
            </w:r>
          </w:p>
          <w:p w14:paraId="3AB7F69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背光源类型：D-LED</w:t>
            </w:r>
          </w:p>
          <w:p w14:paraId="3092E5B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像素间距：0.372 mm (H) × 0.372 mm (V)</w:t>
            </w:r>
          </w:p>
          <w:p w14:paraId="1D76C2B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亮度：350 cd/m²</w:t>
            </w:r>
          </w:p>
          <w:p w14:paraId="5173E90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色深度：8bit，16.7 M</w:t>
            </w:r>
          </w:p>
          <w:p w14:paraId="3BBDEF3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响应时间：8 ms</w:t>
            </w:r>
          </w:p>
          <w:p w14:paraId="30BF621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刷新率：60 Hz</w:t>
            </w:r>
          </w:p>
          <w:p w14:paraId="165C31F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表面处理：Haze 1%, 3H</w:t>
            </w:r>
          </w:p>
          <w:p w14:paraId="4656573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连续使用时间：7 × 16 H</w:t>
            </w:r>
          </w:p>
          <w:p w14:paraId="3D549A8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色域：72% NTSC </w:t>
            </w:r>
          </w:p>
          <w:p w14:paraId="789B50E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音视频输入接口：HDMI 1.4 × 1 , HDMI 2.0 × 1，VGA × 1 , Audio in × 1</w:t>
            </w:r>
          </w:p>
          <w:p w14:paraId="518793B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音视频输出接口：SPEAK OUT × 2 (6Ω 11W)</w:t>
            </w:r>
          </w:p>
          <w:p w14:paraId="17DF498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数据传输接口：USB2.0 × 1 </w:t>
            </w:r>
          </w:p>
          <w:p w14:paraId="2877083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控制接口：RS232 IN × 1 </w:t>
            </w:r>
          </w:p>
          <w:p w14:paraId="5A21956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电源：100~240 VAC, 50/60 Hz</w:t>
            </w:r>
          </w:p>
          <w:p w14:paraId="483C0F0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功耗：≤ 190 W</w:t>
            </w:r>
          </w:p>
          <w:p w14:paraId="7DE4875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待机功耗：≤ 0.5 W </w:t>
            </w:r>
          </w:p>
          <w:p w14:paraId="6E5E496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工作湿度：20%~80% RH(无冷凝水)</w:t>
            </w:r>
          </w:p>
          <w:p w14:paraId="76740B47">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存储湿度：10%~90% RH(无冷凝水) </w:t>
            </w:r>
          </w:p>
          <w:p w14:paraId="5663BE3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外壳材料：塑胶</w:t>
            </w:r>
          </w:p>
          <w:p w14:paraId="1A1C439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安装孔距：300 mm × 300 mm（4-M6 × 25mm）</w:t>
            </w:r>
          </w:p>
          <w:p w14:paraId="7E4583BB">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边框宽度：8.24 mm（上/左/右），22.62 mm（下）</w:t>
            </w:r>
          </w:p>
          <w:p w14:paraId="39B40AC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产品尺寸：1449.6 (W) mm × 838.4 (H) mm × 78.6 (D) mm（无底座）</w:t>
            </w:r>
          </w:p>
          <w:p w14:paraId="00701D7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1449.6 (W) mm × 883.4 (H) mm × 283.4 (D) mm（含底座）</w:t>
            </w:r>
          </w:p>
          <w:p w14:paraId="6BACBC28">
            <w:pPr>
              <w:keepNext w:val="0"/>
              <w:keepLines w:val="0"/>
              <w:widowControl/>
              <w:suppressLineNumbers w:val="0"/>
              <w:jc w:val="left"/>
              <w:textAlignment w:val="top"/>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净重</w:t>
            </w:r>
            <w:r>
              <w:rPr>
                <w:rFonts w:hint="eastAsia" w:ascii="宋体" w:hAnsi="宋体" w:eastAsia="宋体" w:cs="宋体"/>
                <w:i w:val="0"/>
                <w:iCs w:val="0"/>
                <w:color w:val="000000"/>
                <w:kern w:val="0"/>
                <w:sz w:val="21"/>
                <w:szCs w:val="21"/>
                <w:highlight w:val="none"/>
                <w:u w:val="none"/>
                <w:lang w:val="en-US" w:eastAsia="zh-CN" w:bidi="ar"/>
              </w:rPr>
              <w:t>：18.7 ± 0.5 kg</w:t>
            </w:r>
          </w:p>
          <w:p w14:paraId="7FAC8A09">
            <w:pP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auto"/>
                <w:kern w:val="0"/>
                <w:sz w:val="21"/>
                <w:szCs w:val="21"/>
                <w:highlight w:val="none"/>
                <w:u w:val="none"/>
                <w:lang w:val="en-US" w:eastAsia="zh-CN" w:bidi="ar"/>
              </w:rPr>
              <w:t>★</w:t>
            </w:r>
            <w:r>
              <w:rPr>
                <w:rFonts w:hint="eastAsia" w:ascii="宋体" w:hAnsi="宋体" w:eastAsia="宋体" w:cs="宋体"/>
                <w:b/>
                <w:bCs/>
                <w:color w:val="auto"/>
                <w:sz w:val="21"/>
                <w:szCs w:val="21"/>
                <w:highlight w:val="none"/>
              </w:rPr>
              <w:t>投标文件中须提供所投产品获得国家确定的认证机构出具的、处于有效之内的节能产品认证证书扫描件并加盖投标人CA证书签章，否则投标文件无效。</w:t>
            </w:r>
          </w:p>
          <w:p w14:paraId="4D6A678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552575" cy="952500"/>
                  <wp:effectExtent l="0" t="0" r="9525" b="0"/>
                  <wp:docPr id="31" name="图片 17" descr="DS-D50UK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7" descr="DS-D50UK6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a:xfrm>
                            <a:off x="0" y="0"/>
                            <a:ext cx="1552575" cy="952500"/>
                          </a:xfrm>
                          <a:prstGeom prst="rect">
                            <a:avLst/>
                          </a:prstGeom>
                          <a:noFill/>
                        </pic:spPr>
                      </pic:pic>
                    </a:graphicData>
                  </a:graphic>
                </wp:inline>
              </w:drawing>
            </w:r>
          </w:p>
        </w:tc>
        <w:tc>
          <w:tcPr>
            <w:tcW w:w="700" w:type="dxa"/>
            <w:shd w:val="clear" w:color="auto" w:fill="auto"/>
            <w:vAlign w:val="center"/>
          </w:tcPr>
          <w:p w14:paraId="30D3703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4E3B630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3600</w:t>
            </w:r>
          </w:p>
        </w:tc>
      </w:tr>
      <w:tr w14:paraId="1E18CA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12A402C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175</w:t>
            </w:r>
          </w:p>
        </w:tc>
        <w:tc>
          <w:tcPr>
            <w:tcW w:w="716" w:type="dxa"/>
            <w:shd w:val="clear" w:color="auto" w:fill="auto"/>
            <w:vAlign w:val="center"/>
          </w:tcPr>
          <w:p w14:paraId="6D69A10F">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智能视频管理平台服务器</w:t>
            </w:r>
          </w:p>
        </w:tc>
        <w:tc>
          <w:tcPr>
            <w:tcW w:w="6717" w:type="dxa"/>
            <w:shd w:val="clear" w:color="auto" w:fill="auto"/>
            <w:vAlign w:val="top"/>
          </w:tcPr>
          <w:p w14:paraId="3C15B984">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【教育综合安防管理平台】 </w:t>
            </w:r>
          </w:p>
          <w:p w14:paraId="5F70317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授权包含】：基础包、视频监控、门禁管理、入侵报警、紧急报警、访客管理、数据看板、三防建设、巡更管理、护学岗、风险台账、隐患台账、停车场车辆收费管理、园区人员布控、园区人车智能搜索、视频联网、设备网络管理、视频质量诊断业务 。</w:t>
            </w:r>
          </w:p>
          <w:p w14:paraId="3A50F3A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【关键规格】：300路视频，50个门禁，10个车道，50个防区管理，10路紧急报警，1万人员基础信息管理 。 </w:t>
            </w:r>
          </w:p>
          <w:p w14:paraId="4E527C0F">
            <w:pPr>
              <w:keepNext w:val="0"/>
              <w:keepLines w:val="0"/>
              <w:widowControl/>
              <w:suppressLineNumbers w:val="0"/>
              <w:jc w:val="left"/>
              <w:textAlignment w:val="top"/>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u w:val="none"/>
                <w:lang w:val="en-US" w:eastAsia="zh-CN" w:bidi="ar"/>
              </w:rPr>
              <w:t>支持家校互通</w:t>
            </w:r>
            <w:r>
              <w:rPr>
                <w:rFonts w:hint="eastAsia" w:ascii="宋体" w:hAnsi="宋体" w:eastAsia="宋体" w:cs="宋体"/>
                <w:i w:val="0"/>
                <w:iCs w:val="0"/>
                <w:color w:val="000000"/>
                <w:kern w:val="0"/>
                <w:sz w:val="21"/>
                <w:szCs w:val="21"/>
                <w:highlight w:val="none"/>
                <w:u w:val="none"/>
                <w:lang w:val="en-US" w:eastAsia="zh-CN" w:bidi="ar"/>
              </w:rPr>
              <w:t xml:space="preserve">：结合相关教育平台，实现平台融合，闭环请假申请、老师审批、门禁通行、到离校通知、考勤统计。 </w:t>
            </w:r>
          </w:p>
          <w:p w14:paraId="72524D62">
            <w:pPr>
              <w:keepNext w:val="0"/>
              <w:keepLines w:val="0"/>
              <w:widowControl/>
              <w:suppressLineNumbers w:val="0"/>
              <w:jc w:val="left"/>
              <w:textAlignment w:val="top"/>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支持台账共享：结合教育安全督导平台，构建局校互联，实现风险管控、隐患排查、智能填报级联 。</w:t>
            </w:r>
          </w:p>
          <w:p w14:paraId="5D8513D4">
            <w:pPr>
              <w:keepNext w:val="0"/>
              <w:keepLines w:val="0"/>
              <w:widowControl/>
              <w:suppressLineNumbers w:val="0"/>
              <w:jc w:val="left"/>
              <w:textAlignment w:val="top"/>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w:t>
            </w:r>
            <w:r>
              <w:rPr>
                <w:rFonts w:hint="eastAsia" w:ascii="宋体" w:hAnsi="宋体" w:eastAsia="宋体" w:cs="宋体"/>
                <w:b/>
                <w:bCs/>
                <w:i w:val="0"/>
                <w:iCs w:val="0"/>
                <w:color w:val="000000"/>
                <w:kern w:val="0"/>
                <w:sz w:val="21"/>
                <w:szCs w:val="21"/>
                <w:highlight w:val="none"/>
                <w:u w:val="none"/>
                <w:lang w:val="en-US" w:eastAsia="zh-CN" w:bidi="ar"/>
              </w:rPr>
              <w:t>含相关教育平台5年授权使用费</w:t>
            </w:r>
            <w:r>
              <w:rPr>
                <w:rFonts w:hint="eastAsia" w:ascii="宋体" w:hAnsi="宋体" w:eastAsia="宋体" w:cs="宋体"/>
                <w:i w:val="0"/>
                <w:iCs w:val="0"/>
                <w:color w:val="000000"/>
                <w:kern w:val="0"/>
                <w:sz w:val="21"/>
                <w:szCs w:val="21"/>
                <w:highlight w:val="none"/>
                <w:u w:val="none"/>
                <w:lang w:val="en-US" w:eastAsia="zh-CN" w:bidi="ar"/>
              </w:rPr>
              <w:t xml:space="preserve">】 </w:t>
            </w:r>
          </w:p>
          <w:p w14:paraId="0DBF1E92">
            <w:pPr>
              <w:keepNext w:val="0"/>
              <w:keepLines w:val="0"/>
              <w:widowControl/>
              <w:suppressLineNumbers w:val="0"/>
              <w:jc w:val="left"/>
              <w:textAlignment w:val="top"/>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 xml:space="preserve">服务包括： </w:t>
            </w:r>
          </w:p>
          <w:p w14:paraId="1F5F7D8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1）打通组织和人员基础数据，相关教育平台录</w:t>
            </w:r>
            <w:r>
              <w:rPr>
                <w:rFonts w:hint="eastAsia" w:ascii="宋体" w:hAnsi="宋体" w:eastAsia="宋体" w:cs="宋体"/>
                <w:i w:val="0"/>
                <w:iCs w:val="0"/>
                <w:color w:val="000000"/>
                <w:kern w:val="0"/>
                <w:sz w:val="21"/>
                <w:szCs w:val="21"/>
                <w:u w:val="none"/>
                <w:lang w:val="en-US" w:eastAsia="zh-CN" w:bidi="ar"/>
              </w:rPr>
              <w:t xml:space="preserve">入后自动同步至一体机； </w:t>
            </w:r>
          </w:p>
          <w:p w14:paraId="32EAE32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2）实现家校互通，包含到离校通知、学生请假； </w:t>
            </w:r>
          </w:p>
          <w:p w14:paraId="13AA989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w:t>
            </w:r>
          </w:p>
          <w:p w14:paraId="43293B2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【平台硬件规格】 </w:t>
            </w:r>
          </w:p>
          <w:p w14:paraId="61E1B12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2U标准机架式4盘位一体机，ATX电源 </w:t>
            </w:r>
          </w:p>
          <w:p w14:paraId="04CB651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64位多核高性能处理器 </w:t>
            </w:r>
          </w:p>
          <w:p w14:paraId="53F6AFB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DDR4高频率内存 </w:t>
            </w:r>
          </w:p>
          <w:p w14:paraId="48FCC19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1个HDMI接口、1个DP接口 </w:t>
            </w:r>
          </w:p>
          <w:p w14:paraId="116835E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2个10M/100M/1000Mbps网口 </w:t>
            </w:r>
          </w:p>
          <w:p w14:paraId="62BF5D66">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2个USB2.0接口、2个USB3.0接口 </w:t>
            </w:r>
          </w:p>
          <w:p w14:paraId="23AF3A2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w:t>
            </w:r>
          </w:p>
          <w:p w14:paraId="1D697D1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【存储硬件规格】 </w:t>
            </w:r>
          </w:p>
          <w:p w14:paraId="24EE6D8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1个HDMI接口，1个VGA接口，同源输出 </w:t>
            </w:r>
          </w:p>
          <w:p w14:paraId="2490387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支持满配8T硬盘（不支持IoT硬盘） </w:t>
            </w:r>
          </w:p>
          <w:p w14:paraId="729181DC">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2个10M/100M/1000Mbps网口 </w:t>
            </w:r>
          </w:p>
          <w:p w14:paraId="321F7D4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2个USB2.0接口、1个USB2.0接口 </w:t>
            </w:r>
          </w:p>
          <w:p w14:paraId="59A22F1E">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报警IO：16路报警输入，4路报警输出 </w:t>
            </w:r>
          </w:p>
          <w:p w14:paraId="2F2C123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w:t>
            </w:r>
          </w:p>
          <w:p w14:paraId="13D7267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【存储性能】 </w:t>
            </w:r>
          </w:p>
          <w:p w14:paraId="6AD9B82A">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存储能力：32路（仅支持局域网设备接入存储） </w:t>
            </w:r>
          </w:p>
          <w:p w14:paraId="66F070ED">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解码能力：8×1080P</w:t>
            </w:r>
          </w:p>
          <w:p w14:paraId="692006B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inline distT="0" distB="0" distL="114300" distR="114300">
                  <wp:extent cx="1524000" cy="1016000"/>
                  <wp:effectExtent l="0" t="0" r="0" b="0"/>
                  <wp:docPr id="32" name="Picture 1" descr="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1" descr="Picture"/>
                          <pic:cNvPicPr>
                            <a:picLocks noChangeAspect="1"/>
                          </pic:cNvPicPr>
                        </pic:nvPicPr>
                        <pic:blipFill>
                          <a:blip r:embed="rId31"/>
                          <a:stretch>
                            <a:fillRect/>
                          </a:stretch>
                        </pic:blipFill>
                        <pic:spPr>
                          <a:xfrm>
                            <a:off x="0" y="0"/>
                            <a:ext cx="1524000" cy="1016000"/>
                          </a:xfrm>
                          <a:prstGeom prst="rect">
                            <a:avLst/>
                          </a:prstGeom>
                        </pic:spPr>
                      </pic:pic>
                    </a:graphicData>
                  </a:graphic>
                </wp:inline>
              </w:drawing>
            </w:r>
          </w:p>
        </w:tc>
        <w:tc>
          <w:tcPr>
            <w:tcW w:w="700" w:type="dxa"/>
            <w:shd w:val="clear" w:color="auto" w:fill="auto"/>
            <w:vAlign w:val="center"/>
          </w:tcPr>
          <w:p w14:paraId="107AC2B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179" w:type="dxa"/>
            <w:shd w:val="clear" w:color="auto" w:fill="auto"/>
            <w:vAlign w:val="center"/>
          </w:tcPr>
          <w:p w14:paraId="15CE8EA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20000</w:t>
            </w:r>
          </w:p>
        </w:tc>
      </w:tr>
      <w:tr w14:paraId="503B4C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058B2E5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176</w:t>
            </w:r>
          </w:p>
        </w:tc>
        <w:tc>
          <w:tcPr>
            <w:tcW w:w="716" w:type="dxa"/>
            <w:shd w:val="clear" w:color="auto" w:fill="auto"/>
            <w:vAlign w:val="center"/>
          </w:tcPr>
          <w:p w14:paraId="153DAF31">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网线</w:t>
            </w:r>
          </w:p>
        </w:tc>
        <w:tc>
          <w:tcPr>
            <w:tcW w:w="6717" w:type="dxa"/>
            <w:shd w:val="clear" w:color="auto" w:fill="auto"/>
            <w:vAlign w:val="top"/>
          </w:tcPr>
          <w:p w14:paraId="1B215DD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DS-1LN5E-S/E是一款超五类网络线。该线缆采用无氧铜芯，直流电阻小，传输损耗小；护套采用环保阻燃聚氯乙烯（PVC）材质，抗拉强度高，安全系数强；线缆采用高密度双绞结构，线对之间串扰小，产品符合国内外技术标准。</w:t>
            </w:r>
          </w:p>
          <w:p w14:paraId="3228EDB9">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支持千兆以太网信号传输。</w:t>
            </w:r>
          </w:p>
          <w:p w14:paraId="46A3C44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无氧铜芯，直流电阻小，信号衰减小。</w:t>
            </w:r>
          </w:p>
          <w:p w14:paraId="355C1271">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PVC护套，耐磨、抗拉强度高。</w:t>
            </w:r>
          </w:p>
          <w:p w14:paraId="0F489A2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阻燃线缆，有国缆检验中心测试报告。</w:t>
            </w:r>
          </w:p>
          <w:p w14:paraId="4BFEE460">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均匀双绞结构，有效降低干扰，确保信号传输质量。</w:t>
            </w:r>
          </w:p>
          <w:p w14:paraId="638171C8">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符合RoHS 2.0 和Reach认证。</w:t>
            </w:r>
          </w:p>
          <w:p w14:paraId="23B92862">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产品性能稳定，有国缆检验中心测试报告。</w:t>
            </w:r>
          </w:p>
        </w:tc>
        <w:tc>
          <w:tcPr>
            <w:tcW w:w="700" w:type="dxa"/>
            <w:shd w:val="clear" w:color="auto" w:fill="auto"/>
            <w:vAlign w:val="center"/>
          </w:tcPr>
          <w:p w14:paraId="6499268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40箱</w:t>
            </w:r>
          </w:p>
        </w:tc>
        <w:tc>
          <w:tcPr>
            <w:tcW w:w="1179" w:type="dxa"/>
            <w:shd w:val="clear" w:color="auto" w:fill="auto"/>
            <w:vAlign w:val="center"/>
          </w:tcPr>
          <w:p w14:paraId="42F1839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880</w:t>
            </w:r>
          </w:p>
        </w:tc>
      </w:tr>
      <w:tr w14:paraId="3B3A4D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9" w:type="dxa"/>
            <w:shd w:val="clear" w:color="auto" w:fill="auto"/>
            <w:noWrap/>
            <w:vAlign w:val="center"/>
          </w:tcPr>
          <w:p w14:paraId="241AA3F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177</w:t>
            </w:r>
          </w:p>
        </w:tc>
        <w:tc>
          <w:tcPr>
            <w:tcW w:w="716" w:type="dxa"/>
            <w:shd w:val="clear" w:color="auto" w:fill="auto"/>
            <w:vAlign w:val="center"/>
          </w:tcPr>
          <w:p w14:paraId="6EE036E0">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安装施工</w:t>
            </w:r>
          </w:p>
        </w:tc>
        <w:tc>
          <w:tcPr>
            <w:tcW w:w="6717" w:type="dxa"/>
            <w:shd w:val="clear" w:color="auto" w:fill="auto"/>
            <w:vAlign w:val="center"/>
          </w:tcPr>
          <w:p w14:paraId="3E165C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安装施工、辅材、调试</w:t>
            </w:r>
          </w:p>
        </w:tc>
        <w:tc>
          <w:tcPr>
            <w:tcW w:w="700" w:type="dxa"/>
            <w:shd w:val="clear" w:color="auto" w:fill="auto"/>
            <w:vAlign w:val="center"/>
          </w:tcPr>
          <w:p w14:paraId="3D252B2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1项</w:t>
            </w:r>
          </w:p>
        </w:tc>
        <w:tc>
          <w:tcPr>
            <w:tcW w:w="1179" w:type="dxa"/>
            <w:shd w:val="clear" w:color="auto" w:fill="auto"/>
            <w:vAlign w:val="center"/>
          </w:tcPr>
          <w:p w14:paraId="550D090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29500</w:t>
            </w:r>
          </w:p>
        </w:tc>
      </w:tr>
      <w:tr w14:paraId="2FD95F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9931" w:type="dxa"/>
            <w:gridSpan w:val="5"/>
            <w:shd w:val="clear" w:color="auto" w:fill="auto"/>
            <w:noWrap/>
            <w:vAlign w:val="center"/>
          </w:tcPr>
          <w:p w14:paraId="6A17EE1D">
            <w:pPr>
              <w:keepNext w:val="0"/>
              <w:keepLines w:val="0"/>
              <w:pageBreakBefore w:val="0"/>
              <w:widowControl/>
              <w:kinsoku/>
              <w:wordWrap/>
              <w:overflowPunct/>
              <w:topLinePunct w:val="0"/>
              <w:bidi w:val="0"/>
              <w:adjustRightInd w:val="0"/>
              <w:snapToGrid w:val="0"/>
              <w:spacing w:before="181" w:beforeLines="50" w:after="181" w:afterLines="50"/>
              <w:rPr>
                <w:rFonts w:hint="eastAsia" w:ascii="宋体" w:hAnsi="宋体" w:eastAsia="宋体" w:cs="宋体"/>
                <w:b/>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b/>
                <w:color w:val="auto"/>
                <w:sz w:val="21"/>
                <w:szCs w:val="21"/>
                <w:highlight w:val="none"/>
              </w:rPr>
              <w:t>二、商务要求（以下所有商务条款均为实质性要求）</w:t>
            </w:r>
          </w:p>
        </w:tc>
      </w:tr>
      <w:tr w14:paraId="434EDE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7" w:hRule="atLeast"/>
        </w:trPr>
        <w:tc>
          <w:tcPr>
            <w:tcW w:w="1335" w:type="dxa"/>
            <w:gridSpan w:val="2"/>
            <w:shd w:val="clear" w:color="auto" w:fill="auto"/>
            <w:noWrap/>
            <w:vAlign w:val="center"/>
          </w:tcPr>
          <w:p w14:paraId="6D65460E">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售后服务要求</w:t>
            </w:r>
          </w:p>
        </w:tc>
        <w:tc>
          <w:tcPr>
            <w:tcW w:w="8596" w:type="dxa"/>
            <w:gridSpan w:val="3"/>
            <w:shd w:val="clear" w:color="auto" w:fill="auto"/>
            <w:vAlign w:val="center"/>
          </w:tcPr>
          <w:p w14:paraId="7198D015">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 xml:space="preserve">1.所有产品必须是厂家合法渠道的全新正品，符合规定的质量、规格、性能，并按 照相关国际、国家及专业标准检验的合格产品，其产品须符合国家有关规定及厂家承诺实行“三包”（采购需求有特殊要求的，按采购需求执行）。 </w:t>
            </w:r>
          </w:p>
          <w:p w14:paraId="285536A1">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2.保修年限：</w:t>
            </w:r>
            <w:r>
              <w:rPr>
                <w:rFonts w:hint="eastAsia" w:ascii="宋体" w:hAnsi="宋体" w:eastAsia="宋体" w:cs="宋体"/>
                <w:color w:val="auto"/>
                <w:sz w:val="21"/>
                <w:szCs w:val="21"/>
              </w:rPr>
              <w:t>除有特殊要求外，</w:t>
            </w:r>
            <w:r>
              <w:rPr>
                <w:rFonts w:hint="eastAsia" w:ascii="宋体" w:hAnsi="宋体" w:eastAsia="宋体" w:cs="宋体"/>
                <w:color w:val="000000"/>
                <w:kern w:val="0"/>
                <w:sz w:val="21"/>
                <w:szCs w:val="21"/>
                <w:lang w:val="en-US" w:eastAsia="zh-CN" w:bidi="ar"/>
              </w:rPr>
              <w:t>各项货物免费保修期最短不得少于两年</w:t>
            </w:r>
            <w:r>
              <w:rPr>
                <w:rFonts w:hint="eastAsia" w:ascii="宋体" w:hAnsi="宋体" w:eastAsia="宋体" w:cs="宋体"/>
                <w:color w:val="auto"/>
                <w:sz w:val="21"/>
                <w:szCs w:val="21"/>
              </w:rPr>
              <w:t>(若厂家免费质保期超过两年的,按厂家规定保修)</w:t>
            </w:r>
            <w:r>
              <w:rPr>
                <w:rFonts w:hint="eastAsia" w:ascii="宋体" w:hAnsi="宋体" w:eastAsia="宋体" w:cs="宋体"/>
                <w:color w:val="000000"/>
                <w:kern w:val="0"/>
                <w:sz w:val="21"/>
                <w:szCs w:val="21"/>
                <w:lang w:val="en-US" w:eastAsia="zh-CN" w:bidi="ar"/>
              </w:rPr>
              <w:t xml:space="preserve">。 </w:t>
            </w:r>
          </w:p>
          <w:p w14:paraId="11967F2C">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 xml:space="preserve">3.免费送货上门，免费安装调试合格。 </w:t>
            </w:r>
          </w:p>
          <w:p w14:paraId="42DEEF77">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 xml:space="preserve">4.服务响应时间：接到用户故障通知后2小时内给予答复，4小时内给出解决方案，24小时内解决故障。未能在规定时间内排除故障的，必须在48小时内提供同档次的备用机并提交故障解决处理方案。 </w:t>
            </w:r>
          </w:p>
          <w:p w14:paraId="36188EF6">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 xml:space="preserve">5.质保期内所有货物免费上门维修服务、免费更换零部件；质保期过后提供免费电话咨询服务，并应承诺提供产品终身上门维护；其余按厂家承诺进行。 </w:t>
            </w:r>
          </w:p>
          <w:p w14:paraId="63EAFEC3">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bCs/>
                <w:color w:val="auto"/>
                <w:sz w:val="21"/>
                <w:szCs w:val="21"/>
                <w:highlight w:val="none"/>
              </w:rPr>
            </w:pPr>
            <w:r>
              <w:rPr>
                <w:rFonts w:hint="eastAsia" w:ascii="宋体" w:hAnsi="宋体" w:eastAsia="宋体" w:cs="宋体"/>
                <w:color w:val="000000"/>
                <w:kern w:val="0"/>
                <w:sz w:val="21"/>
                <w:szCs w:val="21"/>
                <w:lang w:val="en-US" w:eastAsia="zh-CN" w:bidi="ar"/>
              </w:rPr>
              <w:t>6.在质保期内，如果中标供应商和制造商的产品技术升级，供应商应及时通知采购人，如采购人有相应要求，中标供应商和制造商应对采购人购买的产品进行升级服务。</w:t>
            </w:r>
          </w:p>
        </w:tc>
      </w:tr>
      <w:tr w14:paraId="13CB6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 w:hRule="atLeast"/>
        </w:trPr>
        <w:tc>
          <w:tcPr>
            <w:tcW w:w="1335" w:type="dxa"/>
            <w:gridSpan w:val="2"/>
            <w:shd w:val="clear" w:color="auto" w:fill="auto"/>
            <w:noWrap/>
            <w:vAlign w:val="center"/>
          </w:tcPr>
          <w:p w14:paraId="72D9A4A8">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交货时间及地点</w:t>
            </w:r>
          </w:p>
        </w:tc>
        <w:tc>
          <w:tcPr>
            <w:tcW w:w="8596" w:type="dxa"/>
            <w:gridSpan w:val="3"/>
            <w:shd w:val="clear" w:color="auto" w:fill="auto"/>
            <w:vAlign w:val="center"/>
          </w:tcPr>
          <w:p w14:paraId="33541DB7">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outlineLvl w:val="4"/>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1.交付使用时间：自签订合同之日起 30 天内到货，45 天内全部安装调试完毕。货到学校有货物签收单由学校清点签收。若因业主场地原因，导至不能安装调试的，交付时间由中标商和业主协商确定。</w:t>
            </w:r>
          </w:p>
          <w:p w14:paraId="105AB4BF">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outlineLvl w:val="4"/>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2、交货地点：采购人指定地点。</w:t>
            </w:r>
          </w:p>
        </w:tc>
      </w:tr>
      <w:tr w14:paraId="288956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4" w:hRule="atLeast"/>
        </w:trPr>
        <w:tc>
          <w:tcPr>
            <w:tcW w:w="1335" w:type="dxa"/>
            <w:gridSpan w:val="2"/>
            <w:shd w:val="clear" w:color="auto" w:fill="auto"/>
            <w:noWrap/>
            <w:vAlign w:val="center"/>
          </w:tcPr>
          <w:p w14:paraId="3880A781">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000000" w:themeColor="text1"/>
                <w:sz w:val="21"/>
                <w:szCs w:val="21"/>
                <w:highlight w:val="none"/>
                <w14:textFill>
                  <w14:solidFill>
                    <w14:schemeClr w14:val="tx1"/>
                  </w14:solidFill>
                </w14:textFill>
              </w:rPr>
            </w:pPr>
            <w:r>
              <w:rPr>
                <w:rFonts w:hint="eastAsia" w:ascii="宋体" w:hAnsi="宋体" w:eastAsia="宋体" w:cs="宋体"/>
                <w:b/>
                <w:bCs/>
                <w:color w:val="000000" w:themeColor="text1"/>
                <w:sz w:val="21"/>
                <w:szCs w:val="21"/>
                <w:highlight w:val="none"/>
                <w14:textFill>
                  <w14:solidFill>
                    <w14:schemeClr w14:val="tx1"/>
                  </w14:solidFill>
                </w14:textFill>
              </w:rPr>
              <w:t>付款方式</w:t>
            </w:r>
          </w:p>
        </w:tc>
        <w:tc>
          <w:tcPr>
            <w:tcW w:w="8596" w:type="dxa"/>
            <w:gridSpan w:val="3"/>
            <w:shd w:val="clear" w:color="auto" w:fill="auto"/>
            <w:vAlign w:val="center"/>
          </w:tcPr>
          <w:p w14:paraId="2B9E060F">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1、合同总价包括中标服务商完成本项目服务要求后所产生的全部费用（含税），采购人不再另行向中标服务商支付其他任何费用。</w:t>
            </w:r>
          </w:p>
          <w:p w14:paraId="75CA117C">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2、本项目的资金拨付根据项目资金的到账情况及财政部门的付款流程、付款期限执行。</w:t>
            </w:r>
          </w:p>
          <w:p w14:paraId="55E9347B">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合同签订后，成交供应商可申请预付合同金额的30%，同时提供相应金额的发票，财政部门拨付的该项目资金到账后，采购人在10个工作日内向成交供应商支付预付款；项目竣工且验收合格后，成交供应商开具相应金额发票给采购人，财政部门拨付的该项目资金到账后，采购人在30个工作日内向成交供应商支付剩余合同金额的70%（无息）。</w:t>
            </w:r>
          </w:p>
        </w:tc>
      </w:tr>
      <w:tr w14:paraId="29F1E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5" w:hRule="atLeast"/>
        </w:trPr>
        <w:tc>
          <w:tcPr>
            <w:tcW w:w="1335" w:type="dxa"/>
            <w:gridSpan w:val="2"/>
            <w:shd w:val="clear" w:color="auto" w:fill="auto"/>
            <w:noWrap/>
            <w:vAlign w:val="center"/>
          </w:tcPr>
          <w:p w14:paraId="2D4C8ED5">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auto"/>
                <w:sz w:val="21"/>
                <w:szCs w:val="21"/>
                <w:highlight w:val="none"/>
                <w:lang w:eastAsia="zh-CN"/>
              </w:rPr>
            </w:pPr>
            <w:r>
              <w:rPr>
                <w:rFonts w:hint="eastAsia" w:ascii="宋体" w:hAnsi="宋体" w:eastAsia="宋体" w:cs="宋体"/>
                <w:b/>
                <w:bCs/>
                <w:color w:val="auto"/>
                <w:sz w:val="21"/>
                <w:szCs w:val="21"/>
                <w:highlight w:val="none"/>
              </w:rPr>
              <w:t>验收</w:t>
            </w:r>
            <w:r>
              <w:rPr>
                <w:rFonts w:hint="eastAsia" w:ascii="宋体" w:hAnsi="宋体" w:eastAsia="宋体" w:cs="宋体"/>
                <w:b/>
                <w:bCs/>
                <w:color w:val="auto"/>
                <w:sz w:val="21"/>
                <w:szCs w:val="21"/>
                <w:highlight w:val="none"/>
                <w:lang w:eastAsia="zh-CN"/>
              </w:rPr>
              <w:t>要求</w:t>
            </w:r>
          </w:p>
        </w:tc>
        <w:tc>
          <w:tcPr>
            <w:tcW w:w="8596" w:type="dxa"/>
            <w:gridSpan w:val="3"/>
            <w:shd w:val="clear" w:color="auto" w:fill="auto"/>
            <w:vAlign w:val="center"/>
          </w:tcPr>
          <w:p w14:paraId="61F3B4F6">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1.采购人将组织相关人员及专家对采购项目进行验收，验收意见作为验收书的参考资料存档备查，验收将严格按照招标文件的规定和投标文件的响应及承诺执行，验收不合格的将根据合同有关条款进行处理。 </w:t>
            </w:r>
          </w:p>
          <w:p w14:paraId="6669EDF9">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2.验收依据：招标文件和中标供应商的投标文件。 </w:t>
            </w:r>
          </w:p>
          <w:p w14:paraId="3C79E8D1">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 xml:space="preserve">3.签订合同后，中标供应商须提供生产厂家出具的“技术要求”确认表、售后服务保证原件、供货证明原件，否则采购方将不予通过验收。 </w:t>
            </w:r>
          </w:p>
          <w:p w14:paraId="2F49AFEF">
            <w:pPr>
              <w:pStyle w:val="6"/>
              <w:rPr>
                <w:rFonts w:hint="default" w:eastAsia="宋体"/>
                <w:color w:val="000000" w:themeColor="text1"/>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4.货物（设备）技术参数中属于固定值要求的厚度参数，投标产品只能大于等于招标文件中要求的数值，属于固定值要求的其他参数，投标产品允许有1%的偏差。</w:t>
            </w:r>
          </w:p>
          <w:p w14:paraId="3FEF3C79">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lang w:val="en-US" w:eastAsia="zh-CN"/>
              </w:rPr>
              <w:t>5</w:t>
            </w:r>
            <w:r>
              <w:rPr>
                <w:rFonts w:hint="eastAsia" w:ascii="宋体" w:hAnsi="宋体" w:eastAsia="宋体" w:cs="宋体"/>
                <w:color w:val="auto"/>
                <w:sz w:val="21"/>
                <w:szCs w:val="21"/>
                <w:highlight w:val="none"/>
              </w:rPr>
              <w:t>.中标供应商必须提供原装正品的、全新的、符合有关质量标准的产品和按要求提供资料。交货时，采购人现场根据招标文件要求和投标文件承诺逐条对应进行核验，若发现产品不符合招标文件要求和投标文件承诺的，采购人不予验收，同时报相关监督管理部门处理，由此造成采购人经济损失的由中标供应商负责承担全部赔偿责任。</w:t>
            </w:r>
          </w:p>
        </w:tc>
      </w:tr>
      <w:tr w14:paraId="5A24A36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335" w:type="dxa"/>
            <w:gridSpan w:val="2"/>
            <w:shd w:val="clear" w:color="auto" w:fill="auto"/>
            <w:noWrap/>
            <w:vAlign w:val="center"/>
          </w:tcPr>
          <w:p w14:paraId="035EB322">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质量标准</w:t>
            </w:r>
          </w:p>
        </w:tc>
        <w:tc>
          <w:tcPr>
            <w:tcW w:w="8596" w:type="dxa"/>
            <w:gridSpan w:val="3"/>
            <w:shd w:val="clear" w:color="auto" w:fill="auto"/>
            <w:vAlign w:val="center"/>
          </w:tcPr>
          <w:p w14:paraId="405CA11F">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ind w:firstLine="411" w:firstLineChars="196"/>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产品符合设备制造厂家合格产品的出厂质量标准，提供全新的原装正品，不得侵犯任何第三方的专利权、商标权、工业设计权或其他权利。</w:t>
            </w:r>
          </w:p>
        </w:tc>
      </w:tr>
      <w:tr w14:paraId="43F979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335" w:type="dxa"/>
            <w:gridSpan w:val="2"/>
            <w:shd w:val="clear" w:color="auto" w:fill="auto"/>
            <w:noWrap/>
            <w:vAlign w:val="center"/>
          </w:tcPr>
          <w:p w14:paraId="1F0AFDAA">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其他要求</w:t>
            </w:r>
          </w:p>
        </w:tc>
        <w:tc>
          <w:tcPr>
            <w:tcW w:w="8596" w:type="dxa"/>
            <w:gridSpan w:val="3"/>
            <w:shd w:val="clear" w:color="auto" w:fill="auto"/>
            <w:vAlign w:val="center"/>
          </w:tcPr>
          <w:p w14:paraId="5433D2D6">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1.本</w:t>
            </w:r>
            <w:r>
              <w:rPr>
                <w:rFonts w:hint="eastAsia" w:ascii="宋体" w:hAnsi="宋体" w:eastAsia="宋体" w:cs="宋体"/>
                <w:color w:val="auto"/>
                <w:sz w:val="21"/>
                <w:szCs w:val="21"/>
                <w:highlight w:val="none"/>
                <w:lang w:eastAsia="zh-CN"/>
              </w:rPr>
              <w:t>标项</w:t>
            </w:r>
            <w:r>
              <w:rPr>
                <w:rFonts w:hint="eastAsia" w:ascii="宋体" w:hAnsi="宋体" w:eastAsia="宋体" w:cs="宋体"/>
                <w:color w:val="auto"/>
                <w:sz w:val="21"/>
                <w:szCs w:val="21"/>
                <w:highlight w:val="none"/>
              </w:rPr>
              <w:t>采购预算金额为人民币</w:t>
            </w:r>
            <w:r>
              <w:rPr>
                <w:rFonts w:hint="eastAsia" w:ascii="宋体" w:hAnsi="宋体" w:eastAsia="宋体" w:cs="宋体"/>
                <w:color w:val="auto"/>
                <w:sz w:val="21"/>
                <w:szCs w:val="21"/>
                <w:highlight w:val="none"/>
                <w:lang w:val="en-US" w:eastAsia="zh-CN"/>
              </w:rPr>
              <w:t>23000</w:t>
            </w:r>
            <w:r>
              <w:rPr>
                <w:rFonts w:hint="eastAsia" w:ascii="宋体" w:hAnsi="宋体" w:eastAsia="宋体" w:cs="宋体"/>
                <w:color w:val="auto"/>
                <w:sz w:val="21"/>
                <w:szCs w:val="21"/>
                <w:highlight w:val="none"/>
              </w:rPr>
              <w:t>00.00元，最高限价：</w:t>
            </w:r>
            <w:r>
              <w:rPr>
                <w:rFonts w:hint="eastAsia" w:ascii="宋体" w:hAnsi="宋体" w:eastAsia="宋体" w:cs="宋体"/>
                <w:color w:val="auto"/>
                <w:sz w:val="21"/>
                <w:szCs w:val="21"/>
                <w:highlight w:val="none"/>
                <w:lang w:val="en-US" w:eastAsia="zh-CN"/>
              </w:rPr>
              <w:t>23000</w:t>
            </w:r>
            <w:r>
              <w:rPr>
                <w:rFonts w:hint="eastAsia" w:ascii="宋体" w:hAnsi="宋体" w:eastAsia="宋体" w:cs="宋体"/>
                <w:color w:val="auto"/>
                <w:sz w:val="21"/>
                <w:szCs w:val="21"/>
                <w:highlight w:val="none"/>
              </w:rPr>
              <w:t>00.00</w:t>
            </w:r>
            <w:r>
              <w:rPr>
                <w:rFonts w:hint="eastAsia" w:ascii="宋体" w:hAnsi="宋体" w:eastAsia="宋体" w:cs="宋体"/>
                <w:color w:val="auto"/>
                <w:sz w:val="21"/>
                <w:szCs w:val="21"/>
                <w:highlight w:val="none"/>
                <w:lang w:eastAsia="zh-CN"/>
              </w:rPr>
              <w:t>元，</w:t>
            </w:r>
            <w:r>
              <w:rPr>
                <w:rFonts w:hint="eastAsia" w:ascii="宋体" w:hAnsi="宋体" w:eastAsia="宋体" w:cs="宋体"/>
                <w:color w:val="auto"/>
                <w:sz w:val="21"/>
                <w:szCs w:val="21"/>
                <w:highlight w:val="none"/>
              </w:rPr>
              <w:t>投标</w:t>
            </w:r>
            <w:r>
              <w:rPr>
                <w:rFonts w:hint="eastAsia" w:ascii="宋体" w:hAnsi="宋体" w:eastAsia="宋体" w:cs="宋体"/>
                <w:color w:val="auto"/>
                <w:sz w:val="21"/>
                <w:szCs w:val="21"/>
                <w:highlight w:val="none"/>
                <w:lang w:eastAsia="zh-CN"/>
              </w:rPr>
              <w:t>总</w:t>
            </w:r>
            <w:r>
              <w:rPr>
                <w:rFonts w:hint="eastAsia" w:ascii="宋体" w:hAnsi="宋体" w:eastAsia="宋体" w:cs="宋体"/>
                <w:color w:val="auto"/>
                <w:sz w:val="21"/>
                <w:szCs w:val="21"/>
                <w:highlight w:val="none"/>
              </w:rPr>
              <w:t>报价超出采购</w:t>
            </w:r>
            <w:r>
              <w:rPr>
                <w:rFonts w:hint="eastAsia" w:ascii="宋体" w:hAnsi="宋体" w:eastAsia="宋体" w:cs="宋体"/>
                <w:b/>
                <w:bCs/>
                <w:color w:val="auto"/>
                <w:kern w:val="2"/>
                <w:sz w:val="21"/>
                <w:szCs w:val="21"/>
                <w:highlight w:val="none"/>
                <w:lang w:eastAsia="zh-CN"/>
              </w:rPr>
              <w:t>最高限价</w:t>
            </w:r>
            <w:r>
              <w:rPr>
                <w:rFonts w:hint="eastAsia" w:ascii="宋体" w:hAnsi="宋体" w:eastAsia="宋体" w:cs="宋体"/>
                <w:color w:val="auto"/>
                <w:sz w:val="21"/>
                <w:szCs w:val="21"/>
                <w:highlight w:val="none"/>
              </w:rPr>
              <w:t>的，作投标无效处理。</w:t>
            </w:r>
          </w:p>
          <w:p w14:paraId="34E95341">
            <w:pPr>
              <w:pStyle w:val="6"/>
              <w:rPr>
                <w:rFonts w:hint="default" w:eastAsia="宋体"/>
                <w:lang w:val="en-US" w:eastAsia="zh-CN"/>
              </w:rPr>
            </w:pPr>
            <w:r>
              <w:rPr>
                <w:rFonts w:hint="eastAsia" w:ascii="宋体" w:hAnsi="宋体" w:cs="宋体"/>
                <w:color w:val="auto"/>
                <w:sz w:val="21"/>
                <w:szCs w:val="21"/>
                <w:highlight w:val="none"/>
                <w:lang w:val="en-US" w:eastAsia="zh-CN"/>
              </w:rPr>
              <w:t>2.本</w:t>
            </w:r>
            <w:r>
              <w:rPr>
                <w:rFonts w:hint="eastAsia" w:ascii="宋体" w:hAnsi="宋体" w:eastAsia="宋体" w:cs="宋体"/>
                <w:color w:val="auto"/>
                <w:sz w:val="21"/>
                <w:szCs w:val="21"/>
                <w:highlight w:val="none"/>
                <w:lang w:eastAsia="zh-CN"/>
              </w:rPr>
              <w:t>标项</w:t>
            </w:r>
            <w:r>
              <w:rPr>
                <w:rFonts w:hint="eastAsia" w:ascii="宋体" w:hAnsi="宋体" w:cs="宋体"/>
                <w:color w:val="auto"/>
                <w:sz w:val="21"/>
                <w:szCs w:val="21"/>
                <w:highlight w:val="none"/>
                <w:lang w:val="en-US" w:eastAsia="zh-CN"/>
              </w:rPr>
              <w:t>实行总承包报价；投标报价包含设备设施的投入、集成安装、运抵指定地点运输及装卸、现场安装调试、第三方履约验收代理服务费用、各项保险、附加培训、售后服务、税金、利润及其他所有可能发生的一切费用及所有的不定因素的风险，合同履行过程中，采购人不再另行向中标服务商支付其他任何费用。</w:t>
            </w:r>
          </w:p>
          <w:p w14:paraId="383B69EB">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FF"/>
                <w:sz w:val="21"/>
                <w:szCs w:val="21"/>
                <w:highlight w:val="none"/>
                <w:u w:val="single"/>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.本</w:t>
            </w:r>
            <w:r>
              <w:rPr>
                <w:rFonts w:hint="eastAsia" w:ascii="宋体" w:hAnsi="宋体" w:eastAsia="宋体" w:cs="宋体"/>
                <w:color w:val="auto"/>
                <w:sz w:val="21"/>
                <w:szCs w:val="21"/>
                <w:highlight w:val="none"/>
                <w:lang w:eastAsia="zh-CN"/>
              </w:rPr>
              <w:t>标项</w:t>
            </w:r>
            <w:r>
              <w:rPr>
                <w:rFonts w:hint="eastAsia" w:ascii="宋体" w:hAnsi="宋体" w:eastAsia="宋体" w:cs="宋体"/>
                <w:color w:val="000000" w:themeColor="text1"/>
                <w:sz w:val="21"/>
                <w:szCs w:val="21"/>
                <w:highlight w:val="none"/>
                <w14:textFill>
                  <w14:solidFill>
                    <w14:schemeClr w14:val="tx1"/>
                  </w14:solidFill>
                </w14:textFill>
              </w:rPr>
              <w:t>核心产品为：</w:t>
            </w:r>
            <w:r>
              <w:rPr>
                <w:rFonts w:hint="eastAsia" w:ascii="宋体" w:hAnsi="宋体" w:eastAsia="宋体" w:cs="宋体"/>
                <w:b/>
                <w:bCs/>
                <w:color w:val="000000" w:themeColor="text1"/>
                <w:sz w:val="21"/>
                <w:szCs w:val="21"/>
                <w:highlight w:val="none"/>
                <w:u w:val="single"/>
                <w:lang w:val="en-US" w:eastAsia="zh-CN"/>
                <w14:textFill>
                  <w14:solidFill>
                    <w14:schemeClr w14:val="tx1"/>
                  </w14:solidFill>
                </w14:textFill>
              </w:rPr>
              <w:t xml:space="preserve"> （二）教室第5项号</w:t>
            </w:r>
            <w:r>
              <w:rPr>
                <w:rFonts w:hint="eastAsia" w:ascii="宋体" w:hAnsi="宋体" w:eastAsia="宋体" w:cs="宋体"/>
                <w:b/>
                <w:bCs/>
                <w:color w:val="000000" w:themeColor="text1"/>
                <w:sz w:val="21"/>
                <w:szCs w:val="21"/>
                <w:highlight w:val="none"/>
                <w:u w:val="single"/>
                <w14:textFill>
                  <w14:solidFill>
                    <w14:schemeClr w14:val="tx1"/>
                  </w14:solidFill>
                </w14:textFill>
              </w:rPr>
              <w:t>“</w:t>
            </w:r>
            <w:r>
              <w:rPr>
                <w:rFonts w:hint="eastAsia" w:ascii="宋体" w:hAnsi="宋体" w:eastAsia="宋体" w:cs="宋体"/>
                <w:b/>
                <w:bCs/>
                <w:color w:val="000000" w:themeColor="text1"/>
                <w:sz w:val="21"/>
                <w:szCs w:val="21"/>
                <w:highlight w:val="none"/>
                <w:u w:val="single"/>
                <w:lang w:val="en-US" w:eastAsia="zh-CN"/>
                <w14:textFill>
                  <w14:solidFill>
                    <w14:schemeClr w14:val="tx1"/>
                  </w14:solidFill>
                </w14:textFill>
              </w:rPr>
              <w:t xml:space="preserve"> 75吋触控一体机</w:t>
            </w:r>
            <w:r>
              <w:rPr>
                <w:rFonts w:hint="eastAsia" w:ascii="宋体" w:hAnsi="宋体" w:eastAsia="宋体" w:cs="宋体"/>
                <w:b/>
                <w:bCs/>
                <w:color w:val="000000" w:themeColor="text1"/>
                <w:sz w:val="21"/>
                <w:szCs w:val="21"/>
                <w:highlight w:val="none"/>
                <w:u w:val="single"/>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（多家</w:t>
            </w:r>
            <w:r>
              <w:rPr>
                <w:rFonts w:hint="eastAsia" w:ascii="宋体" w:hAnsi="宋体" w:eastAsia="宋体" w:cs="宋体"/>
                <w:color w:val="000000" w:themeColor="text1"/>
                <w:kern w:val="2"/>
                <w:sz w:val="21"/>
                <w:szCs w:val="21"/>
                <w:highlight w:val="none"/>
                <w14:textFill>
                  <w14:solidFill>
                    <w14:schemeClr w14:val="tx1"/>
                  </w14:solidFill>
                </w14:textFill>
              </w:rPr>
              <w:t>投标人</w:t>
            </w:r>
            <w:r>
              <w:rPr>
                <w:rFonts w:hint="eastAsia" w:ascii="宋体" w:hAnsi="宋体" w:eastAsia="宋体" w:cs="宋体"/>
                <w:color w:val="000000" w:themeColor="text1"/>
                <w:sz w:val="21"/>
                <w:szCs w:val="21"/>
                <w:highlight w:val="none"/>
                <w14:textFill>
                  <w14:solidFill>
                    <w14:schemeClr w14:val="tx1"/>
                  </w14:solidFill>
                </w14:textFill>
              </w:rPr>
              <w:t>提供的核心产品品牌相同的，视为提供同品牌产品。提供相同品牌产品且通过资格审查、符合性审查的不同投标人参加同一合同项下投标的，按一家投标人计算，评审后得分最高的同品牌投标人获得中标人推荐资格；评审得分相同的，评标价最低的同品牌投标人获得中标人推荐资格；评标价也相同的，投标报价最低的同品牌投标人获得中标人推荐资格；投标报价也相同的，由评标委员会以抽签方式确定一个中标人推荐资格，其他同品牌投标人不作为中标候选人。）</w:t>
            </w:r>
            <w:r>
              <w:rPr>
                <w:rFonts w:hint="eastAsia" w:ascii="宋体" w:hAnsi="宋体" w:eastAsia="宋体" w:cs="宋体"/>
                <w:color w:val="0000FF"/>
                <w:sz w:val="21"/>
                <w:szCs w:val="21"/>
                <w:highlight w:val="none"/>
              </w:rPr>
              <w:t xml:space="preserve"> </w:t>
            </w:r>
          </w:p>
          <w:p w14:paraId="13C261DB">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.本</w:t>
            </w:r>
            <w:r>
              <w:rPr>
                <w:rFonts w:hint="eastAsia" w:ascii="宋体" w:hAnsi="宋体" w:eastAsia="宋体" w:cs="宋体"/>
                <w:color w:val="000000" w:themeColor="text1"/>
                <w:sz w:val="21"/>
                <w:szCs w:val="21"/>
                <w:highlight w:val="none"/>
                <w:lang w:eastAsia="zh-CN"/>
                <w14:textFill>
                  <w14:solidFill>
                    <w14:schemeClr w14:val="tx1"/>
                  </w14:solidFill>
                </w14:textFill>
              </w:rPr>
              <w:t>标项</w:t>
            </w:r>
            <w:r>
              <w:rPr>
                <w:rFonts w:hint="eastAsia" w:ascii="宋体" w:hAnsi="宋体" w:eastAsia="宋体" w:cs="宋体"/>
                <w:color w:val="000000" w:themeColor="text1"/>
                <w:sz w:val="21"/>
                <w:szCs w:val="21"/>
                <w:highlight w:val="none"/>
                <w14:textFill>
                  <w14:solidFill>
                    <w14:schemeClr w14:val="tx1"/>
                  </w14:solidFill>
                </w14:textFill>
              </w:rPr>
              <w:t>货物不接受进口产品（即通过中国海关报关验放进入中国境内且产自关境外的产品）参与投标，如有此类产品参与投标的作投标无效处理。</w:t>
            </w:r>
          </w:p>
          <w:p w14:paraId="47599C73">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cs="宋体"/>
                <w:sz w:val="21"/>
                <w:szCs w:val="21"/>
                <w:lang w:eastAsia="zh-CN"/>
              </w:rPr>
            </w:pP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sz w:val="21"/>
                <w:szCs w:val="21"/>
              </w:rPr>
              <w:t>本</w:t>
            </w:r>
            <w:r>
              <w:rPr>
                <w:rFonts w:hint="eastAsia" w:ascii="宋体" w:hAnsi="宋体" w:eastAsia="宋体" w:cs="宋体"/>
                <w:color w:val="000000" w:themeColor="text1"/>
                <w:sz w:val="21"/>
                <w:szCs w:val="21"/>
                <w:highlight w:val="none"/>
                <w:lang w:eastAsia="zh-CN"/>
                <w14:textFill>
                  <w14:solidFill>
                    <w14:schemeClr w14:val="tx1"/>
                  </w14:solidFill>
                </w14:textFill>
              </w:rPr>
              <w:t>标项</w:t>
            </w:r>
            <w:r>
              <w:rPr>
                <w:rFonts w:hint="eastAsia" w:ascii="宋体" w:hAnsi="宋体" w:eastAsia="宋体" w:cs="宋体"/>
                <w:sz w:val="21"/>
                <w:szCs w:val="21"/>
              </w:rPr>
              <w:t>所有货物所属行业为</w:t>
            </w:r>
            <w:r>
              <w:rPr>
                <w:rFonts w:hint="eastAsia" w:ascii="宋体" w:hAnsi="宋体" w:eastAsia="宋体" w:cs="宋体"/>
                <w:b/>
                <w:bCs/>
                <w:sz w:val="21"/>
                <w:szCs w:val="21"/>
              </w:rPr>
              <w:t>工业</w:t>
            </w:r>
            <w:r>
              <w:rPr>
                <w:rFonts w:hint="eastAsia" w:ascii="宋体" w:hAnsi="宋体" w:cs="宋体"/>
                <w:sz w:val="21"/>
                <w:szCs w:val="21"/>
                <w:lang w:eastAsia="zh-CN"/>
              </w:rPr>
              <w:t>。</w:t>
            </w:r>
          </w:p>
          <w:p w14:paraId="780F5B18">
            <w:pPr>
              <w:keepNext w:val="0"/>
              <w:keepLines w:val="0"/>
              <w:widowControl/>
              <w:suppressLineNumbers w:val="0"/>
              <w:jc w:val="left"/>
              <w:rPr>
                <w:rFonts w:hint="default"/>
                <w:lang w:val="en-US"/>
              </w:rPr>
            </w:pPr>
            <w:r>
              <w:rPr>
                <w:rFonts w:hint="eastAsia" w:ascii="宋体" w:hAnsi="宋体" w:cs="宋体"/>
                <w:sz w:val="21"/>
                <w:szCs w:val="21"/>
                <w:lang w:val="en-US" w:eastAsia="zh-CN"/>
              </w:rPr>
              <w:t>6.</w:t>
            </w:r>
            <w:r>
              <w:rPr>
                <w:rFonts w:hint="eastAsia" w:ascii="宋体" w:hAnsi="宋体" w:eastAsia="宋体" w:cs="宋体"/>
                <w:b/>
                <w:bCs/>
                <w:color w:val="000000"/>
                <w:kern w:val="0"/>
                <w:sz w:val="20"/>
                <w:szCs w:val="20"/>
                <w:lang w:val="en-US" w:eastAsia="zh-CN" w:bidi="ar"/>
              </w:rPr>
              <w:t>本标项投标货物中，属于中小企业生产的产品占本分标投标报价的比例不低于30%，其中小微企业生产的产品占中小企业生产的产品的投标报价比例不低于60%。</w:t>
            </w:r>
          </w:p>
        </w:tc>
      </w:tr>
      <w:bookmarkEnd w:id="3"/>
    </w:tbl>
    <w:p w14:paraId="4B48DB62">
      <w:pPr>
        <w:bidi w:val="0"/>
        <w:rPr>
          <w:rFonts w:hint="eastAsia" w:ascii="Tahoma" w:hAnsi="Tahoma" w:eastAsia="微软雅黑" w:cstheme="minorBidi"/>
          <w:sz w:val="22"/>
          <w:szCs w:val="22"/>
          <w:lang w:val="en-US" w:eastAsia="zh-CN" w:bidi="ar-SA"/>
        </w:rPr>
      </w:pPr>
    </w:p>
    <w:p w14:paraId="02ACDCF9">
      <w:pPr>
        <w:bidi w:val="0"/>
        <w:jc w:val="left"/>
        <w:rPr>
          <w:rFonts w:hint="eastAsia" w:cstheme="minorBidi"/>
          <w:b/>
          <w:bCs/>
          <w:sz w:val="22"/>
          <w:szCs w:val="22"/>
          <w:lang w:val="en-US" w:eastAsia="zh-CN" w:bidi="ar-SA"/>
        </w:rPr>
      </w:pPr>
    </w:p>
    <w:p w14:paraId="5BEF2236">
      <w:pPr>
        <w:rPr>
          <w:rFonts w:hint="eastAsia" w:cstheme="minorBidi"/>
          <w:b/>
          <w:bCs/>
          <w:sz w:val="22"/>
          <w:szCs w:val="22"/>
          <w:lang w:val="en-US" w:eastAsia="zh-CN" w:bidi="ar-SA"/>
        </w:rPr>
      </w:pPr>
      <w:r>
        <w:rPr>
          <w:rFonts w:hint="eastAsia" w:cstheme="minorBidi"/>
          <w:b/>
          <w:bCs/>
          <w:sz w:val="22"/>
          <w:szCs w:val="22"/>
          <w:lang w:val="en-US" w:eastAsia="zh-CN" w:bidi="ar-SA"/>
        </w:rPr>
        <w:br w:type="page"/>
      </w:r>
    </w:p>
    <w:p w14:paraId="66BBD761">
      <w:pPr>
        <w:bidi w:val="0"/>
        <w:jc w:val="left"/>
        <w:rPr>
          <w:rFonts w:hint="eastAsia" w:cstheme="minorBidi"/>
          <w:b/>
          <w:bCs/>
          <w:sz w:val="22"/>
          <w:szCs w:val="22"/>
          <w:lang w:val="en-US" w:eastAsia="zh-CN" w:bidi="ar-SA"/>
        </w:rPr>
      </w:pPr>
      <w:r>
        <w:rPr>
          <w:rFonts w:hint="eastAsia" w:cstheme="minorBidi"/>
          <w:b/>
          <w:bCs/>
          <w:sz w:val="22"/>
          <w:szCs w:val="22"/>
          <w:lang w:val="en-US" w:eastAsia="zh-CN" w:bidi="ar-SA"/>
        </w:rPr>
        <w:t>标项二（B分标）</w:t>
      </w:r>
    </w:p>
    <w:tbl>
      <w:tblPr>
        <w:tblStyle w:val="15"/>
        <w:tblW w:w="1004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16"/>
        <w:gridCol w:w="1027"/>
        <w:gridCol w:w="6543"/>
        <w:gridCol w:w="633"/>
        <w:gridCol w:w="1221"/>
      </w:tblGrid>
      <w:tr w14:paraId="36BFCD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10040" w:type="dxa"/>
            <w:gridSpan w:val="5"/>
            <w:vAlign w:val="center"/>
          </w:tcPr>
          <w:p w14:paraId="0D9D5086">
            <w:pPr>
              <w:keepNext w:val="0"/>
              <w:keepLines w:val="0"/>
              <w:pageBreakBefore w:val="0"/>
              <w:widowControl/>
              <w:kinsoku/>
              <w:wordWrap/>
              <w:overflowPunct/>
              <w:topLinePunct w:val="0"/>
              <w:bidi w:val="0"/>
              <w:adjustRightInd w:val="0"/>
              <w:snapToGrid w:val="0"/>
              <w:spacing w:before="181" w:beforeLines="50" w:after="181" w:afterLines="50"/>
              <w:jc w:val="both"/>
              <w:textAlignment w:val="top"/>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rPr>
              <w:t>一、采购标的需满足的质量、安全、技术规格、物理特性等要求及采购标的的数量</w:t>
            </w:r>
          </w:p>
        </w:tc>
      </w:tr>
      <w:tr w14:paraId="4B1E10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10040" w:type="dxa"/>
            <w:gridSpan w:val="5"/>
            <w:vAlign w:val="center"/>
          </w:tcPr>
          <w:p w14:paraId="6A690A7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en-US" w:eastAsia="zh-CN"/>
              </w:rPr>
            </w:pPr>
            <w:r>
              <w:rPr>
                <w:rFonts w:hint="eastAsia" w:ascii="宋体" w:hAnsi="宋体" w:eastAsia="宋体" w:cs="宋体"/>
                <w:b/>
                <w:bCs/>
                <w:color w:val="auto"/>
                <w:sz w:val="21"/>
                <w:szCs w:val="21"/>
                <w:highlight w:val="none"/>
                <w:lang w:val="zh-CN"/>
              </w:rPr>
              <w:t>（一）厨房</w:t>
            </w:r>
          </w:p>
        </w:tc>
      </w:tr>
      <w:tr w14:paraId="70B3CF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2" w:hRule="atLeast"/>
        </w:trPr>
        <w:tc>
          <w:tcPr>
            <w:tcW w:w="616" w:type="dxa"/>
            <w:vAlign w:val="center"/>
          </w:tcPr>
          <w:p w14:paraId="6550426A">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项号</w:t>
            </w:r>
          </w:p>
        </w:tc>
        <w:tc>
          <w:tcPr>
            <w:tcW w:w="1027" w:type="dxa"/>
            <w:vAlign w:val="center"/>
          </w:tcPr>
          <w:p w14:paraId="528A776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货物名称</w:t>
            </w:r>
          </w:p>
        </w:tc>
        <w:tc>
          <w:tcPr>
            <w:tcW w:w="6543" w:type="dxa"/>
            <w:vAlign w:val="center"/>
          </w:tcPr>
          <w:p w14:paraId="1EE11BA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vAlign w:val="center"/>
          </w:tcPr>
          <w:p w14:paraId="14B37AF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数量</w:t>
            </w:r>
          </w:p>
        </w:tc>
        <w:tc>
          <w:tcPr>
            <w:tcW w:w="1221" w:type="dxa"/>
            <w:vAlign w:val="center"/>
          </w:tcPr>
          <w:p w14:paraId="39C752F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参考单价（元）</w:t>
            </w:r>
          </w:p>
        </w:tc>
      </w:tr>
      <w:tr w14:paraId="382580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6" w:type="dxa"/>
            <w:noWrap/>
            <w:vAlign w:val="center"/>
          </w:tcPr>
          <w:p w14:paraId="6180DC5C">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w:t>
            </w:r>
          </w:p>
        </w:tc>
        <w:tc>
          <w:tcPr>
            <w:tcW w:w="1027" w:type="dxa"/>
            <w:vAlign w:val="center"/>
          </w:tcPr>
          <w:p w14:paraId="7A886A5A">
            <w:pPr>
              <w:keepNext w:val="0"/>
              <w:keepLines w:val="0"/>
              <w:widowControl/>
              <w:suppressLineNumbers w:val="0"/>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单星洗手池</w:t>
            </w:r>
          </w:p>
        </w:tc>
        <w:tc>
          <w:tcPr>
            <w:tcW w:w="6543" w:type="dxa"/>
            <w:vAlign w:val="center"/>
          </w:tcPr>
          <w:p w14:paraId="1EF2ADB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2576" behindDoc="0" locked="0" layoutInCell="1" allowOverlap="1">
                  <wp:simplePos x="0" y="0"/>
                  <wp:positionH relativeFrom="column">
                    <wp:posOffset>2700655</wp:posOffset>
                  </wp:positionH>
                  <wp:positionV relativeFrom="paragraph">
                    <wp:posOffset>194310</wp:posOffset>
                  </wp:positionV>
                  <wp:extent cx="1279525" cy="1111250"/>
                  <wp:effectExtent l="0" t="0" r="0" b="12700"/>
                  <wp:wrapSquare wrapText="bothSides"/>
                  <wp:docPr id="33" name="Picture 131" descr="dx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131" descr="dxsp"/>
                          <pic:cNvPicPr>
                            <a:picLocks noChangeAspect="1"/>
                          </pic:cNvPicPr>
                        </pic:nvPicPr>
                        <pic:blipFill>
                          <a:blip r:embed="rId32" cstate="print">
                            <a:clrChange>
                              <a:clrFrom>
                                <a:srgbClr val="FCFCFC"/>
                              </a:clrFrom>
                              <a:clrTo>
                                <a:srgbClr val="FCFCFC">
                                  <a:alpha val="0"/>
                                </a:srgbClr>
                              </a:clrTo>
                            </a:clrChange>
                          </a:blip>
                          <a:srcRect l="24059" t="20961" r="26022" b="22707"/>
                          <a:stretch>
                            <a:fillRect/>
                          </a:stretch>
                        </pic:blipFill>
                        <pic:spPr>
                          <a:xfrm>
                            <a:off x="0" y="0"/>
                            <a:ext cx="1279525" cy="111125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规格：500*500*950㎜                                    </w:t>
            </w:r>
          </w:p>
          <w:p w14:paraId="6775BAD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1、面板采用1.2mm优质304#雪花不锈钢板；</w:t>
            </w:r>
          </w:p>
          <w:p w14:paraId="418362D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691DE32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095EDD1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4、星盆斗用1.2mm不锈钢板；                           </w:t>
            </w:r>
          </w:p>
          <w:p w14:paraId="3A3FC40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5、每盆配不锈钢ND16mm高身摇摆式水龙头</w:t>
            </w:r>
          </w:p>
          <w:p w14:paraId="6015639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6、脚踏开关</w:t>
            </w:r>
          </w:p>
        </w:tc>
        <w:tc>
          <w:tcPr>
            <w:tcW w:w="633" w:type="dxa"/>
            <w:vAlign w:val="center"/>
          </w:tcPr>
          <w:p w14:paraId="52D082A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vAlign w:val="center"/>
          </w:tcPr>
          <w:p w14:paraId="7E92EF33">
            <w:pPr>
              <w:keepNext w:val="0"/>
              <w:keepLines w:val="0"/>
              <w:widowControl/>
              <w:suppressLineNumbers w:val="0"/>
              <w:jc w:val="center"/>
              <w:textAlignment w:val="center"/>
              <w:rPr>
                <w:rFonts w:hint="eastAsia" w:ascii="宋体" w:hAnsi="宋体" w:eastAsia="宋体" w:cs="宋体"/>
                <w:sz w:val="21"/>
                <w:szCs w:val="21"/>
                <w:lang w:val="en-US" w:eastAsia="zh-CN"/>
              </w:rPr>
            </w:pPr>
            <w:r>
              <w:rPr>
                <w:rFonts w:hint="eastAsia" w:ascii="宋体" w:hAnsi="宋体" w:eastAsia="宋体" w:cs="宋体"/>
                <w:i w:val="0"/>
                <w:iCs w:val="0"/>
                <w:color w:val="000000"/>
                <w:kern w:val="0"/>
                <w:sz w:val="21"/>
                <w:szCs w:val="21"/>
                <w:u w:val="none"/>
                <w:lang w:val="en-US" w:eastAsia="zh-CN" w:bidi="ar"/>
              </w:rPr>
              <w:t xml:space="preserve">800 </w:t>
            </w:r>
          </w:p>
        </w:tc>
      </w:tr>
      <w:tr w14:paraId="11A33E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6" w:type="dxa"/>
            <w:noWrap/>
            <w:vAlign w:val="center"/>
          </w:tcPr>
          <w:p w14:paraId="53BA50BE">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w:t>
            </w:r>
          </w:p>
        </w:tc>
        <w:tc>
          <w:tcPr>
            <w:tcW w:w="1027" w:type="dxa"/>
            <w:vAlign w:val="center"/>
          </w:tcPr>
          <w:p w14:paraId="704648B1">
            <w:pPr>
              <w:keepNext w:val="0"/>
              <w:keepLines w:val="0"/>
              <w:widowControl/>
              <w:suppressLineNumbers w:val="0"/>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更衣柜(九门)</w:t>
            </w:r>
          </w:p>
        </w:tc>
        <w:tc>
          <w:tcPr>
            <w:tcW w:w="6543" w:type="dxa"/>
            <w:vAlign w:val="center"/>
          </w:tcPr>
          <w:p w14:paraId="0D7AF89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3600" behindDoc="0" locked="0" layoutInCell="1" allowOverlap="1">
                  <wp:simplePos x="0" y="0"/>
                  <wp:positionH relativeFrom="column">
                    <wp:posOffset>3195955</wp:posOffset>
                  </wp:positionH>
                  <wp:positionV relativeFrom="paragraph">
                    <wp:posOffset>112395</wp:posOffset>
                  </wp:positionV>
                  <wp:extent cx="716280" cy="1397000"/>
                  <wp:effectExtent l="0" t="0" r="7620" b="12700"/>
                  <wp:wrapSquare wrapText="bothSides"/>
                  <wp:docPr id="34" name="图片 1" descr="cb44bbe5cd301af4dded875945886f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 descr="cb44bbe5cd301af4dded875945886f6"/>
                          <pic:cNvPicPr>
                            <a:picLocks noChangeAspect="1"/>
                          </pic:cNvPicPr>
                        </pic:nvPicPr>
                        <pic:blipFill>
                          <a:blip r:embed="rId33" cstate="print">
                            <a:clrChange>
                              <a:clrFrom>
                                <a:srgbClr val="FCFCFC"/>
                              </a:clrFrom>
                              <a:clrTo>
                                <a:srgbClr val="FCFCFC">
                                  <a:alpha val="0"/>
                                </a:srgbClr>
                              </a:clrTo>
                            </a:clrChange>
                          </a:blip>
                          <a:srcRect l="24603" t="764" r="6819"/>
                          <a:stretch>
                            <a:fillRect/>
                          </a:stretch>
                        </pic:blipFill>
                        <pic:spPr>
                          <a:xfrm>
                            <a:off x="0" y="0"/>
                            <a:ext cx="716280" cy="139700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规格：1000*350*1800㎜                   </w:t>
            </w:r>
          </w:p>
          <w:p w14:paraId="572D3C8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1.柜身用采用1.0mm优质304#雪花不锈钢板                                     2.柜内层板用0.8mm优质雪花不锈钢板                                                                               3.支架柱横梁用38×25mm不锈钢方管                                        4.支架管用25×13mm不锈钢方管，Ф38mm不锈钢可调脚。</w:t>
            </w:r>
          </w:p>
          <w:p w14:paraId="69F9000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633" w:type="dxa"/>
            <w:noWrap/>
            <w:vAlign w:val="center"/>
          </w:tcPr>
          <w:p w14:paraId="091683F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4台</w:t>
            </w:r>
          </w:p>
        </w:tc>
        <w:tc>
          <w:tcPr>
            <w:tcW w:w="1221" w:type="dxa"/>
            <w:noWrap/>
            <w:vAlign w:val="center"/>
          </w:tcPr>
          <w:p w14:paraId="23E2815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4600 </w:t>
            </w:r>
          </w:p>
        </w:tc>
      </w:tr>
      <w:tr w14:paraId="15CED0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6" w:type="dxa"/>
            <w:noWrap/>
            <w:vAlign w:val="center"/>
          </w:tcPr>
          <w:p w14:paraId="2FE2E4F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w:t>
            </w:r>
          </w:p>
        </w:tc>
        <w:tc>
          <w:tcPr>
            <w:tcW w:w="1027" w:type="dxa"/>
            <w:vAlign w:val="center"/>
          </w:tcPr>
          <w:p w14:paraId="4362A466">
            <w:pPr>
              <w:keepNext w:val="0"/>
              <w:keepLines w:val="0"/>
              <w:widowControl/>
              <w:suppressLineNumbers w:val="0"/>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板式货架</w:t>
            </w:r>
          </w:p>
        </w:tc>
        <w:tc>
          <w:tcPr>
            <w:tcW w:w="6543" w:type="dxa"/>
            <w:vAlign w:val="center"/>
          </w:tcPr>
          <w:p w14:paraId="186A328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4624" behindDoc="0" locked="0" layoutInCell="1" allowOverlap="1">
                  <wp:simplePos x="0" y="0"/>
                  <wp:positionH relativeFrom="column">
                    <wp:posOffset>2995295</wp:posOffset>
                  </wp:positionH>
                  <wp:positionV relativeFrom="paragraph">
                    <wp:posOffset>205105</wp:posOffset>
                  </wp:positionV>
                  <wp:extent cx="800100" cy="915670"/>
                  <wp:effectExtent l="0" t="0" r="0" b="0"/>
                  <wp:wrapSquare wrapText="bothSides"/>
                  <wp:docPr id="35" name="Picture 129" descr="四层板式货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29" descr="四层板式货架"/>
                          <pic:cNvPicPr>
                            <a:picLocks noChangeAspect="1"/>
                          </pic:cNvPicPr>
                        </pic:nvPicPr>
                        <pic:blipFill>
                          <a:blip r:embed="rId34">
                            <a:clrChange>
                              <a:clrFrom>
                                <a:srgbClr val="FCFCFC"/>
                              </a:clrFrom>
                              <a:clrTo>
                                <a:srgbClr val="FCFCFC">
                                  <a:alpha val="0"/>
                                </a:srgbClr>
                              </a:clrTo>
                            </a:clrChange>
                          </a:blip>
                          <a:srcRect l="13043" t="-7692" r="12318" b="-5769"/>
                          <a:stretch>
                            <a:fillRect/>
                          </a:stretch>
                        </pic:blipFill>
                        <pic:spPr>
                          <a:xfrm>
                            <a:off x="0" y="0"/>
                            <a:ext cx="800100" cy="91567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规格：1500*500*1500㎜                      </w:t>
            </w:r>
          </w:p>
          <w:p w14:paraId="5CA8454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1、层板采用1.2mm优质304#雪花不锈钢板</w:t>
            </w:r>
          </w:p>
          <w:p w14:paraId="71F5D79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2、主框架采用38*25管厚H=1.2mm 不锈钢；</w:t>
            </w:r>
          </w:p>
          <w:p w14:paraId="2CAD0A0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3、柱脚采用Φ38不锈钢管及可调高低不锈钢子弹脚 </w:t>
            </w:r>
          </w:p>
          <w:p w14:paraId="1C9CA16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633" w:type="dxa"/>
            <w:noWrap/>
            <w:vAlign w:val="center"/>
          </w:tcPr>
          <w:p w14:paraId="153C88B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5台</w:t>
            </w:r>
          </w:p>
        </w:tc>
        <w:tc>
          <w:tcPr>
            <w:tcW w:w="1221" w:type="dxa"/>
            <w:noWrap/>
            <w:vAlign w:val="center"/>
          </w:tcPr>
          <w:p w14:paraId="08D9282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2450 </w:t>
            </w:r>
          </w:p>
        </w:tc>
      </w:tr>
      <w:tr w14:paraId="0D15DA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6" w:type="dxa"/>
            <w:noWrap/>
            <w:vAlign w:val="center"/>
          </w:tcPr>
          <w:p w14:paraId="4F7EA12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w:t>
            </w:r>
          </w:p>
        </w:tc>
        <w:tc>
          <w:tcPr>
            <w:tcW w:w="1027" w:type="dxa"/>
            <w:vAlign w:val="center"/>
          </w:tcPr>
          <w:p w14:paraId="1FAFAA1F">
            <w:pPr>
              <w:keepNext w:val="0"/>
              <w:keepLines w:val="0"/>
              <w:widowControl/>
              <w:suppressLineNumbers w:val="0"/>
              <w:jc w:val="left"/>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米架，面架</w:t>
            </w:r>
          </w:p>
        </w:tc>
        <w:tc>
          <w:tcPr>
            <w:tcW w:w="6543" w:type="dxa"/>
            <w:vAlign w:val="center"/>
          </w:tcPr>
          <w:p w14:paraId="0AC2602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1552" behindDoc="0" locked="0" layoutInCell="1" allowOverlap="1">
                  <wp:simplePos x="0" y="0"/>
                  <wp:positionH relativeFrom="column">
                    <wp:posOffset>2765425</wp:posOffset>
                  </wp:positionH>
                  <wp:positionV relativeFrom="paragraph">
                    <wp:posOffset>215900</wp:posOffset>
                  </wp:positionV>
                  <wp:extent cx="961390" cy="516255"/>
                  <wp:effectExtent l="0" t="0" r="10160" b="17145"/>
                  <wp:wrapSquare wrapText="bothSides"/>
                  <wp:docPr id="36" name="Picture 356" descr="2009261821491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56" descr="20092618214911480"/>
                          <pic:cNvPicPr>
                            <a:picLocks noChangeAspect="1"/>
                          </pic:cNvPicPr>
                        </pic:nvPicPr>
                        <pic:blipFill>
                          <a:blip r:embed="rId35">
                            <a:clrChange>
                              <a:clrFrom>
                                <a:srgbClr val="FCFCFC"/>
                              </a:clrFrom>
                              <a:clrTo>
                                <a:srgbClr val="FCFCFC">
                                  <a:alpha val="0"/>
                                </a:srgbClr>
                              </a:clrTo>
                            </a:clrChange>
                          </a:blip>
                          <a:srcRect l="12500" t="11278" r="19908" b="14285"/>
                          <a:stretch>
                            <a:fillRect/>
                          </a:stretch>
                        </pic:blipFill>
                        <pic:spPr>
                          <a:xfrm>
                            <a:off x="0" y="0"/>
                            <a:ext cx="961390" cy="51625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规格：2000*900*200㎜                                                       1.采用1.0mm优质304#雪花不锈钢板</w:t>
            </w:r>
          </w:p>
          <w:p w14:paraId="7B73ED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2.采用50*50方通厚1.0mm制作成骨架  </w:t>
            </w:r>
          </w:p>
          <w:p w14:paraId="21C10F43">
            <w:pPr>
              <w:keepNext w:val="0"/>
              <w:keepLines w:val="0"/>
              <w:widowControl/>
              <w:suppressLineNumbers w:val="0"/>
              <w:jc w:val="left"/>
              <w:textAlignment w:val="center"/>
              <w:rPr>
                <w:rFonts w:hint="eastAsia" w:ascii="宋体" w:hAnsi="宋体" w:eastAsia="宋体" w:cs="宋体"/>
                <w:color w:val="auto"/>
                <w:sz w:val="21"/>
                <w:szCs w:val="21"/>
                <w:highlight w:val="none"/>
                <w:lang w:eastAsia="zh-CN"/>
              </w:rPr>
            </w:pPr>
            <w:r>
              <w:rPr>
                <w:rFonts w:hint="eastAsia" w:ascii="宋体" w:hAnsi="宋体" w:eastAsia="宋体" w:cs="宋体"/>
                <w:i w:val="0"/>
                <w:iCs w:val="0"/>
                <w:color w:val="000000"/>
                <w:kern w:val="0"/>
                <w:sz w:val="21"/>
                <w:szCs w:val="21"/>
                <w:u w:val="none"/>
                <w:lang w:val="en-US" w:eastAsia="zh-CN" w:bidi="ar"/>
              </w:rPr>
              <w:t xml:space="preserve">                                      </w:t>
            </w:r>
          </w:p>
        </w:tc>
        <w:tc>
          <w:tcPr>
            <w:tcW w:w="633" w:type="dxa"/>
            <w:noWrap/>
            <w:vAlign w:val="center"/>
          </w:tcPr>
          <w:p w14:paraId="7BEF552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4个</w:t>
            </w:r>
          </w:p>
        </w:tc>
        <w:tc>
          <w:tcPr>
            <w:tcW w:w="1221" w:type="dxa"/>
            <w:noWrap/>
            <w:vAlign w:val="center"/>
          </w:tcPr>
          <w:p w14:paraId="495C4BE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1650 </w:t>
            </w:r>
          </w:p>
        </w:tc>
      </w:tr>
      <w:tr w14:paraId="0E3EA82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10040" w:type="dxa"/>
            <w:gridSpan w:val="5"/>
            <w:noWrap/>
            <w:vAlign w:val="center"/>
          </w:tcPr>
          <w:p w14:paraId="12A5383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（二）蔬菜加工区、肉类加工区、水产加工区</w:t>
            </w:r>
          </w:p>
        </w:tc>
      </w:tr>
      <w:tr w14:paraId="45C813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trPr>
        <w:tc>
          <w:tcPr>
            <w:tcW w:w="616" w:type="dxa"/>
            <w:noWrap/>
            <w:vAlign w:val="center"/>
          </w:tcPr>
          <w:p w14:paraId="357BD8EC">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项号</w:t>
            </w:r>
          </w:p>
        </w:tc>
        <w:tc>
          <w:tcPr>
            <w:tcW w:w="1027" w:type="dxa"/>
            <w:vAlign w:val="center"/>
          </w:tcPr>
          <w:p w14:paraId="48FADCE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货物名称</w:t>
            </w:r>
          </w:p>
        </w:tc>
        <w:tc>
          <w:tcPr>
            <w:tcW w:w="6543" w:type="dxa"/>
            <w:vAlign w:val="center"/>
          </w:tcPr>
          <w:p w14:paraId="065D639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noWrap/>
            <w:vAlign w:val="center"/>
          </w:tcPr>
          <w:p w14:paraId="1353212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noWrap/>
            <w:vAlign w:val="center"/>
          </w:tcPr>
          <w:p w14:paraId="3E2805A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0660EA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68CCCB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w:t>
            </w:r>
          </w:p>
        </w:tc>
        <w:tc>
          <w:tcPr>
            <w:tcW w:w="1027" w:type="dxa"/>
            <w:shd w:val="clear" w:color="auto" w:fill="auto"/>
            <w:vAlign w:val="center"/>
          </w:tcPr>
          <w:p w14:paraId="1F68ED9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四层存货架</w:t>
            </w:r>
          </w:p>
        </w:tc>
        <w:tc>
          <w:tcPr>
            <w:tcW w:w="6543" w:type="dxa"/>
            <w:shd w:val="clear" w:color="auto" w:fill="auto"/>
            <w:vAlign w:val="center"/>
          </w:tcPr>
          <w:p w14:paraId="64E9710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5648" behindDoc="0" locked="0" layoutInCell="1" allowOverlap="1">
                  <wp:simplePos x="0" y="0"/>
                  <wp:positionH relativeFrom="column">
                    <wp:posOffset>3132455</wp:posOffset>
                  </wp:positionH>
                  <wp:positionV relativeFrom="paragraph">
                    <wp:posOffset>240030</wp:posOffset>
                  </wp:positionV>
                  <wp:extent cx="648970" cy="848995"/>
                  <wp:effectExtent l="0" t="0" r="17780" b="8255"/>
                  <wp:wrapSquare wrapText="bothSides"/>
                  <wp:docPr id="37" name="Picture 57" descr="四层货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57" descr="四层货架"/>
                          <pic:cNvPicPr>
                            <a:picLocks noChangeAspect="1"/>
                          </pic:cNvPicPr>
                        </pic:nvPicPr>
                        <pic:blipFill>
                          <a:blip r:embed="rId36" cstate="print">
                            <a:clrChange>
                              <a:clrFrom>
                                <a:srgbClr val="FCFCFC"/>
                              </a:clrFrom>
                              <a:clrTo>
                                <a:srgbClr val="FCFCFC">
                                  <a:alpha val="0"/>
                                </a:srgbClr>
                              </a:clrTo>
                            </a:clrChange>
                          </a:blip>
                          <a:srcRect l="31450" t="17085" r="28625" b="12814"/>
                          <a:stretch>
                            <a:fillRect/>
                          </a:stretch>
                        </pic:blipFill>
                        <pic:spPr>
                          <a:xfrm>
                            <a:off x="0" y="0"/>
                            <a:ext cx="648970" cy="84899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规格：1500*500*1500㎜                      </w:t>
            </w:r>
          </w:p>
          <w:p w14:paraId="66C944E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1、层架整体采用框架嵌入式结构；</w:t>
            </w:r>
          </w:p>
          <w:p w14:paraId="378AA7D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2、主框架采用38*25管厚H=1.2mm 304#不锈钢；</w:t>
            </w:r>
          </w:p>
          <w:p w14:paraId="237723F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3、层架间隔条采用25x13mm优质304#不锈钢方管；</w:t>
            </w:r>
          </w:p>
          <w:p w14:paraId="13AB84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4、柱脚采用Φ38mm304#不锈钢管及可调高低不锈钢子弹脚 。</w:t>
            </w:r>
          </w:p>
          <w:p w14:paraId="0E00EA8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633" w:type="dxa"/>
            <w:shd w:val="clear" w:color="auto" w:fill="auto"/>
            <w:vAlign w:val="center"/>
          </w:tcPr>
          <w:p w14:paraId="00F60BD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3台</w:t>
            </w:r>
          </w:p>
        </w:tc>
        <w:tc>
          <w:tcPr>
            <w:tcW w:w="1221" w:type="dxa"/>
            <w:shd w:val="clear" w:color="auto" w:fill="auto"/>
            <w:vAlign w:val="center"/>
          </w:tcPr>
          <w:p w14:paraId="2A806A1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1600 </w:t>
            </w:r>
          </w:p>
        </w:tc>
      </w:tr>
      <w:tr w14:paraId="299140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D0C2EB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w:t>
            </w:r>
          </w:p>
        </w:tc>
        <w:tc>
          <w:tcPr>
            <w:tcW w:w="1027" w:type="dxa"/>
            <w:shd w:val="clear" w:color="auto" w:fill="auto"/>
            <w:vAlign w:val="center"/>
          </w:tcPr>
          <w:p w14:paraId="3773092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大单星洗物盆</w:t>
            </w:r>
          </w:p>
        </w:tc>
        <w:tc>
          <w:tcPr>
            <w:tcW w:w="6543" w:type="dxa"/>
            <w:shd w:val="clear" w:color="auto" w:fill="auto"/>
            <w:vAlign w:val="center"/>
          </w:tcPr>
          <w:p w14:paraId="7E698C7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0528" behindDoc="0" locked="0" layoutInCell="1" allowOverlap="1">
                  <wp:simplePos x="0" y="0"/>
                  <wp:positionH relativeFrom="column">
                    <wp:posOffset>2931795</wp:posOffset>
                  </wp:positionH>
                  <wp:positionV relativeFrom="paragraph">
                    <wp:posOffset>243840</wp:posOffset>
                  </wp:positionV>
                  <wp:extent cx="932815" cy="810895"/>
                  <wp:effectExtent l="0" t="0" r="635" b="8255"/>
                  <wp:wrapSquare wrapText="bothSides"/>
                  <wp:docPr id="38" name="Picture 299" descr="大单星洗物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299" descr="大单星洗物池"/>
                          <pic:cNvPicPr>
                            <a:picLocks noChangeAspect="1"/>
                          </pic:cNvPicPr>
                        </pic:nvPicPr>
                        <pic:blipFill>
                          <a:blip r:embed="rId37" cstate="print">
                            <a:clrChange>
                              <a:clrFrom>
                                <a:srgbClr val="FCFCFC"/>
                              </a:clrFrom>
                              <a:clrTo>
                                <a:srgbClr val="FCFCFC">
                                  <a:alpha val="0"/>
                                </a:srgbClr>
                              </a:clrTo>
                            </a:clrChange>
                          </a:blip>
                          <a:srcRect l="21277" t="19650" r="22258" b="14410"/>
                          <a:stretch>
                            <a:fillRect/>
                          </a:stretch>
                        </pic:blipFill>
                        <pic:spPr>
                          <a:xfrm>
                            <a:off x="0" y="0"/>
                            <a:ext cx="932815" cy="81089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规格：1000*700*950㎜                  </w:t>
            </w:r>
          </w:p>
          <w:p w14:paraId="341A602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1、面板采用1.2mm优质304#雪花不锈钢板；</w:t>
            </w:r>
          </w:p>
          <w:p w14:paraId="27A2F70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56053BA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466EEA0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4、星盆斗用1.2mm不锈钢板；                           </w:t>
            </w:r>
          </w:p>
          <w:p w14:paraId="7884355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5、每盆配不锈钢ND16mm高身摇摆式水龙头</w:t>
            </w:r>
          </w:p>
          <w:p w14:paraId="75747FF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633" w:type="dxa"/>
            <w:shd w:val="clear" w:color="auto" w:fill="auto"/>
            <w:vAlign w:val="center"/>
          </w:tcPr>
          <w:p w14:paraId="0284818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4台</w:t>
            </w:r>
          </w:p>
        </w:tc>
        <w:tc>
          <w:tcPr>
            <w:tcW w:w="1221" w:type="dxa"/>
            <w:shd w:val="clear" w:color="auto" w:fill="auto"/>
            <w:vAlign w:val="center"/>
          </w:tcPr>
          <w:p w14:paraId="45B9A7A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2500 </w:t>
            </w:r>
          </w:p>
        </w:tc>
      </w:tr>
      <w:tr w14:paraId="4D2457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1BCF75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w:t>
            </w:r>
          </w:p>
        </w:tc>
        <w:tc>
          <w:tcPr>
            <w:tcW w:w="1027" w:type="dxa"/>
            <w:shd w:val="clear" w:color="auto" w:fill="auto"/>
            <w:vAlign w:val="center"/>
          </w:tcPr>
          <w:p w14:paraId="3A3AC15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薯仔脱皮机</w:t>
            </w:r>
          </w:p>
        </w:tc>
        <w:tc>
          <w:tcPr>
            <w:tcW w:w="6543" w:type="dxa"/>
            <w:shd w:val="clear" w:color="auto" w:fill="auto"/>
            <w:vAlign w:val="center"/>
          </w:tcPr>
          <w:p w14:paraId="75E6FD5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69504" behindDoc="0" locked="0" layoutInCell="1" allowOverlap="1">
                  <wp:simplePos x="0" y="0"/>
                  <wp:positionH relativeFrom="column">
                    <wp:posOffset>2265045</wp:posOffset>
                  </wp:positionH>
                  <wp:positionV relativeFrom="paragraph">
                    <wp:posOffset>-3113405</wp:posOffset>
                  </wp:positionV>
                  <wp:extent cx="1014730" cy="1401445"/>
                  <wp:effectExtent l="0" t="0" r="13970" b="8255"/>
                  <wp:wrapSquare wrapText="bothSides"/>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38">
                            <a:clrChange>
                              <a:clrFrom>
                                <a:srgbClr val="FCFCFC"/>
                              </a:clrFrom>
                              <a:clrTo>
                                <a:srgbClr val="FCFCFC">
                                  <a:alpha val="0"/>
                                </a:srgbClr>
                              </a:clrTo>
                            </a:clrChange>
                          </a:blip>
                          <a:stretch>
                            <a:fillRect/>
                          </a:stretch>
                        </pic:blipFill>
                        <pic:spPr>
                          <a:xfrm>
                            <a:off x="0" y="0"/>
                            <a:ext cx="1014730" cy="140144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规格：500*500*860mm               </w:t>
            </w:r>
          </w:p>
          <w:p w14:paraId="6FA102E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1.生产能力：15千克/次                     </w:t>
            </w:r>
          </w:p>
          <w:p w14:paraId="72D021E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2.功率：0.75KW                              </w:t>
            </w:r>
          </w:p>
          <w:p w14:paraId="65E64ED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3.电压：220v   </w:t>
            </w:r>
          </w:p>
          <w:p w14:paraId="4F6982A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4.净重：66kg</w:t>
            </w:r>
          </w:p>
          <w:p w14:paraId="7A7C0B0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633" w:type="dxa"/>
            <w:shd w:val="clear" w:color="auto" w:fill="auto"/>
            <w:vAlign w:val="center"/>
          </w:tcPr>
          <w:p w14:paraId="5364FC6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36037D4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7200 </w:t>
            </w:r>
          </w:p>
        </w:tc>
      </w:tr>
      <w:tr w14:paraId="3D5DC0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444B36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w:t>
            </w:r>
          </w:p>
        </w:tc>
        <w:tc>
          <w:tcPr>
            <w:tcW w:w="1027" w:type="dxa"/>
            <w:shd w:val="clear" w:color="auto" w:fill="auto"/>
            <w:vAlign w:val="center"/>
          </w:tcPr>
          <w:p w14:paraId="73D296E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瓜果切片切丝机</w:t>
            </w:r>
          </w:p>
        </w:tc>
        <w:tc>
          <w:tcPr>
            <w:tcW w:w="6543" w:type="dxa"/>
            <w:shd w:val="clear" w:color="auto" w:fill="auto"/>
            <w:vAlign w:val="center"/>
          </w:tcPr>
          <w:p w14:paraId="0BBE73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68480" behindDoc="0" locked="0" layoutInCell="1" allowOverlap="1">
                  <wp:simplePos x="0" y="0"/>
                  <wp:positionH relativeFrom="column">
                    <wp:posOffset>2624455</wp:posOffset>
                  </wp:positionH>
                  <wp:positionV relativeFrom="paragraph">
                    <wp:posOffset>81915</wp:posOffset>
                  </wp:positionV>
                  <wp:extent cx="1090295" cy="1431925"/>
                  <wp:effectExtent l="0" t="0" r="14605" b="15875"/>
                  <wp:wrapSquare wrapText="bothSides"/>
                  <wp:docPr id="10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2"/>
                          <pic:cNvPicPr>
                            <a:picLocks noChangeAspect="1"/>
                          </pic:cNvPicPr>
                        </pic:nvPicPr>
                        <pic:blipFill>
                          <a:blip r:embed="rId39">
                            <a:clrChange>
                              <a:clrFrom>
                                <a:srgbClr val="FCFCFC"/>
                              </a:clrFrom>
                              <a:clrTo>
                                <a:srgbClr val="FCFCFC">
                                  <a:alpha val="0"/>
                                </a:srgbClr>
                              </a:clrTo>
                            </a:clrChange>
                          </a:blip>
                          <a:stretch>
                            <a:fillRect/>
                          </a:stretch>
                        </pic:blipFill>
                        <pic:spPr>
                          <a:xfrm>
                            <a:off x="0" y="0"/>
                            <a:ext cx="1090295" cy="143192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功率(KW):1.1kw/220V</w:t>
            </w:r>
          </w:p>
          <w:p w14:paraId="5C47EF5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产量:切丝、切片200-300千克/小时</w:t>
            </w:r>
          </w:p>
          <w:p w14:paraId="6A528E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整机重量(kg):70</w:t>
            </w:r>
          </w:p>
          <w:p w14:paraId="3A2FF5C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外形尺寸(CM):630*330*600mm</w:t>
            </w:r>
          </w:p>
          <w:p w14:paraId="5A1CC71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633" w:type="dxa"/>
            <w:shd w:val="clear" w:color="auto" w:fill="auto"/>
            <w:vAlign w:val="center"/>
          </w:tcPr>
          <w:p w14:paraId="41E8B08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5448386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5850 </w:t>
            </w:r>
          </w:p>
        </w:tc>
      </w:tr>
      <w:tr w14:paraId="0AC1BE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8599A3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w:t>
            </w:r>
          </w:p>
        </w:tc>
        <w:tc>
          <w:tcPr>
            <w:tcW w:w="1027" w:type="dxa"/>
            <w:shd w:val="clear" w:color="auto" w:fill="auto"/>
            <w:vAlign w:val="center"/>
          </w:tcPr>
          <w:p w14:paraId="0275BA0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浆渣分离机</w:t>
            </w:r>
          </w:p>
        </w:tc>
        <w:tc>
          <w:tcPr>
            <w:tcW w:w="6543" w:type="dxa"/>
            <w:shd w:val="clear" w:color="auto" w:fill="auto"/>
            <w:vAlign w:val="center"/>
          </w:tcPr>
          <w:p w14:paraId="122F6C4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67456" behindDoc="0" locked="0" layoutInCell="1" allowOverlap="1">
                  <wp:simplePos x="0" y="0"/>
                  <wp:positionH relativeFrom="column">
                    <wp:posOffset>2826385</wp:posOffset>
                  </wp:positionH>
                  <wp:positionV relativeFrom="paragraph">
                    <wp:posOffset>107950</wp:posOffset>
                  </wp:positionV>
                  <wp:extent cx="856615" cy="1461770"/>
                  <wp:effectExtent l="0" t="0" r="635" b="5080"/>
                  <wp:wrapSquare wrapText="bothSides"/>
                  <wp:docPr id="4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6"/>
                          <pic:cNvPicPr>
                            <a:picLocks noChangeAspect="1"/>
                          </pic:cNvPicPr>
                        </pic:nvPicPr>
                        <pic:blipFill>
                          <a:blip r:embed="rId40">
                            <a:clrChange>
                              <a:clrFrom>
                                <a:srgbClr val="FCFCFC"/>
                              </a:clrFrom>
                              <a:clrTo>
                                <a:srgbClr val="FCFCFC">
                                  <a:alpha val="0"/>
                                </a:srgbClr>
                              </a:clrTo>
                            </a:clrChange>
                          </a:blip>
                          <a:stretch>
                            <a:fillRect/>
                          </a:stretch>
                        </pic:blipFill>
                        <pic:spPr>
                          <a:xfrm>
                            <a:off x="0" y="0"/>
                            <a:ext cx="856615" cy="146177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规格:300*380*660mm                     </w:t>
            </w:r>
          </w:p>
          <w:p w14:paraId="3FB1E87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1.电机功率：220V/1.1KW </w:t>
            </w:r>
          </w:p>
          <w:p w14:paraId="607B706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2.整机重量：25kg             </w:t>
            </w:r>
          </w:p>
          <w:p w14:paraId="3259D59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3.生产能力：35kg/h</w:t>
            </w:r>
          </w:p>
          <w:p w14:paraId="2CFE728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633" w:type="dxa"/>
            <w:shd w:val="clear" w:color="auto" w:fill="auto"/>
            <w:vAlign w:val="center"/>
          </w:tcPr>
          <w:p w14:paraId="3E8BDBA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0CC5D83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1400 </w:t>
            </w:r>
          </w:p>
        </w:tc>
      </w:tr>
      <w:tr w14:paraId="4EAD98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86F0DD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w:t>
            </w:r>
          </w:p>
        </w:tc>
        <w:tc>
          <w:tcPr>
            <w:tcW w:w="1027" w:type="dxa"/>
            <w:shd w:val="clear" w:color="auto" w:fill="auto"/>
            <w:vAlign w:val="center"/>
          </w:tcPr>
          <w:p w14:paraId="2FB2ECC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收残台</w:t>
            </w:r>
          </w:p>
        </w:tc>
        <w:tc>
          <w:tcPr>
            <w:tcW w:w="6543" w:type="dxa"/>
            <w:shd w:val="clear" w:color="auto" w:fill="auto"/>
            <w:vAlign w:val="center"/>
          </w:tcPr>
          <w:p w14:paraId="0E0E62B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6672" behindDoc="0" locked="0" layoutInCell="1" allowOverlap="1">
                  <wp:simplePos x="0" y="0"/>
                  <wp:positionH relativeFrom="column">
                    <wp:posOffset>2863850</wp:posOffset>
                  </wp:positionH>
                  <wp:positionV relativeFrom="paragraph">
                    <wp:posOffset>138430</wp:posOffset>
                  </wp:positionV>
                  <wp:extent cx="1116330" cy="850265"/>
                  <wp:effectExtent l="0" t="0" r="7620" b="6985"/>
                  <wp:wrapSquare wrapText="bothSides"/>
                  <wp:docPr id="41" name="Picture 56" descr="收渣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56" descr="收渣工作台"/>
                          <pic:cNvPicPr>
                            <a:picLocks noChangeAspect="1"/>
                          </pic:cNvPicPr>
                        </pic:nvPicPr>
                        <pic:blipFill>
                          <a:blip r:embed="rId41" cstate="print">
                            <a:clrChange>
                              <a:clrFrom>
                                <a:srgbClr val="FCFCFC"/>
                              </a:clrFrom>
                              <a:clrTo>
                                <a:srgbClr val="FCFCFC">
                                  <a:alpha val="0"/>
                                </a:srgbClr>
                              </a:clrTo>
                            </a:clrChange>
                          </a:blip>
                          <a:srcRect l="7597" t="18600" r="28038" b="14917"/>
                          <a:stretch>
                            <a:fillRect/>
                          </a:stretch>
                        </pic:blipFill>
                        <pic:spPr>
                          <a:xfrm>
                            <a:off x="0" y="0"/>
                            <a:ext cx="1116330" cy="85026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规格：900*700*950㎜                                    </w:t>
            </w:r>
          </w:p>
          <w:p w14:paraId="2CCD7F3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1、面板采用1.2mm优质304#雪花不锈钢板；</w:t>
            </w:r>
          </w:p>
          <w:p w14:paraId="00FF99D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5B7C683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tc>
        <w:tc>
          <w:tcPr>
            <w:tcW w:w="633" w:type="dxa"/>
            <w:shd w:val="clear" w:color="auto" w:fill="auto"/>
            <w:vAlign w:val="center"/>
          </w:tcPr>
          <w:p w14:paraId="722F671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336C68D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1850 </w:t>
            </w:r>
          </w:p>
        </w:tc>
      </w:tr>
      <w:tr w14:paraId="76721D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7F826F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11</w:t>
            </w:r>
          </w:p>
        </w:tc>
        <w:tc>
          <w:tcPr>
            <w:tcW w:w="1027" w:type="dxa"/>
            <w:shd w:val="clear" w:color="auto" w:fill="auto"/>
            <w:vAlign w:val="center"/>
          </w:tcPr>
          <w:p w14:paraId="1DB84F6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双星工作台(中平台)</w:t>
            </w:r>
          </w:p>
        </w:tc>
        <w:tc>
          <w:tcPr>
            <w:tcW w:w="6543" w:type="dxa"/>
            <w:shd w:val="clear" w:color="auto" w:fill="auto"/>
            <w:vAlign w:val="center"/>
          </w:tcPr>
          <w:p w14:paraId="20DED97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7696" behindDoc="0" locked="0" layoutInCell="1" allowOverlap="1">
                  <wp:simplePos x="0" y="0"/>
                  <wp:positionH relativeFrom="column">
                    <wp:posOffset>2710180</wp:posOffset>
                  </wp:positionH>
                  <wp:positionV relativeFrom="paragraph">
                    <wp:posOffset>197485</wp:posOffset>
                  </wp:positionV>
                  <wp:extent cx="1318260" cy="1039495"/>
                  <wp:effectExtent l="0" t="0" r="15240" b="8255"/>
                  <wp:wrapSquare wrapText="bothSides"/>
                  <wp:docPr id="42" name="Picture 92" descr="双星中平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92" descr="双星中平台"/>
                          <pic:cNvPicPr>
                            <a:picLocks noChangeAspect="1"/>
                          </pic:cNvPicPr>
                        </pic:nvPicPr>
                        <pic:blipFill>
                          <a:blip r:embed="rId42" cstate="print">
                            <a:clrChange>
                              <a:clrFrom>
                                <a:srgbClr val="FCFCFC"/>
                              </a:clrFrom>
                              <a:clrTo>
                                <a:srgbClr val="FCFCFC">
                                  <a:alpha val="0"/>
                                </a:srgbClr>
                              </a:clrTo>
                            </a:clrChange>
                          </a:blip>
                          <a:srcRect l="14183" t="21428" r="20116" b="10039"/>
                          <a:stretch>
                            <a:fillRect/>
                          </a:stretch>
                        </pic:blipFill>
                        <pic:spPr>
                          <a:xfrm>
                            <a:off x="0" y="0"/>
                            <a:ext cx="1318260" cy="103949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规格：1800*700*950㎜                                    </w:t>
            </w:r>
          </w:p>
          <w:p w14:paraId="3D3C57E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1、面板采用1.2mm优质304#雪花不锈钢板；</w:t>
            </w:r>
          </w:p>
          <w:p w14:paraId="012D9F2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603FF0D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7A4F496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4、星盆斗用1.2mm不锈钢板；                           </w:t>
            </w:r>
          </w:p>
          <w:p w14:paraId="355505A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5、每盆配不锈钢ND16mm高身摇摆式水龙头</w:t>
            </w:r>
          </w:p>
        </w:tc>
        <w:tc>
          <w:tcPr>
            <w:tcW w:w="633" w:type="dxa"/>
            <w:shd w:val="clear" w:color="auto" w:fill="auto"/>
            <w:vAlign w:val="center"/>
          </w:tcPr>
          <w:p w14:paraId="11345F7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shd w:val="clear" w:color="auto" w:fill="auto"/>
            <w:vAlign w:val="center"/>
          </w:tcPr>
          <w:p w14:paraId="728EF7C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2600 </w:t>
            </w:r>
          </w:p>
        </w:tc>
      </w:tr>
      <w:tr w14:paraId="29B76E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6AF35D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12</w:t>
            </w:r>
          </w:p>
        </w:tc>
        <w:tc>
          <w:tcPr>
            <w:tcW w:w="1027" w:type="dxa"/>
            <w:shd w:val="clear" w:color="auto" w:fill="auto"/>
            <w:vAlign w:val="center"/>
          </w:tcPr>
          <w:p w14:paraId="488E155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绞切肉机</w:t>
            </w:r>
          </w:p>
        </w:tc>
        <w:tc>
          <w:tcPr>
            <w:tcW w:w="6543" w:type="dxa"/>
            <w:shd w:val="clear" w:color="auto" w:fill="auto"/>
            <w:vAlign w:val="center"/>
          </w:tcPr>
          <w:p w14:paraId="4ED373E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8720" behindDoc="0" locked="0" layoutInCell="1" allowOverlap="1">
                  <wp:simplePos x="0" y="0"/>
                  <wp:positionH relativeFrom="column">
                    <wp:posOffset>2879090</wp:posOffset>
                  </wp:positionH>
                  <wp:positionV relativeFrom="paragraph">
                    <wp:posOffset>103505</wp:posOffset>
                  </wp:positionV>
                  <wp:extent cx="779780" cy="952500"/>
                  <wp:effectExtent l="0" t="0" r="1270" b="0"/>
                  <wp:wrapSquare wrapText="bothSides"/>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43">
                            <a:clrChange>
                              <a:clrFrom>
                                <a:srgbClr val="FCFCFC"/>
                              </a:clrFrom>
                              <a:clrTo>
                                <a:srgbClr val="FCFCFC">
                                  <a:alpha val="0"/>
                                </a:srgbClr>
                              </a:clrTo>
                            </a:clrChange>
                          </a:blip>
                          <a:stretch>
                            <a:fillRect/>
                          </a:stretch>
                        </pic:blipFill>
                        <pic:spPr>
                          <a:xfrm>
                            <a:off x="0" y="0"/>
                            <a:ext cx="779780" cy="95250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功率：1.1（kw）/220V/380V</w:t>
            </w:r>
          </w:p>
          <w:p w14:paraId="76A2CBD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产量：肉片100KG/H  肉丝50KG/H</w:t>
            </w:r>
          </w:p>
          <w:p w14:paraId="4734DD7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规格：570*420*810MM</w:t>
            </w:r>
          </w:p>
          <w:p w14:paraId="168639F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重量：73kg</w:t>
            </w:r>
          </w:p>
        </w:tc>
        <w:tc>
          <w:tcPr>
            <w:tcW w:w="633" w:type="dxa"/>
            <w:shd w:val="clear" w:color="auto" w:fill="auto"/>
            <w:vAlign w:val="center"/>
          </w:tcPr>
          <w:p w14:paraId="5F3515C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7A4D7D5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4950 </w:t>
            </w:r>
          </w:p>
        </w:tc>
      </w:tr>
      <w:tr w14:paraId="2F94D3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B78DF7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13</w:t>
            </w:r>
          </w:p>
        </w:tc>
        <w:tc>
          <w:tcPr>
            <w:tcW w:w="1027" w:type="dxa"/>
            <w:shd w:val="clear" w:color="auto" w:fill="auto"/>
            <w:vAlign w:val="center"/>
          </w:tcPr>
          <w:p w14:paraId="774C611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四门双机双温冷柜</w:t>
            </w:r>
          </w:p>
          <w:p w14:paraId="288AB66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（标准型铜管）</w:t>
            </w:r>
          </w:p>
        </w:tc>
        <w:tc>
          <w:tcPr>
            <w:tcW w:w="6543" w:type="dxa"/>
            <w:shd w:val="clear" w:color="auto" w:fill="auto"/>
            <w:vAlign w:val="center"/>
          </w:tcPr>
          <w:p w14:paraId="3CF46FD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79744" behindDoc="0" locked="0" layoutInCell="1" allowOverlap="1">
                  <wp:simplePos x="0" y="0"/>
                  <wp:positionH relativeFrom="column">
                    <wp:posOffset>3041650</wp:posOffset>
                  </wp:positionH>
                  <wp:positionV relativeFrom="paragraph">
                    <wp:posOffset>99060</wp:posOffset>
                  </wp:positionV>
                  <wp:extent cx="883920" cy="1210310"/>
                  <wp:effectExtent l="0" t="0" r="11430" b="8890"/>
                  <wp:wrapSquare wrapText="bothSides"/>
                  <wp:docPr id="44"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770"/>
                          <pic:cNvPicPr>
                            <a:picLocks noChangeAspect="1"/>
                          </pic:cNvPicPr>
                        </pic:nvPicPr>
                        <pic:blipFill>
                          <a:blip r:embed="rId44" cstate="print">
                            <a:clrChange>
                              <a:clrFrom>
                                <a:srgbClr val="FCFCFC"/>
                              </a:clrFrom>
                              <a:clrTo>
                                <a:srgbClr val="FCFCFC">
                                  <a:alpha val="0"/>
                                </a:srgbClr>
                              </a:clrTo>
                            </a:clrChange>
                          </a:blip>
                          <a:stretch>
                            <a:fillRect/>
                          </a:stretch>
                        </pic:blipFill>
                        <pic:spPr>
                          <a:xfrm>
                            <a:off x="0" y="0"/>
                            <a:ext cx="883920" cy="121031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规格：1200*700*1900㎜                           </w:t>
            </w:r>
          </w:p>
          <w:p w14:paraId="582B6B0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1.电 源:～220V/50Hz                                     </w:t>
            </w:r>
          </w:p>
          <w:p w14:paraId="11B27A0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2.箱内温度:+5℃～-18℃</w:t>
            </w:r>
          </w:p>
          <w:p w14:paraId="0C23370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3.磨砂不锈钢外壳、钢内胆，名牌无氟压缩机、蒸发器精铜管制作、双显示器、双冷凝器、双电机风扇、不锈钢直线型拉手</w:t>
            </w:r>
          </w:p>
        </w:tc>
        <w:tc>
          <w:tcPr>
            <w:tcW w:w="633" w:type="dxa"/>
            <w:shd w:val="clear" w:color="auto" w:fill="auto"/>
            <w:vAlign w:val="center"/>
          </w:tcPr>
          <w:p w14:paraId="34AC492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4BF965A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5900 </w:t>
            </w:r>
          </w:p>
        </w:tc>
      </w:tr>
      <w:tr w14:paraId="27BC67A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48AFCA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14</w:t>
            </w:r>
          </w:p>
        </w:tc>
        <w:tc>
          <w:tcPr>
            <w:tcW w:w="1027" w:type="dxa"/>
            <w:shd w:val="clear" w:color="auto" w:fill="auto"/>
            <w:vAlign w:val="center"/>
          </w:tcPr>
          <w:p w14:paraId="6384755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高压洗地龙头</w:t>
            </w:r>
          </w:p>
        </w:tc>
        <w:tc>
          <w:tcPr>
            <w:tcW w:w="6543" w:type="dxa"/>
            <w:shd w:val="clear" w:color="auto" w:fill="auto"/>
            <w:vAlign w:val="center"/>
          </w:tcPr>
          <w:p w14:paraId="5310B47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1、规格：液压管配10米；</w:t>
            </w:r>
          </w:p>
          <w:p w14:paraId="5393E95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2、采用不锈钢开放式卷盘厚度1.2MM，底座钢板厚度5MM，液压管出口采用304不锈钢板加固，系统控制软管的长度和拖拉力度，可自动撤回；</w:t>
            </w:r>
          </w:p>
          <w:p w14:paraId="1B9BF73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3、标配一把喷枪。</w:t>
            </w:r>
          </w:p>
          <w:p w14:paraId="6314FC1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0768" behindDoc="0" locked="0" layoutInCell="1" allowOverlap="1">
                  <wp:simplePos x="0" y="0"/>
                  <wp:positionH relativeFrom="column">
                    <wp:posOffset>2929890</wp:posOffset>
                  </wp:positionH>
                  <wp:positionV relativeFrom="paragraph">
                    <wp:posOffset>410210</wp:posOffset>
                  </wp:positionV>
                  <wp:extent cx="1087755" cy="1037590"/>
                  <wp:effectExtent l="0" t="0" r="17145" b="10160"/>
                  <wp:wrapSquare wrapText="bothSides"/>
                  <wp:docPr id="102" name="图片 2" descr="8310534a35cb8fc470d1419d677fb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2" descr="8310534a35cb8fc470d1419d677fb47"/>
                          <pic:cNvPicPr>
                            <a:picLocks noChangeAspect="1"/>
                          </pic:cNvPicPr>
                        </pic:nvPicPr>
                        <pic:blipFill>
                          <a:blip r:embed="rId45"/>
                          <a:stretch>
                            <a:fillRect/>
                          </a:stretch>
                        </pic:blipFill>
                        <pic:spPr>
                          <a:xfrm>
                            <a:off x="0" y="0"/>
                            <a:ext cx="1087755" cy="103759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★4、符合GB 4706.1-2005，器具有足够的机械强度，其结构交经受正常使用中可能出现的野蛮搬运。</w:t>
            </w:r>
          </w:p>
          <w:p w14:paraId="6529EA5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★5、应符合GB 4706.1-2005，对器具外壳各部分以0.5J的冲击能量打击三次后，无损坏。</w:t>
            </w:r>
          </w:p>
          <w:p w14:paraId="7C3EB5D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★6、应符合GB 4706.1-2005,给器具供水水压1.2MPa,持续5min所有部件不出现泄漏。</w:t>
            </w:r>
          </w:p>
        </w:tc>
        <w:tc>
          <w:tcPr>
            <w:tcW w:w="633" w:type="dxa"/>
            <w:shd w:val="clear" w:color="auto" w:fill="auto"/>
            <w:vAlign w:val="center"/>
          </w:tcPr>
          <w:p w14:paraId="5A7DF70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221" w:type="dxa"/>
            <w:shd w:val="clear" w:color="auto" w:fill="auto"/>
            <w:vAlign w:val="center"/>
          </w:tcPr>
          <w:p w14:paraId="394F172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7800 </w:t>
            </w:r>
          </w:p>
        </w:tc>
      </w:tr>
      <w:tr w14:paraId="693C0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5D7A54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15</w:t>
            </w:r>
          </w:p>
        </w:tc>
        <w:tc>
          <w:tcPr>
            <w:tcW w:w="1027" w:type="dxa"/>
            <w:shd w:val="clear" w:color="auto" w:fill="auto"/>
            <w:vAlign w:val="center"/>
          </w:tcPr>
          <w:p w14:paraId="06E0DE0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双层工作台</w:t>
            </w:r>
          </w:p>
        </w:tc>
        <w:tc>
          <w:tcPr>
            <w:tcW w:w="6543" w:type="dxa"/>
            <w:shd w:val="clear" w:color="auto" w:fill="auto"/>
            <w:vAlign w:val="center"/>
          </w:tcPr>
          <w:p w14:paraId="694507B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1792" behindDoc="0" locked="0" layoutInCell="1" allowOverlap="1">
                  <wp:simplePos x="0" y="0"/>
                  <wp:positionH relativeFrom="column">
                    <wp:posOffset>2836545</wp:posOffset>
                  </wp:positionH>
                  <wp:positionV relativeFrom="paragraph">
                    <wp:posOffset>701675</wp:posOffset>
                  </wp:positionV>
                  <wp:extent cx="1104900" cy="702310"/>
                  <wp:effectExtent l="0" t="0" r="0" b="2540"/>
                  <wp:wrapSquare wrapText="bothSides"/>
                  <wp:docPr id="45" name="Picture 60" descr="双层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60" descr="双层工作台"/>
                          <pic:cNvPicPr>
                            <a:picLocks noChangeAspect="1"/>
                          </pic:cNvPicPr>
                        </pic:nvPicPr>
                        <pic:blipFill>
                          <a:blip r:embed="rId46" cstate="print">
                            <a:clrChange>
                              <a:clrFrom>
                                <a:srgbClr val="FCFCFC"/>
                              </a:clrFrom>
                              <a:clrTo>
                                <a:srgbClr val="FCFCFC">
                                  <a:alpha val="0"/>
                                </a:srgbClr>
                              </a:clrTo>
                            </a:clrChange>
                          </a:blip>
                          <a:srcRect l="9380" t="18919" r="23447" b="24663"/>
                          <a:stretch>
                            <a:fillRect/>
                          </a:stretch>
                        </pic:blipFill>
                        <pic:spPr>
                          <a:xfrm>
                            <a:off x="0" y="0"/>
                            <a:ext cx="1104900" cy="70231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规格：1800*800*800㎜                                                   </w:t>
            </w:r>
          </w:p>
          <w:p w14:paraId="12085D5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1.工作台面板采用1.2mm优质304#雪花不锈钢板加垫20mm大芯夹板；或起模灌浆固定紧贴面板并以0.8mm的优质不锈钢板做底板封板</w:t>
            </w:r>
          </w:p>
          <w:p w14:paraId="47B127B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195C40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54C0E74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4.层板用1.0mm优质雪花不锈钢磨砂贴塑板；</w:t>
            </w:r>
          </w:p>
          <w:p w14:paraId="4A53977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5.加强筋采用1.0mm优质雪花不锈钢板折弯</w:t>
            </w:r>
          </w:p>
          <w:p w14:paraId="48E65BC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633" w:type="dxa"/>
            <w:shd w:val="clear" w:color="auto" w:fill="auto"/>
            <w:vAlign w:val="center"/>
          </w:tcPr>
          <w:p w14:paraId="37FD6BB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4台</w:t>
            </w:r>
          </w:p>
        </w:tc>
        <w:tc>
          <w:tcPr>
            <w:tcW w:w="1221" w:type="dxa"/>
            <w:shd w:val="clear" w:color="auto" w:fill="auto"/>
            <w:vAlign w:val="center"/>
          </w:tcPr>
          <w:p w14:paraId="130094A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2400 </w:t>
            </w:r>
          </w:p>
        </w:tc>
      </w:tr>
      <w:tr w14:paraId="5EEB58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48A823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16</w:t>
            </w:r>
          </w:p>
        </w:tc>
        <w:tc>
          <w:tcPr>
            <w:tcW w:w="1027" w:type="dxa"/>
            <w:shd w:val="clear" w:color="auto" w:fill="auto"/>
            <w:vAlign w:val="center"/>
          </w:tcPr>
          <w:p w14:paraId="44B8E5B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收渣台</w:t>
            </w:r>
          </w:p>
        </w:tc>
        <w:tc>
          <w:tcPr>
            <w:tcW w:w="6543" w:type="dxa"/>
            <w:shd w:val="clear" w:color="auto" w:fill="auto"/>
            <w:vAlign w:val="center"/>
          </w:tcPr>
          <w:p w14:paraId="0631782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2816" behindDoc="0" locked="0" layoutInCell="1" allowOverlap="1">
                  <wp:simplePos x="0" y="0"/>
                  <wp:positionH relativeFrom="column">
                    <wp:posOffset>2811780</wp:posOffset>
                  </wp:positionH>
                  <wp:positionV relativeFrom="paragraph">
                    <wp:posOffset>70485</wp:posOffset>
                  </wp:positionV>
                  <wp:extent cx="1076325" cy="808990"/>
                  <wp:effectExtent l="0" t="0" r="9525" b="10160"/>
                  <wp:wrapSquare wrapText="bothSides"/>
                  <wp:docPr id="97" name="Picture 40" descr="收渣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40" descr="收渣台2"/>
                          <pic:cNvPicPr>
                            <a:picLocks noChangeAspect="1"/>
                          </pic:cNvPicPr>
                        </pic:nvPicPr>
                        <pic:blipFill>
                          <a:blip r:embed="rId47" cstate="print"/>
                          <a:srcRect l="13019" t="19656" r="18025" b="11069"/>
                          <a:stretch>
                            <a:fillRect/>
                          </a:stretch>
                        </pic:blipFill>
                        <pic:spPr>
                          <a:xfrm>
                            <a:off x="0" y="0"/>
                            <a:ext cx="1076325" cy="80899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规格：1600*700*800㎜                          </w:t>
            </w:r>
          </w:p>
          <w:p w14:paraId="12EC54C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1.采用1.2mm优质304#不锈钢板制作</w:t>
            </w:r>
          </w:p>
          <w:p w14:paraId="4FE2853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2.脚用Φ38mm不锈钢管及高度调整全钢子弹脚；</w:t>
            </w:r>
          </w:p>
        </w:tc>
        <w:tc>
          <w:tcPr>
            <w:tcW w:w="633" w:type="dxa"/>
            <w:shd w:val="clear" w:color="auto" w:fill="auto"/>
            <w:vAlign w:val="center"/>
          </w:tcPr>
          <w:p w14:paraId="60620A3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76D9E21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2650 </w:t>
            </w:r>
          </w:p>
        </w:tc>
      </w:tr>
      <w:tr w14:paraId="37F63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1CB2FEA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（三）面点加工</w:t>
            </w:r>
          </w:p>
        </w:tc>
      </w:tr>
      <w:tr w14:paraId="4C87BD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7AE938E">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3A18C18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00985BC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4E5379D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2891DA0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15DA57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7E47AA3">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17</w:t>
            </w:r>
          </w:p>
        </w:tc>
        <w:tc>
          <w:tcPr>
            <w:tcW w:w="1027" w:type="dxa"/>
            <w:shd w:val="clear" w:color="auto" w:fill="auto"/>
            <w:vAlign w:val="center"/>
          </w:tcPr>
          <w:p w14:paraId="64A69E7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四门双机双温冷柜</w:t>
            </w:r>
          </w:p>
          <w:p w14:paraId="4C534C3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（标准型铜管）</w:t>
            </w:r>
          </w:p>
        </w:tc>
        <w:tc>
          <w:tcPr>
            <w:tcW w:w="6543" w:type="dxa"/>
            <w:shd w:val="clear" w:color="auto" w:fill="auto"/>
            <w:vAlign w:val="center"/>
          </w:tcPr>
          <w:p w14:paraId="2A8F6E2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3840" behindDoc="0" locked="0" layoutInCell="1" allowOverlap="1">
                  <wp:simplePos x="0" y="0"/>
                  <wp:positionH relativeFrom="column">
                    <wp:posOffset>3189605</wp:posOffset>
                  </wp:positionH>
                  <wp:positionV relativeFrom="paragraph">
                    <wp:posOffset>141605</wp:posOffset>
                  </wp:positionV>
                  <wp:extent cx="844550" cy="1156335"/>
                  <wp:effectExtent l="0" t="0" r="12700" b="5715"/>
                  <wp:wrapSquare wrapText="bothSides"/>
                  <wp:docPr id="111"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Picture 770"/>
                          <pic:cNvPicPr>
                            <a:picLocks noChangeAspect="1"/>
                          </pic:cNvPicPr>
                        </pic:nvPicPr>
                        <pic:blipFill>
                          <a:blip r:embed="rId44" cstate="print">
                            <a:clrChange>
                              <a:clrFrom>
                                <a:srgbClr val="FCFCFC"/>
                              </a:clrFrom>
                              <a:clrTo>
                                <a:srgbClr val="FCFCFC">
                                  <a:alpha val="0"/>
                                </a:srgbClr>
                              </a:clrTo>
                            </a:clrChange>
                          </a:blip>
                          <a:stretch>
                            <a:fillRect/>
                          </a:stretch>
                        </pic:blipFill>
                        <pic:spPr>
                          <a:xfrm>
                            <a:off x="0" y="0"/>
                            <a:ext cx="844550" cy="115633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规格：1200*700*1900㎜                                </w:t>
            </w:r>
          </w:p>
          <w:p w14:paraId="29DC8B0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1.电 源:～220V/50Hz                                    </w:t>
            </w:r>
          </w:p>
          <w:p w14:paraId="1CD581D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2.箱内温度:+5℃～-18℃</w:t>
            </w:r>
          </w:p>
          <w:p w14:paraId="582D09A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3.磨砂不锈钢外壳、钢内胆，名牌无氟压缩机、蒸发器精铜管制作、双显示器、双冷凝器、双电机风扇、不锈钢直线型拉手</w:t>
            </w:r>
          </w:p>
        </w:tc>
        <w:tc>
          <w:tcPr>
            <w:tcW w:w="633" w:type="dxa"/>
            <w:shd w:val="clear" w:color="auto" w:fill="auto"/>
            <w:vAlign w:val="center"/>
          </w:tcPr>
          <w:p w14:paraId="1036D71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505F577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5900 </w:t>
            </w:r>
          </w:p>
        </w:tc>
      </w:tr>
      <w:tr w14:paraId="1B3F8E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9BB397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18</w:t>
            </w:r>
          </w:p>
        </w:tc>
        <w:tc>
          <w:tcPr>
            <w:tcW w:w="1027" w:type="dxa"/>
            <w:shd w:val="clear" w:color="auto" w:fill="auto"/>
            <w:vAlign w:val="center"/>
          </w:tcPr>
          <w:p w14:paraId="0FEB214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单星洗物池</w:t>
            </w:r>
          </w:p>
        </w:tc>
        <w:tc>
          <w:tcPr>
            <w:tcW w:w="6543" w:type="dxa"/>
            <w:shd w:val="clear" w:color="auto" w:fill="auto"/>
            <w:vAlign w:val="center"/>
          </w:tcPr>
          <w:p w14:paraId="0C409D2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4864" behindDoc="0" locked="0" layoutInCell="1" allowOverlap="1">
                  <wp:simplePos x="0" y="0"/>
                  <wp:positionH relativeFrom="column">
                    <wp:posOffset>3009900</wp:posOffset>
                  </wp:positionH>
                  <wp:positionV relativeFrom="paragraph">
                    <wp:posOffset>147955</wp:posOffset>
                  </wp:positionV>
                  <wp:extent cx="877570" cy="982980"/>
                  <wp:effectExtent l="0" t="0" r="17780" b="7620"/>
                  <wp:wrapSquare wrapText="bothSides"/>
                  <wp:docPr id="112" name="Picture 74" descr="单星洗物台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Picture 74" descr="单星洗物台kb"/>
                          <pic:cNvPicPr>
                            <a:picLocks noChangeAspect="1"/>
                          </pic:cNvPicPr>
                        </pic:nvPicPr>
                        <pic:blipFill>
                          <a:blip r:embed="rId48" cstate="print">
                            <a:clrChange>
                              <a:clrFrom>
                                <a:srgbClr val="FCFCFC"/>
                              </a:clrFrom>
                              <a:clrTo>
                                <a:srgbClr val="FCFCFC">
                                  <a:alpha val="0"/>
                                </a:srgbClr>
                              </a:clrTo>
                            </a:clrChange>
                          </a:blip>
                          <a:srcRect l="28166" t="19794" r="28165" b="14973"/>
                          <a:stretch>
                            <a:fillRect/>
                          </a:stretch>
                        </pic:blipFill>
                        <pic:spPr>
                          <a:xfrm>
                            <a:off x="0" y="0"/>
                            <a:ext cx="877570" cy="98298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规格：700*700*950㎜    </w:t>
            </w:r>
          </w:p>
          <w:p w14:paraId="7CC938E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内尺寸：500*500*280mm                                       1、面板采用1.2mm优质304#雪花不锈钢板；</w:t>
            </w:r>
          </w:p>
          <w:p w14:paraId="059AF6E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632D5A2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7171771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4、星盆斗用1.2mm不锈钢板；                           </w:t>
            </w:r>
          </w:p>
          <w:p w14:paraId="1EFEF3D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5、每盆配不锈钢ND16mm高身摇摆式水龙头</w:t>
            </w:r>
          </w:p>
        </w:tc>
        <w:tc>
          <w:tcPr>
            <w:tcW w:w="633" w:type="dxa"/>
            <w:shd w:val="clear" w:color="auto" w:fill="auto"/>
            <w:vAlign w:val="center"/>
          </w:tcPr>
          <w:p w14:paraId="3CC3923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24606B8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63B395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5E6EAD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19</w:t>
            </w:r>
          </w:p>
        </w:tc>
        <w:tc>
          <w:tcPr>
            <w:tcW w:w="1027" w:type="dxa"/>
            <w:shd w:val="clear" w:color="auto" w:fill="auto"/>
            <w:vAlign w:val="center"/>
          </w:tcPr>
          <w:p w14:paraId="143E3AD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压面机</w:t>
            </w:r>
          </w:p>
        </w:tc>
        <w:tc>
          <w:tcPr>
            <w:tcW w:w="6543" w:type="dxa"/>
            <w:shd w:val="clear" w:color="auto" w:fill="auto"/>
            <w:vAlign w:val="center"/>
          </w:tcPr>
          <w:p w14:paraId="1AA79FA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5888" behindDoc="0" locked="0" layoutInCell="1" allowOverlap="1">
                  <wp:simplePos x="0" y="0"/>
                  <wp:positionH relativeFrom="column">
                    <wp:posOffset>2506345</wp:posOffset>
                  </wp:positionH>
                  <wp:positionV relativeFrom="paragraph">
                    <wp:posOffset>98425</wp:posOffset>
                  </wp:positionV>
                  <wp:extent cx="1343660" cy="1343660"/>
                  <wp:effectExtent l="0" t="0" r="8890" b="8890"/>
                  <wp:wrapSquare wrapText="bothSides"/>
                  <wp:docPr id="116" name="图片 1" descr="O1CN013vd4rh2775e582iqn_!!1835207749.png_400x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 descr="O1CN013vd4rh2775e582iqn_!!1835207749.png_400x400"/>
                          <pic:cNvPicPr>
                            <a:picLocks noChangeAspect="1"/>
                          </pic:cNvPicPr>
                        </pic:nvPicPr>
                        <pic:blipFill>
                          <a:blip r:embed="rId49"/>
                          <a:stretch>
                            <a:fillRect/>
                          </a:stretch>
                        </pic:blipFill>
                        <pic:spPr>
                          <a:xfrm>
                            <a:off x="0" y="0"/>
                            <a:ext cx="1343660" cy="134366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规格：600*700*1120mm</w:t>
            </w:r>
          </w:p>
          <w:p w14:paraId="1CA40C5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1.功率：1.5KW/220V</w:t>
            </w:r>
          </w:p>
          <w:p w14:paraId="747A3F3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2.滚筒转速：125RPM</w:t>
            </w:r>
          </w:p>
          <w:p w14:paraId="64A065D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3.滚筒长度：250mm</w:t>
            </w:r>
          </w:p>
          <w:p w14:paraId="793CEF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4.压辊直径：Φ113mm</w:t>
            </w:r>
          </w:p>
          <w:p w14:paraId="4BD1F2E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5.线速度：1.1米/秒</w:t>
            </w:r>
          </w:p>
          <w:p w14:paraId="397D65B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6.可调厚度：1-18mm</w:t>
            </w:r>
          </w:p>
          <w:p w14:paraId="6252A8D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7.重量：123kg</w:t>
            </w:r>
          </w:p>
        </w:tc>
        <w:tc>
          <w:tcPr>
            <w:tcW w:w="633" w:type="dxa"/>
            <w:shd w:val="clear" w:color="auto" w:fill="auto"/>
            <w:vAlign w:val="center"/>
          </w:tcPr>
          <w:p w14:paraId="2CB8E0E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0F1A179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7000 </w:t>
            </w:r>
          </w:p>
        </w:tc>
      </w:tr>
      <w:tr w14:paraId="2F8FD1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C17309D">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20</w:t>
            </w:r>
          </w:p>
        </w:tc>
        <w:tc>
          <w:tcPr>
            <w:tcW w:w="1027" w:type="dxa"/>
            <w:shd w:val="clear" w:color="auto" w:fill="auto"/>
            <w:vAlign w:val="center"/>
          </w:tcPr>
          <w:p w14:paraId="314E0F9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和面机</w:t>
            </w:r>
          </w:p>
        </w:tc>
        <w:tc>
          <w:tcPr>
            <w:tcW w:w="6543" w:type="dxa"/>
            <w:shd w:val="clear" w:color="auto" w:fill="auto"/>
            <w:vAlign w:val="center"/>
          </w:tcPr>
          <w:p w14:paraId="3C7D94B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6912" behindDoc="0" locked="0" layoutInCell="1" allowOverlap="1">
                  <wp:simplePos x="0" y="0"/>
                  <wp:positionH relativeFrom="column">
                    <wp:posOffset>2723515</wp:posOffset>
                  </wp:positionH>
                  <wp:positionV relativeFrom="paragraph">
                    <wp:posOffset>268605</wp:posOffset>
                  </wp:positionV>
                  <wp:extent cx="916305" cy="882650"/>
                  <wp:effectExtent l="0" t="0" r="17145" b="12700"/>
                  <wp:wrapSquare wrapText="bothSides"/>
                  <wp:docPr id="115" name="图片 27" descr="简装和面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7" descr="简装和面机"/>
                          <pic:cNvPicPr>
                            <a:picLocks noChangeAspect="1"/>
                          </pic:cNvPicPr>
                        </pic:nvPicPr>
                        <pic:blipFill>
                          <a:blip r:embed="rId50"/>
                          <a:stretch>
                            <a:fillRect/>
                          </a:stretch>
                        </pic:blipFill>
                        <pic:spPr>
                          <a:xfrm>
                            <a:off x="0" y="0"/>
                            <a:ext cx="916305" cy="88265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规格:750*630*760㎜                        </w:t>
            </w:r>
          </w:p>
          <w:p w14:paraId="70CB5AA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1.额定电压:220V/1.5KW               </w:t>
            </w:r>
          </w:p>
          <w:p w14:paraId="07E083D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2.额定频率:50HZ                           </w:t>
            </w:r>
          </w:p>
          <w:p w14:paraId="1136A0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3.搅拌转速:40R/MIN                       </w:t>
            </w:r>
          </w:p>
          <w:p w14:paraId="7203A3C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4.最大和面量:25KG    </w:t>
            </w:r>
          </w:p>
        </w:tc>
        <w:tc>
          <w:tcPr>
            <w:tcW w:w="633" w:type="dxa"/>
            <w:shd w:val="clear" w:color="auto" w:fill="auto"/>
            <w:vAlign w:val="center"/>
          </w:tcPr>
          <w:p w14:paraId="528D278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6F62436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6600 </w:t>
            </w:r>
          </w:p>
        </w:tc>
      </w:tr>
      <w:tr w14:paraId="0932AA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FBB05E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21</w:t>
            </w:r>
          </w:p>
        </w:tc>
        <w:tc>
          <w:tcPr>
            <w:tcW w:w="1027" w:type="dxa"/>
            <w:shd w:val="clear" w:color="auto" w:fill="auto"/>
            <w:vAlign w:val="center"/>
          </w:tcPr>
          <w:p w14:paraId="3B42CCF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搅拌机</w:t>
            </w:r>
          </w:p>
        </w:tc>
        <w:tc>
          <w:tcPr>
            <w:tcW w:w="6543" w:type="dxa"/>
            <w:shd w:val="clear" w:color="auto" w:fill="auto"/>
            <w:vAlign w:val="center"/>
          </w:tcPr>
          <w:p w14:paraId="47AEBB2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7936" behindDoc="0" locked="0" layoutInCell="1" allowOverlap="1">
                  <wp:simplePos x="0" y="0"/>
                  <wp:positionH relativeFrom="column">
                    <wp:posOffset>2774315</wp:posOffset>
                  </wp:positionH>
                  <wp:positionV relativeFrom="paragraph">
                    <wp:posOffset>46355</wp:posOffset>
                  </wp:positionV>
                  <wp:extent cx="952500" cy="962025"/>
                  <wp:effectExtent l="0" t="0" r="0" b="9525"/>
                  <wp:wrapSquare wrapText="bothSides"/>
                  <wp:docPr id="114"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3"/>
                          <pic:cNvPicPr>
                            <a:picLocks noChangeAspect="1"/>
                          </pic:cNvPicPr>
                        </pic:nvPicPr>
                        <pic:blipFill>
                          <a:blip r:embed="rId51"/>
                          <a:stretch>
                            <a:fillRect/>
                          </a:stretch>
                        </pic:blipFill>
                        <pic:spPr>
                          <a:xfrm>
                            <a:off x="0" y="0"/>
                            <a:ext cx="952500" cy="96202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 600*530*890㎜                                                         1.电源:220v                                                   2.功率:1.5kw                                                 3.容积:30L                                                        4.搅拌轴转速：308/136/83RPM</w:t>
            </w:r>
          </w:p>
        </w:tc>
        <w:tc>
          <w:tcPr>
            <w:tcW w:w="633" w:type="dxa"/>
            <w:shd w:val="clear" w:color="auto" w:fill="auto"/>
            <w:vAlign w:val="center"/>
          </w:tcPr>
          <w:p w14:paraId="62D097F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6F3B568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5500 </w:t>
            </w:r>
          </w:p>
        </w:tc>
      </w:tr>
      <w:tr w14:paraId="0AB751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6C3959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22</w:t>
            </w:r>
          </w:p>
        </w:tc>
        <w:tc>
          <w:tcPr>
            <w:tcW w:w="1027" w:type="dxa"/>
            <w:shd w:val="clear" w:color="auto" w:fill="auto"/>
            <w:vAlign w:val="center"/>
          </w:tcPr>
          <w:p w14:paraId="50EB633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不锈钢面粉台</w:t>
            </w:r>
          </w:p>
        </w:tc>
        <w:tc>
          <w:tcPr>
            <w:tcW w:w="6543" w:type="dxa"/>
            <w:shd w:val="clear" w:color="auto" w:fill="auto"/>
            <w:vAlign w:val="center"/>
          </w:tcPr>
          <w:p w14:paraId="77634D3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8960" behindDoc="0" locked="0" layoutInCell="1" allowOverlap="1">
                  <wp:simplePos x="0" y="0"/>
                  <wp:positionH relativeFrom="column">
                    <wp:posOffset>2989580</wp:posOffset>
                  </wp:positionH>
                  <wp:positionV relativeFrom="paragraph">
                    <wp:posOffset>113030</wp:posOffset>
                  </wp:positionV>
                  <wp:extent cx="1122045" cy="1100455"/>
                  <wp:effectExtent l="0" t="0" r="1905" b="4445"/>
                  <wp:wrapSquare wrapText="bothSides"/>
                  <wp:docPr id="113"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2"/>
                          <pic:cNvPicPr>
                            <a:picLocks noChangeAspect="1"/>
                          </pic:cNvPicPr>
                        </pic:nvPicPr>
                        <pic:blipFill>
                          <a:blip r:embed="rId52"/>
                          <a:stretch>
                            <a:fillRect/>
                          </a:stretch>
                        </pic:blipFill>
                        <pic:spPr>
                          <a:xfrm>
                            <a:off x="0" y="0"/>
                            <a:ext cx="1122045" cy="110045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规格：1800*800*800㎜                                                   </w:t>
            </w:r>
          </w:p>
          <w:p w14:paraId="2B6DAC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1.工作台面板采用1.2mm优质304#雪花不锈钢板加垫20mm大芯夹板；或起模灌浆固定紧贴面板并以0.8mm的优质不锈钢板做底板封板</w:t>
            </w:r>
          </w:p>
          <w:p w14:paraId="143C224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3ACAB50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7110896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4.加强筋采用1.0mm优质雪花不锈钢板折弯</w:t>
            </w:r>
          </w:p>
        </w:tc>
        <w:tc>
          <w:tcPr>
            <w:tcW w:w="633" w:type="dxa"/>
            <w:shd w:val="clear" w:color="auto" w:fill="auto"/>
            <w:vAlign w:val="center"/>
          </w:tcPr>
          <w:p w14:paraId="70AFB9E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7663CEB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2250 </w:t>
            </w:r>
          </w:p>
        </w:tc>
      </w:tr>
      <w:tr w14:paraId="7EB023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E605CD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23</w:t>
            </w:r>
          </w:p>
        </w:tc>
        <w:tc>
          <w:tcPr>
            <w:tcW w:w="1027" w:type="dxa"/>
            <w:shd w:val="clear" w:color="auto" w:fill="auto"/>
            <w:vAlign w:val="center"/>
          </w:tcPr>
          <w:p w14:paraId="7BBA816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单门发酵箱</w:t>
            </w:r>
          </w:p>
        </w:tc>
        <w:tc>
          <w:tcPr>
            <w:tcW w:w="6543" w:type="dxa"/>
            <w:shd w:val="clear" w:color="auto" w:fill="auto"/>
            <w:vAlign w:val="center"/>
          </w:tcPr>
          <w:p w14:paraId="06EA13E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89984" behindDoc="0" locked="0" layoutInCell="1" allowOverlap="1">
                  <wp:simplePos x="0" y="0"/>
                  <wp:positionH relativeFrom="column">
                    <wp:posOffset>2949575</wp:posOffset>
                  </wp:positionH>
                  <wp:positionV relativeFrom="paragraph">
                    <wp:posOffset>85090</wp:posOffset>
                  </wp:positionV>
                  <wp:extent cx="1153795" cy="1153795"/>
                  <wp:effectExtent l="0" t="0" r="8255" b="8255"/>
                  <wp:wrapSquare wrapText="bothSides"/>
                  <wp:docPr id="117"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6"/>
                          <pic:cNvPicPr>
                            <a:picLocks noChangeAspect="1"/>
                          </pic:cNvPicPr>
                        </pic:nvPicPr>
                        <pic:blipFill>
                          <a:blip r:embed="rId53"/>
                          <a:stretch>
                            <a:fillRect/>
                          </a:stretch>
                        </pic:blipFill>
                        <pic:spPr>
                          <a:xfrm>
                            <a:off x="0" y="0"/>
                            <a:ext cx="1153795" cy="115379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规格：480*700*1900mm</w:t>
            </w:r>
          </w:p>
          <w:p w14:paraId="2B7B031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1.全钢箱体结构，坚固耐用；</w:t>
            </w:r>
          </w:p>
          <w:p w14:paraId="3AC6339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2.玻璃视窗，方便观察食品发酵过程；</w:t>
            </w:r>
          </w:p>
          <w:p w14:paraId="603EB74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3.选用液胀式温控器，分别控制温度与湿度，升温快，醒发过程温度与湿度均匀；</w:t>
            </w:r>
          </w:p>
          <w:p w14:paraId="4D7B0B2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4.功率：2.6KW/220V</w:t>
            </w:r>
          </w:p>
          <w:p w14:paraId="6E510C6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5.饼盘尺寸：400*600</w:t>
            </w:r>
          </w:p>
        </w:tc>
        <w:tc>
          <w:tcPr>
            <w:tcW w:w="633" w:type="dxa"/>
            <w:shd w:val="clear" w:color="auto" w:fill="auto"/>
            <w:vAlign w:val="center"/>
          </w:tcPr>
          <w:p w14:paraId="5444939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390419C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3950 </w:t>
            </w:r>
          </w:p>
        </w:tc>
      </w:tr>
      <w:tr w14:paraId="6FD83D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71431C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24</w:t>
            </w:r>
          </w:p>
        </w:tc>
        <w:tc>
          <w:tcPr>
            <w:tcW w:w="1027" w:type="dxa"/>
            <w:shd w:val="clear" w:color="auto" w:fill="auto"/>
            <w:vAlign w:val="center"/>
          </w:tcPr>
          <w:p w14:paraId="6C3F2A5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二层四盘烤箱</w:t>
            </w:r>
          </w:p>
        </w:tc>
        <w:tc>
          <w:tcPr>
            <w:tcW w:w="6543" w:type="dxa"/>
            <w:shd w:val="clear" w:color="auto" w:fill="auto"/>
            <w:vAlign w:val="center"/>
          </w:tcPr>
          <w:p w14:paraId="5ACEB83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91008" behindDoc="0" locked="0" layoutInCell="1" allowOverlap="1">
                  <wp:simplePos x="0" y="0"/>
                  <wp:positionH relativeFrom="column">
                    <wp:posOffset>2783840</wp:posOffset>
                  </wp:positionH>
                  <wp:positionV relativeFrom="paragraph">
                    <wp:posOffset>266700</wp:posOffset>
                  </wp:positionV>
                  <wp:extent cx="1123950" cy="1023620"/>
                  <wp:effectExtent l="0" t="0" r="0" b="5080"/>
                  <wp:wrapSquare wrapText="bothSides"/>
                  <wp:docPr id="118"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Picture 819"/>
                          <pic:cNvPicPr>
                            <a:picLocks noChangeAspect="1"/>
                          </pic:cNvPicPr>
                        </pic:nvPicPr>
                        <pic:blipFill>
                          <a:blip r:embed="rId54"/>
                          <a:stretch>
                            <a:fillRect/>
                          </a:stretch>
                        </pic:blipFill>
                        <pic:spPr>
                          <a:xfrm>
                            <a:off x="0" y="0"/>
                            <a:ext cx="1123950" cy="1023620"/>
                          </a:xfrm>
                          <a:prstGeom prst="rect">
                            <a:avLst/>
                          </a:prstGeom>
                          <a:noFill/>
                          <a:ln w="1">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规格：1230*820*1197mm</w:t>
            </w:r>
          </w:p>
          <w:p w14:paraId="073C453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1.功率：13.2KW/380V</w:t>
            </w:r>
          </w:p>
          <w:p w14:paraId="2802576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2.不锈钢炉门，玻璃透视窗</w:t>
            </w:r>
          </w:p>
          <w:p w14:paraId="10A47C7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3.炉体采用拉砂不锈钢制造</w:t>
            </w:r>
          </w:p>
          <w:p w14:paraId="5467876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4.数显温控器，底火面火可在室温～350℃调节 </w:t>
            </w:r>
          </w:p>
          <w:p w14:paraId="65A18B1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5.自动恒温</w:t>
            </w:r>
          </w:p>
        </w:tc>
        <w:tc>
          <w:tcPr>
            <w:tcW w:w="633" w:type="dxa"/>
            <w:shd w:val="clear" w:color="auto" w:fill="auto"/>
            <w:vAlign w:val="center"/>
          </w:tcPr>
          <w:p w14:paraId="616E3AD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61D6C3E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8650 </w:t>
            </w:r>
          </w:p>
        </w:tc>
      </w:tr>
      <w:tr w14:paraId="035A9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EC46FF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25</w:t>
            </w:r>
          </w:p>
        </w:tc>
        <w:tc>
          <w:tcPr>
            <w:tcW w:w="1027" w:type="dxa"/>
            <w:shd w:val="clear" w:color="auto" w:fill="auto"/>
            <w:vAlign w:val="center"/>
          </w:tcPr>
          <w:p w14:paraId="3407507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电饼铛</w:t>
            </w:r>
          </w:p>
        </w:tc>
        <w:tc>
          <w:tcPr>
            <w:tcW w:w="6543" w:type="dxa"/>
            <w:shd w:val="clear" w:color="auto" w:fill="auto"/>
            <w:vAlign w:val="center"/>
          </w:tcPr>
          <w:p w14:paraId="77A8AC9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规格：635*735*780mm</w:t>
            </w:r>
          </w:p>
          <w:p w14:paraId="00938B83">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 xml:space="preserve">1.功率:5KW                                 </w:t>
            </w:r>
            <w:r>
              <w:drawing>
                <wp:anchor distT="0" distB="0" distL="114300" distR="114300" simplePos="0" relativeHeight="251692032" behindDoc="0" locked="0" layoutInCell="1" allowOverlap="1">
                  <wp:simplePos x="0" y="0"/>
                  <wp:positionH relativeFrom="column">
                    <wp:posOffset>2693670</wp:posOffset>
                  </wp:positionH>
                  <wp:positionV relativeFrom="paragraph">
                    <wp:posOffset>10795</wp:posOffset>
                  </wp:positionV>
                  <wp:extent cx="904875" cy="981075"/>
                  <wp:effectExtent l="0" t="0" r="9525" b="9525"/>
                  <wp:wrapSquare wrapText="bothSides"/>
                  <wp:docPr id="119"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8"/>
                          <pic:cNvPicPr>
                            <a:picLocks noChangeAspect="1"/>
                          </pic:cNvPicPr>
                        </pic:nvPicPr>
                        <pic:blipFill>
                          <a:blip r:embed="rId55"/>
                          <a:stretch>
                            <a:fillRect/>
                          </a:stretch>
                        </pic:blipFill>
                        <pic:spPr>
                          <a:xfrm>
                            <a:off x="0" y="0"/>
                            <a:ext cx="904875" cy="981075"/>
                          </a:xfrm>
                          <a:prstGeom prst="rect">
                            <a:avLst/>
                          </a:prstGeom>
                          <a:noFill/>
                          <a:ln w="9525">
                            <a:noFill/>
                          </a:ln>
                        </pic:spPr>
                      </pic:pic>
                    </a:graphicData>
                  </a:graphic>
                </wp:anchor>
              </w:drawing>
            </w:r>
          </w:p>
          <w:p w14:paraId="77CB0F7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2.电压:220V</w:t>
            </w:r>
          </w:p>
          <w:p w14:paraId="0D37983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3.温度范围：50-250℃</w:t>
            </w:r>
          </w:p>
          <w:p w14:paraId="38FF174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4.产量：30kg/h</w:t>
            </w:r>
          </w:p>
          <w:p w14:paraId="0BC4C0F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5.净重：35kg</w:t>
            </w:r>
          </w:p>
        </w:tc>
        <w:tc>
          <w:tcPr>
            <w:tcW w:w="633" w:type="dxa"/>
            <w:shd w:val="clear" w:color="auto" w:fill="auto"/>
            <w:vAlign w:val="center"/>
          </w:tcPr>
          <w:p w14:paraId="4B84BDE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26798C3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3400 </w:t>
            </w:r>
          </w:p>
        </w:tc>
      </w:tr>
      <w:tr w14:paraId="3AC741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699F1BE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（四）半成品暂存区、烹饪区、蒸煮区</w:t>
            </w:r>
          </w:p>
        </w:tc>
      </w:tr>
      <w:tr w14:paraId="78E0C9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8EB99F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1004845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6EBD278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038D82F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4F512C1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4B1361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4A5773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26</w:t>
            </w:r>
          </w:p>
        </w:tc>
        <w:tc>
          <w:tcPr>
            <w:tcW w:w="1027" w:type="dxa"/>
            <w:shd w:val="clear" w:color="auto" w:fill="auto"/>
            <w:vAlign w:val="center"/>
          </w:tcPr>
          <w:p w14:paraId="33BD4D1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四层存货架</w:t>
            </w:r>
          </w:p>
        </w:tc>
        <w:tc>
          <w:tcPr>
            <w:tcW w:w="6543" w:type="dxa"/>
            <w:shd w:val="clear" w:color="auto" w:fill="auto"/>
            <w:vAlign w:val="center"/>
          </w:tcPr>
          <w:p w14:paraId="6F29D04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93056" behindDoc="0" locked="0" layoutInCell="1" allowOverlap="1">
                  <wp:simplePos x="0" y="0"/>
                  <wp:positionH relativeFrom="column">
                    <wp:posOffset>3248660</wp:posOffset>
                  </wp:positionH>
                  <wp:positionV relativeFrom="paragraph">
                    <wp:posOffset>154940</wp:posOffset>
                  </wp:positionV>
                  <wp:extent cx="648970" cy="848995"/>
                  <wp:effectExtent l="0" t="0" r="17780" b="8255"/>
                  <wp:wrapSquare wrapText="bothSides"/>
                  <wp:docPr id="46" name="Picture 57" descr="四层货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57" descr="四层货架"/>
                          <pic:cNvPicPr>
                            <a:picLocks noChangeAspect="1"/>
                          </pic:cNvPicPr>
                        </pic:nvPicPr>
                        <pic:blipFill>
                          <a:blip r:embed="rId36" cstate="print">
                            <a:clrChange>
                              <a:clrFrom>
                                <a:srgbClr val="FCFCFC"/>
                              </a:clrFrom>
                              <a:clrTo>
                                <a:srgbClr val="FCFCFC">
                                  <a:alpha val="0"/>
                                </a:srgbClr>
                              </a:clrTo>
                            </a:clrChange>
                          </a:blip>
                          <a:srcRect l="31450" t="17085" r="28625" b="12814"/>
                          <a:stretch>
                            <a:fillRect/>
                          </a:stretch>
                        </pic:blipFill>
                        <pic:spPr>
                          <a:xfrm>
                            <a:off x="0" y="0"/>
                            <a:ext cx="648970" cy="84899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规格：1500*500*1500㎜                      </w:t>
            </w:r>
          </w:p>
          <w:p w14:paraId="648904B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1、层架整体采用框架嵌入式结构；</w:t>
            </w:r>
          </w:p>
          <w:p w14:paraId="1077819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2、主框架采用38*25管厚H=1.2mm 304#不锈钢；</w:t>
            </w:r>
          </w:p>
          <w:p w14:paraId="1F63535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3、层架间隔条采用25x13mm优质304#不锈钢方管；</w:t>
            </w:r>
          </w:p>
          <w:p w14:paraId="3A009A1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4、柱脚采用Φ38mm304#不锈钢管及可调高低不锈钢子弹脚 。</w:t>
            </w:r>
          </w:p>
        </w:tc>
        <w:tc>
          <w:tcPr>
            <w:tcW w:w="633" w:type="dxa"/>
            <w:shd w:val="clear" w:color="auto" w:fill="auto"/>
            <w:vAlign w:val="center"/>
          </w:tcPr>
          <w:p w14:paraId="3C263F2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shd w:val="clear" w:color="auto" w:fill="auto"/>
            <w:vAlign w:val="center"/>
          </w:tcPr>
          <w:p w14:paraId="51E2F19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1600 </w:t>
            </w:r>
          </w:p>
        </w:tc>
      </w:tr>
      <w:tr w14:paraId="692FC2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0D6DF1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27</w:t>
            </w:r>
          </w:p>
        </w:tc>
        <w:tc>
          <w:tcPr>
            <w:tcW w:w="1027" w:type="dxa"/>
            <w:shd w:val="clear" w:color="auto" w:fill="auto"/>
            <w:vAlign w:val="center"/>
          </w:tcPr>
          <w:p w14:paraId="703F224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四门双机双温冷柜</w:t>
            </w:r>
          </w:p>
          <w:p w14:paraId="3E2419D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（标准型铜管）</w:t>
            </w:r>
          </w:p>
        </w:tc>
        <w:tc>
          <w:tcPr>
            <w:tcW w:w="6543" w:type="dxa"/>
            <w:shd w:val="clear" w:color="auto" w:fill="auto"/>
            <w:vAlign w:val="center"/>
          </w:tcPr>
          <w:p w14:paraId="4FDB0AD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94080" behindDoc="0" locked="0" layoutInCell="1" allowOverlap="1">
                  <wp:simplePos x="0" y="0"/>
                  <wp:positionH relativeFrom="column">
                    <wp:posOffset>3126740</wp:posOffset>
                  </wp:positionH>
                  <wp:positionV relativeFrom="paragraph">
                    <wp:posOffset>88900</wp:posOffset>
                  </wp:positionV>
                  <wp:extent cx="863600" cy="1182370"/>
                  <wp:effectExtent l="0" t="0" r="12700" b="17780"/>
                  <wp:wrapSquare wrapText="bothSides"/>
                  <wp:docPr id="47"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770"/>
                          <pic:cNvPicPr>
                            <a:picLocks noChangeAspect="1"/>
                          </pic:cNvPicPr>
                        </pic:nvPicPr>
                        <pic:blipFill>
                          <a:blip r:embed="rId44" cstate="print">
                            <a:clrChange>
                              <a:clrFrom>
                                <a:srgbClr val="FCFCFC"/>
                              </a:clrFrom>
                              <a:clrTo>
                                <a:srgbClr val="FCFCFC">
                                  <a:alpha val="0"/>
                                </a:srgbClr>
                              </a:clrTo>
                            </a:clrChange>
                          </a:blip>
                          <a:stretch>
                            <a:fillRect/>
                          </a:stretch>
                        </pic:blipFill>
                        <pic:spPr>
                          <a:xfrm>
                            <a:off x="0" y="0"/>
                            <a:ext cx="863600" cy="118237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规格：1200*700*1900㎜                                                      1.电 源:～220V/50Hz                                                      2.箱内温度:+5℃～-18℃</w:t>
            </w:r>
          </w:p>
          <w:p w14:paraId="2A476E7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3.磨砂不锈钢外壳、钢内胆，名牌无氟压缩机、蒸发器精铜管制作、双显示器、双冷凝器、双电机风扇、不锈钢直线型拉手</w:t>
            </w:r>
          </w:p>
        </w:tc>
        <w:tc>
          <w:tcPr>
            <w:tcW w:w="633" w:type="dxa"/>
            <w:shd w:val="clear" w:color="auto" w:fill="auto"/>
            <w:vAlign w:val="center"/>
          </w:tcPr>
          <w:p w14:paraId="7D35A00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3C82CC1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5900 </w:t>
            </w:r>
          </w:p>
        </w:tc>
      </w:tr>
      <w:tr w14:paraId="5BBEC4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E7DE9EA">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28</w:t>
            </w:r>
          </w:p>
        </w:tc>
        <w:tc>
          <w:tcPr>
            <w:tcW w:w="1027" w:type="dxa"/>
            <w:shd w:val="clear" w:color="auto" w:fill="auto"/>
            <w:vAlign w:val="center"/>
          </w:tcPr>
          <w:p w14:paraId="1BDD90F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高压洗地龙头</w:t>
            </w:r>
          </w:p>
        </w:tc>
        <w:tc>
          <w:tcPr>
            <w:tcW w:w="6543" w:type="dxa"/>
            <w:shd w:val="clear" w:color="auto" w:fill="auto"/>
            <w:vAlign w:val="center"/>
          </w:tcPr>
          <w:p w14:paraId="66F08B1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95104" behindDoc="0" locked="0" layoutInCell="1" allowOverlap="1">
                  <wp:simplePos x="0" y="0"/>
                  <wp:positionH relativeFrom="column">
                    <wp:posOffset>2854960</wp:posOffset>
                  </wp:positionH>
                  <wp:positionV relativeFrom="paragraph">
                    <wp:posOffset>2105025</wp:posOffset>
                  </wp:positionV>
                  <wp:extent cx="1118235" cy="1038860"/>
                  <wp:effectExtent l="0" t="0" r="5715" b="8890"/>
                  <wp:wrapSquare wrapText="bothSides"/>
                  <wp:docPr id="103" name="图片 2" descr="8310534a35cb8fc470d1419d677fb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2" descr="8310534a35cb8fc470d1419d677fb47"/>
                          <pic:cNvPicPr>
                            <a:picLocks noChangeAspect="1"/>
                          </pic:cNvPicPr>
                        </pic:nvPicPr>
                        <pic:blipFill>
                          <a:blip r:embed="rId56"/>
                          <a:stretch>
                            <a:fillRect/>
                          </a:stretch>
                        </pic:blipFill>
                        <pic:spPr>
                          <a:xfrm>
                            <a:off x="0" y="0"/>
                            <a:ext cx="1118235" cy="103886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1、规格：液压管配10米；</w:t>
            </w:r>
          </w:p>
          <w:p w14:paraId="276935C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2、采用不锈钢开放式卷盘厚度1.2MM，底座钢板厚度5MM，液压管出口采用304不锈钢板加固，系统控制软管的长度和拖拉力度，可自动撤回；</w:t>
            </w:r>
          </w:p>
          <w:p w14:paraId="02B6753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3、标配一把喷枪。</w:t>
            </w:r>
          </w:p>
          <w:p w14:paraId="150ACE1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★4、符合GB 4706.1-2005，器具有足够的机械强度，其结构交经受正常使用中可能出现的野蛮搬运。</w:t>
            </w:r>
          </w:p>
          <w:p w14:paraId="1760A1E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★5、应符合GB 4706.1-2005，对器具外壳各部分以0.5J的冲击能量打击三次后，无损坏。</w:t>
            </w:r>
          </w:p>
          <w:p w14:paraId="3009A91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★6、应符合GB 4706.1-2005,给器具供水水压1.2MPa,持续5min所有部件不出现泄漏。</w:t>
            </w:r>
          </w:p>
        </w:tc>
        <w:tc>
          <w:tcPr>
            <w:tcW w:w="633" w:type="dxa"/>
            <w:shd w:val="clear" w:color="auto" w:fill="auto"/>
            <w:vAlign w:val="center"/>
          </w:tcPr>
          <w:p w14:paraId="26BD9EB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221" w:type="dxa"/>
            <w:shd w:val="clear" w:color="auto" w:fill="auto"/>
            <w:vAlign w:val="center"/>
          </w:tcPr>
          <w:p w14:paraId="275BF9B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7800 </w:t>
            </w:r>
          </w:p>
        </w:tc>
      </w:tr>
      <w:tr w14:paraId="701A42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470BAB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29</w:t>
            </w:r>
          </w:p>
        </w:tc>
        <w:tc>
          <w:tcPr>
            <w:tcW w:w="1027" w:type="dxa"/>
            <w:shd w:val="clear" w:color="auto" w:fill="auto"/>
            <w:vAlign w:val="center"/>
          </w:tcPr>
          <w:p w14:paraId="0891BE0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大单星洗物盆</w:t>
            </w:r>
          </w:p>
        </w:tc>
        <w:tc>
          <w:tcPr>
            <w:tcW w:w="6543" w:type="dxa"/>
            <w:shd w:val="clear" w:color="auto" w:fill="auto"/>
            <w:vAlign w:val="center"/>
          </w:tcPr>
          <w:p w14:paraId="1EBF178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96128" behindDoc="0" locked="0" layoutInCell="1" allowOverlap="1">
                  <wp:simplePos x="0" y="0"/>
                  <wp:positionH relativeFrom="column">
                    <wp:posOffset>2956560</wp:posOffset>
                  </wp:positionH>
                  <wp:positionV relativeFrom="paragraph">
                    <wp:posOffset>175895</wp:posOffset>
                  </wp:positionV>
                  <wp:extent cx="895350" cy="969645"/>
                  <wp:effectExtent l="0" t="0" r="0" b="1905"/>
                  <wp:wrapSquare wrapText="bothSides"/>
                  <wp:docPr id="4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
                          <pic:cNvPicPr>
                            <a:picLocks noChangeAspect="1"/>
                          </pic:cNvPicPr>
                        </pic:nvPicPr>
                        <pic:blipFill>
                          <a:blip r:embed="rId57" cstate="print"/>
                          <a:stretch>
                            <a:fillRect/>
                          </a:stretch>
                        </pic:blipFill>
                        <pic:spPr>
                          <a:xfrm>
                            <a:off x="0" y="0"/>
                            <a:ext cx="895350" cy="96964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规格：1000*800*800㎜                  </w:t>
            </w:r>
          </w:p>
          <w:p w14:paraId="335F975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1、面板采用1.2mm优质304#雪花不锈钢板；</w:t>
            </w:r>
          </w:p>
          <w:p w14:paraId="3C78E44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1E338E3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2BCD1E0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4、星盆斗用1.2mm不锈钢板；                           </w:t>
            </w:r>
          </w:p>
          <w:p w14:paraId="369CEC4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5、每盆配不锈钢ND16mm高身摇摆式水龙头</w:t>
            </w:r>
          </w:p>
        </w:tc>
        <w:tc>
          <w:tcPr>
            <w:tcW w:w="633" w:type="dxa"/>
            <w:shd w:val="clear" w:color="auto" w:fill="auto"/>
            <w:vAlign w:val="center"/>
          </w:tcPr>
          <w:p w14:paraId="3B0DFDD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0113440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2500 </w:t>
            </w:r>
          </w:p>
        </w:tc>
      </w:tr>
      <w:tr w14:paraId="64BD7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AAD1995">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30</w:t>
            </w:r>
          </w:p>
        </w:tc>
        <w:tc>
          <w:tcPr>
            <w:tcW w:w="1027" w:type="dxa"/>
            <w:shd w:val="clear" w:color="auto" w:fill="auto"/>
            <w:vAlign w:val="center"/>
          </w:tcPr>
          <w:p w14:paraId="51C27F9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双层工作台</w:t>
            </w:r>
          </w:p>
        </w:tc>
        <w:tc>
          <w:tcPr>
            <w:tcW w:w="6543" w:type="dxa"/>
            <w:shd w:val="clear" w:color="auto" w:fill="auto"/>
            <w:vAlign w:val="center"/>
          </w:tcPr>
          <w:p w14:paraId="78FF0E9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97152" behindDoc="0" locked="0" layoutInCell="1" allowOverlap="1">
                  <wp:simplePos x="0" y="0"/>
                  <wp:positionH relativeFrom="column">
                    <wp:posOffset>3083560</wp:posOffset>
                  </wp:positionH>
                  <wp:positionV relativeFrom="paragraph">
                    <wp:posOffset>628650</wp:posOffset>
                  </wp:positionV>
                  <wp:extent cx="743585" cy="702310"/>
                  <wp:effectExtent l="0" t="0" r="18415" b="2540"/>
                  <wp:wrapSquare wrapText="bothSides"/>
                  <wp:docPr id="49" name="Picture 60" descr="双层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60" descr="双层工作台"/>
                          <pic:cNvPicPr>
                            <a:picLocks noChangeAspect="1"/>
                          </pic:cNvPicPr>
                        </pic:nvPicPr>
                        <pic:blipFill>
                          <a:blip r:embed="rId58" cstate="print">
                            <a:clrChange>
                              <a:clrFrom>
                                <a:srgbClr val="FCFCFC"/>
                              </a:clrFrom>
                              <a:clrTo>
                                <a:srgbClr val="FCFCFC">
                                  <a:alpha val="0"/>
                                </a:srgbClr>
                              </a:clrTo>
                            </a:clrChange>
                          </a:blip>
                          <a:srcRect l="9380" t="18919" r="23447" b="24663"/>
                          <a:stretch>
                            <a:fillRect/>
                          </a:stretch>
                        </pic:blipFill>
                        <pic:spPr>
                          <a:xfrm>
                            <a:off x="0" y="0"/>
                            <a:ext cx="743585" cy="70231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规格：1300*800*800㎜                                                   </w:t>
            </w:r>
          </w:p>
          <w:p w14:paraId="1BCB988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1.工作台面板采用1.2mm优质304#雪花不锈钢板加垫20mm大芯夹板；或起模灌浆固定紧贴面板并以0.8mm的优质不锈钢板做底板封板</w:t>
            </w:r>
          </w:p>
          <w:p w14:paraId="5B941A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5550219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2DFBD38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4.层板用1.0mm优质雪花不锈钢磨砂贴塑板；</w:t>
            </w:r>
          </w:p>
          <w:p w14:paraId="45A9EB8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5.加强筋采用1.0mm优质雪花不锈钢板折弯</w:t>
            </w:r>
          </w:p>
        </w:tc>
        <w:tc>
          <w:tcPr>
            <w:tcW w:w="633" w:type="dxa"/>
            <w:shd w:val="clear" w:color="auto" w:fill="auto"/>
            <w:vAlign w:val="center"/>
          </w:tcPr>
          <w:p w14:paraId="7259BB7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shd w:val="clear" w:color="auto" w:fill="auto"/>
            <w:vAlign w:val="center"/>
          </w:tcPr>
          <w:p w14:paraId="468C7E3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2000 </w:t>
            </w:r>
          </w:p>
        </w:tc>
      </w:tr>
      <w:tr w14:paraId="57A0B5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01F399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31</w:t>
            </w:r>
          </w:p>
        </w:tc>
        <w:tc>
          <w:tcPr>
            <w:tcW w:w="1027" w:type="dxa"/>
            <w:shd w:val="clear" w:color="auto" w:fill="auto"/>
            <w:vAlign w:val="center"/>
          </w:tcPr>
          <w:p w14:paraId="0F4BDAE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双通打荷台</w:t>
            </w:r>
          </w:p>
        </w:tc>
        <w:tc>
          <w:tcPr>
            <w:tcW w:w="6543" w:type="dxa"/>
            <w:shd w:val="clear" w:color="auto" w:fill="auto"/>
            <w:vAlign w:val="center"/>
          </w:tcPr>
          <w:p w14:paraId="7EFB066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规格:1800*800*800㎜                            </w:t>
            </w:r>
          </w:p>
          <w:p w14:paraId="33938EB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1.台面采用优质304#雪花不锈钢板厚1.2mm加15mm木板夹层                                              2.侧板用1.0mm不锈钢板                                                                              3.柜内层板用0.8mm优质不锈钢板                                                                        4.趟门用1.0mm不锈钢板                                                                              5.支架柱横梁用1.0mm不锈钢板折弯；                                       6.支架管用25×13mm不锈钢方管，Ф51mm不锈钢可调脚。</w:t>
            </w:r>
            <w:r>
              <w:drawing>
                <wp:inline distT="0" distB="0" distL="114300" distR="114300">
                  <wp:extent cx="1668780" cy="703580"/>
                  <wp:effectExtent l="0" t="0" r="7620" b="1270"/>
                  <wp:docPr id="50" name="Picture 53" descr="双通道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3" descr="双通道工作台"/>
                          <pic:cNvPicPr>
                            <a:picLocks noChangeAspect="1"/>
                          </pic:cNvPicPr>
                        </pic:nvPicPr>
                        <pic:blipFill>
                          <a:blip r:embed="rId59" cstate="print">
                            <a:clrChange>
                              <a:clrFrom>
                                <a:srgbClr val="FCFCFC"/>
                              </a:clrFrom>
                              <a:clrTo>
                                <a:srgbClr val="FCFCFC">
                                  <a:alpha val="0"/>
                                </a:srgbClr>
                              </a:clrTo>
                            </a:clrChange>
                          </a:blip>
                          <a:srcRect l="5156" t="21875" r="11719" b="5208"/>
                          <a:stretch>
                            <a:fillRect/>
                          </a:stretch>
                        </pic:blipFill>
                        <pic:spPr>
                          <a:xfrm>
                            <a:off x="0" y="0"/>
                            <a:ext cx="1668780" cy="703580"/>
                          </a:xfrm>
                          <a:prstGeom prst="rect">
                            <a:avLst/>
                          </a:prstGeom>
                          <a:noFill/>
                          <a:ln w="9525">
                            <a:noFill/>
                          </a:ln>
                        </pic:spPr>
                      </pic:pic>
                    </a:graphicData>
                  </a:graphic>
                </wp:inline>
              </w:drawing>
            </w:r>
          </w:p>
        </w:tc>
        <w:tc>
          <w:tcPr>
            <w:tcW w:w="633" w:type="dxa"/>
            <w:shd w:val="clear" w:color="auto" w:fill="auto"/>
            <w:vAlign w:val="center"/>
          </w:tcPr>
          <w:p w14:paraId="4ED2F02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2291F02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4100 </w:t>
            </w:r>
          </w:p>
        </w:tc>
      </w:tr>
      <w:tr w14:paraId="5EA932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90DB99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32</w:t>
            </w:r>
          </w:p>
        </w:tc>
        <w:tc>
          <w:tcPr>
            <w:tcW w:w="1027" w:type="dxa"/>
            <w:shd w:val="clear" w:color="auto" w:fill="auto"/>
            <w:vAlign w:val="center"/>
          </w:tcPr>
          <w:p w14:paraId="0B0932C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炉拼台</w:t>
            </w:r>
          </w:p>
        </w:tc>
        <w:tc>
          <w:tcPr>
            <w:tcW w:w="6543" w:type="dxa"/>
            <w:shd w:val="clear" w:color="auto" w:fill="auto"/>
            <w:vAlign w:val="center"/>
          </w:tcPr>
          <w:p w14:paraId="634D7B4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98176" behindDoc="0" locked="0" layoutInCell="1" allowOverlap="1">
                  <wp:simplePos x="0" y="0"/>
                  <wp:positionH relativeFrom="column">
                    <wp:posOffset>3041015</wp:posOffset>
                  </wp:positionH>
                  <wp:positionV relativeFrom="paragraph">
                    <wp:posOffset>59690</wp:posOffset>
                  </wp:positionV>
                  <wp:extent cx="713740" cy="1093470"/>
                  <wp:effectExtent l="0" t="0" r="10160" b="11430"/>
                  <wp:wrapSquare wrapText="bothSides"/>
                  <wp:docPr id="51" name="Picture 41" descr="拼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1" descr="拼台"/>
                          <pic:cNvPicPr>
                            <a:picLocks noChangeAspect="1"/>
                          </pic:cNvPicPr>
                        </pic:nvPicPr>
                        <pic:blipFill>
                          <a:blip r:embed="rId60" cstate="print">
                            <a:clrChange>
                              <a:clrFrom>
                                <a:srgbClr val="FCFCFC"/>
                              </a:clrFrom>
                              <a:clrTo>
                                <a:srgbClr val="FCFCFC">
                                  <a:alpha val="0"/>
                                </a:srgbClr>
                              </a:clrTo>
                            </a:clrChange>
                          </a:blip>
                          <a:srcRect l="31464" t="18182" r="35872" b="14973"/>
                          <a:stretch>
                            <a:fillRect/>
                          </a:stretch>
                        </pic:blipFill>
                        <pic:spPr>
                          <a:xfrm>
                            <a:off x="0" y="0"/>
                            <a:ext cx="713740" cy="109347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规格：400*1100*1200㎜                              </w:t>
            </w:r>
          </w:p>
          <w:p w14:paraId="777EC3D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1.采用优质304#雪花不锈钢板厚1.2mm制作</w:t>
            </w:r>
          </w:p>
          <w:p w14:paraId="1257E7A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2.可调子弹脚用Φ38mm不锈钢子弹脚；</w:t>
            </w:r>
          </w:p>
        </w:tc>
        <w:tc>
          <w:tcPr>
            <w:tcW w:w="633" w:type="dxa"/>
            <w:shd w:val="clear" w:color="auto" w:fill="auto"/>
            <w:vAlign w:val="center"/>
          </w:tcPr>
          <w:p w14:paraId="21B38FC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4台</w:t>
            </w:r>
          </w:p>
        </w:tc>
        <w:tc>
          <w:tcPr>
            <w:tcW w:w="1221" w:type="dxa"/>
            <w:shd w:val="clear" w:color="auto" w:fill="auto"/>
            <w:vAlign w:val="center"/>
          </w:tcPr>
          <w:p w14:paraId="28683A1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900 </w:t>
            </w:r>
          </w:p>
        </w:tc>
      </w:tr>
      <w:tr w14:paraId="0626C2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3CA86A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33</w:t>
            </w:r>
          </w:p>
        </w:tc>
        <w:tc>
          <w:tcPr>
            <w:tcW w:w="1027" w:type="dxa"/>
            <w:shd w:val="clear" w:color="auto" w:fill="auto"/>
            <w:vAlign w:val="center"/>
          </w:tcPr>
          <w:p w14:paraId="080D500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highlight w:val="none"/>
                <w:u w:val="none"/>
                <w:lang w:val="en-US" w:eastAsia="zh-CN" w:bidi="ar"/>
              </w:rPr>
              <w:t>电磁双头单尾小炒炉</w:t>
            </w:r>
          </w:p>
        </w:tc>
        <w:tc>
          <w:tcPr>
            <w:tcW w:w="6543" w:type="dxa"/>
            <w:shd w:val="clear" w:color="auto" w:fill="auto"/>
            <w:vAlign w:val="center"/>
          </w:tcPr>
          <w:p w14:paraId="18489EE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尺寸：约1800*1100*1250mm,功率</w:t>
            </w:r>
            <w:r>
              <w:rPr>
                <w:rFonts w:hint="eastAsia" w:ascii="宋体" w:hAnsi="宋体" w:eastAsia="宋体" w:cs="宋体"/>
                <w:color w:val="000000"/>
                <w:sz w:val="21"/>
                <w:szCs w:val="21"/>
                <w:lang w:bidi="ar"/>
              </w:rPr>
              <w:t>15KW+15KW/380V</w:t>
            </w:r>
          </w:p>
          <w:p w14:paraId="787ED83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1、不锈钢框架式结构机身，耐腐蚀，经久耐用，面板厚1.5mm，侧板厚1.0mm。</w:t>
            </w:r>
          </w:p>
          <w:p w14:paraId="1600017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2、配备 SUS304 不锈钢摇摆水龙头，可以180度旋转，安全防漏。</w:t>
            </w:r>
          </w:p>
          <w:p w14:paraId="708F06E7">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★3、耐撞击高密度弧形微晶面板，坚固耐用，微晶板耐锤击达到IK06级，符合GB/T2423.55-2006《电工电子产品环境试验第2部分：试验方法试验Eh：锤击试验》第3条款 第6条款和 GB/T20138-2006《电器设备外壳对外界机械碰撞的防护等级（IK代码）》标准，</w:t>
            </w:r>
            <w:r>
              <w:rPr>
                <w:rFonts w:hint="eastAsia" w:ascii="宋体" w:hAnsi="宋体" w:eastAsia="宋体" w:cs="宋体"/>
                <w:b/>
                <w:bCs/>
                <w:i w:val="0"/>
                <w:iCs w:val="0"/>
                <w:color w:val="000000"/>
                <w:kern w:val="0"/>
                <w:sz w:val="21"/>
                <w:szCs w:val="21"/>
                <w:u w:val="none"/>
                <w:lang w:val="en-US" w:eastAsia="zh-CN" w:bidi="ar"/>
              </w:rPr>
              <w:t>投标文件中必须提供CMA或CNAS授权的检测机构出具的检测报告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5DF8F66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4、5 档火力调节，人机工效学设计 (Ergonomics)，合金材质火力调节把手搭配硅胶防滑垫，档位清晰控感好，适应厨师使用习惯，可直接用膝盖控制。</w:t>
            </w:r>
          </w:p>
          <w:p w14:paraId="71DED92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★5、LED 彩色数码显示屏，实时显示功率和当前火力档位，具有故障显示功能。显示盒防水等级IPX8，通过GB/T4208-2017标准检测，安全可靠，</w:t>
            </w:r>
            <w:r>
              <w:rPr>
                <w:rFonts w:hint="eastAsia" w:ascii="宋体" w:hAnsi="宋体" w:eastAsia="宋体" w:cs="宋体"/>
                <w:b/>
                <w:bCs/>
                <w:i w:val="0"/>
                <w:iCs w:val="0"/>
                <w:color w:val="000000"/>
                <w:kern w:val="0"/>
                <w:sz w:val="21"/>
                <w:szCs w:val="21"/>
                <w:u w:val="none"/>
                <w:lang w:val="en-US" w:eastAsia="zh-CN" w:bidi="ar"/>
              </w:rPr>
              <w:t>投标文件中必须提供CMA或CNAS授权的检测机构出具的检测报告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77DB9A9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6、整机IPX6 标准防水设计，清洁时可直接冲洗，台面无死角，不会藏污纳垢。</w:t>
            </w:r>
          </w:p>
          <w:p w14:paraId="6F356A8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7、立体三防结构设计，防水、防油烟、防虫。</w:t>
            </w:r>
          </w:p>
          <w:p w14:paraId="4CC13935">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★8、数字驱动磁电引擎，数字驱动、多级防护，机芯稳定性高，适用各种厨房环境，确保设备安全可靠；机芯通过低温，低气压，湿热综合试验，符合GB2423.27-2020标准。</w:t>
            </w:r>
          </w:p>
          <w:p w14:paraId="5BD5392D">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★9、 耐高温稳定线盘组件，搭配高效聚能稀土磁条，磁场分布均匀，发热低、损耗小、不偏火、不烧线盘，线盘组件的耐潮湿、泄露电路和电气强度符合GB4706.1-2005标准、中性盐雾试验符合GB/T2423.17标准。</w:t>
            </w:r>
          </w:p>
          <w:p w14:paraId="7B2BF6B4">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10、高效后吸式散热，大风量，散热速度快，减少散热风机故障。</w:t>
            </w:r>
          </w:p>
          <w:p w14:paraId="3B3DF26B">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★11、商用小炒灶搭载明火仿真加热技术，能根据锅具材质、移动速度、温度、位置进行实时追踪加热，保持最佳火力。</w:t>
            </w:r>
          </w:p>
          <w:p w14:paraId="7D0508D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商用小炒灶搭载云控系统，设备联网状态下，通过移动端可实时监控电磁灶线盘、IGBT、锅底、IC的温度等数据，设备故障时自动报警。云端控制系统软的件功能性、信息安全性、可靠性、易用性符合GB/T25000.51-2016标准。</w:t>
            </w:r>
            <w:r>
              <w:drawing>
                <wp:anchor distT="0" distB="0" distL="114300" distR="114300" simplePos="0" relativeHeight="251765760" behindDoc="1" locked="0" layoutInCell="1" allowOverlap="1">
                  <wp:simplePos x="0" y="0"/>
                  <wp:positionH relativeFrom="column">
                    <wp:posOffset>1733550</wp:posOffset>
                  </wp:positionH>
                  <wp:positionV relativeFrom="paragraph">
                    <wp:posOffset>518795</wp:posOffset>
                  </wp:positionV>
                  <wp:extent cx="1833880" cy="1423670"/>
                  <wp:effectExtent l="0" t="0" r="0" b="0"/>
                  <wp:wrapTight wrapText="bothSides">
                    <wp:wrapPolygon>
                      <wp:start x="8751" y="2601"/>
                      <wp:lineTo x="2468" y="2601"/>
                      <wp:lineTo x="1346" y="3179"/>
                      <wp:lineTo x="1795" y="16475"/>
                      <wp:lineTo x="4712" y="19943"/>
                      <wp:lineTo x="4936" y="20521"/>
                      <wp:lineTo x="7180" y="20521"/>
                      <wp:lineTo x="7853" y="19943"/>
                      <wp:lineTo x="19296" y="16764"/>
                      <wp:lineTo x="20418" y="8960"/>
                      <wp:lineTo x="19521" y="7515"/>
                      <wp:lineTo x="17053" y="7226"/>
                      <wp:lineTo x="14809" y="2601"/>
                      <wp:lineTo x="8751" y="2601"/>
                    </wp:wrapPolygon>
                  </wp:wrapTight>
                  <wp:docPr id="120" name="Picture 1" descr="400双头单尾炒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 descr="400双头单尾炒灶"/>
                          <pic:cNvPicPr>
                            <a:picLocks noChangeAspect="1" noChangeArrowheads="1"/>
                          </pic:cNvPicPr>
                        </pic:nvPicPr>
                        <pic:blipFill>
                          <a:blip r:embed="rId61"/>
                          <a:srcRect/>
                          <a:stretch>
                            <a:fillRect/>
                          </a:stretch>
                        </pic:blipFill>
                        <pic:spPr>
                          <a:xfrm>
                            <a:off x="0" y="0"/>
                            <a:ext cx="1833880" cy="1423670"/>
                          </a:xfrm>
                          <a:prstGeom prst="rect">
                            <a:avLst/>
                          </a:prstGeom>
                          <a:noFill/>
                        </pic:spPr>
                      </pic:pic>
                    </a:graphicData>
                  </a:graphic>
                </wp:anchor>
              </w:drawing>
            </w:r>
          </w:p>
        </w:tc>
        <w:tc>
          <w:tcPr>
            <w:tcW w:w="633" w:type="dxa"/>
            <w:shd w:val="clear" w:color="auto" w:fill="auto"/>
            <w:vAlign w:val="center"/>
          </w:tcPr>
          <w:p w14:paraId="4B8C1A2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1ECF838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33000 </w:t>
            </w:r>
          </w:p>
        </w:tc>
      </w:tr>
      <w:tr w14:paraId="042871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601BE5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34</w:t>
            </w:r>
          </w:p>
        </w:tc>
        <w:tc>
          <w:tcPr>
            <w:tcW w:w="1027" w:type="dxa"/>
            <w:shd w:val="clear" w:color="auto" w:fill="auto"/>
            <w:vAlign w:val="center"/>
          </w:tcPr>
          <w:p w14:paraId="511011BD">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u w:val="none"/>
                <w:lang w:val="en-US" w:eastAsia="zh-CN" w:bidi="ar"/>
              </w:rPr>
              <w:t>电磁单头大炒炉</w:t>
            </w:r>
          </w:p>
        </w:tc>
        <w:tc>
          <w:tcPr>
            <w:tcW w:w="6543" w:type="dxa"/>
            <w:shd w:val="clear" w:color="auto" w:fill="auto"/>
            <w:vAlign w:val="center"/>
          </w:tcPr>
          <w:p w14:paraId="4D99A7B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规格：1100*1100*1250㎜    φ800              </w:t>
            </w:r>
          </w:p>
          <w:p w14:paraId="1DA2D7D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1.功率：20KW 电压：380V  频率：50HZ                         </w:t>
            </w:r>
          </w:p>
          <w:p w14:paraId="17C6CCC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2.采用框架式承重结构，整机优质不锈钢，炉面板厚度1.5mm，前面板、侧面板、背板、后封板、底板厚度1.0mm；</w:t>
            </w:r>
          </w:p>
          <w:p w14:paraId="2C53911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2、配备 SUS304 不锈钢摇摆水龙头，可以 180度旋转，安全防漏。</w:t>
            </w:r>
          </w:p>
          <w:p w14:paraId="78E8DDE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3、9 档火力调节，人机工效学设计 (Ergonomics)，合金材质火力调节把手搭配硅胶防滑垫，档位清晰控感好，适应厨师使用习惯，可直接用膝盖控制。</w:t>
            </w:r>
          </w:p>
          <w:p w14:paraId="41B1207C">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★4、LED 彩色数码显示屏，实时显示功率和当前火力档位，具有故障显示功能。显示盒防水等级IPX8，通过GB/T4208-2017标准检测，安全可靠，</w:t>
            </w:r>
            <w:r>
              <w:rPr>
                <w:rFonts w:hint="eastAsia" w:ascii="宋体" w:hAnsi="宋体" w:eastAsia="宋体" w:cs="宋体"/>
                <w:b/>
                <w:bCs/>
                <w:i w:val="0"/>
                <w:iCs w:val="0"/>
                <w:color w:val="000000"/>
                <w:kern w:val="0"/>
                <w:sz w:val="21"/>
                <w:szCs w:val="21"/>
                <w:u w:val="none"/>
                <w:lang w:val="en-US" w:eastAsia="zh-CN" w:bidi="ar"/>
              </w:rPr>
              <w:t>投标文件中必须提供CMA或CNAS授权的检测机构出具的检测报告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b/>
                <w:bCs/>
                <w:i w:val="0"/>
                <w:iCs w:val="0"/>
                <w:color w:val="000000"/>
                <w:kern w:val="0"/>
                <w:sz w:val="21"/>
                <w:szCs w:val="21"/>
                <w:u w:val="none"/>
                <w:lang w:val="en-US" w:eastAsia="zh-CN" w:bidi="ar"/>
              </w:rPr>
              <w:t>。</w:t>
            </w:r>
          </w:p>
          <w:p w14:paraId="68687E8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5、整机IPX6 标准防水设计，清洁时可直接冲洗，台面无死角，不会藏污纳垢。</w:t>
            </w:r>
          </w:p>
          <w:p w14:paraId="0649C29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6、立体三防结构设计，防水、防油烟、防虫。</w:t>
            </w:r>
          </w:p>
          <w:p w14:paraId="1F8FBA3E">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★7、数字驱动磁电引擎，数字驱动、多级防护，机芯稳定性高，适用各种厨房环境，确保设备安全可靠；机芯的耐潮湿、泄露电路和电气强度符合GB4706.1-2005标准检测，中性盐雾试验符合GB/T2423.17标准。</w:t>
            </w:r>
          </w:p>
          <w:p w14:paraId="32CD1C92">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★8、 耐高温稳定线盘组件，搭配高效聚能稀土磁条，磁场分布均匀，发热低、损耗小、不偏火、不烧线盘，线盘组件的耐潮湿、泄露电路和电气强度符合GB4706.1-2005标准、中性盐雾试验符合GB/T2423.17标准。</w:t>
            </w:r>
          </w:p>
          <w:p w14:paraId="226E289B">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9、全封闭机芯，喇叭形散热风道设计，散热速度快。电子器件与风道完全隔离，避免油烟、水汽侵蚀电路</w:t>
            </w:r>
          </w:p>
          <w:p w14:paraId="13315CDD">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★10、 商用大锅灶搭载云控系统，设备联网状态下，可通过移动端实时监控电磁灶线盘、IGBT、锅底、IC的温度等数据，故障时自动报警。云端控制系统软件的功能性、信息安全性、可靠性、易用性符合GB/T25000.51-2016标准。</w:t>
            </w:r>
          </w:p>
          <w:p w14:paraId="77107CF2">
            <w:pPr>
              <w:keepNext w:val="0"/>
              <w:keepLines w:val="0"/>
              <w:widowControl/>
              <w:suppressLineNumbers w:val="0"/>
              <w:jc w:val="left"/>
              <w:textAlignment w:val="center"/>
              <w:rPr>
                <w:rFonts w:hint="eastAsia" w:ascii="宋体" w:hAnsi="宋体" w:eastAsia="宋体" w:cs="宋体"/>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★11、商用电磁大锅灶的热效率符合国标GB40876-2021《商用电磁炉能效限定值及能效等级》标准，热效率≥92%，</w:t>
            </w:r>
            <w:r>
              <w:rPr>
                <w:rFonts w:hint="eastAsia" w:ascii="宋体" w:hAnsi="宋体" w:eastAsia="宋体" w:cs="宋体"/>
                <w:b/>
                <w:bCs/>
                <w:i w:val="0"/>
                <w:iCs w:val="0"/>
                <w:color w:val="000000"/>
                <w:kern w:val="0"/>
                <w:sz w:val="21"/>
                <w:szCs w:val="21"/>
                <w:highlight w:val="none"/>
                <w:u w:val="none"/>
                <w:lang w:val="en-US" w:eastAsia="zh-CN" w:bidi="ar"/>
              </w:rPr>
              <w:t>投标文件中必须提供CMA或CNAS授权的检测机构出具的热效率检测报告</w:t>
            </w:r>
            <w:r>
              <w:rPr>
                <w:rFonts w:hint="eastAsia" w:ascii="宋体" w:hAnsi="宋体" w:eastAsia="宋体" w:cs="宋体"/>
                <w:b/>
                <w:bCs/>
                <w:color w:val="auto"/>
                <w:sz w:val="21"/>
                <w:szCs w:val="21"/>
                <w:highlight w:val="none"/>
              </w:rPr>
              <w:t>扫描件并加盖投标人CA证书签章，否则投标文件无效</w:t>
            </w:r>
            <w:r>
              <w:rPr>
                <w:rFonts w:hint="eastAsia" w:ascii="宋体" w:hAnsi="宋体" w:eastAsia="宋体" w:cs="宋体"/>
                <w:i w:val="0"/>
                <w:iCs w:val="0"/>
                <w:color w:val="000000"/>
                <w:kern w:val="0"/>
                <w:sz w:val="21"/>
                <w:szCs w:val="21"/>
                <w:highlight w:val="none"/>
                <w:u w:val="none"/>
                <w:lang w:val="en-US" w:eastAsia="zh-CN" w:bidi="ar"/>
              </w:rPr>
              <w:t>。</w:t>
            </w:r>
          </w:p>
          <w:p w14:paraId="0689A14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12、商用大锅灶电磁厨房设备生产厂家进入由发展和改革委员会、财政局、质量技术监督局等联合</w:t>
            </w:r>
            <w:r>
              <w:rPr>
                <w:rFonts w:hint="eastAsia" w:ascii="宋体" w:hAnsi="宋体" w:eastAsia="宋体" w:cs="宋体"/>
                <w:b w:val="0"/>
                <w:bCs w:val="0"/>
                <w:i w:val="0"/>
                <w:iCs w:val="0"/>
                <w:color w:val="000000"/>
                <w:kern w:val="0"/>
                <w:sz w:val="21"/>
                <w:szCs w:val="21"/>
                <w:highlight w:val="none"/>
                <w:u w:val="none"/>
                <w:lang w:val="en-US" w:eastAsia="zh-CN" w:bidi="ar"/>
              </w:rPr>
              <w:t>颁发的节能低碳技术产品及示范案例推荐目录；（投标文件中提供目录扫描件</w:t>
            </w:r>
            <w:r>
              <w:rPr>
                <w:rFonts w:hint="eastAsia" w:ascii="宋体" w:hAnsi="宋体" w:eastAsia="宋体" w:cs="宋体"/>
                <w:b w:val="0"/>
                <w:bCs w:val="0"/>
                <w:color w:val="auto"/>
                <w:sz w:val="21"/>
                <w:szCs w:val="21"/>
                <w:highlight w:val="none"/>
              </w:rPr>
              <w:t>并加盖投标人CA证书签章</w:t>
            </w:r>
            <w:r>
              <w:rPr>
                <w:rFonts w:hint="eastAsia" w:ascii="宋体" w:hAnsi="宋体" w:eastAsia="宋体" w:cs="宋体"/>
                <w:b w:val="0"/>
                <w:bCs w:val="0"/>
                <w:i w:val="0"/>
                <w:iCs w:val="0"/>
                <w:color w:val="000000"/>
                <w:kern w:val="0"/>
                <w:sz w:val="21"/>
                <w:szCs w:val="21"/>
                <w:highlight w:val="none"/>
                <w:u w:val="none"/>
                <w:lang w:val="en-US" w:eastAsia="zh-CN" w:bidi="ar"/>
              </w:rPr>
              <w:t>）</w:t>
            </w:r>
            <w:r>
              <w:rPr>
                <w:rFonts w:hint="eastAsia" w:ascii="宋体" w:hAnsi="宋体" w:eastAsia="宋体" w:cs="宋体"/>
                <w:i w:val="0"/>
                <w:iCs w:val="0"/>
                <w:color w:val="000000"/>
                <w:kern w:val="0"/>
                <w:sz w:val="21"/>
                <w:szCs w:val="21"/>
                <w:highlight w:val="none"/>
                <w:u w:val="none"/>
                <w:lang w:val="en-US" w:eastAsia="zh-CN" w:bidi="ar"/>
              </w:rPr>
              <w:t>。</w:t>
            </w:r>
            <w:r>
              <w:rPr>
                <w:highlight w:val="none"/>
              </w:rPr>
              <w:drawing>
                <wp:inline distT="0" distB="0" distL="114300" distR="114300">
                  <wp:extent cx="1675765" cy="1302385"/>
                  <wp:effectExtent l="0" t="0" r="0" b="0"/>
                  <wp:docPr id="121" name="Picture 2" descr="800单头大锅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2" descr="800单头大锅灶"/>
                          <pic:cNvPicPr>
                            <a:picLocks noChangeAspect="1" noChangeArrowheads="1"/>
                          </pic:cNvPicPr>
                        </pic:nvPicPr>
                        <pic:blipFill>
                          <a:blip r:embed="rId62"/>
                          <a:srcRect/>
                          <a:stretch>
                            <a:fillRect/>
                          </a:stretch>
                        </pic:blipFill>
                        <pic:spPr>
                          <a:xfrm>
                            <a:off x="0" y="0"/>
                            <a:ext cx="1675765" cy="1302385"/>
                          </a:xfrm>
                          <a:prstGeom prst="rect">
                            <a:avLst/>
                          </a:prstGeom>
                          <a:noFill/>
                        </pic:spPr>
                      </pic:pic>
                    </a:graphicData>
                  </a:graphic>
                </wp:inline>
              </w:drawing>
            </w:r>
          </w:p>
        </w:tc>
        <w:tc>
          <w:tcPr>
            <w:tcW w:w="633" w:type="dxa"/>
            <w:shd w:val="clear" w:color="auto" w:fill="auto"/>
            <w:vAlign w:val="center"/>
          </w:tcPr>
          <w:p w14:paraId="1D0492F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shd w:val="clear" w:color="auto" w:fill="auto"/>
            <w:vAlign w:val="center"/>
          </w:tcPr>
          <w:p w14:paraId="2345B20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19500 </w:t>
            </w:r>
          </w:p>
        </w:tc>
      </w:tr>
      <w:tr w14:paraId="79E3DB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AFB469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35</w:t>
            </w:r>
          </w:p>
        </w:tc>
        <w:tc>
          <w:tcPr>
            <w:tcW w:w="1027" w:type="dxa"/>
            <w:shd w:val="clear" w:color="auto" w:fill="auto"/>
            <w:vAlign w:val="center"/>
          </w:tcPr>
          <w:p w14:paraId="03BDF3F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u w:val="none"/>
                <w:lang w:val="en-US" w:eastAsia="zh-CN" w:bidi="ar"/>
              </w:rPr>
              <w:t>电磁单头平头炉</w:t>
            </w:r>
          </w:p>
        </w:tc>
        <w:tc>
          <w:tcPr>
            <w:tcW w:w="6543" w:type="dxa"/>
            <w:shd w:val="clear" w:color="auto" w:fill="auto"/>
            <w:vAlign w:val="center"/>
          </w:tcPr>
          <w:p w14:paraId="7385CE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规格：700*850*（530+720），微晶板 ；                                   </w:t>
            </w:r>
          </w:p>
          <w:p w14:paraId="20B4B24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1.功率：15KW ；                           </w:t>
            </w:r>
          </w:p>
          <w:p w14:paraId="50ABEDE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2.电压：380V ；                             </w:t>
            </w:r>
          </w:p>
          <w:p w14:paraId="6D81055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3.频率：50-60HZ ；</w:t>
            </w:r>
          </w:p>
          <w:p w14:paraId="64530AC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4、使用稳定的盘组件，磁场分布均匀、发热损耗小、不偏火、不烧线盘；</w:t>
            </w:r>
          </w:p>
          <w:p w14:paraId="676C3E2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5、喇叭形隧道散热风道设计散热快、避免油烟侵蚀电路；</w:t>
            </w:r>
          </w:p>
          <w:p w14:paraId="11DE542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 3mm 厚微晶板，机身承重式框架设计，符合国标GB/T2423.55-2006《电工电子产品环境试验第2部分：试验方法试验Eh：锤击试验》第3条款 第6条款和 GB/T20138-2006《电器设备外壳对外界机械碰撞的防护等级（IK代码）》标准，耐锤击达到IK07级，</w:t>
            </w:r>
            <w:r>
              <w:rPr>
                <w:rFonts w:hint="eastAsia" w:ascii="宋体" w:hAnsi="宋体" w:eastAsia="宋体" w:cs="宋体"/>
                <w:b/>
                <w:bCs/>
                <w:i w:val="0"/>
                <w:iCs w:val="0"/>
                <w:color w:val="000000"/>
                <w:kern w:val="0"/>
                <w:sz w:val="21"/>
                <w:szCs w:val="21"/>
                <w:u w:val="none"/>
                <w:lang w:val="en-US" w:eastAsia="zh-CN" w:bidi="ar"/>
              </w:rPr>
              <w:t>投标文件中必须提供CMA或CNAS授权的检测机构出具的检测合格的检测报告扫描件</w:t>
            </w:r>
            <w:r>
              <w:rPr>
                <w:rFonts w:hint="eastAsia" w:ascii="宋体" w:hAnsi="宋体" w:eastAsia="宋体" w:cs="宋体"/>
                <w:b/>
                <w:bCs/>
                <w:color w:val="auto"/>
                <w:sz w:val="21"/>
                <w:szCs w:val="21"/>
                <w:highlight w:val="none"/>
              </w:rPr>
              <w:t>并加盖投标人CA证书签章，否则投标文件无效</w:t>
            </w:r>
            <w:r>
              <w:rPr>
                <w:rFonts w:hint="eastAsia" w:ascii="宋体" w:hAnsi="宋体" w:eastAsia="宋体" w:cs="宋体"/>
                <w:i w:val="0"/>
                <w:iCs w:val="0"/>
                <w:color w:val="000000"/>
                <w:kern w:val="0"/>
                <w:sz w:val="21"/>
                <w:szCs w:val="21"/>
                <w:u w:val="none"/>
                <w:lang w:val="en-US" w:eastAsia="zh-CN" w:bidi="ar"/>
              </w:rPr>
              <w:t>；</w:t>
            </w:r>
          </w:p>
          <w:p w14:paraId="35CE8CD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★7、LED 彩色数码显示屏，实时显示功率和当前火力档位，具有故障显示功能。显示盒防水等级IPX8，通过GB/T4208-2017标准检测，安全可靠，</w:t>
            </w:r>
            <w:r>
              <w:rPr>
                <w:rFonts w:hint="eastAsia" w:ascii="宋体" w:hAnsi="宋体" w:eastAsia="宋体" w:cs="宋体"/>
                <w:b/>
                <w:bCs/>
                <w:i w:val="0"/>
                <w:iCs w:val="0"/>
                <w:color w:val="000000"/>
                <w:kern w:val="0"/>
                <w:sz w:val="21"/>
                <w:szCs w:val="21"/>
                <w:u w:val="none"/>
                <w:lang w:val="en-US" w:eastAsia="zh-CN" w:bidi="ar"/>
              </w:rPr>
              <w:t>投标文件中必须提供CMA或CNAS授权的检测机构出具的检测报告扫描件</w:t>
            </w:r>
            <w:r>
              <w:rPr>
                <w:rFonts w:hint="eastAsia" w:ascii="宋体" w:hAnsi="宋体" w:eastAsia="宋体" w:cs="宋体"/>
                <w:b/>
                <w:bCs/>
                <w:color w:val="auto"/>
                <w:sz w:val="21"/>
                <w:szCs w:val="21"/>
                <w:highlight w:val="none"/>
              </w:rPr>
              <w:t>并加盖投标人CA证书签章，否则投标文件无效</w:t>
            </w:r>
            <w:r>
              <w:rPr>
                <w:rFonts w:hint="eastAsia" w:ascii="宋体" w:hAnsi="宋体" w:eastAsia="宋体" w:cs="宋体"/>
                <w:i w:val="0"/>
                <w:iCs w:val="0"/>
                <w:color w:val="000000"/>
                <w:kern w:val="0"/>
                <w:sz w:val="21"/>
                <w:szCs w:val="21"/>
                <w:u w:val="none"/>
                <w:lang w:val="en-US" w:eastAsia="zh-CN" w:bidi="ar"/>
              </w:rPr>
              <w:t xml:space="preserve">；                                         </w:t>
            </w:r>
          </w:p>
          <w:p w14:paraId="68C8E2A5">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商用矮汤炉搭载云控系统，设备联网状态下，可通过移动端实时监控电磁灶线盘、IGBT、锅底、IC的温度等数据，故障时自动报警。云端控制系统软件的功能性、信息安全性、可靠性、易用性符合GB/T25000.51-2016标准；</w:t>
            </w:r>
          </w:p>
          <w:p w14:paraId="29E20AB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66784" behindDoc="1" locked="0" layoutInCell="1" allowOverlap="1">
                  <wp:simplePos x="0" y="0"/>
                  <wp:positionH relativeFrom="column">
                    <wp:posOffset>2903855</wp:posOffset>
                  </wp:positionH>
                  <wp:positionV relativeFrom="paragraph">
                    <wp:posOffset>508635</wp:posOffset>
                  </wp:positionV>
                  <wp:extent cx="1133475" cy="880110"/>
                  <wp:effectExtent l="0" t="0" r="0" b="0"/>
                  <wp:wrapTight wrapText="bothSides">
                    <wp:wrapPolygon>
                      <wp:start x="3267" y="1403"/>
                      <wp:lineTo x="3630" y="8883"/>
                      <wp:lineTo x="4719" y="16364"/>
                      <wp:lineTo x="7987" y="18701"/>
                      <wp:lineTo x="8350" y="19636"/>
                      <wp:lineTo x="10528" y="19636"/>
                      <wp:lineTo x="17425" y="17299"/>
                      <wp:lineTo x="17062" y="16364"/>
                      <wp:lineTo x="19603" y="12623"/>
                      <wp:lineTo x="18877" y="10753"/>
                      <wp:lineTo x="13069" y="8883"/>
                      <wp:lineTo x="13069" y="1403"/>
                      <wp:lineTo x="3267" y="1403"/>
                    </wp:wrapPolygon>
                  </wp:wrapTight>
                  <wp:docPr id="122" name="Picture 3" descr="单头矮汤炉"/>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3" descr="单头矮汤炉"/>
                          <pic:cNvPicPr>
                            <a:picLocks noChangeAspect="1" noChangeArrowheads="1"/>
                          </pic:cNvPicPr>
                        </pic:nvPicPr>
                        <pic:blipFill>
                          <a:blip r:embed="rId63"/>
                          <a:srcRect l="15065" r="12256"/>
                          <a:stretch>
                            <a:fillRect/>
                          </a:stretch>
                        </pic:blipFill>
                        <pic:spPr>
                          <a:xfrm>
                            <a:off x="0" y="0"/>
                            <a:ext cx="1133475" cy="880110"/>
                          </a:xfrm>
                          <a:prstGeom prst="rect">
                            <a:avLst/>
                          </a:prstGeom>
                          <a:noFill/>
                        </pic:spPr>
                      </pic:pic>
                    </a:graphicData>
                  </a:graphic>
                </wp:anchor>
              </w:drawing>
            </w:r>
            <w:r>
              <w:rPr>
                <w:rFonts w:hint="eastAsia" w:ascii="宋体" w:hAnsi="宋体" w:eastAsia="宋体" w:cs="宋体"/>
                <w:i w:val="0"/>
                <w:iCs w:val="0"/>
                <w:color w:val="000000"/>
                <w:kern w:val="0"/>
                <w:sz w:val="21"/>
                <w:szCs w:val="21"/>
                <w:u w:val="none"/>
                <w:lang w:val="en-US" w:eastAsia="zh-CN" w:bidi="ar"/>
              </w:rPr>
              <w:t>★9、商用矮汤炉的热效率符合GB 40876-2021《商用电磁炉能效限定值及能效等级》标准，热效率≥94%，</w:t>
            </w:r>
            <w:r>
              <w:rPr>
                <w:rFonts w:hint="eastAsia" w:ascii="宋体" w:hAnsi="宋体" w:eastAsia="宋体" w:cs="宋体"/>
                <w:b/>
                <w:bCs/>
                <w:i w:val="0"/>
                <w:iCs w:val="0"/>
                <w:color w:val="000000"/>
                <w:kern w:val="0"/>
                <w:sz w:val="21"/>
                <w:szCs w:val="21"/>
                <w:u w:val="none"/>
                <w:lang w:val="en-US" w:eastAsia="zh-CN" w:bidi="ar"/>
              </w:rPr>
              <w:t>投标文件中必须提供中国质量认证中心出具的能效等级检验报告（报告上有CMA,CNAS标识）扫描件</w:t>
            </w:r>
            <w:r>
              <w:rPr>
                <w:rFonts w:hint="eastAsia" w:ascii="宋体" w:hAnsi="宋体" w:eastAsia="宋体" w:cs="宋体"/>
                <w:b/>
                <w:bCs/>
                <w:color w:val="auto"/>
                <w:sz w:val="21"/>
                <w:szCs w:val="21"/>
                <w:highlight w:val="none"/>
              </w:rPr>
              <w:t>并加盖投标人CA证书签章，否则投标文件无效</w:t>
            </w:r>
            <w:r>
              <w:rPr>
                <w:rFonts w:hint="eastAsia" w:ascii="宋体" w:hAnsi="宋体" w:eastAsia="宋体" w:cs="宋体"/>
                <w:b/>
                <w:bCs/>
                <w:color w:val="auto"/>
                <w:sz w:val="21"/>
                <w:szCs w:val="21"/>
                <w:highlight w:val="none"/>
                <w:lang w:eastAsia="zh-CN"/>
              </w:rPr>
              <w:t>。</w:t>
            </w:r>
          </w:p>
        </w:tc>
        <w:tc>
          <w:tcPr>
            <w:tcW w:w="633" w:type="dxa"/>
            <w:shd w:val="clear" w:color="auto" w:fill="auto"/>
            <w:vAlign w:val="center"/>
          </w:tcPr>
          <w:p w14:paraId="1C1EC85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shd w:val="clear" w:color="auto" w:fill="auto"/>
            <w:vAlign w:val="center"/>
          </w:tcPr>
          <w:p w14:paraId="34823B7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15500 </w:t>
            </w:r>
          </w:p>
        </w:tc>
      </w:tr>
      <w:tr w14:paraId="73EE5A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D5B56A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36</w:t>
            </w:r>
          </w:p>
        </w:tc>
        <w:tc>
          <w:tcPr>
            <w:tcW w:w="1027" w:type="dxa"/>
            <w:shd w:val="clear" w:color="auto" w:fill="auto"/>
            <w:vAlign w:val="center"/>
          </w:tcPr>
          <w:p w14:paraId="2E46489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电蒸饭柜</w:t>
            </w:r>
          </w:p>
        </w:tc>
        <w:tc>
          <w:tcPr>
            <w:tcW w:w="6543" w:type="dxa"/>
            <w:shd w:val="clear" w:color="auto" w:fill="auto"/>
            <w:vAlign w:val="center"/>
          </w:tcPr>
          <w:p w14:paraId="4DB4D20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699200" behindDoc="0" locked="0" layoutInCell="1" allowOverlap="1">
                  <wp:simplePos x="0" y="0"/>
                  <wp:positionH relativeFrom="column">
                    <wp:posOffset>2773680</wp:posOffset>
                  </wp:positionH>
                  <wp:positionV relativeFrom="paragraph">
                    <wp:posOffset>110490</wp:posOffset>
                  </wp:positionV>
                  <wp:extent cx="1223010" cy="1262380"/>
                  <wp:effectExtent l="0" t="0" r="15240" b="13970"/>
                  <wp:wrapSquare wrapText="bothSides"/>
                  <wp:docPr id="107"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943"/>
                          <pic:cNvPicPr>
                            <a:picLocks noChangeAspect="1"/>
                          </pic:cNvPicPr>
                        </pic:nvPicPr>
                        <pic:blipFill>
                          <a:blip r:embed="rId64"/>
                          <a:stretch>
                            <a:fillRect/>
                          </a:stretch>
                        </pic:blipFill>
                        <pic:spPr>
                          <a:xfrm>
                            <a:off x="0" y="0"/>
                            <a:ext cx="1223010" cy="1262380"/>
                          </a:xfrm>
                          <a:prstGeom prst="rect">
                            <a:avLst/>
                          </a:prstGeom>
                          <a:noFill/>
                          <a:ln w="1">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规格：1400*600*1550mm   平门               </w:t>
            </w:r>
          </w:p>
          <w:p w14:paraId="709522E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1.功率：24KW                            </w:t>
            </w:r>
          </w:p>
          <w:p w14:paraId="578F7F0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2.电压：380V                              </w:t>
            </w:r>
          </w:p>
          <w:p w14:paraId="1109CB0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3.整体发泡，保温效果好；                               </w:t>
            </w:r>
          </w:p>
          <w:p w14:paraId="4003E9E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4.新型多气囊，嵌入式硅胶门封，密封牢靠；                                 </w:t>
            </w:r>
          </w:p>
          <w:p w14:paraId="533BD96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5.自动进水</w:t>
            </w:r>
          </w:p>
          <w:p w14:paraId="0618590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6.选用无指纹板材，全不锈钢机体，耐腐蚀、清洁方便</w:t>
            </w:r>
          </w:p>
        </w:tc>
        <w:tc>
          <w:tcPr>
            <w:tcW w:w="633" w:type="dxa"/>
            <w:shd w:val="clear" w:color="auto" w:fill="auto"/>
            <w:vAlign w:val="center"/>
          </w:tcPr>
          <w:p w14:paraId="2CA633C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shd w:val="clear" w:color="auto" w:fill="auto"/>
            <w:vAlign w:val="center"/>
          </w:tcPr>
          <w:p w14:paraId="432892E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6000 </w:t>
            </w:r>
          </w:p>
        </w:tc>
      </w:tr>
      <w:tr w14:paraId="468688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46" w:hRule="atLeast"/>
        </w:trPr>
        <w:tc>
          <w:tcPr>
            <w:tcW w:w="616" w:type="dxa"/>
            <w:shd w:val="clear" w:color="auto" w:fill="auto"/>
            <w:noWrap/>
            <w:vAlign w:val="center"/>
          </w:tcPr>
          <w:p w14:paraId="2F3F8AA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37</w:t>
            </w:r>
          </w:p>
        </w:tc>
        <w:tc>
          <w:tcPr>
            <w:tcW w:w="1027" w:type="dxa"/>
            <w:shd w:val="clear" w:color="auto" w:fill="auto"/>
            <w:vAlign w:val="center"/>
          </w:tcPr>
          <w:p w14:paraId="694501BD">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u w:val="none"/>
                <w:lang w:val="en-US" w:eastAsia="zh-CN" w:bidi="ar"/>
              </w:rPr>
              <w:t>自动灭火装置</w:t>
            </w:r>
          </w:p>
        </w:tc>
        <w:tc>
          <w:tcPr>
            <w:tcW w:w="6543" w:type="dxa"/>
            <w:shd w:val="clear" w:color="auto" w:fill="auto"/>
            <w:vAlign w:val="center"/>
          </w:tcPr>
          <w:p w14:paraId="7CC3375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1、灭火装置具备自动和手动两种操作模式；</w:t>
            </w:r>
          </w:p>
          <w:p w14:paraId="6693145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2、灭火装置需与消防水（或者自来水）管路相连，系统启动后，自控机械水流阀等灭火剂喷洒完全后，再自动喷水； </w:t>
            </w:r>
          </w:p>
          <w:p w14:paraId="55F7155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系统装置包括：控制箱、不锈钢管路、喷嘴、探测器、易熔连接片、金属拉索、滑轮三通、滑轮弯头等组成。其中控制箱由自动释放机构、驱动用高压氮气瓶、水流控制阀、液体药剂罐以及连接软管、单向阀、减压阀等构成；                        </w:t>
            </w:r>
          </w:p>
          <w:p w14:paraId="25EFE4B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4、连接喷嘴的安装管路全部使用SUS304不锈钢管，全部使用卡压的连接方式连接，方便快捷，经久耐用，无需更换。</w:t>
            </w:r>
          </w:p>
          <w:p w14:paraId="0286DBC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5、所有管路安装都必须用专用支架固定，不能紧贴烟罩表面安装；</w:t>
            </w:r>
          </w:p>
          <w:p w14:paraId="3E52CFB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6、烟罩内所有管道连接处，锁紧件或密封件不得使用塑料或橡胶制品，避免受高温长时间使用后腐化或松动；</w:t>
            </w:r>
          </w:p>
          <w:p w14:paraId="7F75637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67808" behindDoc="1" locked="0" layoutInCell="1" allowOverlap="1">
                  <wp:simplePos x="0" y="0"/>
                  <wp:positionH relativeFrom="column">
                    <wp:posOffset>195580</wp:posOffset>
                  </wp:positionH>
                  <wp:positionV relativeFrom="paragraph">
                    <wp:posOffset>1067435</wp:posOffset>
                  </wp:positionV>
                  <wp:extent cx="3741420" cy="2143125"/>
                  <wp:effectExtent l="0" t="0" r="11430" b="9525"/>
                  <wp:wrapTight wrapText="bothSides">
                    <wp:wrapPolygon>
                      <wp:start x="0" y="0"/>
                      <wp:lineTo x="0" y="21504"/>
                      <wp:lineTo x="21446" y="21504"/>
                      <wp:lineTo x="21446" y="0"/>
                      <wp:lineTo x="0" y="0"/>
                    </wp:wrapPolygon>
                  </wp:wrapTight>
                  <wp:docPr id="9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1"/>
                          <pic:cNvPicPr>
                            <a:picLocks noChangeAspect="1"/>
                          </pic:cNvPicPr>
                        </pic:nvPicPr>
                        <pic:blipFill>
                          <a:blip r:embed="rId65" cstate="print">
                            <a:clrChange>
                              <a:clrFrom>
                                <a:srgbClr val="FCFCFC"/>
                              </a:clrFrom>
                              <a:clrTo>
                                <a:srgbClr val="FCFCFC">
                                  <a:alpha val="0"/>
                                </a:srgbClr>
                              </a:clrTo>
                            </a:clrChange>
                          </a:blip>
                          <a:stretch>
                            <a:fillRect/>
                          </a:stretch>
                        </pic:blipFill>
                        <pic:spPr>
                          <a:xfrm>
                            <a:off x="0" y="0"/>
                            <a:ext cx="3741420" cy="214312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7、连接主箱至烟罩的主药剂管路应采用DN15(4分)SUS304的不锈钢管；连接喷嘴的药剂支管路应采用DN10(3分)SUS304的不锈钢管，不锈钢弯头、直接等管道配件均为SUS304不锈钢材质；                                                                       8、联动性能单瓶组喷射时间≥19.2秒，喷射延迟时间≥1.0秒，水流联动阀自动切换时间≥2秒。</w:t>
            </w:r>
          </w:p>
        </w:tc>
        <w:tc>
          <w:tcPr>
            <w:tcW w:w="633" w:type="dxa"/>
            <w:shd w:val="clear" w:color="auto" w:fill="auto"/>
            <w:vAlign w:val="center"/>
          </w:tcPr>
          <w:p w14:paraId="5611A32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221" w:type="dxa"/>
            <w:shd w:val="clear" w:color="auto" w:fill="auto"/>
            <w:vAlign w:val="center"/>
          </w:tcPr>
          <w:p w14:paraId="6422A1D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29000 </w:t>
            </w:r>
          </w:p>
        </w:tc>
      </w:tr>
      <w:tr w14:paraId="32B2AA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3771038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（五）预进间、烫粉区、备餐区</w:t>
            </w:r>
          </w:p>
        </w:tc>
      </w:tr>
      <w:tr w14:paraId="6D2C6D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FE77F3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6D7ED3D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69FA525A">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7AE6D46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249EB90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1496E2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BE30E80">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38</w:t>
            </w:r>
          </w:p>
        </w:tc>
        <w:tc>
          <w:tcPr>
            <w:tcW w:w="1027" w:type="dxa"/>
            <w:shd w:val="clear" w:color="auto" w:fill="auto"/>
            <w:vAlign w:val="center"/>
          </w:tcPr>
          <w:p w14:paraId="494CFBC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双星洗手池</w:t>
            </w:r>
          </w:p>
        </w:tc>
        <w:tc>
          <w:tcPr>
            <w:tcW w:w="6543" w:type="dxa"/>
            <w:shd w:val="clear" w:color="auto" w:fill="auto"/>
            <w:vAlign w:val="center"/>
          </w:tcPr>
          <w:p w14:paraId="57AF4CB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00224" behindDoc="0" locked="0" layoutInCell="1" allowOverlap="1">
                  <wp:simplePos x="0" y="0"/>
                  <wp:positionH relativeFrom="column">
                    <wp:posOffset>2733675</wp:posOffset>
                  </wp:positionH>
                  <wp:positionV relativeFrom="paragraph">
                    <wp:posOffset>32385</wp:posOffset>
                  </wp:positionV>
                  <wp:extent cx="1409065" cy="1066800"/>
                  <wp:effectExtent l="0" t="0" r="635" b="0"/>
                  <wp:wrapSquare wrapText="bothSides"/>
                  <wp:docPr id="52" name="Picture 130" descr="x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30" descr="xsp"/>
                          <pic:cNvPicPr>
                            <a:picLocks noChangeAspect="1"/>
                          </pic:cNvPicPr>
                        </pic:nvPicPr>
                        <pic:blipFill>
                          <a:blip r:embed="rId66" cstate="print">
                            <a:clrChange>
                              <a:clrFrom>
                                <a:srgbClr val="FCFCFC"/>
                              </a:clrFrom>
                              <a:clrTo>
                                <a:srgbClr val="FCFCFC">
                                  <a:alpha val="0"/>
                                </a:srgbClr>
                              </a:clrTo>
                            </a:clrChange>
                          </a:blip>
                          <a:srcRect l="12416" t="18385" r="18791" b="12556"/>
                          <a:stretch>
                            <a:fillRect/>
                          </a:stretch>
                        </pic:blipFill>
                        <pic:spPr>
                          <a:xfrm>
                            <a:off x="0" y="0"/>
                            <a:ext cx="1409065" cy="106680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规格：1000*500*950㎜                                             1、面板采用1.2mm优质304#雪花不锈钢板；</w:t>
            </w:r>
          </w:p>
          <w:p w14:paraId="7313F85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6B4131F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464EDFB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4、星盆斗用1.2mm不锈钢板；                           </w:t>
            </w:r>
          </w:p>
          <w:p w14:paraId="5A537FE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5、每盆配不锈钢ND16mm高身摇摆式水龙头</w:t>
            </w:r>
          </w:p>
          <w:p w14:paraId="2053A4C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6、脚踏开关</w:t>
            </w:r>
          </w:p>
        </w:tc>
        <w:tc>
          <w:tcPr>
            <w:tcW w:w="633" w:type="dxa"/>
            <w:shd w:val="clear" w:color="auto" w:fill="auto"/>
            <w:vAlign w:val="center"/>
          </w:tcPr>
          <w:p w14:paraId="3D6663E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1CD4C3D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1450 </w:t>
            </w:r>
          </w:p>
        </w:tc>
      </w:tr>
      <w:tr w14:paraId="288FDF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A000CD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39</w:t>
            </w:r>
          </w:p>
        </w:tc>
        <w:tc>
          <w:tcPr>
            <w:tcW w:w="1027" w:type="dxa"/>
            <w:shd w:val="clear" w:color="auto" w:fill="auto"/>
            <w:vAlign w:val="center"/>
          </w:tcPr>
          <w:p w14:paraId="713EAE2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单星洗物池</w:t>
            </w:r>
          </w:p>
        </w:tc>
        <w:tc>
          <w:tcPr>
            <w:tcW w:w="6543" w:type="dxa"/>
            <w:shd w:val="clear" w:color="auto" w:fill="auto"/>
            <w:vAlign w:val="center"/>
          </w:tcPr>
          <w:p w14:paraId="45DE96A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01248" behindDoc="0" locked="0" layoutInCell="1" allowOverlap="1">
                  <wp:simplePos x="0" y="0"/>
                  <wp:positionH relativeFrom="column">
                    <wp:posOffset>3020695</wp:posOffset>
                  </wp:positionH>
                  <wp:positionV relativeFrom="paragraph">
                    <wp:posOffset>201295</wp:posOffset>
                  </wp:positionV>
                  <wp:extent cx="877570" cy="982980"/>
                  <wp:effectExtent l="0" t="0" r="17780" b="7620"/>
                  <wp:wrapSquare wrapText="bothSides"/>
                  <wp:docPr id="53" name="Picture 74" descr="单星洗物台k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74" descr="单星洗物台kb"/>
                          <pic:cNvPicPr>
                            <a:picLocks noChangeAspect="1"/>
                          </pic:cNvPicPr>
                        </pic:nvPicPr>
                        <pic:blipFill>
                          <a:blip r:embed="rId48" cstate="print">
                            <a:clrChange>
                              <a:clrFrom>
                                <a:srgbClr val="FCFCFC"/>
                              </a:clrFrom>
                              <a:clrTo>
                                <a:srgbClr val="FCFCFC">
                                  <a:alpha val="0"/>
                                </a:srgbClr>
                              </a:clrTo>
                            </a:clrChange>
                          </a:blip>
                          <a:srcRect l="28166" t="19794" r="28165" b="14973"/>
                          <a:stretch>
                            <a:fillRect/>
                          </a:stretch>
                        </pic:blipFill>
                        <pic:spPr>
                          <a:xfrm>
                            <a:off x="0" y="0"/>
                            <a:ext cx="877570" cy="98298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规格：700*700*950㎜    </w:t>
            </w:r>
          </w:p>
          <w:p w14:paraId="76C319B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内尺寸：500*500*280mm                                        1、面板采用1.2mm优质304#雪花不锈钢板；</w:t>
            </w:r>
          </w:p>
          <w:p w14:paraId="708E819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06727CC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1C5B7BA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4、星盆斗用1.2mm不锈钢板；                           </w:t>
            </w:r>
          </w:p>
          <w:p w14:paraId="65EED36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5、每盆配不锈钢ND16mm高身摇摆式水龙头</w:t>
            </w:r>
          </w:p>
        </w:tc>
        <w:tc>
          <w:tcPr>
            <w:tcW w:w="633" w:type="dxa"/>
            <w:shd w:val="clear" w:color="auto" w:fill="auto"/>
            <w:vAlign w:val="center"/>
          </w:tcPr>
          <w:p w14:paraId="130FCDA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079F60F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0C012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C50252E">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40</w:t>
            </w:r>
          </w:p>
        </w:tc>
        <w:tc>
          <w:tcPr>
            <w:tcW w:w="1027" w:type="dxa"/>
            <w:shd w:val="clear" w:color="auto" w:fill="auto"/>
            <w:vAlign w:val="center"/>
          </w:tcPr>
          <w:p w14:paraId="19E0F96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板式货架</w:t>
            </w:r>
          </w:p>
        </w:tc>
        <w:tc>
          <w:tcPr>
            <w:tcW w:w="6543" w:type="dxa"/>
            <w:shd w:val="clear" w:color="auto" w:fill="auto"/>
            <w:vAlign w:val="center"/>
          </w:tcPr>
          <w:p w14:paraId="6838B8A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规格：1200*500*1500㎜                      </w:t>
            </w:r>
          </w:p>
          <w:p w14:paraId="30A2DE3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1、层板采用1.2mm优质304#雪花不锈钢板</w:t>
            </w:r>
          </w:p>
          <w:p w14:paraId="3F3D9C1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2、主框架采用38*25管厚H=1.2mm 不锈钢；</w:t>
            </w:r>
          </w:p>
          <w:p w14:paraId="0BB6663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3、柱脚采用Φ38不锈钢管及可调高低不锈钢子弹脚 。</w:t>
            </w:r>
            <w:r>
              <w:drawing>
                <wp:anchor distT="0" distB="0" distL="114300" distR="114300" simplePos="0" relativeHeight="251702272" behindDoc="0" locked="0" layoutInCell="1" allowOverlap="1">
                  <wp:simplePos x="0" y="0"/>
                  <wp:positionH relativeFrom="column">
                    <wp:posOffset>3217545</wp:posOffset>
                  </wp:positionH>
                  <wp:positionV relativeFrom="paragraph">
                    <wp:posOffset>-8143875</wp:posOffset>
                  </wp:positionV>
                  <wp:extent cx="800100" cy="915670"/>
                  <wp:effectExtent l="0" t="0" r="0" b="0"/>
                  <wp:wrapSquare wrapText="bothSides"/>
                  <wp:docPr id="54" name="Picture 129" descr="四层板式货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29" descr="四层板式货架"/>
                          <pic:cNvPicPr>
                            <a:picLocks noChangeAspect="1"/>
                          </pic:cNvPicPr>
                        </pic:nvPicPr>
                        <pic:blipFill>
                          <a:blip r:embed="rId34">
                            <a:clrChange>
                              <a:clrFrom>
                                <a:srgbClr val="FCFCFC"/>
                              </a:clrFrom>
                              <a:clrTo>
                                <a:srgbClr val="FCFCFC">
                                  <a:alpha val="0"/>
                                </a:srgbClr>
                              </a:clrTo>
                            </a:clrChange>
                          </a:blip>
                          <a:srcRect l="13043" t="-7692" r="12318" b="-5769"/>
                          <a:stretch>
                            <a:fillRect/>
                          </a:stretch>
                        </pic:blipFill>
                        <pic:spPr>
                          <a:xfrm>
                            <a:off x="0" y="0"/>
                            <a:ext cx="800100" cy="915670"/>
                          </a:xfrm>
                          <a:prstGeom prst="rect">
                            <a:avLst/>
                          </a:prstGeom>
                          <a:noFill/>
                          <a:ln w="9525">
                            <a:noFill/>
                          </a:ln>
                        </pic:spPr>
                      </pic:pic>
                    </a:graphicData>
                  </a:graphic>
                </wp:anchor>
              </w:drawing>
            </w:r>
          </w:p>
        </w:tc>
        <w:tc>
          <w:tcPr>
            <w:tcW w:w="633" w:type="dxa"/>
            <w:shd w:val="clear" w:color="auto" w:fill="auto"/>
            <w:vAlign w:val="center"/>
          </w:tcPr>
          <w:p w14:paraId="1AC809E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4E98352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1900 </w:t>
            </w:r>
          </w:p>
        </w:tc>
      </w:tr>
      <w:tr w14:paraId="2468CB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1184E21">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41</w:t>
            </w:r>
          </w:p>
        </w:tc>
        <w:tc>
          <w:tcPr>
            <w:tcW w:w="1027" w:type="dxa"/>
            <w:shd w:val="clear" w:color="auto" w:fill="auto"/>
            <w:vAlign w:val="center"/>
          </w:tcPr>
          <w:p w14:paraId="1638626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碗柜</w:t>
            </w:r>
          </w:p>
        </w:tc>
        <w:tc>
          <w:tcPr>
            <w:tcW w:w="6543" w:type="dxa"/>
            <w:shd w:val="clear" w:color="auto" w:fill="auto"/>
            <w:vAlign w:val="center"/>
          </w:tcPr>
          <w:p w14:paraId="02AD225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03296" behindDoc="0" locked="0" layoutInCell="1" allowOverlap="1">
                  <wp:simplePos x="0" y="0"/>
                  <wp:positionH relativeFrom="column">
                    <wp:posOffset>3102610</wp:posOffset>
                  </wp:positionH>
                  <wp:positionV relativeFrom="paragraph">
                    <wp:posOffset>239395</wp:posOffset>
                  </wp:positionV>
                  <wp:extent cx="659130" cy="933450"/>
                  <wp:effectExtent l="0" t="0" r="7620" b="0"/>
                  <wp:wrapSquare wrapText="bothSides"/>
                  <wp:docPr id="55" name="Picture 55" descr="碗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碗柜"/>
                          <pic:cNvPicPr>
                            <a:picLocks noChangeAspect="1"/>
                          </pic:cNvPicPr>
                        </pic:nvPicPr>
                        <pic:blipFill>
                          <a:blip r:embed="rId67" cstate="print">
                            <a:clrChange>
                              <a:clrFrom>
                                <a:srgbClr val="FCFCFC"/>
                              </a:clrFrom>
                              <a:clrTo>
                                <a:srgbClr val="FCFCFC">
                                  <a:alpha val="0"/>
                                </a:srgbClr>
                              </a:clrTo>
                            </a:clrChange>
                          </a:blip>
                          <a:srcRect l="32619" t="16458" r="30737" b="14133"/>
                          <a:stretch>
                            <a:fillRect/>
                          </a:stretch>
                        </pic:blipFill>
                        <pic:spPr>
                          <a:xfrm>
                            <a:off x="0" y="0"/>
                            <a:ext cx="659130" cy="93345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规格：1200*500*1800㎜                              </w:t>
            </w:r>
          </w:p>
          <w:p w14:paraId="348B0C8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1.柜面采用1.2mm优质304#雪花不锈钢板                                  2.柜身用采用1.2mm优质雪花不锈钢板                                     3.柜内层板用0.8mm优质雪花不锈钢板                                      4.趟门用1.0mm优质不锈钢磨砂板                                    5.加强筋用1.0不锈钢板折弯Φ51可调子弹脚</w:t>
            </w:r>
          </w:p>
        </w:tc>
        <w:tc>
          <w:tcPr>
            <w:tcW w:w="633" w:type="dxa"/>
            <w:shd w:val="clear" w:color="auto" w:fill="auto"/>
            <w:vAlign w:val="center"/>
          </w:tcPr>
          <w:p w14:paraId="3D3FF7B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4台</w:t>
            </w:r>
          </w:p>
        </w:tc>
        <w:tc>
          <w:tcPr>
            <w:tcW w:w="1221" w:type="dxa"/>
            <w:shd w:val="clear" w:color="auto" w:fill="auto"/>
            <w:vAlign w:val="center"/>
          </w:tcPr>
          <w:p w14:paraId="5573813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3800 </w:t>
            </w:r>
          </w:p>
        </w:tc>
      </w:tr>
      <w:tr w14:paraId="2F4DDD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7CFDD3F">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42</w:t>
            </w:r>
          </w:p>
        </w:tc>
        <w:tc>
          <w:tcPr>
            <w:tcW w:w="1027" w:type="dxa"/>
            <w:shd w:val="clear" w:color="auto" w:fill="auto"/>
            <w:vAlign w:val="center"/>
          </w:tcPr>
          <w:p w14:paraId="16A3A23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留样柜</w:t>
            </w:r>
          </w:p>
        </w:tc>
        <w:tc>
          <w:tcPr>
            <w:tcW w:w="6543" w:type="dxa"/>
            <w:shd w:val="clear" w:color="auto" w:fill="auto"/>
            <w:vAlign w:val="center"/>
          </w:tcPr>
          <w:p w14:paraId="5C5114D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04320" behindDoc="0" locked="0" layoutInCell="1" allowOverlap="1">
                  <wp:simplePos x="0" y="0"/>
                  <wp:positionH relativeFrom="column">
                    <wp:posOffset>3260090</wp:posOffset>
                  </wp:positionH>
                  <wp:positionV relativeFrom="paragraph">
                    <wp:posOffset>67310</wp:posOffset>
                  </wp:positionV>
                  <wp:extent cx="783590" cy="1401445"/>
                  <wp:effectExtent l="0" t="0" r="16510" b="8255"/>
                  <wp:wrapSquare wrapText="bothSides"/>
                  <wp:docPr id="56" name="Picture 2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20450"/>
                          <pic:cNvPicPr>
                            <a:picLocks noChangeAspect="1"/>
                          </pic:cNvPicPr>
                        </pic:nvPicPr>
                        <pic:blipFill>
                          <a:blip r:embed="rId68">
                            <a:clrChange>
                              <a:clrFrom>
                                <a:srgbClr val="FCFCFC"/>
                              </a:clrFrom>
                              <a:clrTo>
                                <a:srgbClr val="FCFCFC">
                                  <a:alpha val="0"/>
                                </a:srgbClr>
                              </a:clrTo>
                            </a:clrChange>
                          </a:blip>
                          <a:stretch>
                            <a:fillRect/>
                          </a:stretch>
                        </pic:blipFill>
                        <pic:spPr>
                          <a:xfrm>
                            <a:off x="0" y="0"/>
                            <a:ext cx="783590" cy="140144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规格：600*700*1900㎜                                                                                 1.电 源:～220V/50Hz                                          2.箱内温度:+2℃～10℃</w:t>
            </w:r>
          </w:p>
          <w:p w14:paraId="21DFB3D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3.不锈钢外壳、钢内胆，名牌无氟压缩机、双电子显示器、双冷凝器、双电机风扇、不锈钢直线型拉手、不锈钢贴膜内胆、中空玻璃拉门   </w:t>
            </w:r>
          </w:p>
          <w:p w14:paraId="6935A0A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4.带温度显示，带锁</w:t>
            </w:r>
          </w:p>
          <w:p w14:paraId="08ECDAC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p>
        </w:tc>
        <w:tc>
          <w:tcPr>
            <w:tcW w:w="633" w:type="dxa"/>
            <w:shd w:val="clear" w:color="auto" w:fill="auto"/>
            <w:vAlign w:val="center"/>
          </w:tcPr>
          <w:p w14:paraId="572CD46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06B8271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2000 </w:t>
            </w:r>
          </w:p>
        </w:tc>
      </w:tr>
      <w:tr w14:paraId="12234A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F286A84">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43</w:t>
            </w:r>
          </w:p>
        </w:tc>
        <w:tc>
          <w:tcPr>
            <w:tcW w:w="1027" w:type="dxa"/>
            <w:shd w:val="clear" w:color="auto" w:fill="auto"/>
            <w:vAlign w:val="center"/>
          </w:tcPr>
          <w:p w14:paraId="7D35380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单通打荷台</w:t>
            </w:r>
          </w:p>
        </w:tc>
        <w:tc>
          <w:tcPr>
            <w:tcW w:w="6543" w:type="dxa"/>
            <w:shd w:val="clear" w:color="auto" w:fill="auto"/>
            <w:vAlign w:val="center"/>
          </w:tcPr>
          <w:p w14:paraId="5181EB7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规格:1800*700*800㎜                            </w:t>
            </w:r>
          </w:p>
          <w:p w14:paraId="5C8EF2F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1.台面采用优质304#雪花不锈钢板厚1.2mm加15mm木板夹层                                              2.侧板用1.0mm不锈钢板                                                                              3.柜内层板用0.8mm优质不锈钢板                                                                        4.趟门用1.0mm不锈钢板                                                                              5.支架柱横梁用1.0mm不锈钢板折弯；                                       6.支架管用25×13mm不锈钢方管，Ф51mm不锈钢可调脚。</w:t>
            </w:r>
            <w:r>
              <w:drawing>
                <wp:inline distT="0" distB="0" distL="114300" distR="114300">
                  <wp:extent cx="1076960" cy="703580"/>
                  <wp:effectExtent l="0" t="0" r="8890" b="1270"/>
                  <wp:docPr id="57" name="Picture 53" descr="双通道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3" descr="双通道工作台"/>
                          <pic:cNvPicPr>
                            <a:picLocks noChangeAspect="1"/>
                          </pic:cNvPicPr>
                        </pic:nvPicPr>
                        <pic:blipFill>
                          <a:blip r:embed="rId59" cstate="print">
                            <a:clrChange>
                              <a:clrFrom>
                                <a:srgbClr val="FCFCFC"/>
                              </a:clrFrom>
                              <a:clrTo>
                                <a:srgbClr val="FCFCFC">
                                  <a:alpha val="0"/>
                                </a:srgbClr>
                              </a:clrTo>
                            </a:clrChange>
                          </a:blip>
                          <a:srcRect l="5156" t="21875" r="11719" b="5208"/>
                          <a:stretch>
                            <a:fillRect/>
                          </a:stretch>
                        </pic:blipFill>
                        <pic:spPr>
                          <a:xfrm>
                            <a:off x="0" y="0"/>
                            <a:ext cx="1076960" cy="703580"/>
                          </a:xfrm>
                          <a:prstGeom prst="rect">
                            <a:avLst/>
                          </a:prstGeom>
                          <a:noFill/>
                          <a:ln w="9525">
                            <a:noFill/>
                          </a:ln>
                        </pic:spPr>
                      </pic:pic>
                    </a:graphicData>
                  </a:graphic>
                </wp:inline>
              </w:drawing>
            </w:r>
          </w:p>
        </w:tc>
        <w:tc>
          <w:tcPr>
            <w:tcW w:w="633" w:type="dxa"/>
            <w:shd w:val="clear" w:color="auto" w:fill="auto"/>
            <w:vAlign w:val="center"/>
          </w:tcPr>
          <w:p w14:paraId="01A876A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3台</w:t>
            </w:r>
          </w:p>
        </w:tc>
        <w:tc>
          <w:tcPr>
            <w:tcW w:w="1221" w:type="dxa"/>
            <w:shd w:val="clear" w:color="auto" w:fill="auto"/>
            <w:vAlign w:val="center"/>
          </w:tcPr>
          <w:p w14:paraId="394B532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4100 </w:t>
            </w:r>
          </w:p>
        </w:tc>
      </w:tr>
      <w:tr w14:paraId="5347B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7CD2D92">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44</w:t>
            </w:r>
          </w:p>
        </w:tc>
        <w:tc>
          <w:tcPr>
            <w:tcW w:w="1027" w:type="dxa"/>
            <w:shd w:val="clear" w:color="auto" w:fill="auto"/>
            <w:vAlign w:val="center"/>
          </w:tcPr>
          <w:p w14:paraId="0D74847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电热保温售卖台（5格）</w:t>
            </w:r>
          </w:p>
        </w:tc>
        <w:tc>
          <w:tcPr>
            <w:tcW w:w="6543" w:type="dxa"/>
            <w:shd w:val="clear" w:color="auto" w:fill="auto"/>
            <w:vAlign w:val="center"/>
          </w:tcPr>
          <w:p w14:paraId="4665DB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规格：1800*700*800㎜                                              1.面板采用1.2mm优质304#不锈钢板；</w:t>
            </w:r>
          </w:p>
          <w:p w14:paraId="6C65665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2.支架、通脚：Φ38mm×1.2mm不锈钢管；</w:t>
            </w:r>
          </w:p>
          <w:p w14:paraId="5ACDF03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05344" behindDoc="0" locked="0" layoutInCell="1" allowOverlap="1">
                  <wp:simplePos x="0" y="0"/>
                  <wp:positionH relativeFrom="column">
                    <wp:posOffset>2475865</wp:posOffset>
                  </wp:positionH>
                  <wp:positionV relativeFrom="paragraph">
                    <wp:posOffset>181610</wp:posOffset>
                  </wp:positionV>
                  <wp:extent cx="1403985" cy="1055370"/>
                  <wp:effectExtent l="0" t="0" r="5715" b="11430"/>
                  <wp:wrapSquare wrapText="bothSides"/>
                  <wp:docPr id="58" name="Picture 31" descr="电热保温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31" descr="电热保温台"/>
                          <pic:cNvPicPr>
                            <a:picLocks noChangeAspect="1"/>
                          </pic:cNvPicPr>
                        </pic:nvPicPr>
                        <pic:blipFill>
                          <a:blip r:embed="rId69">
                            <a:clrChange>
                              <a:clrFrom>
                                <a:srgbClr val="FCFCFC"/>
                              </a:clrFrom>
                              <a:clrTo>
                                <a:srgbClr val="FCFCFC">
                                  <a:alpha val="0"/>
                                </a:srgbClr>
                              </a:clrTo>
                            </a:clrChange>
                          </a:blip>
                          <a:srcRect l="13687" t="18236" r="25829" b="15294"/>
                          <a:stretch>
                            <a:fillRect/>
                          </a:stretch>
                        </pic:blipFill>
                        <pic:spPr>
                          <a:xfrm>
                            <a:off x="0" y="0"/>
                            <a:ext cx="1403985" cy="105537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3.加强筋1.0mm不锈钢板材折弯而成；</w:t>
            </w:r>
          </w:p>
          <w:p w14:paraId="02301F6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4.可调子弹脚：Φ38mm×1.2 mm锈钢子弹脚；</w:t>
            </w:r>
          </w:p>
          <w:p w14:paraId="0415811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5.功率3KW。      </w:t>
            </w:r>
          </w:p>
          <w:p w14:paraId="3BEDD62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6.配防干烧装置</w:t>
            </w:r>
          </w:p>
        </w:tc>
        <w:tc>
          <w:tcPr>
            <w:tcW w:w="633" w:type="dxa"/>
            <w:shd w:val="clear" w:color="auto" w:fill="auto"/>
            <w:vAlign w:val="center"/>
          </w:tcPr>
          <w:p w14:paraId="5106AE6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6台</w:t>
            </w:r>
          </w:p>
        </w:tc>
        <w:tc>
          <w:tcPr>
            <w:tcW w:w="1221" w:type="dxa"/>
            <w:shd w:val="clear" w:color="auto" w:fill="auto"/>
            <w:vAlign w:val="center"/>
          </w:tcPr>
          <w:p w14:paraId="51FE733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4000 </w:t>
            </w:r>
          </w:p>
        </w:tc>
      </w:tr>
      <w:tr w14:paraId="336F90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F18492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45</w:t>
            </w:r>
          </w:p>
        </w:tc>
        <w:tc>
          <w:tcPr>
            <w:tcW w:w="1027" w:type="dxa"/>
            <w:shd w:val="clear" w:color="auto" w:fill="auto"/>
            <w:vAlign w:val="center"/>
          </w:tcPr>
          <w:p w14:paraId="55E7CCFD">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双层工作台</w:t>
            </w:r>
          </w:p>
        </w:tc>
        <w:tc>
          <w:tcPr>
            <w:tcW w:w="6543" w:type="dxa"/>
            <w:shd w:val="clear" w:color="auto" w:fill="auto"/>
            <w:vAlign w:val="center"/>
          </w:tcPr>
          <w:p w14:paraId="27B6774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规格：600*700*800㎜                                                   </w:t>
            </w:r>
          </w:p>
          <w:p w14:paraId="38FCF38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06368" behindDoc="0" locked="0" layoutInCell="1" allowOverlap="1">
                  <wp:simplePos x="0" y="0"/>
                  <wp:positionH relativeFrom="column">
                    <wp:posOffset>3105150</wp:posOffset>
                  </wp:positionH>
                  <wp:positionV relativeFrom="paragraph">
                    <wp:posOffset>420370</wp:posOffset>
                  </wp:positionV>
                  <wp:extent cx="741680" cy="1362710"/>
                  <wp:effectExtent l="0" t="0" r="1270" b="8890"/>
                  <wp:wrapSquare wrapText="bothSides"/>
                  <wp:docPr id="59" name="Picture 60" descr="双层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60" descr="双层工作台"/>
                          <pic:cNvPicPr>
                            <a:picLocks noChangeAspect="1"/>
                          </pic:cNvPicPr>
                        </pic:nvPicPr>
                        <pic:blipFill>
                          <a:blip r:embed="rId70" cstate="print">
                            <a:clrChange>
                              <a:clrFrom>
                                <a:srgbClr val="FCFCFC"/>
                              </a:clrFrom>
                              <a:clrTo>
                                <a:srgbClr val="FCFCFC">
                                  <a:alpha val="0"/>
                                </a:srgbClr>
                              </a:clrTo>
                            </a:clrChange>
                          </a:blip>
                          <a:srcRect l="9380" t="18919" r="23447" b="24663"/>
                          <a:stretch>
                            <a:fillRect/>
                          </a:stretch>
                        </pic:blipFill>
                        <pic:spPr>
                          <a:xfrm>
                            <a:off x="0" y="0"/>
                            <a:ext cx="741680" cy="136271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1.工作台面板采用1.2mm优质304#雪花不锈钢板加垫20mm大芯夹板；或起模灌浆固定紧贴面板并以0.8mm的优质不锈钢板做底板封板</w:t>
            </w:r>
          </w:p>
          <w:p w14:paraId="662C8D9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6FA5323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07ECE1E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4.层板用1.0mm优质雪花不锈钢磨砂贴塑板；</w:t>
            </w:r>
          </w:p>
          <w:p w14:paraId="7EA53A1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5.加强筋采用1.0mm优质雪花不锈钢板折弯</w:t>
            </w:r>
          </w:p>
        </w:tc>
        <w:tc>
          <w:tcPr>
            <w:tcW w:w="633" w:type="dxa"/>
            <w:shd w:val="clear" w:color="auto" w:fill="auto"/>
            <w:vAlign w:val="center"/>
          </w:tcPr>
          <w:p w14:paraId="1B9BA92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3142F6B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12E6F6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CDFE475">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46</w:t>
            </w:r>
          </w:p>
        </w:tc>
        <w:tc>
          <w:tcPr>
            <w:tcW w:w="1027" w:type="dxa"/>
            <w:shd w:val="clear" w:color="auto" w:fill="auto"/>
            <w:vAlign w:val="center"/>
          </w:tcPr>
          <w:p w14:paraId="7BF78D5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电热双头热粉炉</w:t>
            </w:r>
          </w:p>
        </w:tc>
        <w:tc>
          <w:tcPr>
            <w:tcW w:w="6543" w:type="dxa"/>
            <w:shd w:val="clear" w:color="auto" w:fill="auto"/>
            <w:vAlign w:val="center"/>
          </w:tcPr>
          <w:p w14:paraId="62A0310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07392" behindDoc="0" locked="0" layoutInCell="1" allowOverlap="1">
                  <wp:simplePos x="0" y="0"/>
                  <wp:positionH relativeFrom="column">
                    <wp:posOffset>2735580</wp:posOffset>
                  </wp:positionH>
                  <wp:positionV relativeFrom="paragraph">
                    <wp:posOffset>280035</wp:posOffset>
                  </wp:positionV>
                  <wp:extent cx="1255395" cy="838200"/>
                  <wp:effectExtent l="0" t="0" r="0" b="0"/>
                  <wp:wrapSquare wrapText="bothSides"/>
                  <wp:docPr id="60" name="Picture 370" descr="6圆烫粉炉（普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370" descr="6圆烫粉炉（普通）"/>
                          <pic:cNvPicPr>
                            <a:picLocks noChangeAspect="1"/>
                          </pic:cNvPicPr>
                        </pic:nvPicPr>
                        <pic:blipFill>
                          <a:blip r:embed="rId71" cstate="print">
                            <a:clrChange>
                              <a:clrFrom>
                                <a:srgbClr val="FCFCFC"/>
                              </a:clrFrom>
                              <a:clrTo>
                                <a:srgbClr val="FCFCFC">
                                  <a:alpha val="0"/>
                                </a:srgbClr>
                              </a:clrTo>
                            </a:clrChange>
                          </a:blip>
                          <a:stretch>
                            <a:fillRect/>
                          </a:stretch>
                        </pic:blipFill>
                        <pic:spPr>
                          <a:xfrm>
                            <a:off x="0" y="0"/>
                            <a:ext cx="1255395" cy="83820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规格：1500*700*800㎜                                              1.面板采用1.2mm优质304#不锈钢板；</w:t>
            </w:r>
          </w:p>
          <w:p w14:paraId="72A8810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2.支架、通脚：Φ50mm×1.2mm的201不锈钢管；</w:t>
            </w:r>
          </w:p>
          <w:p w14:paraId="0704C33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3.加强筋1.0mm不锈钢板材折弯而成；</w:t>
            </w:r>
          </w:p>
          <w:p w14:paraId="40B0708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4.可调子弹脚：Φ50mm×1.2 mm锈钢子弹脚；</w:t>
            </w:r>
          </w:p>
          <w:p w14:paraId="0E4F07B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5.功率9KW+9KW。      </w:t>
            </w:r>
          </w:p>
          <w:p w14:paraId="462263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6.配防干烧装置</w:t>
            </w:r>
          </w:p>
        </w:tc>
        <w:tc>
          <w:tcPr>
            <w:tcW w:w="633" w:type="dxa"/>
            <w:shd w:val="clear" w:color="auto" w:fill="auto"/>
            <w:vAlign w:val="center"/>
          </w:tcPr>
          <w:p w14:paraId="350D638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08C83E1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3800 </w:t>
            </w:r>
          </w:p>
        </w:tc>
      </w:tr>
      <w:tr w14:paraId="0A90B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52C5CDC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（六）餐厅（汤水、开水、调料区、收碗、收渣，洗手区）</w:t>
            </w:r>
          </w:p>
        </w:tc>
      </w:tr>
      <w:tr w14:paraId="005EBE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E4EDBE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158D3A9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0E9B261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08BAC0B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0C0EF4C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545A08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C1BCB07">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47</w:t>
            </w:r>
          </w:p>
        </w:tc>
        <w:tc>
          <w:tcPr>
            <w:tcW w:w="1027" w:type="dxa"/>
            <w:shd w:val="clear" w:color="auto" w:fill="auto"/>
            <w:vAlign w:val="center"/>
          </w:tcPr>
          <w:p w14:paraId="30A8AA9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方型保温饭（汤）车</w:t>
            </w:r>
          </w:p>
        </w:tc>
        <w:tc>
          <w:tcPr>
            <w:tcW w:w="6543" w:type="dxa"/>
            <w:shd w:val="clear" w:color="auto" w:fill="auto"/>
            <w:vAlign w:val="center"/>
          </w:tcPr>
          <w:p w14:paraId="1CCFA9C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08416" behindDoc="0" locked="0" layoutInCell="1" allowOverlap="1">
                  <wp:simplePos x="0" y="0"/>
                  <wp:positionH relativeFrom="column">
                    <wp:posOffset>3002915</wp:posOffset>
                  </wp:positionH>
                  <wp:positionV relativeFrom="paragraph">
                    <wp:posOffset>70485</wp:posOffset>
                  </wp:positionV>
                  <wp:extent cx="863600" cy="991235"/>
                  <wp:effectExtent l="0" t="0" r="12700" b="18415"/>
                  <wp:wrapSquare wrapText="bothSides"/>
                  <wp:docPr id="6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
                          <pic:cNvPicPr>
                            <a:picLocks noChangeAspect="1"/>
                          </pic:cNvPicPr>
                        </pic:nvPicPr>
                        <pic:blipFill>
                          <a:blip r:embed="rId72" cstate="print">
                            <a:clrChange>
                              <a:clrFrom>
                                <a:srgbClr val="FCFCFC"/>
                              </a:clrFrom>
                              <a:clrTo>
                                <a:srgbClr val="FCFCFC">
                                  <a:alpha val="0"/>
                                </a:srgbClr>
                              </a:clrTo>
                            </a:clrChange>
                          </a:blip>
                          <a:stretch>
                            <a:fillRect/>
                          </a:stretch>
                        </pic:blipFill>
                        <pic:spPr>
                          <a:xfrm>
                            <a:off x="0" y="0"/>
                            <a:ext cx="863600" cy="99123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规格：700*700*800mm</w:t>
            </w:r>
          </w:p>
          <w:p w14:paraId="361F19A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1.采用1.0mm不锈钢板厚制作   </w:t>
            </w:r>
          </w:p>
          <w:p w14:paraId="3881CDF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2.配万向刹车轮；</w:t>
            </w:r>
          </w:p>
        </w:tc>
        <w:tc>
          <w:tcPr>
            <w:tcW w:w="633" w:type="dxa"/>
            <w:shd w:val="clear" w:color="auto" w:fill="auto"/>
            <w:vAlign w:val="center"/>
          </w:tcPr>
          <w:p w14:paraId="6A58CD2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shd w:val="clear" w:color="auto" w:fill="auto"/>
            <w:vAlign w:val="center"/>
          </w:tcPr>
          <w:p w14:paraId="1A04B2A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3000 </w:t>
            </w:r>
          </w:p>
        </w:tc>
      </w:tr>
      <w:tr w14:paraId="54F9D48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CB46899">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48</w:t>
            </w:r>
          </w:p>
        </w:tc>
        <w:tc>
          <w:tcPr>
            <w:tcW w:w="1027" w:type="dxa"/>
            <w:shd w:val="clear" w:color="auto" w:fill="auto"/>
            <w:vAlign w:val="center"/>
          </w:tcPr>
          <w:p w14:paraId="4369843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单通调料台</w:t>
            </w:r>
          </w:p>
        </w:tc>
        <w:tc>
          <w:tcPr>
            <w:tcW w:w="6543" w:type="dxa"/>
            <w:shd w:val="clear" w:color="auto" w:fill="auto"/>
            <w:vAlign w:val="center"/>
          </w:tcPr>
          <w:p w14:paraId="01F784F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09440" behindDoc="0" locked="0" layoutInCell="1" allowOverlap="1">
                  <wp:simplePos x="0" y="0"/>
                  <wp:positionH relativeFrom="column">
                    <wp:posOffset>2469515</wp:posOffset>
                  </wp:positionH>
                  <wp:positionV relativeFrom="paragraph">
                    <wp:posOffset>77470</wp:posOffset>
                  </wp:positionV>
                  <wp:extent cx="1529080" cy="1082040"/>
                  <wp:effectExtent l="0" t="0" r="13970" b="3810"/>
                  <wp:wrapSquare wrapText="bothSides"/>
                  <wp:docPr id="62" name="Picture 54" descr="带靠背单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54" descr="带靠背单通"/>
                          <pic:cNvPicPr>
                            <a:picLocks noChangeAspect="1"/>
                          </pic:cNvPicPr>
                        </pic:nvPicPr>
                        <pic:blipFill>
                          <a:blip r:embed="rId73" cstate="print">
                            <a:clrChange>
                              <a:clrFrom>
                                <a:srgbClr val="FCFCFC"/>
                              </a:clrFrom>
                              <a:clrTo>
                                <a:srgbClr val="FCFCFC">
                                  <a:alpha val="0"/>
                                </a:srgbClr>
                              </a:clrTo>
                            </a:clrChange>
                          </a:blip>
                          <a:srcRect l="11810" t="18321" r="13736" b="10788"/>
                          <a:stretch>
                            <a:fillRect/>
                          </a:stretch>
                        </pic:blipFill>
                        <pic:spPr>
                          <a:xfrm>
                            <a:off x="0" y="0"/>
                            <a:ext cx="1529080" cy="108204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规格:1800*700*950㎜                            </w:t>
            </w:r>
          </w:p>
          <w:p w14:paraId="700AEBC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1.台面采用优质304#雪花不锈钢板厚1.2mm加15mm木板夹层                                              2.侧板用1.0mm不锈钢板                                                                              3.柜内层板用0.8mm优质不锈钢板                                                                        4.趟门用1.0mm不锈钢板                                                                              5.支架柱横梁用1.0mm不锈钢板折弯；                                       6.支架管用25×13mm不锈钢方管，Ф51mm不锈钢可调脚。</w:t>
            </w:r>
          </w:p>
        </w:tc>
        <w:tc>
          <w:tcPr>
            <w:tcW w:w="633" w:type="dxa"/>
            <w:shd w:val="clear" w:color="auto" w:fill="auto"/>
            <w:vAlign w:val="center"/>
          </w:tcPr>
          <w:p w14:paraId="6EE1373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22E1FEB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4100 </w:t>
            </w:r>
          </w:p>
        </w:tc>
      </w:tr>
      <w:tr w14:paraId="028268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7FD78D8">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49</w:t>
            </w:r>
          </w:p>
        </w:tc>
        <w:tc>
          <w:tcPr>
            <w:tcW w:w="1027" w:type="dxa"/>
            <w:shd w:val="clear" w:color="auto" w:fill="auto"/>
            <w:vAlign w:val="center"/>
          </w:tcPr>
          <w:p w14:paraId="5ACAE20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收碗收残车</w:t>
            </w:r>
          </w:p>
        </w:tc>
        <w:tc>
          <w:tcPr>
            <w:tcW w:w="6543" w:type="dxa"/>
            <w:shd w:val="clear" w:color="auto" w:fill="auto"/>
            <w:vAlign w:val="center"/>
          </w:tcPr>
          <w:p w14:paraId="08071F4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10464" behindDoc="0" locked="0" layoutInCell="1" allowOverlap="1">
                  <wp:simplePos x="0" y="0"/>
                  <wp:positionH relativeFrom="column">
                    <wp:posOffset>2626360</wp:posOffset>
                  </wp:positionH>
                  <wp:positionV relativeFrom="paragraph">
                    <wp:posOffset>13970</wp:posOffset>
                  </wp:positionV>
                  <wp:extent cx="1297305" cy="964565"/>
                  <wp:effectExtent l="0" t="0" r="17145" b="6985"/>
                  <wp:wrapSquare wrapText="bothSides"/>
                  <wp:docPr id="63"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8"/>
                          <pic:cNvPicPr>
                            <a:picLocks noChangeAspect="1"/>
                          </pic:cNvPicPr>
                        </pic:nvPicPr>
                        <pic:blipFill>
                          <a:blip r:embed="rId74" cstate="print"/>
                          <a:stretch>
                            <a:fillRect/>
                          </a:stretch>
                        </pic:blipFill>
                        <pic:spPr>
                          <a:xfrm>
                            <a:off x="0" y="0"/>
                            <a:ext cx="1297305" cy="96456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规格：1450*600*850㎜</w:t>
            </w:r>
          </w:p>
          <w:p w14:paraId="629875A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1、面板采用优质1.0mm不锈钢板（304#)；</w:t>
            </w:r>
          </w:p>
          <w:p w14:paraId="3D043BA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2、支架、柱横梁用38不锈钢管；</w:t>
            </w:r>
          </w:p>
          <w:p w14:paraId="2F294D4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3、推车支架管用Φ25mm不锈钢管；</w:t>
            </w:r>
          </w:p>
          <w:p w14:paraId="5A32759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4、固定轮及万向轮。收碗及收渣可分开。</w:t>
            </w:r>
          </w:p>
        </w:tc>
        <w:tc>
          <w:tcPr>
            <w:tcW w:w="633" w:type="dxa"/>
            <w:shd w:val="clear" w:color="auto" w:fill="auto"/>
            <w:vAlign w:val="center"/>
          </w:tcPr>
          <w:p w14:paraId="1E22897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1D6E940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5000 </w:t>
            </w:r>
          </w:p>
        </w:tc>
      </w:tr>
      <w:tr w14:paraId="164429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382301C">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50</w:t>
            </w:r>
          </w:p>
        </w:tc>
        <w:tc>
          <w:tcPr>
            <w:tcW w:w="1027" w:type="dxa"/>
            <w:shd w:val="clear" w:color="auto" w:fill="auto"/>
            <w:vAlign w:val="center"/>
          </w:tcPr>
          <w:p w14:paraId="48A1621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不锈钢洗手池柜</w:t>
            </w:r>
          </w:p>
        </w:tc>
        <w:tc>
          <w:tcPr>
            <w:tcW w:w="6543" w:type="dxa"/>
            <w:shd w:val="clear" w:color="auto" w:fill="auto"/>
            <w:vAlign w:val="center"/>
          </w:tcPr>
          <w:p w14:paraId="4672A41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11488" behindDoc="0" locked="0" layoutInCell="1" allowOverlap="1">
                  <wp:simplePos x="0" y="0"/>
                  <wp:positionH relativeFrom="column">
                    <wp:posOffset>2619375</wp:posOffset>
                  </wp:positionH>
                  <wp:positionV relativeFrom="paragraph">
                    <wp:posOffset>216535</wp:posOffset>
                  </wp:positionV>
                  <wp:extent cx="1455420" cy="833120"/>
                  <wp:effectExtent l="0" t="0" r="11430" b="5080"/>
                  <wp:wrapSquare wrapText="bothSides"/>
                  <wp:docPr id="6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1"/>
                          <pic:cNvPicPr>
                            <a:picLocks noChangeAspect="1"/>
                          </pic:cNvPicPr>
                        </pic:nvPicPr>
                        <pic:blipFill>
                          <a:blip r:embed="rId75" cstate="print"/>
                          <a:stretch>
                            <a:fillRect/>
                          </a:stretch>
                        </pic:blipFill>
                        <pic:spPr>
                          <a:xfrm>
                            <a:off x="0" y="0"/>
                            <a:ext cx="1455420" cy="83312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规格：1600*510*1000㎜                                    </w:t>
            </w:r>
          </w:p>
          <w:p w14:paraId="2452479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1、面板采用1.2mm优质304#雪花不锈钢板；</w:t>
            </w:r>
          </w:p>
          <w:p w14:paraId="5446628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2、支架、通脚用38x38mm不锈钢管；</w:t>
            </w:r>
          </w:p>
          <w:p w14:paraId="3145F04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3、可调子弹脚用38x38mm不锈钢子弹脚；                                   4.拉脚用38x25mm不锈钢子弹脚；</w:t>
            </w:r>
          </w:p>
          <w:p w14:paraId="3E30BBB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5、星盆斗用1.2mm不锈钢板；</w:t>
            </w:r>
          </w:p>
          <w:p w14:paraId="0854DB6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6、每盆配不锈钢ND16mm高身摇摆式水龙头</w:t>
            </w:r>
          </w:p>
        </w:tc>
        <w:tc>
          <w:tcPr>
            <w:tcW w:w="633" w:type="dxa"/>
            <w:shd w:val="clear" w:color="auto" w:fill="auto"/>
            <w:vAlign w:val="center"/>
          </w:tcPr>
          <w:p w14:paraId="2D5AAB0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3539DBD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4800 </w:t>
            </w:r>
          </w:p>
        </w:tc>
      </w:tr>
      <w:tr w14:paraId="04DB4B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2772EE1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（七）洗消间</w:t>
            </w:r>
          </w:p>
        </w:tc>
      </w:tr>
      <w:tr w14:paraId="4B1CBA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B70C0F1">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70CA878C">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72B7F5F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701007C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0A319E9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41F09F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F819356">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51</w:t>
            </w:r>
          </w:p>
        </w:tc>
        <w:tc>
          <w:tcPr>
            <w:tcW w:w="1027" w:type="dxa"/>
            <w:shd w:val="clear" w:color="auto" w:fill="auto"/>
            <w:vAlign w:val="center"/>
          </w:tcPr>
          <w:p w14:paraId="1545A7D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收残台</w:t>
            </w:r>
          </w:p>
        </w:tc>
        <w:tc>
          <w:tcPr>
            <w:tcW w:w="6543" w:type="dxa"/>
            <w:shd w:val="clear" w:color="auto" w:fill="auto"/>
            <w:vAlign w:val="center"/>
          </w:tcPr>
          <w:p w14:paraId="2199835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12512" behindDoc="0" locked="0" layoutInCell="1" allowOverlap="1">
                  <wp:simplePos x="0" y="0"/>
                  <wp:positionH relativeFrom="column">
                    <wp:posOffset>2696210</wp:posOffset>
                  </wp:positionH>
                  <wp:positionV relativeFrom="paragraph">
                    <wp:posOffset>81915</wp:posOffset>
                  </wp:positionV>
                  <wp:extent cx="1126490" cy="857885"/>
                  <wp:effectExtent l="0" t="0" r="16510" b="18415"/>
                  <wp:wrapSquare wrapText="bothSides"/>
                  <wp:docPr id="65" name="Picture 56" descr="收渣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56" descr="收渣工作台"/>
                          <pic:cNvPicPr>
                            <a:picLocks noChangeAspect="1"/>
                          </pic:cNvPicPr>
                        </pic:nvPicPr>
                        <pic:blipFill>
                          <a:blip r:embed="rId41" cstate="print">
                            <a:clrChange>
                              <a:clrFrom>
                                <a:srgbClr val="FCFCFC"/>
                              </a:clrFrom>
                              <a:clrTo>
                                <a:srgbClr val="FCFCFC">
                                  <a:alpha val="0"/>
                                </a:srgbClr>
                              </a:clrTo>
                            </a:clrChange>
                          </a:blip>
                          <a:srcRect l="7597" t="18600" r="28038" b="14917"/>
                          <a:stretch>
                            <a:fillRect/>
                          </a:stretch>
                        </pic:blipFill>
                        <pic:spPr>
                          <a:xfrm>
                            <a:off x="0" y="0"/>
                            <a:ext cx="1126490" cy="85788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规格：900*700*950㎜                                    </w:t>
            </w:r>
          </w:p>
          <w:p w14:paraId="78596DC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1、面板采用1.2mm优质304#雪花不锈钢板；</w:t>
            </w:r>
          </w:p>
          <w:p w14:paraId="4BE3CB8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0DF9ACA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tc>
        <w:tc>
          <w:tcPr>
            <w:tcW w:w="633" w:type="dxa"/>
            <w:shd w:val="clear" w:color="auto" w:fill="auto"/>
            <w:vAlign w:val="center"/>
          </w:tcPr>
          <w:p w14:paraId="39D4E81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1FD75EE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1850 </w:t>
            </w:r>
          </w:p>
        </w:tc>
      </w:tr>
      <w:tr w14:paraId="558632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270C78B">
            <w:pPr>
              <w:keepNext w:val="0"/>
              <w:keepLines w:val="0"/>
              <w:pageBreakBefore w:val="0"/>
              <w:widowControl/>
              <w:kinsoku/>
              <w:wordWrap/>
              <w:overflowPunct/>
              <w:topLinePunct w:val="0"/>
              <w:bidi w:val="0"/>
              <w:adjustRightInd w:val="0"/>
              <w:snapToGrid w:val="0"/>
              <w:spacing w:before="181" w:beforeLines="50" w:after="181" w:afterLines="50"/>
              <w:jc w:val="center"/>
              <w:rPr>
                <w:rFonts w:hint="eastAsia"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52</w:t>
            </w:r>
          </w:p>
        </w:tc>
        <w:tc>
          <w:tcPr>
            <w:tcW w:w="1027" w:type="dxa"/>
            <w:shd w:val="clear" w:color="auto" w:fill="auto"/>
            <w:vAlign w:val="center"/>
          </w:tcPr>
          <w:p w14:paraId="21F086F2">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双层工作台</w:t>
            </w:r>
          </w:p>
        </w:tc>
        <w:tc>
          <w:tcPr>
            <w:tcW w:w="6543" w:type="dxa"/>
            <w:shd w:val="clear" w:color="auto" w:fill="auto"/>
            <w:vAlign w:val="center"/>
          </w:tcPr>
          <w:p w14:paraId="19EA2DE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规格：1300*700*950㎜                                                   </w:t>
            </w:r>
          </w:p>
          <w:p w14:paraId="55E92EE6">
            <w:pPr>
              <w:keepNext w:val="0"/>
              <w:keepLines w:val="0"/>
              <w:widowControl/>
              <w:suppressLineNumbers w:val="0"/>
              <w:jc w:val="left"/>
              <w:textAlignment w:val="center"/>
            </w:pPr>
            <w:r>
              <w:rPr>
                <w:rFonts w:hint="eastAsia" w:ascii="宋体" w:hAnsi="宋体" w:eastAsia="宋体" w:cs="宋体"/>
                <w:i w:val="0"/>
                <w:iCs w:val="0"/>
                <w:color w:val="000000"/>
                <w:kern w:val="0"/>
                <w:sz w:val="21"/>
                <w:szCs w:val="21"/>
                <w:u w:val="none"/>
                <w:lang w:val="en-US" w:eastAsia="zh-CN" w:bidi="ar"/>
              </w:rPr>
              <w:t>1.工作台面板采用1.2mm优质304#雪花不锈钢板加垫20mm大芯夹板；或起模灌浆固定紧贴面板并以0.8mm的优质不锈钢板做底板封板</w:t>
            </w:r>
            <w:r>
              <w:drawing>
                <wp:anchor distT="0" distB="0" distL="114300" distR="114300" simplePos="0" relativeHeight="251713536" behindDoc="0" locked="0" layoutInCell="1" allowOverlap="1">
                  <wp:simplePos x="0" y="0"/>
                  <wp:positionH relativeFrom="column">
                    <wp:posOffset>2790190</wp:posOffset>
                  </wp:positionH>
                  <wp:positionV relativeFrom="paragraph">
                    <wp:posOffset>19050</wp:posOffset>
                  </wp:positionV>
                  <wp:extent cx="1123950" cy="857250"/>
                  <wp:effectExtent l="0" t="0" r="0" b="0"/>
                  <wp:wrapSquare wrapText="bothSides"/>
                  <wp:docPr id="66" name="Picture 94" descr="靠背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94" descr="靠背工作台"/>
                          <pic:cNvPicPr>
                            <a:picLocks noChangeAspect="1"/>
                          </pic:cNvPicPr>
                        </pic:nvPicPr>
                        <pic:blipFill>
                          <a:blip r:embed="rId76" cstate="print">
                            <a:clrChange>
                              <a:clrFrom>
                                <a:srgbClr val="FCFCFC"/>
                              </a:clrFrom>
                              <a:clrTo>
                                <a:srgbClr val="FCFCFC">
                                  <a:alpha val="0"/>
                                </a:srgbClr>
                              </a:clrTo>
                            </a:clrChange>
                          </a:blip>
                          <a:srcRect l="17271" t="18663" r="13298" b="11060"/>
                          <a:stretch>
                            <a:fillRect/>
                          </a:stretch>
                        </pic:blipFill>
                        <pic:spPr>
                          <a:xfrm>
                            <a:off x="0" y="0"/>
                            <a:ext cx="1123950" cy="857250"/>
                          </a:xfrm>
                          <a:prstGeom prst="rect">
                            <a:avLst/>
                          </a:prstGeom>
                          <a:noFill/>
                          <a:ln w="9525">
                            <a:noFill/>
                          </a:ln>
                        </pic:spPr>
                      </pic:pic>
                    </a:graphicData>
                  </a:graphic>
                </wp:anchor>
              </w:drawing>
            </w:r>
          </w:p>
          <w:p w14:paraId="1805D98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29048CD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2C8ED3B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4.层板用1.0mm优质雪花不锈钢磨砂贴塑板；</w:t>
            </w:r>
          </w:p>
          <w:p w14:paraId="5B790C0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5.加强筋采用1.0mm优质雪花不锈钢板折弯</w:t>
            </w:r>
          </w:p>
        </w:tc>
        <w:tc>
          <w:tcPr>
            <w:tcW w:w="633" w:type="dxa"/>
            <w:shd w:val="clear" w:color="auto" w:fill="auto"/>
            <w:vAlign w:val="center"/>
          </w:tcPr>
          <w:p w14:paraId="33A63D6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16C8F16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2200 </w:t>
            </w:r>
          </w:p>
        </w:tc>
      </w:tr>
      <w:tr w14:paraId="36D633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7DDC780">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53</w:t>
            </w:r>
          </w:p>
        </w:tc>
        <w:tc>
          <w:tcPr>
            <w:tcW w:w="1027" w:type="dxa"/>
            <w:shd w:val="clear" w:color="auto" w:fill="auto"/>
            <w:vAlign w:val="center"/>
          </w:tcPr>
          <w:p w14:paraId="35D2AD3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双层工作台</w:t>
            </w:r>
          </w:p>
        </w:tc>
        <w:tc>
          <w:tcPr>
            <w:tcW w:w="6543" w:type="dxa"/>
            <w:shd w:val="clear" w:color="auto" w:fill="auto"/>
            <w:vAlign w:val="center"/>
          </w:tcPr>
          <w:p w14:paraId="04EB316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规格：700*700*800㎜                                                   </w:t>
            </w:r>
          </w:p>
          <w:p w14:paraId="7BE4C8D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1.工作台面板采用1.2mm优质304#雪花不锈钢板加垫20mm大芯夹板；或起模灌浆固定紧贴面板并以0.8mm的优质不锈钢板做底板封板</w:t>
            </w:r>
          </w:p>
          <w:p w14:paraId="245D8C2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14560" behindDoc="0" locked="0" layoutInCell="1" allowOverlap="1">
                  <wp:simplePos x="0" y="0"/>
                  <wp:positionH relativeFrom="column">
                    <wp:posOffset>3137535</wp:posOffset>
                  </wp:positionH>
                  <wp:positionV relativeFrom="paragraph">
                    <wp:posOffset>402590</wp:posOffset>
                  </wp:positionV>
                  <wp:extent cx="424815" cy="670560"/>
                  <wp:effectExtent l="0" t="0" r="13335" b="15240"/>
                  <wp:wrapSquare wrapText="bothSides"/>
                  <wp:docPr id="67" name="Picture 60" descr="双层工作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0" descr="双层工作台"/>
                          <pic:cNvPicPr>
                            <a:picLocks noChangeAspect="1"/>
                          </pic:cNvPicPr>
                        </pic:nvPicPr>
                        <pic:blipFill>
                          <a:blip r:embed="rId70" cstate="print">
                            <a:clrChange>
                              <a:clrFrom>
                                <a:srgbClr val="FCFCFC"/>
                              </a:clrFrom>
                              <a:clrTo>
                                <a:srgbClr val="FCFCFC">
                                  <a:alpha val="0"/>
                                </a:srgbClr>
                              </a:clrTo>
                            </a:clrChange>
                          </a:blip>
                          <a:srcRect l="9380" t="18919" r="23447" b="24663"/>
                          <a:stretch>
                            <a:fillRect/>
                          </a:stretch>
                        </pic:blipFill>
                        <pic:spPr>
                          <a:xfrm>
                            <a:off x="0" y="0"/>
                            <a:ext cx="424815" cy="67056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2.支架、通脚用Φ38x1.0mm不锈钢管；</w:t>
            </w:r>
          </w:p>
          <w:p w14:paraId="0D2A7D6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170BB6B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4.层板用1.0mm优质雪花不锈钢磨砂贴塑板；</w:t>
            </w:r>
          </w:p>
          <w:p w14:paraId="1398F9B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5.加强筋采用1.0mm优质雪花不锈钢板折弯</w:t>
            </w:r>
          </w:p>
        </w:tc>
        <w:tc>
          <w:tcPr>
            <w:tcW w:w="633" w:type="dxa"/>
            <w:shd w:val="clear" w:color="auto" w:fill="auto"/>
            <w:vAlign w:val="center"/>
          </w:tcPr>
          <w:p w14:paraId="3A4BF59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shd w:val="clear" w:color="auto" w:fill="auto"/>
            <w:vAlign w:val="center"/>
          </w:tcPr>
          <w:p w14:paraId="191A268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1250 </w:t>
            </w:r>
          </w:p>
        </w:tc>
      </w:tr>
      <w:tr w14:paraId="2D22BD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76F390D">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54</w:t>
            </w:r>
          </w:p>
        </w:tc>
        <w:tc>
          <w:tcPr>
            <w:tcW w:w="1027" w:type="dxa"/>
            <w:shd w:val="clear" w:color="auto" w:fill="auto"/>
            <w:vAlign w:val="center"/>
          </w:tcPr>
          <w:p w14:paraId="2D824EF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大单星洗物盆</w:t>
            </w:r>
          </w:p>
        </w:tc>
        <w:tc>
          <w:tcPr>
            <w:tcW w:w="6543" w:type="dxa"/>
            <w:shd w:val="clear" w:color="auto" w:fill="auto"/>
            <w:vAlign w:val="center"/>
          </w:tcPr>
          <w:p w14:paraId="4BFA9E1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15584" behindDoc="0" locked="0" layoutInCell="1" allowOverlap="1">
                  <wp:simplePos x="0" y="0"/>
                  <wp:positionH relativeFrom="column">
                    <wp:posOffset>2830195</wp:posOffset>
                  </wp:positionH>
                  <wp:positionV relativeFrom="paragraph">
                    <wp:posOffset>57150</wp:posOffset>
                  </wp:positionV>
                  <wp:extent cx="1123315" cy="976630"/>
                  <wp:effectExtent l="0" t="0" r="635" b="13970"/>
                  <wp:wrapSquare wrapText="bothSides"/>
                  <wp:docPr id="68" name="Picture 299" descr="大单星洗物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299" descr="大单星洗物池"/>
                          <pic:cNvPicPr>
                            <a:picLocks noChangeAspect="1"/>
                          </pic:cNvPicPr>
                        </pic:nvPicPr>
                        <pic:blipFill>
                          <a:blip r:embed="rId37" cstate="print">
                            <a:clrChange>
                              <a:clrFrom>
                                <a:srgbClr val="FCFCFC"/>
                              </a:clrFrom>
                              <a:clrTo>
                                <a:srgbClr val="FCFCFC">
                                  <a:alpha val="0"/>
                                </a:srgbClr>
                              </a:clrTo>
                            </a:clrChange>
                          </a:blip>
                          <a:srcRect l="21277" t="19650" r="22258" b="14410"/>
                          <a:stretch>
                            <a:fillRect/>
                          </a:stretch>
                        </pic:blipFill>
                        <pic:spPr>
                          <a:xfrm>
                            <a:off x="0" y="0"/>
                            <a:ext cx="1123315" cy="97663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规格：900*700*950㎜                  </w:t>
            </w:r>
          </w:p>
          <w:p w14:paraId="790CC56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1、面板采用1.2mm优质304#雪花不锈钢板；</w:t>
            </w:r>
          </w:p>
          <w:p w14:paraId="48FE663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2、支架、通脚用Φ38x1.0mm不锈钢管；</w:t>
            </w:r>
          </w:p>
          <w:p w14:paraId="5C7F701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3、可调子弹脚用Φ38mm不锈钢子弹脚；</w:t>
            </w:r>
          </w:p>
          <w:p w14:paraId="2135538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4、星盆斗用1.2mm不锈钢板；                           </w:t>
            </w:r>
          </w:p>
          <w:p w14:paraId="5D9A0A1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5、每盆配不锈钢ND16mm高身摇摆式水龙头</w:t>
            </w:r>
          </w:p>
        </w:tc>
        <w:tc>
          <w:tcPr>
            <w:tcW w:w="633" w:type="dxa"/>
            <w:shd w:val="clear" w:color="auto" w:fill="auto"/>
            <w:vAlign w:val="center"/>
          </w:tcPr>
          <w:p w14:paraId="2B4DCB1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3台</w:t>
            </w:r>
          </w:p>
        </w:tc>
        <w:tc>
          <w:tcPr>
            <w:tcW w:w="1221" w:type="dxa"/>
            <w:shd w:val="clear" w:color="auto" w:fill="auto"/>
            <w:vAlign w:val="center"/>
          </w:tcPr>
          <w:p w14:paraId="3CD2569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2500 </w:t>
            </w:r>
          </w:p>
        </w:tc>
      </w:tr>
      <w:tr w14:paraId="0AEC4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CF2DB7A">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55</w:t>
            </w:r>
          </w:p>
        </w:tc>
        <w:tc>
          <w:tcPr>
            <w:tcW w:w="1027" w:type="dxa"/>
            <w:shd w:val="clear" w:color="auto" w:fill="auto"/>
            <w:vAlign w:val="center"/>
          </w:tcPr>
          <w:p w14:paraId="00CFC4D9">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碗柜</w:t>
            </w:r>
          </w:p>
        </w:tc>
        <w:tc>
          <w:tcPr>
            <w:tcW w:w="6543" w:type="dxa"/>
            <w:shd w:val="clear" w:color="auto" w:fill="auto"/>
            <w:vAlign w:val="center"/>
          </w:tcPr>
          <w:p w14:paraId="7E87F1A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16608" behindDoc="0" locked="0" layoutInCell="1" allowOverlap="1">
                  <wp:simplePos x="0" y="0"/>
                  <wp:positionH relativeFrom="column">
                    <wp:posOffset>3073400</wp:posOffset>
                  </wp:positionH>
                  <wp:positionV relativeFrom="paragraph">
                    <wp:posOffset>82550</wp:posOffset>
                  </wp:positionV>
                  <wp:extent cx="800100" cy="1132840"/>
                  <wp:effectExtent l="0" t="0" r="0" b="10160"/>
                  <wp:wrapSquare wrapText="bothSides"/>
                  <wp:docPr id="69" name="Picture 55" descr="碗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55" descr="碗柜"/>
                          <pic:cNvPicPr>
                            <a:picLocks noChangeAspect="1"/>
                          </pic:cNvPicPr>
                        </pic:nvPicPr>
                        <pic:blipFill>
                          <a:blip r:embed="rId77" cstate="print">
                            <a:clrChange>
                              <a:clrFrom>
                                <a:srgbClr val="FCFCFC"/>
                              </a:clrFrom>
                              <a:clrTo>
                                <a:srgbClr val="FCFCFC">
                                  <a:alpha val="0"/>
                                </a:srgbClr>
                              </a:clrTo>
                            </a:clrChange>
                          </a:blip>
                          <a:srcRect l="32619" t="16458" r="30737" b="14133"/>
                          <a:stretch>
                            <a:fillRect/>
                          </a:stretch>
                        </pic:blipFill>
                        <pic:spPr>
                          <a:xfrm>
                            <a:off x="0" y="0"/>
                            <a:ext cx="800100" cy="113284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规格：1200*500*1800㎜                                   </w:t>
            </w:r>
          </w:p>
          <w:p w14:paraId="7143F51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 1.柜面采用1.2mm优质304#雪花不锈钢板                                  2.柜身用采用1.2mm优质雪花不锈钢板                                     3.柜内层板用0.8mm优质雪花不锈钢板                                      4.趟门用1.0mm优质不锈钢磨砂板                                    5.加强筋用1.0不锈钢板折弯Φ51可调子弹脚</w:t>
            </w:r>
          </w:p>
        </w:tc>
        <w:tc>
          <w:tcPr>
            <w:tcW w:w="633" w:type="dxa"/>
            <w:shd w:val="clear" w:color="auto" w:fill="auto"/>
            <w:vAlign w:val="center"/>
          </w:tcPr>
          <w:p w14:paraId="7BB9B59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1EDB326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3800 </w:t>
            </w:r>
          </w:p>
        </w:tc>
      </w:tr>
      <w:tr w14:paraId="1C0350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8AF17EC">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56</w:t>
            </w:r>
          </w:p>
        </w:tc>
        <w:tc>
          <w:tcPr>
            <w:tcW w:w="1027" w:type="dxa"/>
            <w:shd w:val="clear" w:color="auto" w:fill="auto"/>
            <w:vAlign w:val="center"/>
          </w:tcPr>
          <w:p w14:paraId="4320613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远红外线消毒柜</w:t>
            </w:r>
          </w:p>
        </w:tc>
        <w:tc>
          <w:tcPr>
            <w:tcW w:w="6543" w:type="dxa"/>
            <w:shd w:val="clear" w:color="auto" w:fill="auto"/>
            <w:vAlign w:val="center"/>
          </w:tcPr>
          <w:p w14:paraId="7E67D7D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17632" behindDoc="0" locked="0" layoutInCell="1" allowOverlap="1">
                  <wp:simplePos x="0" y="0"/>
                  <wp:positionH relativeFrom="column">
                    <wp:posOffset>2486025</wp:posOffset>
                  </wp:positionH>
                  <wp:positionV relativeFrom="paragraph">
                    <wp:posOffset>1270</wp:posOffset>
                  </wp:positionV>
                  <wp:extent cx="1496695" cy="1334135"/>
                  <wp:effectExtent l="0" t="0" r="8255" b="18415"/>
                  <wp:wrapSquare wrapText="bothSides"/>
                  <wp:docPr id="108" name="Picture 39" descr="RTP1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39" descr="RTP1380"/>
                          <pic:cNvPicPr>
                            <a:picLocks noChangeAspect="1"/>
                          </pic:cNvPicPr>
                        </pic:nvPicPr>
                        <pic:blipFill>
                          <a:blip r:embed="rId78"/>
                          <a:stretch>
                            <a:fillRect/>
                          </a:stretch>
                        </pic:blipFill>
                        <pic:spPr>
                          <a:xfrm>
                            <a:off x="0" y="0"/>
                            <a:ext cx="1496695" cy="133413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规格：1900*850*1700㎜                                        1.电压：380V 3N~                                            2.功率：10.5KW                                               3.容量：900个餐（360*270*20）   </w:t>
            </w:r>
          </w:p>
          <w:p w14:paraId="731F5B6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利用远红外线穿透能力较强的特点，在有限的容积内能使重叠的餐具均得以有效消毒，消除了臭氧、蒸汽、紫外线消毒等方式难免的消毒死角，即使对肝炎病毒、芽胞杆菌、金黄色葡萄球菌、大肠杆菌等多种较难杀灭的细菌病毒，杀灭率均能达到99.9%                                                                 5、柜内配12个不锈钢蓝，配两台不锈钢活动车</w:t>
            </w:r>
          </w:p>
          <w:p w14:paraId="3D15324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6、板材采用304#不锈钢板制造，整体聚氨酯发泡</w:t>
            </w:r>
          </w:p>
        </w:tc>
        <w:tc>
          <w:tcPr>
            <w:tcW w:w="633" w:type="dxa"/>
            <w:shd w:val="clear" w:color="auto" w:fill="auto"/>
            <w:vAlign w:val="center"/>
          </w:tcPr>
          <w:p w14:paraId="0C01A21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2台</w:t>
            </w:r>
          </w:p>
        </w:tc>
        <w:tc>
          <w:tcPr>
            <w:tcW w:w="1221" w:type="dxa"/>
            <w:shd w:val="clear" w:color="auto" w:fill="auto"/>
            <w:vAlign w:val="center"/>
          </w:tcPr>
          <w:p w14:paraId="1D499CD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28800 </w:t>
            </w:r>
          </w:p>
        </w:tc>
      </w:tr>
      <w:tr w14:paraId="73CF0E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480343F">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57</w:t>
            </w:r>
          </w:p>
        </w:tc>
        <w:tc>
          <w:tcPr>
            <w:tcW w:w="1027" w:type="dxa"/>
            <w:shd w:val="clear" w:color="auto" w:fill="auto"/>
            <w:vAlign w:val="center"/>
          </w:tcPr>
          <w:p w14:paraId="33FDFDD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三层餐车</w:t>
            </w:r>
          </w:p>
        </w:tc>
        <w:tc>
          <w:tcPr>
            <w:tcW w:w="6543" w:type="dxa"/>
            <w:shd w:val="clear" w:color="auto" w:fill="auto"/>
            <w:vAlign w:val="center"/>
          </w:tcPr>
          <w:p w14:paraId="0382F22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18656" behindDoc="0" locked="0" layoutInCell="1" allowOverlap="1">
                  <wp:simplePos x="0" y="0"/>
                  <wp:positionH relativeFrom="column">
                    <wp:posOffset>3011170</wp:posOffset>
                  </wp:positionH>
                  <wp:positionV relativeFrom="paragraph">
                    <wp:posOffset>66675</wp:posOffset>
                  </wp:positionV>
                  <wp:extent cx="847725" cy="667385"/>
                  <wp:effectExtent l="0" t="0" r="9525" b="18415"/>
                  <wp:wrapSquare wrapText="bothSides"/>
                  <wp:docPr id="70"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445"/>
                          <pic:cNvPicPr>
                            <a:picLocks noChangeAspect="1"/>
                          </pic:cNvPicPr>
                        </pic:nvPicPr>
                        <pic:blipFill>
                          <a:blip r:embed="rId79" cstate="print">
                            <a:clrChange>
                              <a:clrFrom>
                                <a:srgbClr val="FCFCFC"/>
                              </a:clrFrom>
                              <a:clrTo>
                                <a:srgbClr val="FCFCFC">
                                  <a:alpha val="0"/>
                                </a:srgbClr>
                              </a:clrTo>
                            </a:clrChange>
                          </a:blip>
                          <a:stretch>
                            <a:fillRect/>
                          </a:stretch>
                        </pic:blipFill>
                        <pic:spPr>
                          <a:xfrm>
                            <a:off x="0" y="0"/>
                            <a:ext cx="847725" cy="66738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规格：1000*600*950㎜                                            1.采用优质304#雪花不锈钢板厚1.0mm制作</w:t>
            </w:r>
          </w:p>
          <w:p w14:paraId="54115CA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2.配万向刹车轮，U型弯管手把；</w:t>
            </w:r>
          </w:p>
        </w:tc>
        <w:tc>
          <w:tcPr>
            <w:tcW w:w="633" w:type="dxa"/>
            <w:shd w:val="clear" w:color="auto" w:fill="auto"/>
            <w:vAlign w:val="center"/>
          </w:tcPr>
          <w:p w14:paraId="1C7F02C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4272887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1400 </w:t>
            </w:r>
          </w:p>
        </w:tc>
      </w:tr>
      <w:tr w14:paraId="3094FB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6E61402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（八）厨房排油烟系统</w:t>
            </w:r>
          </w:p>
        </w:tc>
      </w:tr>
      <w:tr w14:paraId="5AD7B9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410BD9F2">
            <w:pPr>
              <w:keepNext w:val="0"/>
              <w:keepLines w:val="0"/>
              <w:pageBreakBefore w:val="0"/>
              <w:widowControl/>
              <w:kinsoku/>
              <w:wordWrap/>
              <w:overflowPunct/>
              <w:topLinePunct w:val="0"/>
              <w:bidi w:val="0"/>
              <w:adjustRightInd w:val="0"/>
              <w:snapToGrid w:val="0"/>
              <w:spacing w:before="181" w:beforeLines="50" w:after="181" w:afterLines="50"/>
              <w:jc w:val="left"/>
              <w:textAlignment w:val="top"/>
              <w:rPr>
                <w:rFonts w:hint="eastAsia" w:ascii="宋体" w:hAnsi="宋体" w:eastAsia="宋体" w:cs="宋体"/>
                <w:b/>
                <w:bCs/>
                <w:color w:val="auto"/>
                <w:sz w:val="21"/>
                <w:szCs w:val="21"/>
                <w:highlight w:val="none"/>
                <w:lang w:val="zh-CN"/>
              </w:rPr>
            </w:pPr>
            <w:r>
              <w:rPr>
                <w:rFonts w:hint="eastAsia" w:ascii="宋体" w:hAnsi="宋体" w:eastAsia="宋体" w:cs="宋体"/>
                <w:b/>
                <w:bCs/>
                <w:color w:val="auto"/>
                <w:sz w:val="21"/>
                <w:szCs w:val="21"/>
                <w:highlight w:val="none"/>
                <w:lang w:val="zh-CN"/>
              </w:rPr>
              <w:t>烹饪区</w:t>
            </w:r>
          </w:p>
        </w:tc>
      </w:tr>
      <w:tr w14:paraId="6E09F4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92B881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178973D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6BD11F2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0AEB68E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2F0DB0A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58583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8325B89">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58</w:t>
            </w:r>
          </w:p>
        </w:tc>
        <w:tc>
          <w:tcPr>
            <w:tcW w:w="1027" w:type="dxa"/>
            <w:shd w:val="clear" w:color="auto" w:fill="auto"/>
            <w:vAlign w:val="center"/>
          </w:tcPr>
          <w:p w14:paraId="5BAD929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不锈油网烟罩（蒸煮区）</w:t>
            </w:r>
          </w:p>
        </w:tc>
        <w:tc>
          <w:tcPr>
            <w:tcW w:w="6543" w:type="dxa"/>
            <w:shd w:val="clear" w:color="auto" w:fill="auto"/>
            <w:vAlign w:val="center"/>
          </w:tcPr>
          <w:p w14:paraId="3A09148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19680" behindDoc="0" locked="0" layoutInCell="1" allowOverlap="1">
                  <wp:simplePos x="0" y="0"/>
                  <wp:positionH relativeFrom="column">
                    <wp:posOffset>2670810</wp:posOffset>
                  </wp:positionH>
                  <wp:positionV relativeFrom="paragraph">
                    <wp:posOffset>66675</wp:posOffset>
                  </wp:positionV>
                  <wp:extent cx="1221105" cy="521335"/>
                  <wp:effectExtent l="0" t="0" r="17145" b="12065"/>
                  <wp:wrapSquare wrapText="bothSides"/>
                  <wp:docPr id="71" name="Picture 43" descr="油网烟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43" descr="油网烟罩"/>
                          <pic:cNvPicPr>
                            <a:picLocks noChangeAspect="1"/>
                          </pic:cNvPicPr>
                        </pic:nvPicPr>
                        <pic:blipFill>
                          <a:blip r:embed="rId80" cstate="print"/>
                          <a:srcRect l="8333" t="17970" r="11534" b="36020"/>
                          <a:stretch>
                            <a:fillRect/>
                          </a:stretch>
                        </pic:blipFill>
                        <pic:spPr>
                          <a:xfrm>
                            <a:off x="0" y="0"/>
                            <a:ext cx="1221105" cy="52133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规格：L*1200*600㎜</w:t>
            </w:r>
          </w:p>
          <w:p w14:paraId="3BECA27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采用1.0mm优质304#雪花不锈钢板制作</w:t>
            </w:r>
          </w:p>
        </w:tc>
        <w:tc>
          <w:tcPr>
            <w:tcW w:w="633" w:type="dxa"/>
            <w:shd w:val="clear" w:color="auto" w:fill="auto"/>
            <w:vAlign w:val="center"/>
          </w:tcPr>
          <w:p w14:paraId="40A94A3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11米</w:t>
            </w:r>
          </w:p>
        </w:tc>
        <w:tc>
          <w:tcPr>
            <w:tcW w:w="1221" w:type="dxa"/>
            <w:shd w:val="clear" w:color="auto" w:fill="auto"/>
            <w:vAlign w:val="center"/>
          </w:tcPr>
          <w:p w14:paraId="545AB4C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1800 </w:t>
            </w:r>
          </w:p>
        </w:tc>
      </w:tr>
      <w:tr w14:paraId="5799B3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A0B1632">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59</w:t>
            </w:r>
          </w:p>
        </w:tc>
        <w:tc>
          <w:tcPr>
            <w:tcW w:w="1027" w:type="dxa"/>
            <w:shd w:val="clear" w:color="auto" w:fill="auto"/>
            <w:vAlign w:val="center"/>
          </w:tcPr>
          <w:p w14:paraId="6E2058BB">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不锈钢隔油网（蒸煮区）</w:t>
            </w:r>
          </w:p>
        </w:tc>
        <w:tc>
          <w:tcPr>
            <w:tcW w:w="6543" w:type="dxa"/>
            <w:shd w:val="clear" w:color="auto" w:fill="auto"/>
            <w:vAlign w:val="center"/>
          </w:tcPr>
          <w:p w14:paraId="04783A2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20704" behindDoc="0" locked="0" layoutInCell="1" allowOverlap="1">
                  <wp:simplePos x="0" y="0"/>
                  <wp:positionH relativeFrom="column">
                    <wp:posOffset>2752725</wp:posOffset>
                  </wp:positionH>
                  <wp:positionV relativeFrom="paragraph">
                    <wp:posOffset>85090</wp:posOffset>
                  </wp:positionV>
                  <wp:extent cx="1181100" cy="642620"/>
                  <wp:effectExtent l="0" t="0" r="0" b="5080"/>
                  <wp:wrapSquare wrapText="bothSides"/>
                  <wp:docPr id="72" name="Picture 42" descr="隔油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42" descr="隔油网"/>
                          <pic:cNvPicPr>
                            <a:picLocks noChangeAspect="1"/>
                          </pic:cNvPicPr>
                        </pic:nvPicPr>
                        <pic:blipFill>
                          <a:blip r:embed="rId81" cstate="print"/>
                          <a:srcRect l="15192" t="15158" r="24927" b="41534"/>
                          <a:stretch>
                            <a:fillRect/>
                          </a:stretch>
                        </pic:blipFill>
                        <pic:spPr>
                          <a:xfrm>
                            <a:off x="0" y="0"/>
                            <a:ext cx="1181100" cy="64262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采用1.0mm优质304#不锈钢板制作</w:t>
            </w:r>
          </w:p>
        </w:tc>
        <w:tc>
          <w:tcPr>
            <w:tcW w:w="633" w:type="dxa"/>
            <w:shd w:val="clear" w:color="auto" w:fill="auto"/>
            <w:vAlign w:val="center"/>
          </w:tcPr>
          <w:p w14:paraId="39F4129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11米</w:t>
            </w:r>
          </w:p>
        </w:tc>
        <w:tc>
          <w:tcPr>
            <w:tcW w:w="1221" w:type="dxa"/>
            <w:shd w:val="clear" w:color="auto" w:fill="auto"/>
            <w:vAlign w:val="center"/>
          </w:tcPr>
          <w:p w14:paraId="131C232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350 </w:t>
            </w:r>
          </w:p>
        </w:tc>
      </w:tr>
      <w:tr w14:paraId="2A610B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70356B9">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60</w:t>
            </w:r>
          </w:p>
        </w:tc>
        <w:tc>
          <w:tcPr>
            <w:tcW w:w="1027" w:type="dxa"/>
            <w:shd w:val="clear" w:color="auto" w:fill="auto"/>
            <w:vAlign w:val="center"/>
          </w:tcPr>
          <w:p w14:paraId="6E5F588A">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不锈钢烟罩吊杆</w:t>
            </w:r>
          </w:p>
        </w:tc>
        <w:tc>
          <w:tcPr>
            <w:tcW w:w="6543" w:type="dxa"/>
            <w:shd w:val="clear" w:color="auto" w:fill="auto"/>
            <w:vAlign w:val="center"/>
          </w:tcPr>
          <w:p w14:paraId="27934330">
            <w:pPr>
              <w:keepNext w:val="0"/>
              <w:keepLines w:val="0"/>
              <w:widowControl/>
              <w:suppressLineNumbers w:val="0"/>
              <w:jc w:val="left"/>
              <w:textAlignment w:val="center"/>
              <w:rPr>
                <w:rStyle w:val="28"/>
                <w:rFonts w:hint="eastAsia" w:ascii="宋体" w:hAnsi="宋体" w:eastAsia="宋体" w:cs="宋体"/>
                <w:sz w:val="21"/>
                <w:szCs w:val="21"/>
                <w:lang w:val="en-US" w:eastAsia="zh-CN" w:bidi="ar"/>
              </w:rPr>
            </w:pPr>
            <w:r>
              <w:drawing>
                <wp:anchor distT="0" distB="0" distL="114300" distR="114300" simplePos="0" relativeHeight="251721728" behindDoc="0" locked="0" layoutInCell="1" allowOverlap="1">
                  <wp:simplePos x="0" y="0"/>
                  <wp:positionH relativeFrom="column">
                    <wp:posOffset>3564255</wp:posOffset>
                  </wp:positionH>
                  <wp:positionV relativeFrom="paragraph">
                    <wp:posOffset>59690</wp:posOffset>
                  </wp:positionV>
                  <wp:extent cx="265430" cy="864870"/>
                  <wp:effectExtent l="0" t="0" r="1270" b="11430"/>
                  <wp:wrapSquare wrapText="bothSides"/>
                  <wp:docPr id="73"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6"/>
                          <pic:cNvPicPr>
                            <a:picLocks noChangeAspect="1"/>
                          </pic:cNvPicPr>
                        </pic:nvPicPr>
                        <pic:blipFill>
                          <a:blip r:embed="rId82" cstate="print"/>
                          <a:stretch>
                            <a:fillRect/>
                          </a:stretch>
                        </pic:blipFill>
                        <pic:spPr>
                          <a:xfrm>
                            <a:off x="0" y="0"/>
                            <a:ext cx="265430" cy="864870"/>
                          </a:xfrm>
                          <a:prstGeom prst="rect">
                            <a:avLst/>
                          </a:prstGeom>
                          <a:noFill/>
                          <a:ln w="9525">
                            <a:noFill/>
                          </a:ln>
                        </pic:spPr>
                      </pic:pic>
                    </a:graphicData>
                  </a:graphic>
                </wp:anchor>
              </w:drawing>
            </w:r>
            <w:r>
              <w:rPr>
                <w:rStyle w:val="27"/>
                <w:rFonts w:hint="eastAsia" w:ascii="宋体" w:hAnsi="宋体" w:eastAsia="宋体" w:cs="宋体"/>
                <w:sz w:val="21"/>
                <w:szCs w:val="21"/>
                <w:lang w:val="en-US" w:eastAsia="zh-CN" w:bidi="ar"/>
              </w:rPr>
              <w:t>规格：</w:t>
            </w:r>
            <w:r>
              <w:rPr>
                <w:rStyle w:val="28"/>
                <w:rFonts w:hint="eastAsia" w:ascii="宋体" w:hAnsi="宋体" w:eastAsia="宋体" w:cs="宋体"/>
                <w:sz w:val="21"/>
                <w:szCs w:val="21"/>
                <w:lang w:val="en-US" w:eastAsia="zh-CN" w:bidi="ar"/>
              </w:rPr>
              <w:t>110*60*L(mm)</w:t>
            </w:r>
          </w:p>
          <w:p w14:paraId="32AA7D2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Style w:val="27"/>
                <w:rFonts w:hint="eastAsia" w:ascii="宋体" w:hAnsi="宋体" w:eastAsia="宋体" w:cs="宋体"/>
                <w:sz w:val="21"/>
                <w:szCs w:val="21"/>
                <w:lang w:val="en-US" w:eastAsia="zh-CN" w:bidi="ar"/>
              </w:rPr>
              <w:t>板勾采用</w:t>
            </w:r>
            <w:r>
              <w:rPr>
                <w:rStyle w:val="28"/>
                <w:rFonts w:hint="eastAsia" w:ascii="宋体" w:hAnsi="宋体" w:eastAsia="宋体" w:cs="宋体"/>
                <w:sz w:val="21"/>
                <w:szCs w:val="21"/>
                <w:lang w:val="en-US" w:eastAsia="zh-CN" w:bidi="ar"/>
              </w:rPr>
              <w:t>1.2mm</w:t>
            </w:r>
            <w:r>
              <w:rPr>
                <w:rStyle w:val="27"/>
                <w:rFonts w:hint="eastAsia" w:ascii="宋体" w:hAnsi="宋体" w:eastAsia="宋体" w:cs="宋体"/>
                <w:sz w:val="21"/>
                <w:szCs w:val="21"/>
                <w:lang w:val="en-US" w:eastAsia="zh-CN" w:bidi="ar"/>
              </w:rPr>
              <w:t>优质304#雪花不锈钢板制作</w:t>
            </w:r>
            <w:r>
              <w:rPr>
                <w:rStyle w:val="28"/>
                <w:rFonts w:hint="eastAsia" w:ascii="宋体" w:hAnsi="宋体" w:eastAsia="宋体" w:cs="宋体"/>
                <w:sz w:val="21"/>
                <w:szCs w:val="21"/>
                <w:lang w:val="en-US" w:eastAsia="zh-CN" w:bidi="ar"/>
              </w:rPr>
              <w:t>,</w:t>
            </w:r>
            <w:r>
              <w:rPr>
                <w:rStyle w:val="27"/>
                <w:rFonts w:hint="eastAsia" w:ascii="宋体" w:hAnsi="宋体" w:eastAsia="宋体" w:cs="宋体"/>
                <w:sz w:val="21"/>
                <w:szCs w:val="21"/>
                <w:lang w:val="en-US" w:eastAsia="zh-CN" w:bidi="ar"/>
              </w:rPr>
              <w:t>吊杆为Φ</w:t>
            </w:r>
            <w:r>
              <w:rPr>
                <w:rStyle w:val="28"/>
                <w:rFonts w:hint="eastAsia" w:ascii="宋体" w:hAnsi="宋体" w:eastAsia="宋体" w:cs="宋体"/>
                <w:sz w:val="21"/>
                <w:szCs w:val="21"/>
                <w:lang w:val="en-US" w:eastAsia="zh-CN" w:bidi="ar"/>
              </w:rPr>
              <w:t>25×1.2mm</w:t>
            </w:r>
            <w:r>
              <w:rPr>
                <w:rStyle w:val="27"/>
                <w:rFonts w:hint="eastAsia" w:ascii="宋体" w:hAnsi="宋体" w:eastAsia="宋体" w:cs="宋体"/>
                <w:sz w:val="21"/>
                <w:szCs w:val="21"/>
                <w:lang w:val="en-US" w:eastAsia="zh-CN" w:bidi="ar"/>
              </w:rPr>
              <w:t>优质不锈钢管。顶装饰圆形盖封。</w:t>
            </w:r>
          </w:p>
        </w:tc>
        <w:tc>
          <w:tcPr>
            <w:tcW w:w="633" w:type="dxa"/>
            <w:shd w:val="clear" w:color="auto" w:fill="auto"/>
            <w:vAlign w:val="center"/>
          </w:tcPr>
          <w:p w14:paraId="11DDDD2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4套</w:t>
            </w:r>
          </w:p>
        </w:tc>
        <w:tc>
          <w:tcPr>
            <w:tcW w:w="1221" w:type="dxa"/>
            <w:shd w:val="clear" w:color="auto" w:fill="auto"/>
            <w:vAlign w:val="center"/>
          </w:tcPr>
          <w:p w14:paraId="6A1C113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90 </w:t>
            </w:r>
          </w:p>
        </w:tc>
      </w:tr>
      <w:tr w14:paraId="6AA33B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5491E1C">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61</w:t>
            </w:r>
          </w:p>
        </w:tc>
        <w:tc>
          <w:tcPr>
            <w:tcW w:w="1027" w:type="dxa"/>
            <w:shd w:val="clear" w:color="auto" w:fill="auto"/>
            <w:vAlign w:val="center"/>
          </w:tcPr>
          <w:p w14:paraId="21BBEA9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不锈钢墙幕（蒸煮区）</w:t>
            </w:r>
          </w:p>
        </w:tc>
        <w:tc>
          <w:tcPr>
            <w:tcW w:w="6543" w:type="dxa"/>
            <w:shd w:val="clear" w:color="auto" w:fill="auto"/>
            <w:vAlign w:val="center"/>
          </w:tcPr>
          <w:p w14:paraId="29BC3EA7">
            <w:pPr>
              <w:keepNext w:val="0"/>
              <w:keepLines w:val="0"/>
              <w:widowControl/>
              <w:suppressLineNumbers w:val="0"/>
              <w:jc w:val="left"/>
              <w:textAlignment w:val="center"/>
              <w:rPr>
                <w:rStyle w:val="27"/>
                <w:rFonts w:hint="eastAsia" w:ascii="宋体" w:hAnsi="宋体" w:eastAsia="宋体" w:cs="宋体"/>
                <w:sz w:val="21"/>
                <w:szCs w:val="21"/>
                <w:lang w:val="en-US" w:eastAsia="zh-CN" w:bidi="ar"/>
              </w:rPr>
            </w:pPr>
            <w:r>
              <w:drawing>
                <wp:anchor distT="0" distB="0" distL="114300" distR="114300" simplePos="0" relativeHeight="251722752" behindDoc="0" locked="0" layoutInCell="1" allowOverlap="1">
                  <wp:simplePos x="0" y="0"/>
                  <wp:positionH relativeFrom="column">
                    <wp:posOffset>2639060</wp:posOffset>
                  </wp:positionH>
                  <wp:positionV relativeFrom="paragraph">
                    <wp:posOffset>66675</wp:posOffset>
                  </wp:positionV>
                  <wp:extent cx="1315720" cy="732790"/>
                  <wp:effectExtent l="0" t="0" r="17780" b="10160"/>
                  <wp:wrapSquare wrapText="bothSides"/>
                  <wp:docPr id="74" name="Picture 45" descr="不锈钢墙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45" descr="不锈钢墙幕"/>
                          <pic:cNvPicPr>
                            <a:picLocks noChangeAspect="1"/>
                          </pic:cNvPicPr>
                        </pic:nvPicPr>
                        <pic:blipFill>
                          <a:blip r:embed="rId83" cstate="print"/>
                          <a:srcRect l="9296" t="16917" r="4225" b="12405"/>
                          <a:stretch>
                            <a:fillRect/>
                          </a:stretch>
                        </pic:blipFill>
                        <pic:spPr>
                          <a:xfrm>
                            <a:off x="0" y="0"/>
                            <a:ext cx="1315720" cy="732790"/>
                          </a:xfrm>
                          <a:prstGeom prst="rect">
                            <a:avLst/>
                          </a:prstGeom>
                          <a:noFill/>
                          <a:ln w="9525">
                            <a:noFill/>
                          </a:ln>
                        </pic:spPr>
                      </pic:pic>
                    </a:graphicData>
                  </a:graphic>
                </wp:anchor>
              </w:drawing>
            </w:r>
            <w:r>
              <w:rPr>
                <w:rStyle w:val="27"/>
                <w:rFonts w:hint="eastAsia" w:ascii="宋体" w:hAnsi="宋体" w:eastAsia="宋体" w:cs="宋体"/>
                <w:sz w:val="21"/>
                <w:szCs w:val="21"/>
                <w:lang w:val="en-US" w:eastAsia="zh-CN" w:bidi="ar"/>
              </w:rPr>
              <w:t>规格：</w:t>
            </w:r>
            <w:r>
              <w:rPr>
                <w:rStyle w:val="28"/>
                <w:rFonts w:hint="eastAsia" w:ascii="宋体" w:hAnsi="宋体" w:eastAsia="宋体" w:cs="宋体"/>
                <w:sz w:val="21"/>
                <w:szCs w:val="21"/>
                <w:lang w:val="en-US" w:eastAsia="zh-CN" w:bidi="ar"/>
              </w:rPr>
              <w:t>L*1000*20</w:t>
            </w:r>
            <w:r>
              <w:rPr>
                <w:rStyle w:val="27"/>
                <w:rFonts w:hint="eastAsia" w:ascii="宋体" w:hAnsi="宋体" w:eastAsia="宋体" w:cs="宋体"/>
                <w:sz w:val="21"/>
                <w:szCs w:val="21"/>
                <w:lang w:val="en-US" w:eastAsia="zh-CN" w:bidi="ar"/>
              </w:rPr>
              <w:t>㎜</w:t>
            </w:r>
          </w:p>
          <w:p w14:paraId="1BCBAA6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Style w:val="27"/>
                <w:rFonts w:hint="eastAsia" w:ascii="宋体" w:hAnsi="宋体" w:eastAsia="宋体" w:cs="宋体"/>
                <w:sz w:val="21"/>
                <w:szCs w:val="21"/>
                <w:lang w:val="en-US" w:eastAsia="zh-CN" w:bidi="ar"/>
              </w:rPr>
              <w:t>采用1.0mm优质304#雪花不锈钢板制作</w:t>
            </w:r>
          </w:p>
        </w:tc>
        <w:tc>
          <w:tcPr>
            <w:tcW w:w="633" w:type="dxa"/>
            <w:shd w:val="clear" w:color="auto" w:fill="auto"/>
            <w:vAlign w:val="center"/>
          </w:tcPr>
          <w:p w14:paraId="3D068D6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11米</w:t>
            </w:r>
          </w:p>
        </w:tc>
        <w:tc>
          <w:tcPr>
            <w:tcW w:w="1221" w:type="dxa"/>
            <w:shd w:val="clear" w:color="auto" w:fill="auto"/>
            <w:vAlign w:val="center"/>
          </w:tcPr>
          <w:p w14:paraId="66CBB20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500 </w:t>
            </w:r>
          </w:p>
        </w:tc>
      </w:tr>
      <w:tr w14:paraId="79AB7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061F429">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62</w:t>
            </w:r>
          </w:p>
        </w:tc>
        <w:tc>
          <w:tcPr>
            <w:tcW w:w="1027" w:type="dxa"/>
            <w:shd w:val="clear" w:color="auto" w:fill="auto"/>
            <w:vAlign w:val="center"/>
          </w:tcPr>
          <w:p w14:paraId="50AA164D">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集烟管 （蒸煮区）</w:t>
            </w:r>
          </w:p>
        </w:tc>
        <w:tc>
          <w:tcPr>
            <w:tcW w:w="6543" w:type="dxa"/>
            <w:shd w:val="clear" w:color="auto" w:fill="auto"/>
            <w:vAlign w:val="center"/>
          </w:tcPr>
          <w:p w14:paraId="1696F19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23776" behindDoc="0" locked="0" layoutInCell="1" allowOverlap="1">
                  <wp:simplePos x="0" y="0"/>
                  <wp:positionH relativeFrom="column">
                    <wp:posOffset>2614295</wp:posOffset>
                  </wp:positionH>
                  <wp:positionV relativeFrom="paragraph">
                    <wp:posOffset>109220</wp:posOffset>
                  </wp:positionV>
                  <wp:extent cx="1303020" cy="726440"/>
                  <wp:effectExtent l="0" t="0" r="11430" b="16510"/>
                  <wp:wrapSquare wrapText="bothSides"/>
                  <wp:docPr id="75" name="Picture 44" descr="集烟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44" descr="集烟管"/>
                          <pic:cNvPicPr>
                            <a:picLocks noChangeAspect="1"/>
                          </pic:cNvPicPr>
                        </pic:nvPicPr>
                        <pic:blipFill>
                          <a:blip r:embed="rId84" cstate="print"/>
                          <a:srcRect l="16875" t="29791" r="21719" b="19583"/>
                          <a:stretch>
                            <a:fillRect/>
                          </a:stretch>
                        </pic:blipFill>
                        <pic:spPr>
                          <a:xfrm>
                            <a:off x="0" y="0"/>
                            <a:ext cx="1303020" cy="72644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规格：L*500*500mm </w:t>
            </w:r>
          </w:p>
          <w:p w14:paraId="24C53D2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采用0.8mm优质雪花不锈钢板制作</w:t>
            </w:r>
          </w:p>
        </w:tc>
        <w:tc>
          <w:tcPr>
            <w:tcW w:w="633" w:type="dxa"/>
            <w:shd w:val="clear" w:color="auto" w:fill="auto"/>
            <w:vAlign w:val="center"/>
          </w:tcPr>
          <w:p w14:paraId="1590CB7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11米</w:t>
            </w:r>
          </w:p>
        </w:tc>
        <w:tc>
          <w:tcPr>
            <w:tcW w:w="1221" w:type="dxa"/>
            <w:shd w:val="clear" w:color="auto" w:fill="auto"/>
            <w:vAlign w:val="center"/>
          </w:tcPr>
          <w:p w14:paraId="697B3CF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800 </w:t>
            </w:r>
          </w:p>
        </w:tc>
      </w:tr>
      <w:tr w14:paraId="434886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33F1EF49">
            <w:pPr>
              <w:keepNext w:val="0"/>
              <w:keepLines w:val="0"/>
              <w:pageBreakBefore w:val="0"/>
              <w:widowControl/>
              <w:kinsoku/>
              <w:wordWrap/>
              <w:overflowPunct/>
              <w:topLinePunct w:val="0"/>
              <w:bidi w:val="0"/>
              <w:adjustRightInd w:val="0"/>
              <w:snapToGrid w:val="0"/>
              <w:spacing w:before="181" w:beforeLines="50" w:after="181" w:afterLines="50"/>
              <w:jc w:val="left"/>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烫粉区</w:t>
            </w:r>
          </w:p>
        </w:tc>
      </w:tr>
      <w:tr w14:paraId="408F01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4C03AFE">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55AD004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6A4361BE">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0B11171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367B000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0A5D9A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C467717">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63</w:t>
            </w:r>
          </w:p>
        </w:tc>
        <w:tc>
          <w:tcPr>
            <w:tcW w:w="1027" w:type="dxa"/>
            <w:shd w:val="clear" w:color="auto" w:fill="auto"/>
            <w:vAlign w:val="center"/>
          </w:tcPr>
          <w:p w14:paraId="59E0EE1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不锈油网烟罩（烫粉区）</w:t>
            </w:r>
          </w:p>
        </w:tc>
        <w:tc>
          <w:tcPr>
            <w:tcW w:w="6543" w:type="dxa"/>
            <w:shd w:val="clear" w:color="auto" w:fill="auto"/>
            <w:vAlign w:val="center"/>
          </w:tcPr>
          <w:p w14:paraId="5DCA6C2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24800" behindDoc="0" locked="0" layoutInCell="1" allowOverlap="1">
                  <wp:simplePos x="0" y="0"/>
                  <wp:positionH relativeFrom="column">
                    <wp:posOffset>2712720</wp:posOffset>
                  </wp:positionH>
                  <wp:positionV relativeFrom="paragraph">
                    <wp:posOffset>120015</wp:posOffset>
                  </wp:positionV>
                  <wp:extent cx="1221105" cy="521335"/>
                  <wp:effectExtent l="0" t="0" r="17145" b="12065"/>
                  <wp:wrapSquare wrapText="bothSides"/>
                  <wp:docPr id="99" name="Picture 43" descr="油网烟罩"/>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43" descr="油网烟罩"/>
                          <pic:cNvPicPr>
                            <a:picLocks noChangeAspect="1"/>
                          </pic:cNvPicPr>
                        </pic:nvPicPr>
                        <pic:blipFill>
                          <a:blip r:embed="rId80" cstate="print"/>
                          <a:srcRect l="8333" t="17970" r="11534" b="36020"/>
                          <a:stretch>
                            <a:fillRect/>
                          </a:stretch>
                        </pic:blipFill>
                        <pic:spPr>
                          <a:xfrm>
                            <a:off x="0" y="0"/>
                            <a:ext cx="1221105" cy="52133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规格：L*1000*200㎜</w:t>
            </w:r>
          </w:p>
          <w:p w14:paraId="44A41FC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采用1.0mm优质304#雪花不锈钢板制作</w:t>
            </w:r>
          </w:p>
        </w:tc>
        <w:tc>
          <w:tcPr>
            <w:tcW w:w="633" w:type="dxa"/>
            <w:shd w:val="clear" w:color="auto" w:fill="auto"/>
            <w:vAlign w:val="center"/>
          </w:tcPr>
          <w:p w14:paraId="19B9972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2米</w:t>
            </w:r>
          </w:p>
        </w:tc>
        <w:tc>
          <w:tcPr>
            <w:tcW w:w="1221" w:type="dxa"/>
            <w:shd w:val="clear" w:color="auto" w:fill="auto"/>
            <w:vAlign w:val="center"/>
          </w:tcPr>
          <w:p w14:paraId="2AA4D46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1700 </w:t>
            </w:r>
          </w:p>
        </w:tc>
      </w:tr>
      <w:tr w14:paraId="2195C7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0277DB2">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64</w:t>
            </w:r>
          </w:p>
        </w:tc>
        <w:tc>
          <w:tcPr>
            <w:tcW w:w="1027" w:type="dxa"/>
            <w:shd w:val="clear" w:color="auto" w:fill="auto"/>
            <w:vAlign w:val="center"/>
          </w:tcPr>
          <w:p w14:paraId="6D2B496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不锈钢隔油网（烫粉区）</w:t>
            </w:r>
          </w:p>
        </w:tc>
        <w:tc>
          <w:tcPr>
            <w:tcW w:w="6543" w:type="dxa"/>
            <w:shd w:val="clear" w:color="auto" w:fill="auto"/>
            <w:vAlign w:val="center"/>
          </w:tcPr>
          <w:p w14:paraId="6E1B77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25824" behindDoc="0" locked="0" layoutInCell="1" allowOverlap="1">
                  <wp:simplePos x="0" y="0"/>
                  <wp:positionH relativeFrom="column">
                    <wp:posOffset>2753360</wp:posOffset>
                  </wp:positionH>
                  <wp:positionV relativeFrom="paragraph">
                    <wp:posOffset>74930</wp:posOffset>
                  </wp:positionV>
                  <wp:extent cx="1181100" cy="642620"/>
                  <wp:effectExtent l="0" t="0" r="0" b="5080"/>
                  <wp:wrapSquare wrapText="bothSides"/>
                  <wp:docPr id="98" name="Picture 42" descr="隔油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42" descr="隔油网"/>
                          <pic:cNvPicPr>
                            <a:picLocks noChangeAspect="1"/>
                          </pic:cNvPicPr>
                        </pic:nvPicPr>
                        <pic:blipFill>
                          <a:blip r:embed="rId81" cstate="print"/>
                          <a:srcRect l="15192" t="15158" r="24927" b="41534"/>
                          <a:stretch>
                            <a:fillRect/>
                          </a:stretch>
                        </pic:blipFill>
                        <pic:spPr>
                          <a:xfrm>
                            <a:off x="0" y="0"/>
                            <a:ext cx="1181100" cy="64262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采用1.0mm优质304#不锈钢板制作</w:t>
            </w:r>
          </w:p>
        </w:tc>
        <w:tc>
          <w:tcPr>
            <w:tcW w:w="633" w:type="dxa"/>
            <w:shd w:val="clear" w:color="auto" w:fill="auto"/>
            <w:vAlign w:val="center"/>
          </w:tcPr>
          <w:p w14:paraId="7BD2232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2米</w:t>
            </w:r>
          </w:p>
        </w:tc>
        <w:tc>
          <w:tcPr>
            <w:tcW w:w="1221" w:type="dxa"/>
            <w:shd w:val="clear" w:color="auto" w:fill="auto"/>
            <w:vAlign w:val="center"/>
          </w:tcPr>
          <w:p w14:paraId="7EA669C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350 </w:t>
            </w:r>
          </w:p>
        </w:tc>
      </w:tr>
      <w:tr w14:paraId="17EB0D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6B37743">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65</w:t>
            </w:r>
          </w:p>
        </w:tc>
        <w:tc>
          <w:tcPr>
            <w:tcW w:w="1027" w:type="dxa"/>
            <w:shd w:val="clear" w:color="auto" w:fill="auto"/>
            <w:vAlign w:val="center"/>
          </w:tcPr>
          <w:p w14:paraId="3FFF1B0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不锈钢烟罩吊杆</w:t>
            </w:r>
          </w:p>
        </w:tc>
        <w:tc>
          <w:tcPr>
            <w:tcW w:w="6543" w:type="dxa"/>
            <w:shd w:val="clear" w:color="auto" w:fill="auto"/>
            <w:vAlign w:val="center"/>
          </w:tcPr>
          <w:p w14:paraId="39F474A5">
            <w:pPr>
              <w:keepNext w:val="0"/>
              <w:keepLines w:val="0"/>
              <w:widowControl/>
              <w:suppressLineNumbers w:val="0"/>
              <w:jc w:val="left"/>
              <w:textAlignment w:val="center"/>
              <w:rPr>
                <w:rStyle w:val="28"/>
                <w:rFonts w:hint="eastAsia" w:ascii="宋体" w:hAnsi="宋体" w:eastAsia="宋体" w:cs="宋体"/>
                <w:sz w:val="21"/>
                <w:szCs w:val="21"/>
                <w:lang w:val="en-US" w:eastAsia="zh-CN" w:bidi="ar"/>
              </w:rPr>
            </w:pPr>
            <w:r>
              <w:drawing>
                <wp:anchor distT="0" distB="0" distL="114300" distR="114300" simplePos="0" relativeHeight="251726848" behindDoc="0" locked="0" layoutInCell="1" allowOverlap="1">
                  <wp:simplePos x="0" y="0"/>
                  <wp:positionH relativeFrom="column">
                    <wp:posOffset>3648710</wp:posOffset>
                  </wp:positionH>
                  <wp:positionV relativeFrom="paragraph">
                    <wp:posOffset>122555</wp:posOffset>
                  </wp:positionV>
                  <wp:extent cx="265430" cy="864870"/>
                  <wp:effectExtent l="0" t="0" r="1270" b="11430"/>
                  <wp:wrapSquare wrapText="bothSides"/>
                  <wp:docPr id="101"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76"/>
                          <pic:cNvPicPr>
                            <a:picLocks noChangeAspect="1"/>
                          </pic:cNvPicPr>
                        </pic:nvPicPr>
                        <pic:blipFill>
                          <a:blip r:embed="rId82" cstate="print"/>
                          <a:stretch>
                            <a:fillRect/>
                          </a:stretch>
                        </pic:blipFill>
                        <pic:spPr>
                          <a:xfrm>
                            <a:off x="0" y="0"/>
                            <a:ext cx="265430" cy="864870"/>
                          </a:xfrm>
                          <a:prstGeom prst="rect">
                            <a:avLst/>
                          </a:prstGeom>
                          <a:noFill/>
                          <a:ln w="9525">
                            <a:noFill/>
                          </a:ln>
                        </pic:spPr>
                      </pic:pic>
                    </a:graphicData>
                  </a:graphic>
                </wp:anchor>
              </w:drawing>
            </w:r>
            <w:r>
              <w:rPr>
                <w:rStyle w:val="27"/>
                <w:rFonts w:hint="eastAsia" w:ascii="宋体" w:hAnsi="宋体" w:eastAsia="宋体" w:cs="宋体"/>
                <w:sz w:val="21"/>
                <w:szCs w:val="21"/>
                <w:lang w:val="en-US" w:eastAsia="zh-CN" w:bidi="ar"/>
              </w:rPr>
              <w:t>规格：</w:t>
            </w:r>
            <w:r>
              <w:rPr>
                <w:rStyle w:val="28"/>
                <w:rFonts w:hint="eastAsia" w:ascii="宋体" w:hAnsi="宋体" w:eastAsia="宋体" w:cs="宋体"/>
                <w:sz w:val="21"/>
                <w:szCs w:val="21"/>
                <w:lang w:val="en-US" w:eastAsia="zh-CN" w:bidi="ar"/>
              </w:rPr>
              <w:t>110*60*L(mm)</w:t>
            </w:r>
          </w:p>
          <w:p w14:paraId="151DAA7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Style w:val="27"/>
                <w:rFonts w:hint="eastAsia" w:ascii="宋体" w:hAnsi="宋体" w:eastAsia="宋体" w:cs="宋体"/>
                <w:sz w:val="21"/>
                <w:szCs w:val="21"/>
                <w:lang w:val="en-US" w:eastAsia="zh-CN" w:bidi="ar"/>
              </w:rPr>
              <w:t>板勾采用</w:t>
            </w:r>
            <w:r>
              <w:rPr>
                <w:rStyle w:val="28"/>
                <w:rFonts w:hint="eastAsia" w:ascii="宋体" w:hAnsi="宋体" w:eastAsia="宋体" w:cs="宋体"/>
                <w:sz w:val="21"/>
                <w:szCs w:val="21"/>
                <w:lang w:val="en-US" w:eastAsia="zh-CN" w:bidi="ar"/>
              </w:rPr>
              <w:t>1.2mm</w:t>
            </w:r>
            <w:r>
              <w:rPr>
                <w:rStyle w:val="27"/>
                <w:rFonts w:hint="eastAsia" w:ascii="宋体" w:hAnsi="宋体" w:eastAsia="宋体" w:cs="宋体"/>
                <w:sz w:val="21"/>
                <w:szCs w:val="21"/>
                <w:lang w:val="en-US" w:eastAsia="zh-CN" w:bidi="ar"/>
              </w:rPr>
              <w:t>优质304#雪花不锈钢板制作</w:t>
            </w:r>
            <w:r>
              <w:rPr>
                <w:rStyle w:val="28"/>
                <w:rFonts w:hint="eastAsia" w:ascii="宋体" w:hAnsi="宋体" w:eastAsia="宋体" w:cs="宋体"/>
                <w:sz w:val="21"/>
                <w:szCs w:val="21"/>
                <w:lang w:val="en-US" w:eastAsia="zh-CN" w:bidi="ar"/>
              </w:rPr>
              <w:t>,</w:t>
            </w:r>
            <w:r>
              <w:rPr>
                <w:rStyle w:val="27"/>
                <w:rFonts w:hint="eastAsia" w:ascii="宋体" w:hAnsi="宋体" w:eastAsia="宋体" w:cs="宋体"/>
                <w:sz w:val="21"/>
                <w:szCs w:val="21"/>
                <w:lang w:val="en-US" w:eastAsia="zh-CN" w:bidi="ar"/>
              </w:rPr>
              <w:t>吊杆为Φ</w:t>
            </w:r>
            <w:r>
              <w:rPr>
                <w:rStyle w:val="28"/>
                <w:rFonts w:hint="eastAsia" w:ascii="宋体" w:hAnsi="宋体" w:eastAsia="宋体" w:cs="宋体"/>
                <w:sz w:val="21"/>
                <w:szCs w:val="21"/>
                <w:lang w:val="en-US" w:eastAsia="zh-CN" w:bidi="ar"/>
              </w:rPr>
              <w:t>25×1.2mm</w:t>
            </w:r>
            <w:r>
              <w:rPr>
                <w:rStyle w:val="27"/>
                <w:rFonts w:hint="eastAsia" w:ascii="宋体" w:hAnsi="宋体" w:eastAsia="宋体" w:cs="宋体"/>
                <w:sz w:val="21"/>
                <w:szCs w:val="21"/>
                <w:lang w:val="en-US" w:eastAsia="zh-CN" w:bidi="ar"/>
              </w:rPr>
              <w:t>优质不锈钢管。顶装饰圆形盖封。</w:t>
            </w:r>
          </w:p>
        </w:tc>
        <w:tc>
          <w:tcPr>
            <w:tcW w:w="633" w:type="dxa"/>
            <w:shd w:val="clear" w:color="auto" w:fill="auto"/>
            <w:vAlign w:val="center"/>
          </w:tcPr>
          <w:p w14:paraId="17FEC44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4套</w:t>
            </w:r>
          </w:p>
        </w:tc>
        <w:tc>
          <w:tcPr>
            <w:tcW w:w="1221" w:type="dxa"/>
            <w:shd w:val="clear" w:color="auto" w:fill="auto"/>
            <w:vAlign w:val="center"/>
          </w:tcPr>
          <w:p w14:paraId="7906911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90 </w:t>
            </w:r>
          </w:p>
        </w:tc>
      </w:tr>
      <w:tr w14:paraId="4739B1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0E9EF8A">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66</w:t>
            </w:r>
          </w:p>
        </w:tc>
        <w:tc>
          <w:tcPr>
            <w:tcW w:w="1027" w:type="dxa"/>
            <w:shd w:val="clear" w:color="auto" w:fill="auto"/>
            <w:vAlign w:val="center"/>
          </w:tcPr>
          <w:p w14:paraId="56FE244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集烟管 （烫粉区）</w:t>
            </w:r>
          </w:p>
        </w:tc>
        <w:tc>
          <w:tcPr>
            <w:tcW w:w="6543" w:type="dxa"/>
            <w:shd w:val="clear" w:color="auto" w:fill="auto"/>
            <w:vAlign w:val="center"/>
          </w:tcPr>
          <w:p w14:paraId="7AED85B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27872" behindDoc="0" locked="0" layoutInCell="1" allowOverlap="1">
                  <wp:simplePos x="0" y="0"/>
                  <wp:positionH relativeFrom="column">
                    <wp:posOffset>2656205</wp:posOffset>
                  </wp:positionH>
                  <wp:positionV relativeFrom="paragraph">
                    <wp:posOffset>77470</wp:posOffset>
                  </wp:positionV>
                  <wp:extent cx="1303020" cy="726440"/>
                  <wp:effectExtent l="0" t="0" r="11430" b="16510"/>
                  <wp:wrapSquare wrapText="bothSides"/>
                  <wp:docPr id="100" name="Picture 44" descr="集烟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44" descr="集烟管"/>
                          <pic:cNvPicPr>
                            <a:picLocks noChangeAspect="1"/>
                          </pic:cNvPicPr>
                        </pic:nvPicPr>
                        <pic:blipFill>
                          <a:blip r:embed="rId84" cstate="print"/>
                          <a:srcRect l="16875" t="29791" r="21719" b="19583"/>
                          <a:stretch>
                            <a:fillRect/>
                          </a:stretch>
                        </pic:blipFill>
                        <pic:spPr>
                          <a:xfrm>
                            <a:off x="0" y="0"/>
                            <a:ext cx="1303020" cy="72644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规格：L*500*500mm </w:t>
            </w:r>
          </w:p>
          <w:p w14:paraId="259D0E6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采用0.8mm优质雪花不锈钢板制作</w:t>
            </w:r>
          </w:p>
        </w:tc>
        <w:tc>
          <w:tcPr>
            <w:tcW w:w="633" w:type="dxa"/>
            <w:shd w:val="clear" w:color="auto" w:fill="auto"/>
            <w:vAlign w:val="center"/>
          </w:tcPr>
          <w:p w14:paraId="452C3DD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2米</w:t>
            </w:r>
          </w:p>
        </w:tc>
        <w:tc>
          <w:tcPr>
            <w:tcW w:w="1221" w:type="dxa"/>
            <w:shd w:val="clear" w:color="auto" w:fill="auto"/>
            <w:vAlign w:val="center"/>
          </w:tcPr>
          <w:p w14:paraId="2931D4A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800 </w:t>
            </w:r>
          </w:p>
        </w:tc>
      </w:tr>
      <w:tr w14:paraId="26CF98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01166AFC">
            <w:pPr>
              <w:keepNext w:val="0"/>
              <w:keepLines w:val="0"/>
              <w:pageBreakBefore w:val="0"/>
              <w:widowControl/>
              <w:kinsoku/>
              <w:wordWrap/>
              <w:overflowPunct/>
              <w:topLinePunct w:val="0"/>
              <w:bidi w:val="0"/>
              <w:adjustRightInd w:val="0"/>
              <w:snapToGrid w:val="0"/>
              <w:spacing w:before="181" w:beforeLines="50" w:after="181" w:afterLines="50"/>
              <w:jc w:val="left"/>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油烟管道类</w:t>
            </w:r>
          </w:p>
        </w:tc>
      </w:tr>
      <w:tr w14:paraId="012E648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3746DF0">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12E3827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6A80B74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057004B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5787EE5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5B7FE1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4394063">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67</w:t>
            </w:r>
          </w:p>
        </w:tc>
        <w:tc>
          <w:tcPr>
            <w:tcW w:w="1027" w:type="dxa"/>
            <w:shd w:val="clear" w:color="auto" w:fill="auto"/>
            <w:vAlign w:val="center"/>
          </w:tcPr>
          <w:p w14:paraId="407B642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主烟管</w:t>
            </w:r>
          </w:p>
        </w:tc>
        <w:tc>
          <w:tcPr>
            <w:tcW w:w="6543" w:type="dxa"/>
            <w:shd w:val="clear" w:color="auto" w:fill="auto"/>
            <w:vAlign w:val="center"/>
          </w:tcPr>
          <w:p w14:paraId="2822FB1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28896" behindDoc="0" locked="0" layoutInCell="1" allowOverlap="1">
                  <wp:simplePos x="0" y="0"/>
                  <wp:positionH relativeFrom="column">
                    <wp:posOffset>2825750</wp:posOffset>
                  </wp:positionH>
                  <wp:positionV relativeFrom="paragraph">
                    <wp:posOffset>99695</wp:posOffset>
                  </wp:positionV>
                  <wp:extent cx="1065530" cy="657860"/>
                  <wp:effectExtent l="0" t="0" r="1270" b="8890"/>
                  <wp:wrapSquare wrapText="bothSides"/>
                  <wp:docPr id="76" name="Picture 25" descr="烟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25" descr="烟管"/>
                          <pic:cNvPicPr>
                            <a:picLocks noChangeAspect="1"/>
                          </pic:cNvPicPr>
                        </pic:nvPicPr>
                        <pic:blipFill>
                          <a:blip r:embed="rId85" cstate="print"/>
                          <a:srcRect l="17032" t="29791" r="21718" b="19792"/>
                          <a:stretch>
                            <a:fillRect/>
                          </a:stretch>
                        </pic:blipFill>
                        <pic:spPr>
                          <a:xfrm>
                            <a:off x="0" y="0"/>
                            <a:ext cx="1065530" cy="65786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规格：L*700*700 mm </w:t>
            </w:r>
          </w:p>
          <w:p w14:paraId="5BF214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采用0.8mm优质雪花不锈钢板制作</w:t>
            </w:r>
          </w:p>
        </w:tc>
        <w:tc>
          <w:tcPr>
            <w:tcW w:w="633" w:type="dxa"/>
            <w:shd w:val="clear" w:color="auto" w:fill="auto"/>
            <w:vAlign w:val="center"/>
          </w:tcPr>
          <w:p w14:paraId="13BB4CE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42米</w:t>
            </w:r>
          </w:p>
        </w:tc>
        <w:tc>
          <w:tcPr>
            <w:tcW w:w="1221" w:type="dxa"/>
            <w:shd w:val="clear" w:color="auto" w:fill="auto"/>
            <w:vAlign w:val="center"/>
          </w:tcPr>
          <w:p w14:paraId="5E8D954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2BD172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85F9B9C">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68</w:t>
            </w:r>
          </w:p>
        </w:tc>
        <w:tc>
          <w:tcPr>
            <w:tcW w:w="1027" w:type="dxa"/>
            <w:shd w:val="clear" w:color="auto" w:fill="auto"/>
            <w:vAlign w:val="center"/>
          </w:tcPr>
          <w:p w14:paraId="710D01D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烟管</w:t>
            </w:r>
          </w:p>
        </w:tc>
        <w:tc>
          <w:tcPr>
            <w:tcW w:w="6543" w:type="dxa"/>
            <w:shd w:val="clear" w:color="auto" w:fill="auto"/>
            <w:vAlign w:val="center"/>
          </w:tcPr>
          <w:p w14:paraId="0C2BFF1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29920" behindDoc="0" locked="0" layoutInCell="1" allowOverlap="1">
                  <wp:simplePos x="0" y="0"/>
                  <wp:positionH relativeFrom="column">
                    <wp:posOffset>2879090</wp:posOffset>
                  </wp:positionH>
                  <wp:positionV relativeFrom="paragraph">
                    <wp:posOffset>88265</wp:posOffset>
                  </wp:positionV>
                  <wp:extent cx="1049655" cy="647700"/>
                  <wp:effectExtent l="0" t="0" r="17145" b="0"/>
                  <wp:wrapSquare wrapText="bothSides"/>
                  <wp:docPr id="77" name="Picture 46" descr="烟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46" descr="烟管"/>
                          <pic:cNvPicPr>
                            <a:picLocks noChangeAspect="1"/>
                          </pic:cNvPicPr>
                        </pic:nvPicPr>
                        <pic:blipFill>
                          <a:blip r:embed="rId86" cstate="print"/>
                          <a:srcRect l="17032" t="29791" r="21718" b="19792"/>
                          <a:stretch>
                            <a:fillRect/>
                          </a:stretch>
                        </pic:blipFill>
                        <pic:spPr>
                          <a:xfrm>
                            <a:off x="0" y="0"/>
                            <a:ext cx="1049655" cy="64770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规格：L*600*600 mm </w:t>
            </w:r>
          </w:p>
          <w:p w14:paraId="730186A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采用0.8mm优质雪花不锈钢板制作</w:t>
            </w:r>
          </w:p>
        </w:tc>
        <w:tc>
          <w:tcPr>
            <w:tcW w:w="633" w:type="dxa"/>
            <w:shd w:val="clear" w:color="auto" w:fill="auto"/>
            <w:vAlign w:val="center"/>
          </w:tcPr>
          <w:p w14:paraId="25CA9C6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8米</w:t>
            </w:r>
          </w:p>
        </w:tc>
        <w:tc>
          <w:tcPr>
            <w:tcW w:w="1221" w:type="dxa"/>
            <w:shd w:val="clear" w:color="auto" w:fill="auto"/>
            <w:vAlign w:val="center"/>
          </w:tcPr>
          <w:p w14:paraId="4F1F327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900 </w:t>
            </w:r>
          </w:p>
        </w:tc>
      </w:tr>
      <w:tr w14:paraId="2C493F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242EBE7">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69</w:t>
            </w:r>
          </w:p>
        </w:tc>
        <w:tc>
          <w:tcPr>
            <w:tcW w:w="1027" w:type="dxa"/>
            <w:shd w:val="clear" w:color="auto" w:fill="auto"/>
            <w:vAlign w:val="center"/>
          </w:tcPr>
          <w:p w14:paraId="1D364B67">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烟管</w:t>
            </w:r>
          </w:p>
        </w:tc>
        <w:tc>
          <w:tcPr>
            <w:tcW w:w="6543" w:type="dxa"/>
            <w:shd w:val="clear" w:color="auto" w:fill="auto"/>
            <w:vAlign w:val="center"/>
          </w:tcPr>
          <w:p w14:paraId="113D1B5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30944" behindDoc="0" locked="0" layoutInCell="1" allowOverlap="1">
                  <wp:simplePos x="0" y="0"/>
                  <wp:positionH relativeFrom="column">
                    <wp:posOffset>2910840</wp:posOffset>
                  </wp:positionH>
                  <wp:positionV relativeFrom="paragraph">
                    <wp:posOffset>109220</wp:posOffset>
                  </wp:positionV>
                  <wp:extent cx="988695" cy="610235"/>
                  <wp:effectExtent l="0" t="0" r="1905" b="18415"/>
                  <wp:wrapSquare wrapText="bothSides"/>
                  <wp:docPr id="78" name="Picture 47" descr="烟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47" descr="烟管"/>
                          <pic:cNvPicPr>
                            <a:picLocks noChangeAspect="1"/>
                          </pic:cNvPicPr>
                        </pic:nvPicPr>
                        <pic:blipFill>
                          <a:blip r:embed="rId87" cstate="print"/>
                          <a:srcRect l="17032" t="29791" r="21718" b="19792"/>
                          <a:stretch>
                            <a:fillRect/>
                          </a:stretch>
                        </pic:blipFill>
                        <pic:spPr>
                          <a:xfrm>
                            <a:off x="0" y="0"/>
                            <a:ext cx="988695" cy="61023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规格：L*500*500 mm </w:t>
            </w:r>
          </w:p>
          <w:p w14:paraId="3F85B60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采用0.8mm优质雪花不锈钢板制作</w:t>
            </w:r>
          </w:p>
        </w:tc>
        <w:tc>
          <w:tcPr>
            <w:tcW w:w="633" w:type="dxa"/>
            <w:shd w:val="clear" w:color="auto" w:fill="auto"/>
            <w:vAlign w:val="center"/>
          </w:tcPr>
          <w:p w14:paraId="1110343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12米</w:t>
            </w:r>
          </w:p>
        </w:tc>
        <w:tc>
          <w:tcPr>
            <w:tcW w:w="1221" w:type="dxa"/>
            <w:shd w:val="clear" w:color="auto" w:fill="auto"/>
            <w:vAlign w:val="center"/>
          </w:tcPr>
          <w:p w14:paraId="7043255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800 </w:t>
            </w:r>
          </w:p>
        </w:tc>
      </w:tr>
      <w:tr w14:paraId="6C3C8D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37F74CD">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70</w:t>
            </w:r>
          </w:p>
        </w:tc>
        <w:tc>
          <w:tcPr>
            <w:tcW w:w="1027" w:type="dxa"/>
            <w:shd w:val="clear" w:color="auto" w:fill="auto"/>
            <w:vAlign w:val="center"/>
          </w:tcPr>
          <w:p w14:paraId="0F2D55D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弯头</w:t>
            </w:r>
          </w:p>
        </w:tc>
        <w:tc>
          <w:tcPr>
            <w:tcW w:w="6543" w:type="dxa"/>
            <w:shd w:val="clear" w:color="auto" w:fill="auto"/>
            <w:vAlign w:val="center"/>
          </w:tcPr>
          <w:p w14:paraId="79C9CFD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规格：现场制作采用0.8mm优质雪花不锈钢板制作</w:t>
            </w:r>
            <w:r>
              <w:drawing>
                <wp:inline distT="0" distB="0" distL="114300" distR="114300">
                  <wp:extent cx="1076960" cy="731520"/>
                  <wp:effectExtent l="0" t="0" r="8890" b="11430"/>
                  <wp:docPr id="79" name="Picture 50" descr="弯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50" descr="弯头"/>
                          <pic:cNvPicPr>
                            <a:picLocks noChangeAspect="1"/>
                          </pic:cNvPicPr>
                        </pic:nvPicPr>
                        <pic:blipFill>
                          <a:blip r:embed="rId88" cstate="print"/>
                          <a:srcRect l="24152" t="20100" r="8302" b="18593"/>
                          <a:stretch>
                            <a:fillRect/>
                          </a:stretch>
                        </pic:blipFill>
                        <pic:spPr>
                          <a:xfrm>
                            <a:off x="0" y="0"/>
                            <a:ext cx="1076960" cy="731520"/>
                          </a:xfrm>
                          <a:prstGeom prst="rect">
                            <a:avLst/>
                          </a:prstGeom>
                          <a:noFill/>
                          <a:ln w="9525">
                            <a:noFill/>
                          </a:ln>
                        </pic:spPr>
                      </pic:pic>
                    </a:graphicData>
                  </a:graphic>
                </wp:inline>
              </w:drawing>
            </w:r>
          </w:p>
        </w:tc>
        <w:tc>
          <w:tcPr>
            <w:tcW w:w="633" w:type="dxa"/>
            <w:shd w:val="clear" w:color="auto" w:fill="auto"/>
            <w:vAlign w:val="center"/>
          </w:tcPr>
          <w:p w14:paraId="184183C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6个</w:t>
            </w:r>
          </w:p>
        </w:tc>
        <w:tc>
          <w:tcPr>
            <w:tcW w:w="1221" w:type="dxa"/>
            <w:shd w:val="clear" w:color="auto" w:fill="auto"/>
            <w:vAlign w:val="center"/>
          </w:tcPr>
          <w:p w14:paraId="5C1791F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2FB743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ACBA347">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71</w:t>
            </w:r>
          </w:p>
        </w:tc>
        <w:tc>
          <w:tcPr>
            <w:tcW w:w="1027" w:type="dxa"/>
            <w:shd w:val="clear" w:color="auto" w:fill="auto"/>
            <w:vAlign w:val="center"/>
          </w:tcPr>
          <w:p w14:paraId="25D7920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三通</w:t>
            </w:r>
          </w:p>
        </w:tc>
        <w:tc>
          <w:tcPr>
            <w:tcW w:w="6543" w:type="dxa"/>
            <w:shd w:val="clear" w:color="auto" w:fill="auto"/>
            <w:vAlign w:val="center"/>
          </w:tcPr>
          <w:p w14:paraId="0B1CA2D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31968" behindDoc="0" locked="0" layoutInCell="1" allowOverlap="1">
                  <wp:simplePos x="0" y="0"/>
                  <wp:positionH relativeFrom="column">
                    <wp:posOffset>2966085</wp:posOffset>
                  </wp:positionH>
                  <wp:positionV relativeFrom="paragraph">
                    <wp:posOffset>10795</wp:posOffset>
                  </wp:positionV>
                  <wp:extent cx="1097915" cy="836930"/>
                  <wp:effectExtent l="0" t="0" r="6985" b="1270"/>
                  <wp:wrapSquare wrapText="bothSides"/>
                  <wp:docPr id="80" name="Picture 28" descr="烟管三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28" descr="烟管三通"/>
                          <pic:cNvPicPr>
                            <a:picLocks noChangeAspect="1"/>
                          </pic:cNvPicPr>
                        </pic:nvPicPr>
                        <pic:blipFill>
                          <a:blip r:embed="rId89" cstate="print"/>
                          <a:srcRect l="24219" t="23334" r="17969" b="17917"/>
                          <a:stretch>
                            <a:fillRect/>
                          </a:stretch>
                        </pic:blipFill>
                        <pic:spPr>
                          <a:xfrm>
                            <a:off x="0" y="0"/>
                            <a:ext cx="1097915" cy="83693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规格：现场制作采用0.8mm优质雪花不锈钢板制作</w:t>
            </w:r>
          </w:p>
        </w:tc>
        <w:tc>
          <w:tcPr>
            <w:tcW w:w="633" w:type="dxa"/>
            <w:shd w:val="clear" w:color="auto" w:fill="auto"/>
            <w:vAlign w:val="center"/>
          </w:tcPr>
          <w:p w14:paraId="1CD6DE0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221" w:type="dxa"/>
            <w:shd w:val="clear" w:color="auto" w:fill="auto"/>
            <w:vAlign w:val="center"/>
          </w:tcPr>
          <w:p w14:paraId="3C16BCB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7ED122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178DB91">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72</w:t>
            </w:r>
          </w:p>
        </w:tc>
        <w:tc>
          <w:tcPr>
            <w:tcW w:w="1027" w:type="dxa"/>
            <w:shd w:val="clear" w:color="auto" w:fill="auto"/>
            <w:vAlign w:val="center"/>
          </w:tcPr>
          <w:p w14:paraId="6C19B2B3">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变头</w:t>
            </w:r>
          </w:p>
        </w:tc>
        <w:tc>
          <w:tcPr>
            <w:tcW w:w="6543" w:type="dxa"/>
            <w:shd w:val="clear" w:color="auto" w:fill="auto"/>
            <w:vAlign w:val="center"/>
          </w:tcPr>
          <w:p w14:paraId="7E888F2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32992" behindDoc="0" locked="0" layoutInCell="1" allowOverlap="1">
                  <wp:simplePos x="0" y="0"/>
                  <wp:positionH relativeFrom="column">
                    <wp:posOffset>3017520</wp:posOffset>
                  </wp:positionH>
                  <wp:positionV relativeFrom="paragraph">
                    <wp:posOffset>67945</wp:posOffset>
                  </wp:positionV>
                  <wp:extent cx="914400" cy="865505"/>
                  <wp:effectExtent l="0" t="0" r="0" b="10795"/>
                  <wp:wrapSquare wrapText="bothSides"/>
                  <wp:docPr id="81" name="Picture 27" descr="烟管变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27" descr="烟管变头"/>
                          <pic:cNvPicPr>
                            <a:picLocks noChangeAspect="1"/>
                          </pic:cNvPicPr>
                        </pic:nvPicPr>
                        <pic:blipFill>
                          <a:blip r:embed="rId90" cstate="print"/>
                          <a:srcRect l="22188" t="11041" r="18124" b="13542"/>
                          <a:stretch>
                            <a:fillRect/>
                          </a:stretch>
                        </pic:blipFill>
                        <pic:spPr>
                          <a:xfrm>
                            <a:off x="0" y="0"/>
                            <a:ext cx="914400" cy="86550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规格：现场制作采用0.8mm优质雪花不锈钢板制作</w:t>
            </w:r>
          </w:p>
        </w:tc>
        <w:tc>
          <w:tcPr>
            <w:tcW w:w="633" w:type="dxa"/>
            <w:shd w:val="clear" w:color="auto" w:fill="auto"/>
            <w:vAlign w:val="center"/>
          </w:tcPr>
          <w:p w14:paraId="1313A40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5个</w:t>
            </w:r>
          </w:p>
        </w:tc>
        <w:tc>
          <w:tcPr>
            <w:tcW w:w="1221" w:type="dxa"/>
            <w:shd w:val="clear" w:color="auto" w:fill="auto"/>
            <w:vAlign w:val="center"/>
          </w:tcPr>
          <w:p w14:paraId="297FEF0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1200 </w:t>
            </w:r>
          </w:p>
        </w:tc>
      </w:tr>
      <w:tr w14:paraId="7E31F8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AF2BF89">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73</w:t>
            </w:r>
          </w:p>
        </w:tc>
        <w:tc>
          <w:tcPr>
            <w:tcW w:w="1027" w:type="dxa"/>
            <w:shd w:val="clear" w:color="auto" w:fill="auto"/>
            <w:vAlign w:val="center"/>
          </w:tcPr>
          <w:p w14:paraId="7A1B67E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排油烟防火阀</w:t>
            </w:r>
          </w:p>
        </w:tc>
        <w:tc>
          <w:tcPr>
            <w:tcW w:w="6543" w:type="dxa"/>
            <w:shd w:val="clear" w:color="auto" w:fill="auto"/>
            <w:vAlign w:val="center"/>
          </w:tcPr>
          <w:p w14:paraId="08EE5B3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34016" behindDoc="0" locked="0" layoutInCell="1" allowOverlap="1">
                  <wp:simplePos x="0" y="0"/>
                  <wp:positionH relativeFrom="column">
                    <wp:posOffset>3035300</wp:posOffset>
                  </wp:positionH>
                  <wp:positionV relativeFrom="paragraph">
                    <wp:posOffset>91440</wp:posOffset>
                  </wp:positionV>
                  <wp:extent cx="913765" cy="941070"/>
                  <wp:effectExtent l="0" t="0" r="635" b="11430"/>
                  <wp:wrapSquare wrapText="bothSides"/>
                  <wp:docPr id="8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2"/>
                          <pic:cNvPicPr>
                            <a:picLocks noChangeAspect="1"/>
                          </pic:cNvPicPr>
                        </pic:nvPicPr>
                        <pic:blipFill>
                          <a:blip r:embed="rId91" cstate="print"/>
                          <a:stretch>
                            <a:fillRect/>
                          </a:stretch>
                        </pic:blipFill>
                        <pic:spPr>
                          <a:xfrm>
                            <a:off x="0" y="0"/>
                            <a:ext cx="913765" cy="94107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规格：700*700 mm采用1.0mm优质雪花不锈钢板制作</w:t>
            </w:r>
          </w:p>
          <w:p w14:paraId="5553D5B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280度排烟防火阀。具有排烟阀的功能外还具有当排烟温度超过280℃时熔断，使阀门关闭，排烟机同时停机。</w:t>
            </w:r>
          </w:p>
        </w:tc>
        <w:tc>
          <w:tcPr>
            <w:tcW w:w="633" w:type="dxa"/>
            <w:shd w:val="clear" w:color="auto" w:fill="auto"/>
            <w:vAlign w:val="center"/>
          </w:tcPr>
          <w:p w14:paraId="6308944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221" w:type="dxa"/>
            <w:shd w:val="clear" w:color="auto" w:fill="auto"/>
            <w:vAlign w:val="center"/>
          </w:tcPr>
          <w:p w14:paraId="44A4B44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3500 </w:t>
            </w:r>
          </w:p>
        </w:tc>
      </w:tr>
      <w:tr w14:paraId="48A2F04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094BAB7">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74</w:t>
            </w:r>
          </w:p>
        </w:tc>
        <w:tc>
          <w:tcPr>
            <w:tcW w:w="1027" w:type="dxa"/>
            <w:shd w:val="clear" w:color="auto" w:fill="auto"/>
            <w:vAlign w:val="center"/>
          </w:tcPr>
          <w:p w14:paraId="4DAEF34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超静音柜式离心风柜</w:t>
            </w:r>
          </w:p>
        </w:tc>
        <w:tc>
          <w:tcPr>
            <w:tcW w:w="6543" w:type="dxa"/>
            <w:shd w:val="clear" w:color="auto" w:fill="auto"/>
            <w:vAlign w:val="center"/>
          </w:tcPr>
          <w:p w14:paraId="184E4FC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drawing>
                <wp:anchor distT="0" distB="0" distL="114300" distR="114300" simplePos="0" relativeHeight="251761664" behindDoc="0" locked="0" layoutInCell="1" allowOverlap="1">
                  <wp:simplePos x="0" y="0"/>
                  <wp:positionH relativeFrom="column">
                    <wp:posOffset>2392045</wp:posOffset>
                  </wp:positionH>
                  <wp:positionV relativeFrom="paragraph">
                    <wp:posOffset>243840</wp:posOffset>
                  </wp:positionV>
                  <wp:extent cx="1234440" cy="1261745"/>
                  <wp:effectExtent l="0" t="0" r="3810" b="14605"/>
                  <wp:wrapSquare wrapText="bothSides"/>
                  <wp:docPr id="128" name="图片 128" descr="172057982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128" descr="1720579821317"/>
                          <pic:cNvPicPr>
                            <a:picLocks noChangeAspect="1"/>
                          </pic:cNvPicPr>
                        </pic:nvPicPr>
                        <pic:blipFill>
                          <a:blip r:embed="rId92"/>
                          <a:stretch>
                            <a:fillRect/>
                          </a:stretch>
                        </pic:blipFill>
                        <pic:spPr>
                          <a:xfrm>
                            <a:off x="0" y="0"/>
                            <a:ext cx="1234440" cy="1261745"/>
                          </a:xfrm>
                          <a:prstGeom prst="rect">
                            <a:avLst/>
                          </a:prstGeom>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规格：1320*1020*1010 ㎜                 </w:t>
            </w:r>
          </w:p>
          <w:p w14:paraId="630E03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1.全压:498-584pa                </w:t>
            </w:r>
          </w:p>
          <w:p w14:paraId="6F241DD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2.静压:310-458pa               </w:t>
            </w:r>
          </w:p>
          <w:p w14:paraId="6C3FB5A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3.风量：21500-26300m3/h                 </w:t>
            </w:r>
          </w:p>
          <w:p w14:paraId="5A0DFE7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4.转速：720pa                     </w:t>
            </w:r>
          </w:p>
          <w:p w14:paraId="00C0AD6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5.出口风速:14.5-17.7M/S</w:t>
            </w:r>
          </w:p>
        </w:tc>
        <w:tc>
          <w:tcPr>
            <w:tcW w:w="633" w:type="dxa"/>
            <w:shd w:val="clear" w:color="auto" w:fill="auto"/>
            <w:vAlign w:val="center"/>
          </w:tcPr>
          <w:p w14:paraId="6E766F6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60E8868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19500 </w:t>
            </w:r>
          </w:p>
        </w:tc>
      </w:tr>
      <w:tr w14:paraId="7395498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0E48D56">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75</w:t>
            </w:r>
          </w:p>
        </w:tc>
        <w:tc>
          <w:tcPr>
            <w:tcW w:w="1027" w:type="dxa"/>
            <w:shd w:val="clear" w:color="auto" w:fill="auto"/>
            <w:vAlign w:val="center"/>
          </w:tcPr>
          <w:p w14:paraId="588AC23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超静音柜式离心风柜</w:t>
            </w:r>
          </w:p>
        </w:tc>
        <w:tc>
          <w:tcPr>
            <w:tcW w:w="6543" w:type="dxa"/>
            <w:shd w:val="clear" w:color="auto" w:fill="auto"/>
            <w:vAlign w:val="center"/>
          </w:tcPr>
          <w:p w14:paraId="6B4312E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drawing>
                <wp:anchor distT="0" distB="0" distL="114300" distR="114300" simplePos="0" relativeHeight="251762688" behindDoc="0" locked="0" layoutInCell="1" allowOverlap="1">
                  <wp:simplePos x="0" y="0"/>
                  <wp:positionH relativeFrom="column">
                    <wp:posOffset>2428240</wp:posOffset>
                  </wp:positionH>
                  <wp:positionV relativeFrom="paragraph">
                    <wp:posOffset>184150</wp:posOffset>
                  </wp:positionV>
                  <wp:extent cx="1234440" cy="1261745"/>
                  <wp:effectExtent l="0" t="0" r="3810" b="14605"/>
                  <wp:wrapSquare wrapText="bothSides"/>
                  <wp:docPr id="129" name="图片 129" descr="172057982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29" descr="1720579821317"/>
                          <pic:cNvPicPr>
                            <a:picLocks noChangeAspect="1"/>
                          </pic:cNvPicPr>
                        </pic:nvPicPr>
                        <pic:blipFill>
                          <a:blip r:embed="rId92"/>
                          <a:stretch>
                            <a:fillRect/>
                          </a:stretch>
                        </pic:blipFill>
                        <pic:spPr>
                          <a:xfrm>
                            <a:off x="0" y="0"/>
                            <a:ext cx="1234440" cy="1261745"/>
                          </a:xfrm>
                          <a:prstGeom prst="rect">
                            <a:avLst/>
                          </a:prstGeom>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规格：920*760*720㎜                 </w:t>
            </w:r>
          </w:p>
          <w:p w14:paraId="4E14A0F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1.全压:422-441pa                </w:t>
            </w:r>
          </w:p>
          <w:p w14:paraId="71113A8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2.静压:270-371pa               </w:t>
            </w:r>
          </w:p>
          <w:p w14:paraId="60030D1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3.风量：7000-10300m3/h                 </w:t>
            </w:r>
          </w:p>
          <w:p w14:paraId="561B634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4.转速：670pa                     </w:t>
            </w:r>
          </w:p>
          <w:p w14:paraId="4983E06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5.出口风速:10.8-15.9M/S  </w:t>
            </w:r>
          </w:p>
        </w:tc>
        <w:tc>
          <w:tcPr>
            <w:tcW w:w="633" w:type="dxa"/>
            <w:shd w:val="clear" w:color="auto" w:fill="auto"/>
            <w:vAlign w:val="center"/>
          </w:tcPr>
          <w:p w14:paraId="21A6B61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21CBA38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6000 </w:t>
            </w:r>
          </w:p>
        </w:tc>
      </w:tr>
      <w:tr w14:paraId="4953E8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7091D76">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76</w:t>
            </w:r>
          </w:p>
        </w:tc>
        <w:tc>
          <w:tcPr>
            <w:tcW w:w="1027" w:type="dxa"/>
            <w:shd w:val="clear" w:color="auto" w:fill="auto"/>
            <w:vAlign w:val="center"/>
          </w:tcPr>
          <w:p w14:paraId="66F9318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auto"/>
                <w:kern w:val="0"/>
                <w:sz w:val="21"/>
                <w:szCs w:val="21"/>
                <w:u w:val="none"/>
                <w:lang w:val="en-US" w:eastAsia="zh-CN" w:bidi="ar"/>
              </w:rPr>
              <w:t>低空油烟净化器</w:t>
            </w:r>
          </w:p>
        </w:tc>
        <w:tc>
          <w:tcPr>
            <w:tcW w:w="6543" w:type="dxa"/>
            <w:shd w:val="clear" w:color="auto" w:fill="auto"/>
            <w:vAlign w:val="center"/>
          </w:tcPr>
          <w:p w14:paraId="06FF278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规格：840*1560*1455mm </w:t>
            </w:r>
          </w:p>
          <w:p w14:paraId="5BD7BFD7">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1.处理风量:24000㎡                   </w:t>
            </w:r>
          </w:p>
          <w:p w14:paraId="7B3A39E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2.设备外壳全部为1.2MM以上厚度的碳钢冷板，设备外壳喷涂工艺上采用的是热固性纯聚酯粉末涂料，预处理工艺要脱脂、除锈、中和、</w:t>
            </w:r>
            <w:r>
              <w:drawing>
                <wp:anchor distT="0" distB="0" distL="114300" distR="114300" simplePos="0" relativeHeight="251735040" behindDoc="0" locked="0" layoutInCell="1" allowOverlap="1">
                  <wp:simplePos x="0" y="0"/>
                  <wp:positionH relativeFrom="column">
                    <wp:posOffset>2771140</wp:posOffset>
                  </wp:positionH>
                  <wp:positionV relativeFrom="paragraph">
                    <wp:posOffset>6095365</wp:posOffset>
                  </wp:positionV>
                  <wp:extent cx="1060450" cy="1217295"/>
                  <wp:effectExtent l="0" t="0" r="6350" b="1905"/>
                  <wp:wrapSquare wrapText="bothSides"/>
                  <wp:docPr id="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686"/>
                          <pic:cNvPicPr>
                            <a:picLocks noChangeAspect="1"/>
                          </pic:cNvPicPr>
                        </pic:nvPicPr>
                        <pic:blipFill>
                          <a:blip r:embed="rId93" cstate="print">
                            <a:clrChange>
                              <a:clrFrom>
                                <a:srgbClr val="FCFCFC"/>
                              </a:clrFrom>
                              <a:clrTo>
                                <a:srgbClr val="FCFCFC">
                                  <a:alpha val="0"/>
                                </a:srgbClr>
                              </a:clrTo>
                            </a:clrChange>
                          </a:blip>
                          <a:stretch>
                            <a:fillRect/>
                          </a:stretch>
                        </pic:blipFill>
                        <pic:spPr>
                          <a:xfrm>
                            <a:off x="0" y="0"/>
                            <a:ext cx="1060450" cy="121729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表调、磷化和烘干等工艺。</w:t>
            </w:r>
          </w:p>
          <w:p w14:paraId="36796CE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3、电源核心技术采用微电脑芯片智能调节控制对反馈及调整数据进行全方位智能管理，数字显示各项运行指标，包括：输出功率、输出电流、输出电压，同时配备LED显示，做到更细致更直观反映设备的运行状态及保养清洗信息；具有强大的保护功能：高压输出空载、地线开路、过压过流、闪络以及短路均可及时保护。</w:t>
            </w:r>
          </w:p>
          <w:p w14:paraId="514EEF61">
            <w:pPr>
              <w:keepNext w:val="0"/>
              <w:keepLines w:val="0"/>
              <w:widowControl/>
              <w:suppressLineNumbers w:val="0"/>
              <w:jc w:val="left"/>
              <w:textAlignment w:val="center"/>
              <w:rPr>
                <w:rFonts w:hint="eastAsia" w:ascii="宋体" w:hAnsi="宋体" w:eastAsia="宋体" w:cs="宋体"/>
                <w:b/>
                <w:bCs/>
                <w:i w:val="0"/>
                <w:iCs w:val="0"/>
                <w:color w:val="000000"/>
                <w:kern w:val="0"/>
                <w:sz w:val="21"/>
                <w:szCs w:val="21"/>
                <w:highlight w:val="none"/>
                <w:u w:val="none"/>
                <w:lang w:val="en-US" w:eastAsia="zh-CN" w:bidi="ar"/>
              </w:rPr>
            </w:pPr>
            <w:r>
              <w:rPr>
                <w:rFonts w:hint="eastAsia" w:ascii="宋体" w:hAnsi="宋体" w:eastAsia="宋体" w:cs="宋体"/>
                <w:i w:val="0"/>
                <w:iCs w:val="0"/>
                <w:color w:val="000000"/>
                <w:kern w:val="0"/>
                <w:sz w:val="21"/>
                <w:szCs w:val="21"/>
                <w:highlight w:val="none"/>
                <w:u w:val="none"/>
                <w:lang w:val="en-US" w:eastAsia="zh-CN" w:bidi="ar"/>
              </w:rPr>
              <w:t>★4、投标人所投油烟净化器符合《饮食业油烟排放标准》额定额定风量、80%风量、120%风量下净化效率都大于97%及油烟净化器智能数显高压电源符合 JCC/ I201011.1-2017要求且绝缘电阻≥ 200兆欧及符合过压过流、负载短路、负载开路、负载闪络、打火保护功能及放电极油垢清洗提示功能。</w:t>
            </w:r>
          </w:p>
          <w:p w14:paraId="50BB453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投标人所投油烟净化器（开关）符合GB/T4207-2012《固体绝缘材料耐电痕化指数和相比电痕化指数的测定方法》，且耐漏电起痕试验中，在≥170V电压下经受溶液滴漏不发生破坏，过流装置不动作，不发生持续燃烧。</w:t>
            </w:r>
          </w:p>
          <w:p w14:paraId="45A8779B">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★6、投标人所投油烟净化设备核心元器件电源依据GB/T2423.22-2012《电工电子产品环境试验 第2部分：试验方法 温度变化试验》和《企业技术要求》进行温度冲击试验；依据GB/T2423.10-2019《电工电子产品环境试验 第2部分：试验方法 试验：振动》进行正弦振动试验。将受试样品以不工作的状态放入-40℃温度箱保持1h后，3min内将样品转至100℃温度箱，保持1h，以上步骤为1个循环，共1个循环（2h），恢复后，在常温下样品通电后工作应正常。并且样品在三个相互垂直的振动方向，78min/轴向振动时间后样品结构无损伤，工作正常。</w:t>
            </w:r>
          </w:p>
          <w:p w14:paraId="20E1A8A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★7、投标人所投油烟净化设备核心元器件不锈钢电极机芯依据GB/T2423.17-2008《电工电子产品环境试验 第2部分：试验方法 试验 Ka：盐雾》对不锈钢电极机芯（电极和电极支承）进行盐雾试验。测试项目“盐雾腐蚀试验”；试验条件：35±1℃连续喷雾100小时，样品（电极与电极支承）未见腐蚀。</w:t>
            </w:r>
          </w:p>
          <w:p w14:paraId="653C3B1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★8.双区静电排放油烟净化器依据GB/T 20626.1-2017《特殊环境条件 高原电工电子产品 第1部分∶通用技术要求》、GB/T2423.21-2008《电工电子产品环境试验 第2部分∶试验方法 试验M：低气压》检验标准，所检项目：高原环境运行试验，按要求严酷等级≥2000m；试验气压≤79.5kPa：空气温度最高35℃；试验持续时间≥ 2h。技术要求：试验期间，试品应可靠工作，试验后，试品外观应完好，检测结果单项结论：符合。</w:t>
            </w:r>
          </w:p>
        </w:tc>
        <w:tc>
          <w:tcPr>
            <w:tcW w:w="633" w:type="dxa"/>
            <w:shd w:val="clear" w:color="auto" w:fill="auto"/>
            <w:vAlign w:val="center"/>
          </w:tcPr>
          <w:p w14:paraId="6AC52E5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5CD1665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24000 </w:t>
            </w:r>
          </w:p>
        </w:tc>
      </w:tr>
      <w:tr w14:paraId="6334E9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6B9544F">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77</w:t>
            </w:r>
          </w:p>
        </w:tc>
        <w:tc>
          <w:tcPr>
            <w:tcW w:w="1027" w:type="dxa"/>
            <w:shd w:val="clear" w:color="auto" w:fill="auto"/>
            <w:vAlign w:val="center"/>
          </w:tcPr>
          <w:p w14:paraId="33498A4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风柜架</w:t>
            </w:r>
          </w:p>
        </w:tc>
        <w:tc>
          <w:tcPr>
            <w:tcW w:w="6543" w:type="dxa"/>
            <w:shd w:val="clear" w:color="auto" w:fill="auto"/>
            <w:vAlign w:val="center"/>
          </w:tcPr>
          <w:p w14:paraId="4002CAE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采用角钢，槽钢，现场制作</w:t>
            </w:r>
          </w:p>
        </w:tc>
        <w:tc>
          <w:tcPr>
            <w:tcW w:w="633" w:type="dxa"/>
            <w:shd w:val="clear" w:color="auto" w:fill="auto"/>
            <w:vAlign w:val="center"/>
          </w:tcPr>
          <w:p w14:paraId="3ED44E6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2个</w:t>
            </w:r>
          </w:p>
        </w:tc>
        <w:tc>
          <w:tcPr>
            <w:tcW w:w="1221" w:type="dxa"/>
            <w:shd w:val="clear" w:color="auto" w:fill="auto"/>
            <w:vAlign w:val="center"/>
          </w:tcPr>
          <w:p w14:paraId="62FA7E8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2852B4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3A2301F">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78</w:t>
            </w:r>
          </w:p>
        </w:tc>
        <w:tc>
          <w:tcPr>
            <w:tcW w:w="1027" w:type="dxa"/>
            <w:shd w:val="clear" w:color="auto" w:fill="auto"/>
            <w:vAlign w:val="center"/>
          </w:tcPr>
          <w:p w14:paraId="4AF7749E">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静电器架</w:t>
            </w:r>
          </w:p>
        </w:tc>
        <w:tc>
          <w:tcPr>
            <w:tcW w:w="6543" w:type="dxa"/>
            <w:shd w:val="clear" w:color="auto" w:fill="auto"/>
            <w:vAlign w:val="center"/>
          </w:tcPr>
          <w:p w14:paraId="3D2DBD3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采用角钢，槽钢，现场制作</w:t>
            </w:r>
          </w:p>
        </w:tc>
        <w:tc>
          <w:tcPr>
            <w:tcW w:w="633" w:type="dxa"/>
            <w:shd w:val="clear" w:color="auto" w:fill="auto"/>
            <w:vAlign w:val="center"/>
          </w:tcPr>
          <w:p w14:paraId="4E53160F">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221" w:type="dxa"/>
            <w:shd w:val="clear" w:color="auto" w:fill="auto"/>
            <w:vAlign w:val="center"/>
          </w:tcPr>
          <w:p w14:paraId="41D2650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24F42F6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D4D08D8">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79</w:t>
            </w:r>
          </w:p>
        </w:tc>
        <w:tc>
          <w:tcPr>
            <w:tcW w:w="1027" w:type="dxa"/>
            <w:shd w:val="clear" w:color="auto" w:fill="auto"/>
            <w:vAlign w:val="center"/>
          </w:tcPr>
          <w:p w14:paraId="5BCEA53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避震胶</w:t>
            </w:r>
          </w:p>
        </w:tc>
        <w:tc>
          <w:tcPr>
            <w:tcW w:w="6543" w:type="dxa"/>
            <w:shd w:val="clear" w:color="auto" w:fill="auto"/>
            <w:vAlign w:val="center"/>
          </w:tcPr>
          <w:p w14:paraId="764CF9B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36064" behindDoc="0" locked="0" layoutInCell="1" allowOverlap="1">
                  <wp:simplePos x="0" y="0"/>
                  <wp:positionH relativeFrom="column">
                    <wp:posOffset>1337945</wp:posOffset>
                  </wp:positionH>
                  <wp:positionV relativeFrom="paragraph">
                    <wp:posOffset>61595</wp:posOffset>
                  </wp:positionV>
                  <wp:extent cx="561975" cy="523240"/>
                  <wp:effectExtent l="0" t="0" r="9525" b="10160"/>
                  <wp:wrapSquare wrapText="bothSides"/>
                  <wp:docPr id="82" name="Picture 66" descr="避震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66" descr="避震胶"/>
                          <pic:cNvPicPr>
                            <a:picLocks noChangeAspect="1"/>
                          </pic:cNvPicPr>
                        </pic:nvPicPr>
                        <pic:blipFill>
                          <a:blip r:embed="rId94"/>
                          <a:srcRect l="30147" t="20879" r="36765" b="32967"/>
                          <a:stretch>
                            <a:fillRect/>
                          </a:stretch>
                        </pic:blipFill>
                        <pic:spPr>
                          <a:xfrm>
                            <a:off x="0" y="0"/>
                            <a:ext cx="561975" cy="52324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现场制作</w:t>
            </w:r>
          </w:p>
        </w:tc>
        <w:tc>
          <w:tcPr>
            <w:tcW w:w="633" w:type="dxa"/>
            <w:shd w:val="clear" w:color="auto" w:fill="auto"/>
            <w:vAlign w:val="center"/>
          </w:tcPr>
          <w:p w14:paraId="4502A63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2套</w:t>
            </w:r>
          </w:p>
        </w:tc>
        <w:tc>
          <w:tcPr>
            <w:tcW w:w="1221" w:type="dxa"/>
            <w:shd w:val="clear" w:color="auto" w:fill="auto"/>
            <w:vAlign w:val="center"/>
          </w:tcPr>
          <w:p w14:paraId="71625171">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300 </w:t>
            </w:r>
          </w:p>
        </w:tc>
      </w:tr>
      <w:tr w14:paraId="046346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E613BF1">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80</w:t>
            </w:r>
          </w:p>
        </w:tc>
        <w:tc>
          <w:tcPr>
            <w:tcW w:w="1027" w:type="dxa"/>
            <w:shd w:val="clear" w:color="auto" w:fill="auto"/>
            <w:vAlign w:val="center"/>
          </w:tcPr>
          <w:p w14:paraId="731625F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风柜保护器</w:t>
            </w:r>
          </w:p>
        </w:tc>
        <w:tc>
          <w:tcPr>
            <w:tcW w:w="6543" w:type="dxa"/>
            <w:shd w:val="clear" w:color="auto" w:fill="auto"/>
            <w:vAlign w:val="center"/>
          </w:tcPr>
          <w:p w14:paraId="0470C47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37088" behindDoc="0" locked="0" layoutInCell="1" allowOverlap="1">
                  <wp:simplePos x="0" y="0"/>
                  <wp:positionH relativeFrom="column">
                    <wp:posOffset>3276600</wp:posOffset>
                  </wp:positionH>
                  <wp:positionV relativeFrom="paragraph">
                    <wp:posOffset>-16510</wp:posOffset>
                  </wp:positionV>
                  <wp:extent cx="541020" cy="789940"/>
                  <wp:effectExtent l="0" t="0" r="11430" b="10160"/>
                  <wp:wrapSquare wrapText="bothSides"/>
                  <wp:docPr id="83" name="Picture 29" descr="电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29" descr="电箱"/>
                          <pic:cNvPicPr>
                            <a:picLocks noChangeAspect="1"/>
                          </pic:cNvPicPr>
                        </pic:nvPicPr>
                        <pic:blipFill>
                          <a:blip r:embed="rId95" cstate="print"/>
                          <a:srcRect l="35750" t="15482" r="35245" b="12436"/>
                          <a:stretch>
                            <a:fillRect/>
                          </a:stretch>
                        </pic:blipFill>
                        <pic:spPr>
                          <a:xfrm>
                            <a:off x="0" y="0"/>
                            <a:ext cx="541020" cy="78994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三相九线制，降压启动。有效保护电机及线路。</w:t>
            </w:r>
          </w:p>
        </w:tc>
        <w:tc>
          <w:tcPr>
            <w:tcW w:w="633" w:type="dxa"/>
            <w:shd w:val="clear" w:color="auto" w:fill="auto"/>
            <w:vAlign w:val="center"/>
          </w:tcPr>
          <w:p w14:paraId="0D904E3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2套</w:t>
            </w:r>
          </w:p>
        </w:tc>
        <w:tc>
          <w:tcPr>
            <w:tcW w:w="1221" w:type="dxa"/>
            <w:shd w:val="clear" w:color="auto" w:fill="auto"/>
            <w:vAlign w:val="center"/>
          </w:tcPr>
          <w:p w14:paraId="0DF9F11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1500 </w:t>
            </w:r>
          </w:p>
        </w:tc>
      </w:tr>
      <w:tr w14:paraId="7413D8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5ADC175">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81</w:t>
            </w:r>
          </w:p>
        </w:tc>
        <w:tc>
          <w:tcPr>
            <w:tcW w:w="1027" w:type="dxa"/>
            <w:shd w:val="clear" w:color="auto" w:fill="auto"/>
            <w:vAlign w:val="center"/>
          </w:tcPr>
          <w:p w14:paraId="192A635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法兰</w:t>
            </w:r>
          </w:p>
        </w:tc>
        <w:tc>
          <w:tcPr>
            <w:tcW w:w="6543" w:type="dxa"/>
            <w:shd w:val="clear" w:color="auto" w:fill="auto"/>
            <w:vAlign w:val="center"/>
          </w:tcPr>
          <w:p w14:paraId="58FDFFB2">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38112" behindDoc="0" locked="0" layoutInCell="1" allowOverlap="1">
                  <wp:simplePos x="0" y="0"/>
                  <wp:positionH relativeFrom="column">
                    <wp:posOffset>1989455</wp:posOffset>
                  </wp:positionH>
                  <wp:positionV relativeFrom="paragraph">
                    <wp:posOffset>130175</wp:posOffset>
                  </wp:positionV>
                  <wp:extent cx="733425" cy="792480"/>
                  <wp:effectExtent l="0" t="0" r="9525" b="7620"/>
                  <wp:wrapSquare wrapText="bothSides"/>
                  <wp:docPr id="87" name="Picture 30" descr="法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30" descr="法兰"/>
                          <pic:cNvPicPr>
                            <a:picLocks noChangeAspect="1"/>
                          </pic:cNvPicPr>
                        </pic:nvPicPr>
                        <pic:blipFill>
                          <a:blip r:embed="rId96" cstate="print"/>
                          <a:srcRect l="26489" t="16986" r="34702" b="17261"/>
                          <a:stretch>
                            <a:fillRect/>
                          </a:stretch>
                        </pic:blipFill>
                        <pic:spPr>
                          <a:xfrm>
                            <a:off x="0" y="0"/>
                            <a:ext cx="733425" cy="79248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规格：现场定               </w:t>
            </w:r>
          </w:p>
          <w:p w14:paraId="0B79A88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性能参数；</w:t>
            </w:r>
          </w:p>
          <w:p w14:paraId="04AA067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40×40×3.5㎜角钢等。</w:t>
            </w:r>
          </w:p>
        </w:tc>
        <w:tc>
          <w:tcPr>
            <w:tcW w:w="633" w:type="dxa"/>
            <w:shd w:val="clear" w:color="auto" w:fill="auto"/>
            <w:vAlign w:val="center"/>
          </w:tcPr>
          <w:p w14:paraId="77D215D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46套</w:t>
            </w:r>
          </w:p>
        </w:tc>
        <w:tc>
          <w:tcPr>
            <w:tcW w:w="1221" w:type="dxa"/>
            <w:shd w:val="clear" w:color="auto" w:fill="auto"/>
            <w:vAlign w:val="center"/>
          </w:tcPr>
          <w:p w14:paraId="6A9817F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200 </w:t>
            </w:r>
          </w:p>
        </w:tc>
      </w:tr>
      <w:tr w14:paraId="66670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EB7333A">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82</w:t>
            </w:r>
          </w:p>
        </w:tc>
        <w:tc>
          <w:tcPr>
            <w:tcW w:w="1027" w:type="dxa"/>
            <w:shd w:val="clear" w:color="auto" w:fill="auto"/>
            <w:vAlign w:val="center"/>
          </w:tcPr>
          <w:p w14:paraId="0400F512">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防震软接</w:t>
            </w:r>
          </w:p>
        </w:tc>
        <w:tc>
          <w:tcPr>
            <w:tcW w:w="6543" w:type="dxa"/>
            <w:shd w:val="clear" w:color="auto" w:fill="auto"/>
            <w:vAlign w:val="top"/>
          </w:tcPr>
          <w:p w14:paraId="070966AF">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39136" behindDoc="0" locked="0" layoutInCell="1" allowOverlap="1">
                  <wp:simplePos x="0" y="0"/>
                  <wp:positionH relativeFrom="column">
                    <wp:posOffset>2362200</wp:posOffset>
                  </wp:positionH>
                  <wp:positionV relativeFrom="paragraph">
                    <wp:posOffset>19685</wp:posOffset>
                  </wp:positionV>
                  <wp:extent cx="842010" cy="850900"/>
                  <wp:effectExtent l="0" t="0" r="15240" b="6350"/>
                  <wp:wrapSquare wrapText="bothSides"/>
                  <wp:docPr id="88" name="Picture 65" descr="防震软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65" descr="防震软接"/>
                          <pic:cNvPicPr>
                            <a:picLocks noChangeAspect="1"/>
                          </pic:cNvPicPr>
                        </pic:nvPicPr>
                        <pic:blipFill>
                          <a:blip r:embed="rId97"/>
                          <a:srcRect l="12155" t="5882" r="19337" b="2206"/>
                          <a:stretch>
                            <a:fillRect/>
                          </a:stretch>
                        </pic:blipFill>
                        <pic:spPr>
                          <a:xfrm>
                            <a:off x="0" y="0"/>
                            <a:ext cx="842010" cy="85090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高强度防火纤维、现场制作</w:t>
            </w:r>
          </w:p>
        </w:tc>
        <w:tc>
          <w:tcPr>
            <w:tcW w:w="633" w:type="dxa"/>
            <w:shd w:val="clear" w:color="auto" w:fill="auto"/>
            <w:vAlign w:val="center"/>
          </w:tcPr>
          <w:p w14:paraId="78A3598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1项</w:t>
            </w:r>
          </w:p>
        </w:tc>
        <w:tc>
          <w:tcPr>
            <w:tcW w:w="1221" w:type="dxa"/>
            <w:shd w:val="clear" w:color="auto" w:fill="auto"/>
            <w:vAlign w:val="center"/>
          </w:tcPr>
          <w:p w14:paraId="74DAA8B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500 </w:t>
            </w:r>
          </w:p>
        </w:tc>
      </w:tr>
      <w:tr w14:paraId="27DF97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4C07272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（九）厨房送新风系统</w:t>
            </w:r>
          </w:p>
        </w:tc>
      </w:tr>
      <w:tr w14:paraId="602D61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24BEDE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2C9D6D6F">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260ECECC">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25F8003A">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721911D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531B56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BA1D9AE">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83</w:t>
            </w:r>
          </w:p>
        </w:tc>
        <w:tc>
          <w:tcPr>
            <w:tcW w:w="1027" w:type="dxa"/>
            <w:shd w:val="clear" w:color="auto" w:fill="auto"/>
            <w:vAlign w:val="center"/>
          </w:tcPr>
          <w:p w14:paraId="0BA528B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超静音柜式离心风柜</w:t>
            </w:r>
          </w:p>
        </w:tc>
        <w:tc>
          <w:tcPr>
            <w:tcW w:w="6543" w:type="dxa"/>
            <w:shd w:val="clear" w:color="auto" w:fill="auto"/>
            <w:vAlign w:val="center"/>
          </w:tcPr>
          <w:p w14:paraId="395F5C3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规格：1020*860*840㎜                   </w:t>
            </w:r>
          </w:p>
          <w:p w14:paraId="5C68DE4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drawing>
                <wp:anchor distT="0" distB="0" distL="114300" distR="114300" simplePos="0" relativeHeight="251760640" behindDoc="0" locked="0" layoutInCell="1" allowOverlap="1">
                  <wp:simplePos x="0" y="0"/>
                  <wp:positionH relativeFrom="column">
                    <wp:posOffset>2465705</wp:posOffset>
                  </wp:positionH>
                  <wp:positionV relativeFrom="paragraph">
                    <wp:posOffset>61595</wp:posOffset>
                  </wp:positionV>
                  <wp:extent cx="1341120" cy="1370965"/>
                  <wp:effectExtent l="0" t="0" r="11430" b="635"/>
                  <wp:wrapSquare wrapText="bothSides"/>
                  <wp:docPr id="105" name="图片 105" descr="1720579821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1720579821317"/>
                          <pic:cNvPicPr>
                            <a:picLocks noChangeAspect="1"/>
                          </pic:cNvPicPr>
                        </pic:nvPicPr>
                        <pic:blipFill>
                          <a:blip r:embed="rId92"/>
                          <a:stretch>
                            <a:fillRect/>
                          </a:stretch>
                        </pic:blipFill>
                        <pic:spPr>
                          <a:xfrm>
                            <a:off x="0" y="0"/>
                            <a:ext cx="1341120" cy="1370965"/>
                          </a:xfrm>
                          <a:prstGeom prst="rect">
                            <a:avLst/>
                          </a:prstGeom>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1.全压:444-477pa                </w:t>
            </w:r>
          </w:p>
          <w:p w14:paraId="4320A20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2.静压:290-380pa               </w:t>
            </w:r>
          </w:p>
          <w:p w14:paraId="308101AC">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3.风量：11500-14500m3/h                 </w:t>
            </w:r>
          </w:p>
          <w:p w14:paraId="114D93A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 xml:space="preserve">4.转速：750pa                     </w:t>
            </w:r>
          </w:p>
          <w:p w14:paraId="4ACD460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5.出口风速:12.7-16M/S</w:t>
            </w:r>
          </w:p>
        </w:tc>
        <w:tc>
          <w:tcPr>
            <w:tcW w:w="633" w:type="dxa"/>
            <w:shd w:val="clear" w:color="auto" w:fill="auto"/>
            <w:vAlign w:val="center"/>
          </w:tcPr>
          <w:p w14:paraId="5D8E69A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4D01E63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11000 </w:t>
            </w:r>
          </w:p>
        </w:tc>
      </w:tr>
      <w:tr w14:paraId="0AC45C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679F588">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84</w:t>
            </w:r>
          </w:p>
        </w:tc>
        <w:tc>
          <w:tcPr>
            <w:tcW w:w="1027" w:type="dxa"/>
            <w:shd w:val="clear" w:color="auto" w:fill="auto"/>
            <w:vAlign w:val="center"/>
          </w:tcPr>
          <w:p w14:paraId="2228FE2C">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排气百叶窗</w:t>
            </w:r>
          </w:p>
        </w:tc>
        <w:tc>
          <w:tcPr>
            <w:tcW w:w="6543" w:type="dxa"/>
            <w:shd w:val="clear" w:color="auto" w:fill="auto"/>
            <w:vAlign w:val="center"/>
          </w:tcPr>
          <w:p w14:paraId="4558B28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40160" behindDoc="0" locked="0" layoutInCell="1" allowOverlap="1">
                  <wp:simplePos x="0" y="0"/>
                  <wp:positionH relativeFrom="column">
                    <wp:posOffset>2721610</wp:posOffset>
                  </wp:positionH>
                  <wp:positionV relativeFrom="paragraph">
                    <wp:posOffset>204470</wp:posOffset>
                  </wp:positionV>
                  <wp:extent cx="981710" cy="657225"/>
                  <wp:effectExtent l="0" t="0" r="8890" b="9525"/>
                  <wp:wrapSquare wrapText="bothSides"/>
                  <wp:docPr id="10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58"/>
                          <pic:cNvPicPr>
                            <a:picLocks noChangeAspect="1"/>
                          </pic:cNvPicPr>
                        </pic:nvPicPr>
                        <pic:blipFill>
                          <a:blip r:embed="rId98" cstate="print">
                            <a:clrChange>
                              <a:clrFrom>
                                <a:srgbClr val="FCFCFC"/>
                              </a:clrFrom>
                              <a:clrTo>
                                <a:srgbClr val="FCFCFC">
                                  <a:alpha val="0"/>
                                </a:srgbClr>
                              </a:clrTo>
                            </a:clrChange>
                          </a:blip>
                          <a:stretch>
                            <a:fillRect/>
                          </a:stretch>
                        </pic:blipFill>
                        <pic:spPr>
                          <a:xfrm>
                            <a:off x="0" y="0"/>
                            <a:ext cx="981710" cy="65722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 现场制作  性能参数 1.采用1.0mm优质不锈钢钢板加工成型。上下排风方式。</w:t>
            </w:r>
          </w:p>
        </w:tc>
        <w:tc>
          <w:tcPr>
            <w:tcW w:w="633" w:type="dxa"/>
            <w:shd w:val="clear" w:color="auto" w:fill="auto"/>
            <w:vAlign w:val="center"/>
          </w:tcPr>
          <w:p w14:paraId="6B32E82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221" w:type="dxa"/>
            <w:shd w:val="clear" w:color="auto" w:fill="auto"/>
            <w:vAlign w:val="center"/>
          </w:tcPr>
          <w:p w14:paraId="4137C7B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400 </w:t>
            </w:r>
          </w:p>
        </w:tc>
      </w:tr>
      <w:tr w14:paraId="3DF84DC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238E6FE">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85</w:t>
            </w:r>
          </w:p>
        </w:tc>
        <w:tc>
          <w:tcPr>
            <w:tcW w:w="1027" w:type="dxa"/>
            <w:shd w:val="clear" w:color="auto" w:fill="auto"/>
            <w:vAlign w:val="center"/>
          </w:tcPr>
          <w:p w14:paraId="6E1233C8">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变头</w:t>
            </w:r>
          </w:p>
        </w:tc>
        <w:tc>
          <w:tcPr>
            <w:tcW w:w="6543" w:type="dxa"/>
            <w:shd w:val="clear" w:color="auto" w:fill="auto"/>
            <w:vAlign w:val="center"/>
          </w:tcPr>
          <w:p w14:paraId="1274588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41184" behindDoc="0" locked="0" layoutInCell="1" allowOverlap="1">
                  <wp:simplePos x="0" y="0"/>
                  <wp:positionH relativeFrom="column">
                    <wp:posOffset>2952750</wp:posOffset>
                  </wp:positionH>
                  <wp:positionV relativeFrom="paragraph">
                    <wp:posOffset>41910</wp:posOffset>
                  </wp:positionV>
                  <wp:extent cx="876300" cy="828040"/>
                  <wp:effectExtent l="0" t="0" r="0" b="10160"/>
                  <wp:wrapSquare wrapText="bothSides"/>
                  <wp:docPr id="92" name="Picture 35" descr="烟管变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Picture 35" descr="烟管变头"/>
                          <pic:cNvPicPr>
                            <a:picLocks noChangeAspect="1"/>
                          </pic:cNvPicPr>
                        </pic:nvPicPr>
                        <pic:blipFill>
                          <a:blip r:embed="rId99" cstate="print"/>
                          <a:srcRect l="22188" t="11041" r="18124" b="13542"/>
                          <a:stretch>
                            <a:fillRect/>
                          </a:stretch>
                        </pic:blipFill>
                        <pic:spPr>
                          <a:xfrm>
                            <a:off x="0" y="0"/>
                            <a:ext cx="876300" cy="82804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采用0.8mm优质雪花不锈钢板制作</w:t>
            </w:r>
          </w:p>
        </w:tc>
        <w:tc>
          <w:tcPr>
            <w:tcW w:w="633" w:type="dxa"/>
            <w:shd w:val="clear" w:color="auto" w:fill="auto"/>
            <w:vAlign w:val="center"/>
          </w:tcPr>
          <w:p w14:paraId="79E0AB3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221" w:type="dxa"/>
            <w:shd w:val="clear" w:color="auto" w:fill="auto"/>
            <w:vAlign w:val="center"/>
          </w:tcPr>
          <w:p w14:paraId="69531F6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1200 </w:t>
            </w:r>
          </w:p>
        </w:tc>
      </w:tr>
      <w:tr w14:paraId="690B79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49E1A25">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86</w:t>
            </w:r>
          </w:p>
        </w:tc>
        <w:tc>
          <w:tcPr>
            <w:tcW w:w="1027" w:type="dxa"/>
            <w:shd w:val="clear" w:color="auto" w:fill="auto"/>
            <w:vAlign w:val="center"/>
          </w:tcPr>
          <w:p w14:paraId="58E22EB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弯头</w:t>
            </w:r>
          </w:p>
        </w:tc>
        <w:tc>
          <w:tcPr>
            <w:tcW w:w="6543" w:type="dxa"/>
            <w:shd w:val="clear" w:color="auto" w:fill="auto"/>
            <w:vAlign w:val="center"/>
          </w:tcPr>
          <w:p w14:paraId="18C5C32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规格：现场制作采用0.8mm优质雪花不锈钢板制作</w:t>
            </w:r>
            <w:r>
              <w:drawing>
                <wp:anchor distT="0" distB="0" distL="114300" distR="114300" simplePos="0" relativeHeight="251742208" behindDoc="0" locked="0" layoutInCell="1" allowOverlap="1">
                  <wp:simplePos x="0" y="0"/>
                  <wp:positionH relativeFrom="column">
                    <wp:posOffset>2933700</wp:posOffset>
                  </wp:positionH>
                  <wp:positionV relativeFrom="paragraph">
                    <wp:posOffset>0</wp:posOffset>
                  </wp:positionV>
                  <wp:extent cx="1049655" cy="713105"/>
                  <wp:effectExtent l="0" t="0" r="17145" b="10795"/>
                  <wp:wrapSquare wrapText="bothSides"/>
                  <wp:docPr id="91" name="Picture 34" descr="弯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34" descr="弯头"/>
                          <pic:cNvPicPr>
                            <a:picLocks noChangeAspect="1"/>
                          </pic:cNvPicPr>
                        </pic:nvPicPr>
                        <pic:blipFill>
                          <a:blip r:embed="rId100" cstate="print"/>
                          <a:srcRect l="24152" t="20100" r="8302" b="18593"/>
                          <a:stretch>
                            <a:fillRect/>
                          </a:stretch>
                        </pic:blipFill>
                        <pic:spPr>
                          <a:xfrm>
                            <a:off x="0" y="0"/>
                            <a:ext cx="1049655" cy="713105"/>
                          </a:xfrm>
                          <a:prstGeom prst="rect">
                            <a:avLst/>
                          </a:prstGeom>
                          <a:noFill/>
                          <a:ln w="9525">
                            <a:noFill/>
                          </a:ln>
                        </pic:spPr>
                      </pic:pic>
                    </a:graphicData>
                  </a:graphic>
                </wp:anchor>
              </w:drawing>
            </w:r>
          </w:p>
        </w:tc>
        <w:tc>
          <w:tcPr>
            <w:tcW w:w="633" w:type="dxa"/>
            <w:shd w:val="clear" w:color="auto" w:fill="auto"/>
            <w:vAlign w:val="center"/>
          </w:tcPr>
          <w:p w14:paraId="59DA35B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3个</w:t>
            </w:r>
          </w:p>
        </w:tc>
        <w:tc>
          <w:tcPr>
            <w:tcW w:w="1221" w:type="dxa"/>
            <w:shd w:val="clear" w:color="auto" w:fill="auto"/>
            <w:vAlign w:val="center"/>
          </w:tcPr>
          <w:p w14:paraId="5DFCB72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21A357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89B4EF2">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87</w:t>
            </w:r>
          </w:p>
        </w:tc>
        <w:tc>
          <w:tcPr>
            <w:tcW w:w="1027" w:type="dxa"/>
            <w:shd w:val="clear" w:color="auto" w:fill="auto"/>
            <w:vAlign w:val="center"/>
          </w:tcPr>
          <w:p w14:paraId="7140418D">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三通</w:t>
            </w:r>
          </w:p>
        </w:tc>
        <w:tc>
          <w:tcPr>
            <w:tcW w:w="6543" w:type="dxa"/>
            <w:shd w:val="clear" w:color="auto" w:fill="auto"/>
            <w:vAlign w:val="center"/>
          </w:tcPr>
          <w:p w14:paraId="1686F72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规格：现场制作采用0.8mm优质雪花不锈钢板制作</w:t>
            </w:r>
            <w:r>
              <w:drawing>
                <wp:anchor distT="0" distB="0" distL="114300" distR="114300" simplePos="0" relativeHeight="251743232" behindDoc="0" locked="0" layoutInCell="1" allowOverlap="1">
                  <wp:simplePos x="0" y="0"/>
                  <wp:positionH relativeFrom="column">
                    <wp:posOffset>2931795</wp:posOffset>
                  </wp:positionH>
                  <wp:positionV relativeFrom="paragraph">
                    <wp:posOffset>0</wp:posOffset>
                  </wp:positionV>
                  <wp:extent cx="1084580" cy="826135"/>
                  <wp:effectExtent l="0" t="0" r="1270" b="12065"/>
                  <wp:wrapSquare wrapText="bothSides"/>
                  <wp:docPr id="90" name="Picture 32" descr="烟管三通"/>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Picture 32" descr="烟管三通"/>
                          <pic:cNvPicPr>
                            <a:picLocks noChangeAspect="1"/>
                          </pic:cNvPicPr>
                        </pic:nvPicPr>
                        <pic:blipFill>
                          <a:blip r:embed="rId101" cstate="print"/>
                          <a:srcRect l="24219" t="23334" r="17969" b="17917"/>
                          <a:stretch>
                            <a:fillRect/>
                          </a:stretch>
                        </pic:blipFill>
                        <pic:spPr>
                          <a:xfrm>
                            <a:off x="0" y="0"/>
                            <a:ext cx="1084580" cy="826135"/>
                          </a:xfrm>
                          <a:prstGeom prst="rect">
                            <a:avLst/>
                          </a:prstGeom>
                          <a:noFill/>
                          <a:ln w="9525">
                            <a:noFill/>
                          </a:ln>
                        </pic:spPr>
                      </pic:pic>
                    </a:graphicData>
                  </a:graphic>
                </wp:anchor>
              </w:drawing>
            </w:r>
          </w:p>
        </w:tc>
        <w:tc>
          <w:tcPr>
            <w:tcW w:w="633" w:type="dxa"/>
            <w:shd w:val="clear" w:color="auto" w:fill="auto"/>
            <w:vAlign w:val="center"/>
          </w:tcPr>
          <w:p w14:paraId="43C8CA8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221" w:type="dxa"/>
            <w:shd w:val="clear" w:color="auto" w:fill="auto"/>
            <w:vAlign w:val="center"/>
          </w:tcPr>
          <w:p w14:paraId="4F3E141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0DA208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3BA211DD">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88</w:t>
            </w:r>
          </w:p>
        </w:tc>
        <w:tc>
          <w:tcPr>
            <w:tcW w:w="1027" w:type="dxa"/>
            <w:shd w:val="clear" w:color="auto" w:fill="auto"/>
            <w:vAlign w:val="center"/>
          </w:tcPr>
          <w:p w14:paraId="01167775">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鲜风管</w:t>
            </w:r>
          </w:p>
        </w:tc>
        <w:tc>
          <w:tcPr>
            <w:tcW w:w="6543" w:type="dxa"/>
            <w:shd w:val="clear" w:color="auto" w:fill="auto"/>
            <w:vAlign w:val="center"/>
          </w:tcPr>
          <w:p w14:paraId="6FC95C80">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44256" behindDoc="0" locked="0" layoutInCell="1" allowOverlap="1">
                  <wp:simplePos x="0" y="0"/>
                  <wp:positionH relativeFrom="column">
                    <wp:posOffset>2952115</wp:posOffset>
                  </wp:positionH>
                  <wp:positionV relativeFrom="paragraph">
                    <wp:posOffset>56515</wp:posOffset>
                  </wp:positionV>
                  <wp:extent cx="974090" cy="601980"/>
                  <wp:effectExtent l="0" t="0" r="16510" b="7620"/>
                  <wp:wrapSquare wrapText="bothSides"/>
                  <wp:docPr id="89" name="Picture 16" descr="烟管"/>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16" descr="烟管"/>
                          <pic:cNvPicPr>
                            <a:picLocks noChangeAspect="1"/>
                          </pic:cNvPicPr>
                        </pic:nvPicPr>
                        <pic:blipFill>
                          <a:blip r:embed="rId102" cstate="print"/>
                          <a:srcRect l="17032" t="29791" r="21718" b="19792"/>
                          <a:stretch>
                            <a:fillRect/>
                          </a:stretch>
                        </pic:blipFill>
                        <pic:spPr>
                          <a:xfrm>
                            <a:off x="0" y="0"/>
                            <a:ext cx="974090" cy="60198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规格：L*500*500mm </w:t>
            </w:r>
          </w:p>
          <w:p w14:paraId="027D33E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采用0.8mm优质雪花不锈钢板制作</w:t>
            </w:r>
          </w:p>
        </w:tc>
        <w:tc>
          <w:tcPr>
            <w:tcW w:w="633" w:type="dxa"/>
            <w:shd w:val="clear" w:color="auto" w:fill="auto"/>
            <w:vAlign w:val="center"/>
          </w:tcPr>
          <w:p w14:paraId="134B743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40米</w:t>
            </w:r>
          </w:p>
        </w:tc>
        <w:tc>
          <w:tcPr>
            <w:tcW w:w="1221" w:type="dxa"/>
            <w:shd w:val="clear" w:color="auto" w:fill="auto"/>
            <w:vAlign w:val="center"/>
          </w:tcPr>
          <w:p w14:paraId="6A327E7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800 </w:t>
            </w:r>
          </w:p>
        </w:tc>
      </w:tr>
      <w:tr w14:paraId="41F037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E4E5080">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89</w:t>
            </w:r>
          </w:p>
        </w:tc>
        <w:tc>
          <w:tcPr>
            <w:tcW w:w="1027" w:type="dxa"/>
            <w:shd w:val="clear" w:color="auto" w:fill="auto"/>
            <w:vAlign w:val="center"/>
          </w:tcPr>
          <w:p w14:paraId="106FC4ED">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送鲜风嘴</w:t>
            </w:r>
          </w:p>
        </w:tc>
        <w:tc>
          <w:tcPr>
            <w:tcW w:w="6543" w:type="dxa"/>
            <w:shd w:val="clear" w:color="auto" w:fill="auto"/>
            <w:vAlign w:val="center"/>
          </w:tcPr>
          <w:p w14:paraId="402F704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45280" behindDoc="0" locked="0" layoutInCell="1" allowOverlap="1">
                  <wp:simplePos x="0" y="0"/>
                  <wp:positionH relativeFrom="column">
                    <wp:posOffset>3371850</wp:posOffset>
                  </wp:positionH>
                  <wp:positionV relativeFrom="paragraph">
                    <wp:posOffset>78105</wp:posOffset>
                  </wp:positionV>
                  <wp:extent cx="590550" cy="640080"/>
                  <wp:effectExtent l="0" t="0" r="0" b="7620"/>
                  <wp:wrapSquare wrapText="bothSides"/>
                  <wp:docPr id="93" name="Picture 7" descr="鲜风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7" descr="鲜风嘴"/>
                          <pic:cNvPicPr>
                            <a:picLocks noChangeAspect="1"/>
                          </pic:cNvPicPr>
                        </pic:nvPicPr>
                        <pic:blipFill>
                          <a:blip r:embed="rId103"/>
                          <a:stretch>
                            <a:fillRect/>
                          </a:stretch>
                        </pic:blipFill>
                        <pic:spPr>
                          <a:xfrm>
                            <a:off x="0" y="0"/>
                            <a:ext cx="590550" cy="64008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规格：φ200  性能参数 1.采用1.0mm优质不锈钢钢板加工成型。万向送风方式。</w:t>
            </w:r>
          </w:p>
        </w:tc>
        <w:tc>
          <w:tcPr>
            <w:tcW w:w="633" w:type="dxa"/>
            <w:shd w:val="clear" w:color="auto" w:fill="auto"/>
            <w:vAlign w:val="center"/>
          </w:tcPr>
          <w:p w14:paraId="0D89A71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23个</w:t>
            </w:r>
          </w:p>
        </w:tc>
        <w:tc>
          <w:tcPr>
            <w:tcW w:w="1221" w:type="dxa"/>
            <w:shd w:val="clear" w:color="auto" w:fill="auto"/>
            <w:vAlign w:val="center"/>
          </w:tcPr>
          <w:p w14:paraId="5788364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80 </w:t>
            </w:r>
          </w:p>
        </w:tc>
      </w:tr>
      <w:tr w14:paraId="46F4FD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1BC66D17">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90</w:t>
            </w:r>
          </w:p>
        </w:tc>
        <w:tc>
          <w:tcPr>
            <w:tcW w:w="1027" w:type="dxa"/>
            <w:shd w:val="clear" w:color="auto" w:fill="auto"/>
            <w:vAlign w:val="center"/>
          </w:tcPr>
          <w:p w14:paraId="1CF08E7F">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法兰</w:t>
            </w:r>
          </w:p>
        </w:tc>
        <w:tc>
          <w:tcPr>
            <w:tcW w:w="6543" w:type="dxa"/>
            <w:shd w:val="clear" w:color="auto" w:fill="auto"/>
            <w:vAlign w:val="center"/>
          </w:tcPr>
          <w:p w14:paraId="5C30A1A8">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46304" behindDoc="0" locked="0" layoutInCell="1" allowOverlap="1">
                  <wp:simplePos x="0" y="0"/>
                  <wp:positionH relativeFrom="column">
                    <wp:posOffset>3105150</wp:posOffset>
                  </wp:positionH>
                  <wp:positionV relativeFrom="paragraph">
                    <wp:posOffset>31750</wp:posOffset>
                  </wp:positionV>
                  <wp:extent cx="705485" cy="762635"/>
                  <wp:effectExtent l="0" t="0" r="18415" b="18415"/>
                  <wp:wrapSquare wrapText="bothSides"/>
                  <wp:docPr id="94" name="Picture 15" descr="法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15" descr="法兰"/>
                          <pic:cNvPicPr>
                            <a:picLocks noChangeAspect="1"/>
                          </pic:cNvPicPr>
                        </pic:nvPicPr>
                        <pic:blipFill>
                          <a:blip r:embed="rId104" cstate="print"/>
                          <a:srcRect l="26489" t="16986" r="34702" b="17261"/>
                          <a:stretch>
                            <a:fillRect/>
                          </a:stretch>
                        </pic:blipFill>
                        <pic:spPr>
                          <a:xfrm>
                            <a:off x="0" y="0"/>
                            <a:ext cx="705485" cy="762635"/>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现场制作</w:t>
            </w:r>
          </w:p>
        </w:tc>
        <w:tc>
          <w:tcPr>
            <w:tcW w:w="633" w:type="dxa"/>
            <w:shd w:val="clear" w:color="auto" w:fill="auto"/>
            <w:vAlign w:val="center"/>
          </w:tcPr>
          <w:p w14:paraId="3BE40AB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221" w:type="dxa"/>
            <w:shd w:val="clear" w:color="auto" w:fill="auto"/>
            <w:vAlign w:val="center"/>
          </w:tcPr>
          <w:p w14:paraId="3CA8D03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200 </w:t>
            </w:r>
          </w:p>
        </w:tc>
      </w:tr>
      <w:tr w14:paraId="7CCD3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631F0BB">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91</w:t>
            </w:r>
          </w:p>
        </w:tc>
        <w:tc>
          <w:tcPr>
            <w:tcW w:w="1027" w:type="dxa"/>
            <w:shd w:val="clear" w:color="auto" w:fill="auto"/>
            <w:vAlign w:val="center"/>
          </w:tcPr>
          <w:p w14:paraId="77EC76C0">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鲜风柜机架</w:t>
            </w:r>
          </w:p>
        </w:tc>
        <w:tc>
          <w:tcPr>
            <w:tcW w:w="6543" w:type="dxa"/>
            <w:shd w:val="clear" w:color="auto" w:fill="auto"/>
            <w:vAlign w:val="center"/>
          </w:tcPr>
          <w:p w14:paraId="018B5B5E">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47328" behindDoc="0" locked="0" layoutInCell="1" allowOverlap="1">
                  <wp:simplePos x="0" y="0"/>
                  <wp:positionH relativeFrom="column">
                    <wp:posOffset>2859405</wp:posOffset>
                  </wp:positionH>
                  <wp:positionV relativeFrom="paragraph">
                    <wp:posOffset>0</wp:posOffset>
                  </wp:positionV>
                  <wp:extent cx="1028700" cy="702310"/>
                  <wp:effectExtent l="0" t="0" r="0" b="2540"/>
                  <wp:wrapSquare wrapText="bothSides"/>
                  <wp:docPr id="95" name="Picture 45" descr="鲜风柜机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Picture 45" descr="鲜风柜机架"/>
                          <pic:cNvPicPr>
                            <a:picLocks noChangeAspect="1"/>
                          </pic:cNvPicPr>
                        </pic:nvPicPr>
                        <pic:blipFill>
                          <a:blip r:embed="rId105"/>
                          <a:srcRect r="735" b="16364"/>
                          <a:stretch>
                            <a:fillRect/>
                          </a:stretch>
                        </pic:blipFill>
                        <pic:spPr>
                          <a:xfrm>
                            <a:off x="0" y="0"/>
                            <a:ext cx="1028700" cy="70231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采用角钢，槽钢，现场制作</w:t>
            </w:r>
          </w:p>
        </w:tc>
        <w:tc>
          <w:tcPr>
            <w:tcW w:w="633" w:type="dxa"/>
            <w:shd w:val="clear" w:color="auto" w:fill="auto"/>
            <w:vAlign w:val="center"/>
          </w:tcPr>
          <w:p w14:paraId="73A8D0E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1个</w:t>
            </w:r>
          </w:p>
        </w:tc>
        <w:tc>
          <w:tcPr>
            <w:tcW w:w="1221" w:type="dxa"/>
            <w:shd w:val="clear" w:color="auto" w:fill="auto"/>
            <w:vAlign w:val="center"/>
          </w:tcPr>
          <w:p w14:paraId="21669B4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1000 </w:t>
            </w:r>
          </w:p>
        </w:tc>
      </w:tr>
      <w:tr w14:paraId="78532D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601E1E5">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92</w:t>
            </w:r>
          </w:p>
        </w:tc>
        <w:tc>
          <w:tcPr>
            <w:tcW w:w="1027" w:type="dxa"/>
            <w:shd w:val="clear" w:color="auto" w:fill="auto"/>
            <w:vAlign w:val="center"/>
          </w:tcPr>
          <w:p w14:paraId="0C755F54">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防震软接</w:t>
            </w:r>
          </w:p>
        </w:tc>
        <w:tc>
          <w:tcPr>
            <w:tcW w:w="6543" w:type="dxa"/>
            <w:shd w:val="clear" w:color="auto" w:fill="auto"/>
            <w:vAlign w:val="top"/>
          </w:tcPr>
          <w:p w14:paraId="43935A43">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48352" behindDoc="0" locked="0" layoutInCell="1" allowOverlap="1">
                  <wp:simplePos x="0" y="0"/>
                  <wp:positionH relativeFrom="column">
                    <wp:posOffset>2711450</wp:posOffset>
                  </wp:positionH>
                  <wp:positionV relativeFrom="paragraph">
                    <wp:posOffset>19685</wp:posOffset>
                  </wp:positionV>
                  <wp:extent cx="916305" cy="924560"/>
                  <wp:effectExtent l="0" t="0" r="17145" b="8890"/>
                  <wp:wrapSquare wrapText="bothSides"/>
                  <wp:docPr id="110" name="Picture 50" descr="防震软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50" descr="防震软接"/>
                          <pic:cNvPicPr>
                            <a:picLocks noChangeAspect="1"/>
                          </pic:cNvPicPr>
                        </pic:nvPicPr>
                        <pic:blipFill>
                          <a:blip r:embed="rId97"/>
                          <a:srcRect l="12155" t="5882" r="19337" b="2206"/>
                          <a:stretch>
                            <a:fillRect/>
                          </a:stretch>
                        </pic:blipFill>
                        <pic:spPr>
                          <a:xfrm>
                            <a:off x="0" y="0"/>
                            <a:ext cx="916305" cy="92456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高强度防火纤维、现场制作</w:t>
            </w:r>
          </w:p>
        </w:tc>
        <w:tc>
          <w:tcPr>
            <w:tcW w:w="633" w:type="dxa"/>
            <w:shd w:val="clear" w:color="auto" w:fill="auto"/>
            <w:vAlign w:val="center"/>
          </w:tcPr>
          <w:p w14:paraId="00126939">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1项</w:t>
            </w:r>
          </w:p>
        </w:tc>
        <w:tc>
          <w:tcPr>
            <w:tcW w:w="1221" w:type="dxa"/>
            <w:shd w:val="clear" w:color="auto" w:fill="auto"/>
            <w:vAlign w:val="center"/>
          </w:tcPr>
          <w:p w14:paraId="5D29131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500 </w:t>
            </w:r>
          </w:p>
        </w:tc>
      </w:tr>
      <w:tr w14:paraId="31F14B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B851A4A">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93</w:t>
            </w:r>
          </w:p>
        </w:tc>
        <w:tc>
          <w:tcPr>
            <w:tcW w:w="1027" w:type="dxa"/>
            <w:shd w:val="clear" w:color="auto" w:fill="auto"/>
            <w:vAlign w:val="center"/>
          </w:tcPr>
          <w:p w14:paraId="3099A876">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磁力启动风机保护开关</w:t>
            </w:r>
          </w:p>
        </w:tc>
        <w:tc>
          <w:tcPr>
            <w:tcW w:w="6543" w:type="dxa"/>
            <w:shd w:val="clear" w:color="auto" w:fill="auto"/>
            <w:vAlign w:val="top"/>
          </w:tcPr>
          <w:p w14:paraId="76AD4B25">
            <w:pPr>
              <w:keepNext w:val="0"/>
              <w:keepLines w:val="0"/>
              <w:widowControl/>
              <w:suppressLineNumbers w:val="0"/>
              <w:jc w:val="left"/>
              <w:textAlignment w:val="top"/>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49376" behindDoc="0" locked="0" layoutInCell="1" allowOverlap="1">
                  <wp:simplePos x="0" y="0"/>
                  <wp:positionH relativeFrom="column">
                    <wp:posOffset>2811145</wp:posOffset>
                  </wp:positionH>
                  <wp:positionV relativeFrom="paragraph">
                    <wp:posOffset>29845</wp:posOffset>
                  </wp:positionV>
                  <wp:extent cx="525145" cy="833120"/>
                  <wp:effectExtent l="0" t="0" r="8255" b="5080"/>
                  <wp:wrapSquare wrapText="bothSides"/>
                  <wp:docPr id="12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40"/>
                          <pic:cNvPicPr>
                            <a:picLocks noChangeAspect="1"/>
                          </pic:cNvPicPr>
                        </pic:nvPicPr>
                        <pic:blipFill>
                          <a:blip r:embed="rId106" cstate="print"/>
                          <a:stretch>
                            <a:fillRect/>
                          </a:stretch>
                        </pic:blipFill>
                        <pic:spPr>
                          <a:xfrm>
                            <a:off x="0" y="0"/>
                            <a:ext cx="525145" cy="833120"/>
                          </a:xfrm>
                          <a:prstGeom prst="rect">
                            <a:avLst/>
                          </a:prstGeom>
                          <a:noFill/>
                          <a:ln w="9525">
                            <a:noFill/>
                          </a:ln>
                        </pic:spPr>
                      </pic:pic>
                    </a:graphicData>
                  </a:graphic>
                </wp:anchor>
              </w:drawing>
            </w:r>
            <w:r>
              <w:rPr>
                <w:rFonts w:hint="eastAsia" w:ascii="宋体" w:hAnsi="宋体" w:eastAsia="宋体" w:cs="宋体"/>
                <w:i w:val="0"/>
                <w:iCs w:val="0"/>
                <w:color w:val="000000"/>
                <w:kern w:val="0"/>
                <w:sz w:val="21"/>
                <w:szCs w:val="21"/>
                <w:u w:val="none"/>
                <w:lang w:val="en-US" w:eastAsia="zh-CN" w:bidi="ar"/>
              </w:rPr>
              <w:t xml:space="preserve"> HM-KG-1.1KW</w:t>
            </w:r>
          </w:p>
        </w:tc>
        <w:tc>
          <w:tcPr>
            <w:tcW w:w="633" w:type="dxa"/>
            <w:shd w:val="clear" w:color="auto" w:fill="auto"/>
            <w:vAlign w:val="center"/>
          </w:tcPr>
          <w:p w14:paraId="4649DA2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1项</w:t>
            </w:r>
          </w:p>
        </w:tc>
        <w:tc>
          <w:tcPr>
            <w:tcW w:w="1221" w:type="dxa"/>
            <w:shd w:val="clear" w:color="auto" w:fill="auto"/>
            <w:vAlign w:val="center"/>
          </w:tcPr>
          <w:p w14:paraId="5ADA7B7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 xml:space="preserve">1100 </w:t>
            </w:r>
          </w:p>
        </w:tc>
      </w:tr>
      <w:tr w14:paraId="3479C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295C3CA2">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（十）监控系统</w:t>
            </w:r>
          </w:p>
        </w:tc>
      </w:tr>
      <w:tr w14:paraId="421890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66E241E">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6A01EBA4">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62BEE23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0A189F3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19F15AF6">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2DA243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3524501">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94</w:t>
            </w:r>
          </w:p>
        </w:tc>
        <w:tc>
          <w:tcPr>
            <w:tcW w:w="1027" w:type="dxa"/>
            <w:shd w:val="clear" w:color="auto" w:fill="auto"/>
            <w:vAlign w:val="center"/>
          </w:tcPr>
          <w:p w14:paraId="414C92C6">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高清枪式摄像机</w:t>
            </w:r>
          </w:p>
        </w:tc>
        <w:tc>
          <w:tcPr>
            <w:tcW w:w="6543" w:type="dxa"/>
            <w:shd w:val="clear" w:color="auto" w:fill="auto"/>
            <w:vAlign w:val="center"/>
          </w:tcPr>
          <w:p w14:paraId="5512AC5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50400" behindDoc="0" locked="0" layoutInCell="1" allowOverlap="1">
                  <wp:simplePos x="0" y="0"/>
                  <wp:positionH relativeFrom="column">
                    <wp:posOffset>2783840</wp:posOffset>
                  </wp:positionH>
                  <wp:positionV relativeFrom="paragraph">
                    <wp:posOffset>42545</wp:posOffset>
                  </wp:positionV>
                  <wp:extent cx="944880" cy="588010"/>
                  <wp:effectExtent l="0" t="0" r="7620" b="2540"/>
                  <wp:wrapSquare wrapText="bothSides"/>
                  <wp:docPr id="124" name="图片 122" descr=" "/>
                  <wp:cNvGraphicFramePr/>
                  <a:graphic xmlns:a="http://schemas.openxmlformats.org/drawingml/2006/main">
                    <a:graphicData uri="http://schemas.openxmlformats.org/drawingml/2006/picture">
                      <pic:pic xmlns:pic="http://schemas.openxmlformats.org/drawingml/2006/picture">
                        <pic:nvPicPr>
                          <pic:cNvPr id="124" name="图片 122" descr=" "/>
                          <pic:cNvPicPr/>
                        </pic:nvPicPr>
                        <pic:blipFill>
                          <a:blip r:embed="rId107"/>
                          <a:srcRect/>
                          <a:stretch>
                            <a:fillRect/>
                          </a:stretch>
                        </pic:blipFill>
                        <pic:spPr>
                          <a:xfrm>
                            <a:off x="0" y="0"/>
                            <a:ext cx="944880" cy="588010"/>
                          </a:xfrm>
                          <a:prstGeom prst="rect">
                            <a:avLst/>
                          </a:prstGeom>
                          <a:noFill/>
                          <a:ln w="9525" cap="flat" cmpd="sng">
                            <a:noFill/>
                            <a:prstDash val="solid"/>
                            <a:miter/>
                          </a:ln>
                          <a:effectLst/>
                        </pic:spPr>
                      </pic:pic>
                    </a:graphicData>
                  </a:graphic>
                </wp:anchor>
              </w:drawing>
            </w:r>
            <w:r>
              <w:rPr>
                <w:rStyle w:val="29"/>
                <w:rFonts w:hint="eastAsia" w:ascii="宋体" w:hAnsi="宋体" w:eastAsia="宋体" w:cs="宋体"/>
                <w:sz w:val="21"/>
                <w:szCs w:val="21"/>
                <w:lang w:val="en-US" w:eastAsia="zh-CN" w:bidi="ar"/>
              </w:rPr>
              <w:t>400</w:t>
            </w:r>
            <w:r>
              <w:rPr>
                <w:rStyle w:val="30"/>
                <w:rFonts w:hint="eastAsia" w:ascii="宋体" w:hAnsi="宋体" w:eastAsia="宋体" w:cs="宋体"/>
                <w:sz w:val="21"/>
                <w:szCs w:val="21"/>
                <w:lang w:val="en-US" w:eastAsia="zh-CN" w:bidi="ar"/>
              </w:rPr>
              <w:t>万网络高清</w:t>
            </w:r>
          </w:p>
        </w:tc>
        <w:tc>
          <w:tcPr>
            <w:tcW w:w="633" w:type="dxa"/>
            <w:shd w:val="clear" w:color="auto" w:fill="auto"/>
            <w:vAlign w:val="center"/>
          </w:tcPr>
          <w:p w14:paraId="24C433F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16个</w:t>
            </w:r>
          </w:p>
        </w:tc>
        <w:tc>
          <w:tcPr>
            <w:tcW w:w="1221" w:type="dxa"/>
            <w:shd w:val="clear" w:color="auto" w:fill="auto"/>
            <w:vAlign w:val="center"/>
          </w:tcPr>
          <w:p w14:paraId="0BFDE83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580</w:t>
            </w:r>
          </w:p>
        </w:tc>
      </w:tr>
      <w:tr w14:paraId="766898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C10D1A8">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95</w:t>
            </w:r>
          </w:p>
        </w:tc>
        <w:tc>
          <w:tcPr>
            <w:tcW w:w="1027" w:type="dxa"/>
            <w:shd w:val="clear" w:color="auto" w:fill="auto"/>
            <w:vAlign w:val="center"/>
          </w:tcPr>
          <w:p w14:paraId="2C2CBB23">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录像机</w:t>
            </w:r>
          </w:p>
        </w:tc>
        <w:tc>
          <w:tcPr>
            <w:tcW w:w="6543" w:type="dxa"/>
            <w:shd w:val="clear" w:color="auto" w:fill="auto"/>
            <w:vAlign w:val="center"/>
          </w:tcPr>
          <w:p w14:paraId="56F9663F">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51424" behindDoc="0" locked="0" layoutInCell="1" allowOverlap="1">
                  <wp:simplePos x="0" y="0"/>
                  <wp:positionH relativeFrom="column">
                    <wp:posOffset>2658110</wp:posOffset>
                  </wp:positionH>
                  <wp:positionV relativeFrom="paragraph">
                    <wp:posOffset>10160</wp:posOffset>
                  </wp:positionV>
                  <wp:extent cx="915035" cy="467995"/>
                  <wp:effectExtent l="0" t="0" r="18415" b="8255"/>
                  <wp:wrapSquare wrapText="bothSides"/>
                  <wp:docPr id="125" name="图片 123" descr=" "/>
                  <wp:cNvGraphicFramePr/>
                  <a:graphic xmlns:a="http://schemas.openxmlformats.org/drawingml/2006/main">
                    <a:graphicData uri="http://schemas.openxmlformats.org/drawingml/2006/picture">
                      <pic:pic xmlns:pic="http://schemas.openxmlformats.org/drawingml/2006/picture">
                        <pic:nvPicPr>
                          <pic:cNvPr id="125" name="图片 123" descr=" "/>
                          <pic:cNvPicPr/>
                        </pic:nvPicPr>
                        <pic:blipFill>
                          <a:blip r:embed="rId108"/>
                          <a:srcRect/>
                          <a:stretch>
                            <a:fillRect/>
                          </a:stretch>
                        </pic:blipFill>
                        <pic:spPr>
                          <a:xfrm>
                            <a:off x="0" y="0"/>
                            <a:ext cx="915035" cy="467995"/>
                          </a:xfrm>
                          <a:prstGeom prst="rect">
                            <a:avLst/>
                          </a:prstGeom>
                          <a:noFill/>
                          <a:ln w="9525" cap="flat" cmpd="sng">
                            <a:noFill/>
                            <a:prstDash val="solid"/>
                            <a:miter/>
                          </a:ln>
                          <a:effectLst/>
                        </pic:spPr>
                      </pic:pic>
                    </a:graphicData>
                  </a:graphic>
                </wp:anchor>
              </w:drawing>
            </w:r>
            <w:r>
              <w:rPr>
                <w:rStyle w:val="29"/>
                <w:rFonts w:hint="eastAsia" w:ascii="宋体" w:hAnsi="宋体" w:eastAsia="宋体" w:cs="宋体"/>
                <w:sz w:val="21"/>
                <w:szCs w:val="21"/>
                <w:lang w:val="en-US" w:eastAsia="zh-CN" w:bidi="ar"/>
              </w:rPr>
              <w:t>16</w:t>
            </w:r>
            <w:r>
              <w:rPr>
                <w:rStyle w:val="31"/>
                <w:rFonts w:hint="eastAsia" w:ascii="宋体" w:hAnsi="宋体" w:eastAsia="宋体" w:cs="宋体"/>
                <w:sz w:val="21"/>
                <w:szCs w:val="21"/>
                <w:lang w:val="en-US" w:eastAsia="zh-CN" w:bidi="ar"/>
              </w:rPr>
              <w:t>路</w:t>
            </w:r>
            <w:r>
              <w:rPr>
                <w:rStyle w:val="32"/>
                <w:rFonts w:hint="eastAsia" w:ascii="宋体" w:hAnsi="宋体" w:eastAsia="宋体" w:cs="宋体"/>
                <w:sz w:val="21"/>
                <w:szCs w:val="21"/>
                <w:lang w:val="en-US" w:eastAsia="zh-CN" w:bidi="ar"/>
              </w:rPr>
              <w:t>2</w:t>
            </w:r>
            <w:r>
              <w:rPr>
                <w:rStyle w:val="31"/>
                <w:rFonts w:hint="eastAsia" w:ascii="宋体" w:hAnsi="宋体" w:eastAsia="宋体" w:cs="宋体"/>
                <w:sz w:val="21"/>
                <w:szCs w:val="21"/>
                <w:lang w:val="en-US" w:eastAsia="zh-CN" w:bidi="ar"/>
              </w:rPr>
              <w:t>盘位网络录像机</w:t>
            </w:r>
          </w:p>
        </w:tc>
        <w:tc>
          <w:tcPr>
            <w:tcW w:w="633" w:type="dxa"/>
            <w:shd w:val="clear" w:color="auto" w:fill="auto"/>
            <w:vAlign w:val="center"/>
          </w:tcPr>
          <w:p w14:paraId="20411AD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6A91005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2565</w:t>
            </w:r>
          </w:p>
        </w:tc>
      </w:tr>
      <w:tr w14:paraId="39F96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3D2AB36">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96</w:t>
            </w:r>
          </w:p>
        </w:tc>
        <w:tc>
          <w:tcPr>
            <w:tcW w:w="1027" w:type="dxa"/>
            <w:shd w:val="clear" w:color="auto" w:fill="auto"/>
            <w:vAlign w:val="center"/>
          </w:tcPr>
          <w:p w14:paraId="64DE1406">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支架</w:t>
            </w:r>
          </w:p>
        </w:tc>
        <w:tc>
          <w:tcPr>
            <w:tcW w:w="6543" w:type="dxa"/>
            <w:shd w:val="clear" w:color="auto" w:fill="auto"/>
            <w:vAlign w:val="center"/>
          </w:tcPr>
          <w:p w14:paraId="03D5D041">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52448" behindDoc="0" locked="0" layoutInCell="1" allowOverlap="1">
                  <wp:simplePos x="0" y="0"/>
                  <wp:positionH relativeFrom="column">
                    <wp:posOffset>1748155</wp:posOffset>
                  </wp:positionH>
                  <wp:positionV relativeFrom="paragraph">
                    <wp:posOffset>0</wp:posOffset>
                  </wp:positionV>
                  <wp:extent cx="674370" cy="675005"/>
                  <wp:effectExtent l="0" t="0" r="11430" b="10795"/>
                  <wp:wrapSquare wrapText="bothSides"/>
                  <wp:docPr id="126" name="图片 124" descr=" "/>
                  <wp:cNvGraphicFramePr/>
                  <a:graphic xmlns:a="http://schemas.openxmlformats.org/drawingml/2006/main">
                    <a:graphicData uri="http://schemas.openxmlformats.org/drawingml/2006/picture">
                      <pic:pic xmlns:pic="http://schemas.openxmlformats.org/drawingml/2006/picture">
                        <pic:nvPicPr>
                          <pic:cNvPr id="126" name="图片 124" descr=" "/>
                          <pic:cNvPicPr/>
                        </pic:nvPicPr>
                        <pic:blipFill>
                          <a:blip r:embed="rId109"/>
                          <a:srcRect/>
                          <a:stretch>
                            <a:fillRect/>
                          </a:stretch>
                        </pic:blipFill>
                        <pic:spPr>
                          <a:xfrm>
                            <a:off x="0" y="0"/>
                            <a:ext cx="674370" cy="675005"/>
                          </a:xfrm>
                          <a:prstGeom prst="rect">
                            <a:avLst/>
                          </a:prstGeom>
                          <a:noFill/>
                          <a:ln w="9525" cap="flat" cmpd="sng">
                            <a:noFill/>
                            <a:prstDash val="solid"/>
                            <a:miter/>
                          </a:ln>
                          <a:effectLst/>
                        </pic:spPr>
                      </pic:pic>
                    </a:graphicData>
                  </a:graphic>
                </wp:anchor>
              </w:drawing>
            </w:r>
            <w:r>
              <w:rPr>
                <w:rFonts w:hint="eastAsia" w:ascii="宋体" w:hAnsi="宋体" w:eastAsia="宋体" w:cs="宋体"/>
                <w:i w:val="0"/>
                <w:iCs w:val="0"/>
                <w:color w:val="000000"/>
                <w:kern w:val="0"/>
                <w:sz w:val="21"/>
                <w:szCs w:val="21"/>
                <w:u w:val="none"/>
                <w:lang w:val="en-US" w:eastAsia="zh-CN" w:bidi="ar"/>
              </w:rPr>
              <w:t>室外万向通用型</w:t>
            </w:r>
          </w:p>
        </w:tc>
        <w:tc>
          <w:tcPr>
            <w:tcW w:w="633" w:type="dxa"/>
            <w:shd w:val="clear" w:color="auto" w:fill="auto"/>
            <w:vAlign w:val="center"/>
          </w:tcPr>
          <w:p w14:paraId="6C6F0076">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16个</w:t>
            </w:r>
          </w:p>
        </w:tc>
        <w:tc>
          <w:tcPr>
            <w:tcW w:w="1221" w:type="dxa"/>
            <w:shd w:val="clear" w:color="auto" w:fill="auto"/>
            <w:vAlign w:val="center"/>
          </w:tcPr>
          <w:p w14:paraId="2E32BB2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14</w:t>
            </w:r>
          </w:p>
        </w:tc>
      </w:tr>
      <w:tr w14:paraId="65C81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6246F94">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97</w:t>
            </w:r>
          </w:p>
        </w:tc>
        <w:tc>
          <w:tcPr>
            <w:tcW w:w="1027" w:type="dxa"/>
            <w:shd w:val="clear" w:color="auto" w:fill="auto"/>
            <w:vAlign w:val="center"/>
          </w:tcPr>
          <w:p w14:paraId="632342E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网线</w:t>
            </w:r>
          </w:p>
        </w:tc>
        <w:tc>
          <w:tcPr>
            <w:tcW w:w="6543" w:type="dxa"/>
            <w:shd w:val="clear" w:color="auto" w:fill="auto"/>
            <w:vAlign w:val="center"/>
          </w:tcPr>
          <w:p w14:paraId="19646165">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综合线全铜超五类</w:t>
            </w:r>
          </w:p>
        </w:tc>
        <w:tc>
          <w:tcPr>
            <w:tcW w:w="633" w:type="dxa"/>
            <w:shd w:val="clear" w:color="auto" w:fill="auto"/>
            <w:vAlign w:val="center"/>
          </w:tcPr>
          <w:p w14:paraId="73CCD5B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2箱</w:t>
            </w:r>
          </w:p>
        </w:tc>
        <w:tc>
          <w:tcPr>
            <w:tcW w:w="1221" w:type="dxa"/>
            <w:shd w:val="clear" w:color="auto" w:fill="auto"/>
            <w:vAlign w:val="center"/>
          </w:tcPr>
          <w:p w14:paraId="6D89F53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475</w:t>
            </w:r>
          </w:p>
        </w:tc>
      </w:tr>
      <w:tr w14:paraId="4BD5C3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950E380">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98</w:t>
            </w:r>
          </w:p>
        </w:tc>
        <w:tc>
          <w:tcPr>
            <w:tcW w:w="1027" w:type="dxa"/>
            <w:shd w:val="clear" w:color="auto" w:fill="auto"/>
            <w:vAlign w:val="center"/>
          </w:tcPr>
          <w:p w14:paraId="63126C2A">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电源线</w:t>
            </w:r>
          </w:p>
        </w:tc>
        <w:tc>
          <w:tcPr>
            <w:tcW w:w="6543" w:type="dxa"/>
            <w:shd w:val="clear" w:color="auto" w:fill="auto"/>
            <w:vAlign w:val="center"/>
          </w:tcPr>
          <w:p w14:paraId="6F44407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RVV2*1</w:t>
            </w:r>
          </w:p>
        </w:tc>
        <w:tc>
          <w:tcPr>
            <w:tcW w:w="633" w:type="dxa"/>
            <w:shd w:val="clear" w:color="auto" w:fill="auto"/>
            <w:vAlign w:val="center"/>
          </w:tcPr>
          <w:p w14:paraId="461D191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200米</w:t>
            </w:r>
          </w:p>
        </w:tc>
        <w:tc>
          <w:tcPr>
            <w:tcW w:w="1221" w:type="dxa"/>
            <w:shd w:val="clear" w:color="auto" w:fill="auto"/>
            <w:vAlign w:val="center"/>
          </w:tcPr>
          <w:p w14:paraId="4E55E26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4.8</w:t>
            </w:r>
          </w:p>
        </w:tc>
      </w:tr>
      <w:tr w14:paraId="4A6B7F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655E8AB">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99</w:t>
            </w:r>
          </w:p>
        </w:tc>
        <w:tc>
          <w:tcPr>
            <w:tcW w:w="1027" w:type="dxa"/>
            <w:shd w:val="clear" w:color="auto" w:fill="auto"/>
            <w:vAlign w:val="center"/>
          </w:tcPr>
          <w:p w14:paraId="5A80A214">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电源</w:t>
            </w:r>
          </w:p>
        </w:tc>
        <w:tc>
          <w:tcPr>
            <w:tcW w:w="6543" w:type="dxa"/>
            <w:shd w:val="clear" w:color="auto" w:fill="auto"/>
            <w:vAlign w:val="center"/>
          </w:tcPr>
          <w:p w14:paraId="00A6CAD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Style w:val="29"/>
                <w:rFonts w:hint="eastAsia" w:ascii="宋体" w:hAnsi="宋体" w:eastAsia="宋体" w:cs="宋体"/>
                <w:sz w:val="21"/>
                <w:szCs w:val="21"/>
                <w:lang w:val="en-US" w:eastAsia="zh-CN" w:bidi="ar"/>
              </w:rPr>
              <w:t>12V2A</w:t>
            </w:r>
            <w:r>
              <w:rPr>
                <w:rStyle w:val="31"/>
                <w:rFonts w:hint="eastAsia" w:ascii="宋体" w:hAnsi="宋体" w:eastAsia="宋体" w:cs="宋体"/>
                <w:sz w:val="21"/>
                <w:szCs w:val="21"/>
                <w:lang w:val="en-US" w:eastAsia="zh-CN" w:bidi="ar"/>
              </w:rPr>
              <w:t>防水电源</w:t>
            </w:r>
          </w:p>
        </w:tc>
        <w:tc>
          <w:tcPr>
            <w:tcW w:w="633" w:type="dxa"/>
            <w:shd w:val="clear" w:color="auto" w:fill="auto"/>
            <w:vAlign w:val="center"/>
          </w:tcPr>
          <w:p w14:paraId="7541490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16个</w:t>
            </w:r>
          </w:p>
        </w:tc>
        <w:tc>
          <w:tcPr>
            <w:tcW w:w="1221" w:type="dxa"/>
            <w:shd w:val="clear" w:color="auto" w:fill="auto"/>
            <w:vAlign w:val="center"/>
          </w:tcPr>
          <w:p w14:paraId="7081CED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28</w:t>
            </w:r>
          </w:p>
        </w:tc>
      </w:tr>
      <w:tr w14:paraId="246BAD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7B63808F">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100</w:t>
            </w:r>
          </w:p>
        </w:tc>
        <w:tc>
          <w:tcPr>
            <w:tcW w:w="1027" w:type="dxa"/>
            <w:shd w:val="clear" w:color="auto" w:fill="auto"/>
            <w:vAlign w:val="center"/>
          </w:tcPr>
          <w:p w14:paraId="062F02E1">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机柜</w:t>
            </w:r>
          </w:p>
        </w:tc>
        <w:tc>
          <w:tcPr>
            <w:tcW w:w="6543" w:type="dxa"/>
            <w:shd w:val="clear" w:color="auto" w:fill="auto"/>
            <w:vAlign w:val="center"/>
          </w:tcPr>
          <w:p w14:paraId="07E794B3">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2U机柜</w:t>
            </w:r>
          </w:p>
        </w:tc>
        <w:tc>
          <w:tcPr>
            <w:tcW w:w="633" w:type="dxa"/>
            <w:shd w:val="clear" w:color="auto" w:fill="auto"/>
            <w:vAlign w:val="center"/>
          </w:tcPr>
          <w:p w14:paraId="1DA0F8D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7500F9C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267</w:t>
            </w:r>
          </w:p>
        </w:tc>
      </w:tr>
      <w:tr w14:paraId="1B39F1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A673E95">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101</w:t>
            </w:r>
          </w:p>
        </w:tc>
        <w:tc>
          <w:tcPr>
            <w:tcW w:w="1027" w:type="dxa"/>
            <w:shd w:val="clear" w:color="auto" w:fill="auto"/>
            <w:vAlign w:val="center"/>
          </w:tcPr>
          <w:p w14:paraId="6B26A797">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交换机</w:t>
            </w:r>
          </w:p>
        </w:tc>
        <w:tc>
          <w:tcPr>
            <w:tcW w:w="6543" w:type="dxa"/>
            <w:shd w:val="clear" w:color="auto" w:fill="auto"/>
            <w:vAlign w:val="center"/>
          </w:tcPr>
          <w:p w14:paraId="76AFC054">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Style w:val="29"/>
                <w:rFonts w:hint="eastAsia" w:ascii="宋体" w:hAnsi="宋体" w:eastAsia="宋体" w:cs="宋体"/>
                <w:sz w:val="21"/>
                <w:szCs w:val="21"/>
                <w:lang w:val="en-US" w:eastAsia="zh-CN" w:bidi="ar"/>
              </w:rPr>
              <w:t>8</w:t>
            </w:r>
            <w:r>
              <w:rPr>
                <w:rStyle w:val="31"/>
                <w:rFonts w:hint="eastAsia" w:ascii="宋体" w:hAnsi="宋体" w:eastAsia="宋体" w:cs="宋体"/>
                <w:sz w:val="21"/>
                <w:szCs w:val="21"/>
                <w:lang w:val="en-US" w:eastAsia="zh-CN" w:bidi="ar"/>
              </w:rPr>
              <w:t>口千兆</w:t>
            </w:r>
          </w:p>
        </w:tc>
        <w:tc>
          <w:tcPr>
            <w:tcW w:w="633" w:type="dxa"/>
            <w:shd w:val="clear" w:color="auto" w:fill="auto"/>
            <w:vAlign w:val="center"/>
          </w:tcPr>
          <w:p w14:paraId="7C4A6B25">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3个</w:t>
            </w:r>
          </w:p>
        </w:tc>
        <w:tc>
          <w:tcPr>
            <w:tcW w:w="1221" w:type="dxa"/>
            <w:shd w:val="clear" w:color="auto" w:fill="auto"/>
            <w:vAlign w:val="center"/>
          </w:tcPr>
          <w:p w14:paraId="3769923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212</w:t>
            </w:r>
          </w:p>
        </w:tc>
      </w:tr>
      <w:tr w14:paraId="5160B1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214E6C26">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102</w:t>
            </w:r>
          </w:p>
        </w:tc>
        <w:tc>
          <w:tcPr>
            <w:tcW w:w="1027" w:type="dxa"/>
            <w:shd w:val="clear" w:color="auto" w:fill="auto"/>
            <w:vAlign w:val="center"/>
          </w:tcPr>
          <w:p w14:paraId="2FBCDF4E">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装配箱</w:t>
            </w:r>
          </w:p>
        </w:tc>
        <w:tc>
          <w:tcPr>
            <w:tcW w:w="6543" w:type="dxa"/>
            <w:shd w:val="clear" w:color="auto" w:fill="auto"/>
            <w:vAlign w:val="center"/>
          </w:tcPr>
          <w:p w14:paraId="1B96081A">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drawing>
                <wp:anchor distT="0" distB="0" distL="114300" distR="114300" simplePos="0" relativeHeight="251753472" behindDoc="0" locked="0" layoutInCell="1" allowOverlap="1">
                  <wp:simplePos x="0" y="0"/>
                  <wp:positionH relativeFrom="column">
                    <wp:posOffset>1356360</wp:posOffset>
                  </wp:positionH>
                  <wp:positionV relativeFrom="paragraph">
                    <wp:posOffset>31750</wp:posOffset>
                  </wp:positionV>
                  <wp:extent cx="751205" cy="749935"/>
                  <wp:effectExtent l="0" t="0" r="10795" b="12065"/>
                  <wp:wrapSquare wrapText="bothSides"/>
                  <wp:docPr id="131" name="图片_9" descr=" "/>
                  <wp:cNvGraphicFramePr/>
                  <a:graphic xmlns:a="http://schemas.openxmlformats.org/drawingml/2006/main">
                    <a:graphicData uri="http://schemas.openxmlformats.org/drawingml/2006/picture">
                      <pic:pic xmlns:pic="http://schemas.openxmlformats.org/drawingml/2006/picture">
                        <pic:nvPicPr>
                          <pic:cNvPr id="131" name="图片_9" descr=" "/>
                          <pic:cNvPicPr/>
                        </pic:nvPicPr>
                        <pic:blipFill>
                          <a:blip r:embed="rId110"/>
                          <a:srcRect/>
                          <a:stretch>
                            <a:fillRect/>
                          </a:stretch>
                        </pic:blipFill>
                        <pic:spPr>
                          <a:xfrm>
                            <a:off x="0" y="0"/>
                            <a:ext cx="751205" cy="749935"/>
                          </a:xfrm>
                          <a:prstGeom prst="rect">
                            <a:avLst/>
                          </a:prstGeom>
                          <a:noFill/>
                          <a:ln w="9525" cap="flat" cmpd="sng">
                            <a:noFill/>
                            <a:prstDash val="solid"/>
                            <a:miter/>
                          </a:ln>
                          <a:effectLst/>
                        </pic:spPr>
                      </pic:pic>
                    </a:graphicData>
                  </a:graphic>
                </wp:anchor>
              </w:drawing>
            </w:r>
            <w:r>
              <w:rPr>
                <w:rStyle w:val="29"/>
                <w:rFonts w:hint="eastAsia" w:ascii="宋体" w:hAnsi="宋体" w:eastAsia="宋体" w:cs="宋体"/>
                <w:sz w:val="21"/>
                <w:szCs w:val="21"/>
                <w:lang w:val="en-US" w:eastAsia="zh-CN" w:bidi="ar"/>
              </w:rPr>
              <w:t>CCTV</w:t>
            </w:r>
            <w:r>
              <w:rPr>
                <w:rStyle w:val="31"/>
                <w:rFonts w:hint="eastAsia" w:ascii="宋体" w:hAnsi="宋体" w:eastAsia="宋体" w:cs="宋体"/>
                <w:sz w:val="21"/>
                <w:szCs w:val="21"/>
                <w:lang w:val="en-US" w:eastAsia="zh-CN" w:bidi="ar"/>
              </w:rPr>
              <w:t>专用箱</w:t>
            </w:r>
          </w:p>
        </w:tc>
        <w:tc>
          <w:tcPr>
            <w:tcW w:w="633" w:type="dxa"/>
            <w:shd w:val="clear" w:color="auto" w:fill="auto"/>
            <w:vAlign w:val="center"/>
          </w:tcPr>
          <w:p w14:paraId="2C269362">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3个</w:t>
            </w:r>
          </w:p>
        </w:tc>
        <w:tc>
          <w:tcPr>
            <w:tcW w:w="1221" w:type="dxa"/>
            <w:shd w:val="clear" w:color="auto" w:fill="auto"/>
            <w:vAlign w:val="center"/>
          </w:tcPr>
          <w:p w14:paraId="6F9A63A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60</w:t>
            </w:r>
          </w:p>
        </w:tc>
      </w:tr>
      <w:tr w14:paraId="70E488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52E37E67">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103</w:t>
            </w:r>
          </w:p>
        </w:tc>
        <w:tc>
          <w:tcPr>
            <w:tcW w:w="1027" w:type="dxa"/>
            <w:shd w:val="clear" w:color="auto" w:fill="auto"/>
            <w:vAlign w:val="center"/>
          </w:tcPr>
          <w:p w14:paraId="344A450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Style w:val="31"/>
                <w:rFonts w:hint="eastAsia" w:ascii="宋体" w:hAnsi="宋体" w:eastAsia="宋体" w:cs="宋体"/>
                <w:sz w:val="21"/>
                <w:szCs w:val="21"/>
                <w:lang w:val="en-US" w:eastAsia="zh-CN" w:bidi="ar"/>
              </w:rPr>
              <w:t>PVC线管</w:t>
            </w:r>
            <w:r>
              <w:rPr>
                <w:rStyle w:val="32"/>
                <w:rFonts w:hint="eastAsia" w:ascii="宋体" w:hAnsi="宋体" w:eastAsia="宋体" w:cs="宋体"/>
                <w:sz w:val="21"/>
                <w:szCs w:val="21"/>
                <w:lang w:val="en-US" w:eastAsia="zh-CN" w:bidi="ar"/>
              </w:rPr>
              <w:t>/</w:t>
            </w:r>
            <w:r>
              <w:rPr>
                <w:rStyle w:val="31"/>
                <w:rFonts w:hint="eastAsia" w:ascii="宋体" w:hAnsi="宋体" w:eastAsia="宋体" w:cs="宋体"/>
                <w:sz w:val="21"/>
                <w:szCs w:val="21"/>
                <w:lang w:val="en-US" w:eastAsia="zh-CN" w:bidi="ar"/>
              </w:rPr>
              <w:t>线槽</w:t>
            </w:r>
          </w:p>
        </w:tc>
        <w:tc>
          <w:tcPr>
            <w:tcW w:w="6543" w:type="dxa"/>
            <w:shd w:val="clear" w:color="auto" w:fill="auto"/>
            <w:vAlign w:val="center"/>
          </w:tcPr>
          <w:p w14:paraId="42ACCD5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防燃标准电线管</w:t>
            </w:r>
          </w:p>
        </w:tc>
        <w:tc>
          <w:tcPr>
            <w:tcW w:w="633" w:type="dxa"/>
            <w:shd w:val="clear" w:color="auto" w:fill="auto"/>
            <w:vAlign w:val="center"/>
          </w:tcPr>
          <w:p w14:paraId="373236A7">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1批</w:t>
            </w:r>
          </w:p>
        </w:tc>
        <w:tc>
          <w:tcPr>
            <w:tcW w:w="1221" w:type="dxa"/>
            <w:shd w:val="clear" w:color="auto" w:fill="auto"/>
            <w:vAlign w:val="center"/>
          </w:tcPr>
          <w:p w14:paraId="2992FA14">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1900</w:t>
            </w:r>
          </w:p>
        </w:tc>
      </w:tr>
      <w:tr w14:paraId="6F2905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94142C6">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104</w:t>
            </w:r>
          </w:p>
        </w:tc>
        <w:tc>
          <w:tcPr>
            <w:tcW w:w="1027" w:type="dxa"/>
            <w:shd w:val="clear" w:color="auto" w:fill="auto"/>
            <w:vAlign w:val="center"/>
          </w:tcPr>
          <w:p w14:paraId="77FEB65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辅料</w:t>
            </w:r>
          </w:p>
        </w:tc>
        <w:tc>
          <w:tcPr>
            <w:tcW w:w="6543" w:type="dxa"/>
            <w:shd w:val="clear" w:color="auto" w:fill="auto"/>
            <w:vAlign w:val="center"/>
          </w:tcPr>
          <w:p w14:paraId="6F19D88D">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Style w:val="29"/>
                <w:rFonts w:hint="eastAsia" w:ascii="宋体" w:hAnsi="宋体" w:eastAsia="宋体" w:cs="宋体"/>
                <w:sz w:val="21"/>
                <w:szCs w:val="21"/>
                <w:lang w:val="en-US" w:eastAsia="zh-CN" w:bidi="ar"/>
              </w:rPr>
              <w:t>波纹软管、电工胶布、扎带、枪钉</w:t>
            </w:r>
            <w:r>
              <w:rPr>
                <w:rStyle w:val="33"/>
                <w:rFonts w:hint="eastAsia" w:ascii="宋体" w:hAnsi="宋体" w:eastAsia="宋体" w:cs="宋体"/>
                <w:sz w:val="21"/>
                <w:szCs w:val="21"/>
                <w:lang w:val="en-US" w:eastAsia="zh-CN" w:bidi="ar"/>
              </w:rPr>
              <w:t>.</w:t>
            </w:r>
            <w:r>
              <w:rPr>
                <w:rStyle w:val="29"/>
                <w:rFonts w:hint="eastAsia" w:ascii="宋体" w:hAnsi="宋体" w:eastAsia="宋体" w:cs="宋体"/>
                <w:sz w:val="21"/>
                <w:szCs w:val="21"/>
                <w:lang w:val="en-US" w:eastAsia="zh-CN" w:bidi="ar"/>
              </w:rPr>
              <w:t>水泥</w:t>
            </w:r>
            <w:r>
              <w:rPr>
                <w:rStyle w:val="33"/>
                <w:rFonts w:hint="eastAsia" w:ascii="宋体" w:hAnsi="宋体" w:eastAsia="宋体" w:cs="宋体"/>
                <w:sz w:val="21"/>
                <w:szCs w:val="21"/>
                <w:lang w:val="en-US" w:eastAsia="zh-CN" w:bidi="ar"/>
              </w:rPr>
              <w:t>.</w:t>
            </w:r>
            <w:r>
              <w:rPr>
                <w:rStyle w:val="29"/>
                <w:rFonts w:hint="eastAsia" w:ascii="宋体" w:hAnsi="宋体" w:eastAsia="宋体" w:cs="宋体"/>
                <w:sz w:val="21"/>
                <w:szCs w:val="21"/>
                <w:lang w:val="en-US" w:eastAsia="zh-CN" w:bidi="ar"/>
              </w:rPr>
              <w:t>沙子</w:t>
            </w:r>
          </w:p>
        </w:tc>
        <w:tc>
          <w:tcPr>
            <w:tcW w:w="633" w:type="dxa"/>
            <w:shd w:val="clear" w:color="auto" w:fill="auto"/>
            <w:vAlign w:val="center"/>
          </w:tcPr>
          <w:p w14:paraId="48058E0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1批</w:t>
            </w:r>
          </w:p>
        </w:tc>
        <w:tc>
          <w:tcPr>
            <w:tcW w:w="1221" w:type="dxa"/>
            <w:shd w:val="clear" w:color="auto" w:fill="auto"/>
            <w:vAlign w:val="center"/>
          </w:tcPr>
          <w:p w14:paraId="2D330ECA">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2250</w:t>
            </w:r>
          </w:p>
        </w:tc>
      </w:tr>
      <w:tr w14:paraId="14BE6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C95F132">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105</w:t>
            </w:r>
          </w:p>
        </w:tc>
        <w:tc>
          <w:tcPr>
            <w:tcW w:w="1027" w:type="dxa"/>
            <w:shd w:val="clear" w:color="auto" w:fill="auto"/>
            <w:vAlign w:val="center"/>
          </w:tcPr>
          <w:p w14:paraId="5CDEDDB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存储硬盘</w:t>
            </w:r>
          </w:p>
        </w:tc>
        <w:tc>
          <w:tcPr>
            <w:tcW w:w="6543" w:type="dxa"/>
            <w:shd w:val="clear" w:color="auto" w:fill="auto"/>
            <w:vAlign w:val="center"/>
          </w:tcPr>
          <w:p w14:paraId="023460E6">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Style w:val="29"/>
                <w:rFonts w:hint="eastAsia" w:ascii="宋体" w:hAnsi="宋体" w:eastAsia="宋体" w:cs="宋体"/>
                <w:sz w:val="21"/>
                <w:szCs w:val="21"/>
                <w:lang w:val="en-US" w:eastAsia="zh-CN" w:bidi="ar"/>
              </w:rPr>
              <w:t>ST4T</w:t>
            </w:r>
            <w:r>
              <w:rPr>
                <w:rStyle w:val="31"/>
                <w:rFonts w:hint="eastAsia" w:ascii="宋体" w:hAnsi="宋体" w:eastAsia="宋体" w:cs="宋体"/>
                <w:sz w:val="21"/>
                <w:szCs w:val="21"/>
                <w:lang w:val="en-US" w:eastAsia="zh-CN" w:bidi="ar"/>
              </w:rPr>
              <w:t>监控盘</w:t>
            </w:r>
          </w:p>
        </w:tc>
        <w:tc>
          <w:tcPr>
            <w:tcW w:w="633" w:type="dxa"/>
            <w:shd w:val="clear" w:color="auto" w:fill="auto"/>
            <w:vAlign w:val="center"/>
          </w:tcPr>
          <w:p w14:paraId="7A6BB3FE">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2块</w:t>
            </w:r>
          </w:p>
        </w:tc>
        <w:tc>
          <w:tcPr>
            <w:tcW w:w="1221" w:type="dxa"/>
            <w:shd w:val="clear" w:color="auto" w:fill="auto"/>
            <w:vAlign w:val="center"/>
          </w:tcPr>
          <w:p w14:paraId="1A84F763">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835</w:t>
            </w:r>
          </w:p>
        </w:tc>
      </w:tr>
      <w:tr w14:paraId="438EB3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81B8D5E">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106</w:t>
            </w:r>
          </w:p>
        </w:tc>
        <w:tc>
          <w:tcPr>
            <w:tcW w:w="1027" w:type="dxa"/>
            <w:shd w:val="clear" w:color="auto" w:fill="auto"/>
            <w:vAlign w:val="center"/>
          </w:tcPr>
          <w:p w14:paraId="5AFDF8AC">
            <w:pPr>
              <w:keepNext w:val="0"/>
              <w:keepLines w:val="0"/>
              <w:widowControl/>
              <w:suppressLineNumbers w:val="0"/>
              <w:jc w:val="center"/>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显示器</w:t>
            </w:r>
          </w:p>
        </w:tc>
        <w:tc>
          <w:tcPr>
            <w:tcW w:w="6543" w:type="dxa"/>
            <w:shd w:val="clear" w:color="auto" w:fill="auto"/>
            <w:vAlign w:val="center"/>
          </w:tcPr>
          <w:p w14:paraId="18271E4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Style w:val="29"/>
                <w:rFonts w:hint="eastAsia" w:ascii="宋体" w:hAnsi="宋体" w:eastAsia="宋体" w:cs="宋体"/>
                <w:sz w:val="21"/>
                <w:szCs w:val="21"/>
                <w:lang w:val="en-US" w:eastAsia="zh-CN" w:bidi="ar"/>
              </w:rPr>
              <w:t>55</w:t>
            </w:r>
            <w:r>
              <w:rPr>
                <w:rStyle w:val="31"/>
                <w:rFonts w:hint="eastAsia" w:ascii="宋体" w:hAnsi="宋体" w:eastAsia="宋体" w:cs="宋体"/>
                <w:sz w:val="21"/>
                <w:szCs w:val="21"/>
                <w:lang w:val="en-US" w:eastAsia="zh-CN" w:bidi="ar"/>
              </w:rPr>
              <w:t>寸</w:t>
            </w:r>
          </w:p>
        </w:tc>
        <w:tc>
          <w:tcPr>
            <w:tcW w:w="633" w:type="dxa"/>
            <w:shd w:val="clear" w:color="auto" w:fill="auto"/>
            <w:vAlign w:val="center"/>
          </w:tcPr>
          <w:p w14:paraId="5A37814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1台</w:t>
            </w:r>
          </w:p>
        </w:tc>
        <w:tc>
          <w:tcPr>
            <w:tcW w:w="1221" w:type="dxa"/>
            <w:shd w:val="clear" w:color="auto" w:fill="auto"/>
            <w:vAlign w:val="center"/>
          </w:tcPr>
          <w:p w14:paraId="60CE7B10">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2"/>
                <w:szCs w:val="22"/>
                <w:u w:val="none"/>
                <w:lang w:val="en-US" w:eastAsia="zh-CN" w:bidi="ar"/>
              </w:rPr>
              <w:t>2660</w:t>
            </w:r>
          </w:p>
        </w:tc>
      </w:tr>
      <w:tr w14:paraId="78A16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5F421BE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（十一）热水系统</w:t>
            </w:r>
          </w:p>
        </w:tc>
      </w:tr>
      <w:tr w14:paraId="5A604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0BA1780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0684D7EB">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lang w:val="en-US"/>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2012795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7D7F606D">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2FBF6F8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78AAEE0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BFABBBC">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ascii="宋体" w:hAnsi="宋体" w:eastAsia="宋体" w:cs="宋体"/>
                <w:color w:val="auto"/>
                <w:sz w:val="21"/>
                <w:szCs w:val="21"/>
                <w:highlight w:val="none"/>
                <w:lang w:val="en-US" w:eastAsia="zh-CN"/>
              </w:rPr>
            </w:pPr>
            <w:r>
              <w:rPr>
                <w:rFonts w:hint="eastAsia" w:ascii="宋体" w:hAnsi="宋体" w:eastAsia="宋体" w:cs="宋体"/>
                <w:color w:val="auto"/>
                <w:sz w:val="21"/>
                <w:szCs w:val="21"/>
                <w:highlight w:val="none"/>
                <w:lang w:val="en-US" w:eastAsia="zh-CN"/>
              </w:rPr>
              <w:t>107</w:t>
            </w:r>
          </w:p>
        </w:tc>
        <w:tc>
          <w:tcPr>
            <w:tcW w:w="1027" w:type="dxa"/>
            <w:shd w:val="clear" w:color="auto" w:fill="auto"/>
            <w:vAlign w:val="center"/>
          </w:tcPr>
          <w:p w14:paraId="60038811">
            <w:pPr>
              <w:keepNext w:val="0"/>
              <w:keepLines w:val="0"/>
              <w:widowControl/>
              <w:suppressLineNumbers w:val="0"/>
              <w:jc w:val="left"/>
              <w:textAlignment w:val="center"/>
              <w:rPr>
                <w:rFonts w:hint="eastAsia" w:ascii="宋体" w:hAnsi="宋体" w:eastAsia="宋体" w:cs="宋体"/>
                <w:color w:val="auto"/>
                <w:sz w:val="21"/>
                <w:szCs w:val="21"/>
                <w:highlight w:val="none"/>
                <w:lang w:val="en-US"/>
              </w:rPr>
            </w:pPr>
            <w:r>
              <w:rPr>
                <w:rFonts w:hint="eastAsia" w:ascii="宋体" w:hAnsi="宋体" w:eastAsia="宋体" w:cs="宋体"/>
                <w:i w:val="0"/>
                <w:iCs w:val="0"/>
                <w:color w:val="000000"/>
                <w:kern w:val="0"/>
                <w:sz w:val="21"/>
                <w:szCs w:val="21"/>
                <w:u w:val="none"/>
                <w:lang w:val="en-US" w:eastAsia="zh-CN" w:bidi="ar"/>
              </w:rPr>
              <w:t>空气源热泵中央供热水系统</w:t>
            </w:r>
          </w:p>
        </w:tc>
        <w:tc>
          <w:tcPr>
            <w:tcW w:w="6543" w:type="dxa"/>
            <w:shd w:val="clear" w:color="auto" w:fill="auto"/>
            <w:vAlign w:val="center"/>
          </w:tcPr>
          <w:p w14:paraId="74973179">
            <w:pPr>
              <w:keepNext w:val="0"/>
              <w:keepLines w:val="0"/>
              <w:widowControl/>
              <w:suppressLineNumbers w:val="0"/>
              <w:jc w:val="left"/>
              <w:textAlignment w:val="center"/>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i w:val="0"/>
                <w:iCs w:val="0"/>
                <w:color w:val="000000"/>
                <w:kern w:val="0"/>
                <w:sz w:val="21"/>
                <w:szCs w:val="21"/>
                <w:u w:val="none"/>
                <w:lang w:val="en-US" w:eastAsia="zh-CN" w:bidi="ar"/>
              </w:rPr>
              <w:t>包含：空气源热泵2台，20m³储热水箱1个，热泵循环控制系统2套，热水回水控制系统1套，补冷水控制系统1套，热水增压控制系统1套，热泵循环泵2台，热水增压泵2台，紫外线消毒1个，电磁阀2台，天面管路46米，水件1批，闸类1批，电线及线管700米，其他辅材1项。</w:t>
            </w:r>
          </w:p>
        </w:tc>
        <w:tc>
          <w:tcPr>
            <w:tcW w:w="633" w:type="dxa"/>
            <w:shd w:val="clear" w:color="auto" w:fill="auto"/>
            <w:vAlign w:val="center"/>
          </w:tcPr>
          <w:p w14:paraId="4EEAB24C">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1套</w:t>
            </w:r>
          </w:p>
        </w:tc>
        <w:tc>
          <w:tcPr>
            <w:tcW w:w="1221" w:type="dxa"/>
            <w:shd w:val="clear" w:color="auto" w:fill="auto"/>
            <w:vAlign w:val="center"/>
          </w:tcPr>
          <w:p w14:paraId="4A9EE3ED">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211000</w:t>
            </w:r>
          </w:p>
        </w:tc>
      </w:tr>
      <w:tr w14:paraId="0E3B21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10040" w:type="dxa"/>
            <w:gridSpan w:val="5"/>
            <w:shd w:val="clear" w:color="auto" w:fill="auto"/>
            <w:noWrap/>
            <w:vAlign w:val="center"/>
          </w:tcPr>
          <w:p w14:paraId="427FD219">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（十二）安装</w:t>
            </w:r>
          </w:p>
        </w:tc>
      </w:tr>
      <w:tr w14:paraId="240DBC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44B80868">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lang w:val="en-US" w:eastAsia="zh-CN"/>
              </w:rPr>
            </w:pPr>
            <w:r>
              <w:rPr>
                <w:rFonts w:hint="eastAsia" w:ascii="宋体" w:hAnsi="宋体" w:eastAsia="宋体" w:cs="宋体"/>
                <w:b/>
                <w:bCs/>
                <w:color w:val="auto"/>
                <w:sz w:val="21"/>
                <w:szCs w:val="21"/>
                <w:highlight w:val="none"/>
                <w:lang w:val="zh-CN"/>
              </w:rPr>
              <w:t>项号</w:t>
            </w:r>
          </w:p>
        </w:tc>
        <w:tc>
          <w:tcPr>
            <w:tcW w:w="1027" w:type="dxa"/>
            <w:shd w:val="clear" w:color="auto" w:fill="auto"/>
            <w:vAlign w:val="center"/>
          </w:tcPr>
          <w:p w14:paraId="34B34A73">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货物名称</w:t>
            </w:r>
          </w:p>
        </w:tc>
        <w:tc>
          <w:tcPr>
            <w:tcW w:w="6543" w:type="dxa"/>
            <w:shd w:val="clear" w:color="auto" w:fill="auto"/>
            <w:vAlign w:val="center"/>
          </w:tcPr>
          <w:p w14:paraId="095D579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主要技术参数（型号规格、技术参数、性能及配置）</w:t>
            </w:r>
          </w:p>
        </w:tc>
        <w:tc>
          <w:tcPr>
            <w:tcW w:w="633" w:type="dxa"/>
            <w:shd w:val="clear" w:color="auto" w:fill="auto"/>
            <w:vAlign w:val="center"/>
          </w:tcPr>
          <w:p w14:paraId="3404FF87">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i w:val="0"/>
                <w:iCs w:val="0"/>
                <w:color w:val="000000"/>
                <w:kern w:val="0"/>
                <w:sz w:val="21"/>
                <w:szCs w:val="21"/>
                <w:u w:val="none"/>
                <w:lang w:val="en-US" w:eastAsia="zh-CN" w:bidi="ar"/>
              </w:rPr>
            </w:pPr>
            <w:r>
              <w:rPr>
                <w:rFonts w:hint="eastAsia" w:ascii="宋体" w:hAnsi="宋体" w:eastAsia="宋体" w:cs="宋体"/>
                <w:b/>
                <w:bCs/>
                <w:color w:val="auto"/>
                <w:sz w:val="21"/>
                <w:szCs w:val="21"/>
                <w:highlight w:val="none"/>
                <w:lang w:val="zh-CN"/>
              </w:rPr>
              <w:t>数量</w:t>
            </w:r>
          </w:p>
        </w:tc>
        <w:tc>
          <w:tcPr>
            <w:tcW w:w="1221" w:type="dxa"/>
            <w:shd w:val="clear" w:color="auto" w:fill="auto"/>
            <w:vAlign w:val="center"/>
          </w:tcPr>
          <w:p w14:paraId="0A6CDE55">
            <w:pPr>
              <w:keepNext w:val="0"/>
              <w:keepLines w:val="0"/>
              <w:pageBreakBefore w:val="0"/>
              <w:widowControl/>
              <w:kinsoku/>
              <w:wordWrap/>
              <w:overflowPunct/>
              <w:topLinePunct w:val="0"/>
              <w:bidi w:val="0"/>
              <w:adjustRightInd w:val="0"/>
              <w:snapToGrid w:val="0"/>
              <w:spacing w:before="181" w:beforeLines="50" w:after="181" w:afterLines="50"/>
              <w:jc w:val="center"/>
              <w:textAlignment w:val="top"/>
              <w:rPr>
                <w:rFonts w:hint="eastAsia" w:ascii="宋体" w:hAnsi="宋体" w:eastAsia="宋体" w:cs="宋体"/>
                <w:color w:val="auto"/>
                <w:sz w:val="21"/>
                <w:szCs w:val="21"/>
                <w:highlight w:val="none"/>
              </w:rPr>
            </w:pPr>
            <w:r>
              <w:rPr>
                <w:rFonts w:hint="eastAsia" w:ascii="宋体" w:hAnsi="宋体" w:eastAsia="宋体" w:cs="宋体"/>
                <w:b/>
                <w:bCs/>
                <w:color w:val="auto"/>
                <w:sz w:val="21"/>
                <w:szCs w:val="21"/>
                <w:highlight w:val="none"/>
                <w:lang w:val="zh-CN"/>
              </w:rPr>
              <w:t>参考单价（元）</w:t>
            </w:r>
          </w:p>
        </w:tc>
      </w:tr>
      <w:tr w14:paraId="1DC769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B18D46D">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color w:val="auto"/>
                <w:lang w:val="en-US" w:eastAsia="zh-CN"/>
              </w:rPr>
            </w:pPr>
            <w:r>
              <w:rPr>
                <w:rFonts w:hint="eastAsia" w:ascii="宋体" w:hAnsi="宋体" w:eastAsia="宋体" w:cs="宋体"/>
                <w:color w:val="auto"/>
                <w:sz w:val="21"/>
                <w:szCs w:val="21"/>
                <w:highlight w:val="none"/>
                <w:lang w:val="en-US" w:eastAsia="zh-CN"/>
              </w:rPr>
              <w:t>108</w:t>
            </w:r>
          </w:p>
        </w:tc>
        <w:tc>
          <w:tcPr>
            <w:tcW w:w="1027" w:type="dxa"/>
            <w:shd w:val="clear" w:color="auto" w:fill="auto"/>
            <w:vAlign w:val="center"/>
          </w:tcPr>
          <w:p w14:paraId="588C328D">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安装配件</w:t>
            </w:r>
          </w:p>
        </w:tc>
        <w:tc>
          <w:tcPr>
            <w:tcW w:w="6543" w:type="dxa"/>
            <w:shd w:val="clear" w:color="auto" w:fill="auto"/>
            <w:vAlign w:val="center"/>
          </w:tcPr>
          <w:p w14:paraId="59D58822">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安装辅材，及配件。</w:t>
            </w:r>
          </w:p>
        </w:tc>
        <w:tc>
          <w:tcPr>
            <w:tcW w:w="633" w:type="dxa"/>
            <w:shd w:val="clear" w:color="auto" w:fill="auto"/>
            <w:vAlign w:val="center"/>
          </w:tcPr>
          <w:p w14:paraId="3E355622">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1项</w:t>
            </w:r>
          </w:p>
        </w:tc>
        <w:tc>
          <w:tcPr>
            <w:tcW w:w="1221" w:type="dxa"/>
            <w:shd w:val="clear" w:color="auto" w:fill="auto"/>
            <w:vAlign w:val="center"/>
          </w:tcPr>
          <w:p w14:paraId="3F5FD4AB">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u w:val="none"/>
                <w:lang w:val="en-US" w:eastAsia="zh-CN" w:bidi="ar"/>
              </w:rPr>
              <w:t xml:space="preserve">18000 </w:t>
            </w:r>
          </w:p>
        </w:tc>
      </w:tr>
      <w:tr w14:paraId="5A11A6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27" w:hRule="atLeast"/>
        </w:trPr>
        <w:tc>
          <w:tcPr>
            <w:tcW w:w="616" w:type="dxa"/>
            <w:shd w:val="clear" w:color="auto" w:fill="auto"/>
            <w:noWrap/>
            <w:vAlign w:val="center"/>
          </w:tcPr>
          <w:p w14:paraId="63C08D33">
            <w:pPr>
              <w:keepNext w:val="0"/>
              <w:keepLines w:val="0"/>
              <w:pageBreakBefore w:val="0"/>
              <w:widowControl/>
              <w:kinsoku/>
              <w:wordWrap/>
              <w:overflowPunct/>
              <w:topLinePunct w:val="0"/>
              <w:bidi w:val="0"/>
              <w:adjustRightInd w:val="0"/>
              <w:snapToGrid w:val="0"/>
              <w:spacing w:before="181" w:beforeLines="50" w:after="181" w:afterLines="50"/>
              <w:jc w:val="center"/>
              <w:rPr>
                <w:rFonts w:hint="default"/>
                <w:color w:val="auto"/>
                <w:lang w:val="en-US" w:eastAsia="zh-CN"/>
              </w:rPr>
            </w:pPr>
            <w:r>
              <w:rPr>
                <w:rFonts w:hint="eastAsia" w:ascii="宋体" w:hAnsi="宋体" w:eastAsia="宋体" w:cs="宋体"/>
                <w:color w:val="auto"/>
                <w:sz w:val="21"/>
                <w:szCs w:val="21"/>
                <w:highlight w:val="none"/>
                <w:lang w:val="en-US" w:eastAsia="zh-CN"/>
              </w:rPr>
              <w:t>109</w:t>
            </w:r>
          </w:p>
        </w:tc>
        <w:tc>
          <w:tcPr>
            <w:tcW w:w="1027" w:type="dxa"/>
            <w:shd w:val="clear" w:color="auto" w:fill="auto"/>
            <w:vAlign w:val="center"/>
          </w:tcPr>
          <w:p w14:paraId="05B3E634">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安装费</w:t>
            </w:r>
          </w:p>
        </w:tc>
        <w:tc>
          <w:tcPr>
            <w:tcW w:w="6543" w:type="dxa"/>
            <w:shd w:val="clear" w:color="auto" w:fill="auto"/>
            <w:vAlign w:val="center"/>
          </w:tcPr>
          <w:p w14:paraId="3A3861E0">
            <w:pPr>
              <w:keepNext w:val="0"/>
              <w:keepLines w:val="0"/>
              <w:widowControl/>
              <w:suppressLineNumbers w:val="0"/>
              <w:jc w:val="left"/>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安装人工、调试费，</w:t>
            </w:r>
          </w:p>
        </w:tc>
        <w:tc>
          <w:tcPr>
            <w:tcW w:w="633" w:type="dxa"/>
            <w:shd w:val="clear" w:color="auto" w:fill="auto"/>
            <w:vAlign w:val="center"/>
          </w:tcPr>
          <w:p w14:paraId="55C46314">
            <w:pPr>
              <w:keepNext w:val="0"/>
              <w:keepLines w:val="0"/>
              <w:widowControl/>
              <w:suppressLineNumbers w:val="0"/>
              <w:jc w:val="center"/>
              <w:textAlignment w:val="center"/>
              <w:rPr>
                <w:rFonts w:hint="eastAsia" w:ascii="宋体" w:hAnsi="宋体" w:eastAsia="宋体" w:cs="宋体"/>
                <w:i w:val="0"/>
                <w:iCs w:val="0"/>
                <w:color w:val="auto"/>
                <w:kern w:val="0"/>
                <w:sz w:val="21"/>
                <w:szCs w:val="21"/>
                <w:u w:val="none"/>
                <w:lang w:val="en-US" w:eastAsia="zh-CN" w:bidi="ar"/>
              </w:rPr>
            </w:pPr>
            <w:r>
              <w:rPr>
                <w:rFonts w:hint="eastAsia" w:ascii="宋体" w:hAnsi="宋体" w:eastAsia="宋体" w:cs="宋体"/>
                <w:i w:val="0"/>
                <w:iCs w:val="0"/>
                <w:color w:val="auto"/>
                <w:kern w:val="0"/>
                <w:sz w:val="21"/>
                <w:szCs w:val="21"/>
                <w:u w:val="none"/>
                <w:lang w:val="en-US" w:eastAsia="zh-CN" w:bidi="ar"/>
              </w:rPr>
              <w:t>1项</w:t>
            </w:r>
          </w:p>
        </w:tc>
        <w:tc>
          <w:tcPr>
            <w:tcW w:w="1221" w:type="dxa"/>
            <w:shd w:val="clear" w:color="auto" w:fill="auto"/>
            <w:vAlign w:val="center"/>
          </w:tcPr>
          <w:p w14:paraId="4FD278B8">
            <w:pPr>
              <w:keepNext w:val="0"/>
              <w:keepLines w:val="0"/>
              <w:widowControl/>
              <w:suppressLineNumbers w:val="0"/>
              <w:jc w:val="center"/>
              <w:textAlignment w:val="center"/>
              <w:rPr>
                <w:rFonts w:hint="eastAsia" w:ascii="宋体" w:hAnsi="宋体" w:eastAsia="宋体" w:cs="宋体"/>
                <w:color w:val="auto"/>
                <w:sz w:val="21"/>
                <w:szCs w:val="21"/>
                <w:highlight w:val="none"/>
              </w:rPr>
            </w:pPr>
            <w:r>
              <w:rPr>
                <w:rFonts w:hint="eastAsia" w:ascii="宋体" w:hAnsi="宋体" w:eastAsia="宋体" w:cs="宋体"/>
                <w:i w:val="0"/>
                <w:iCs w:val="0"/>
                <w:color w:val="auto"/>
                <w:kern w:val="0"/>
                <w:sz w:val="21"/>
                <w:szCs w:val="21"/>
                <w:u w:val="none"/>
                <w:lang w:val="en-US" w:eastAsia="zh-CN" w:bidi="ar"/>
              </w:rPr>
              <w:t xml:space="preserve">27500 </w:t>
            </w:r>
          </w:p>
        </w:tc>
      </w:tr>
      <w:tr w14:paraId="7443C0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10040" w:type="dxa"/>
            <w:gridSpan w:val="5"/>
            <w:shd w:val="clear" w:color="auto" w:fill="auto"/>
            <w:noWrap/>
            <w:vAlign w:val="center"/>
          </w:tcPr>
          <w:p w14:paraId="6B3DCE53">
            <w:pPr>
              <w:keepNext w:val="0"/>
              <w:keepLines w:val="0"/>
              <w:pageBreakBefore w:val="0"/>
              <w:widowControl/>
              <w:kinsoku/>
              <w:wordWrap/>
              <w:overflowPunct/>
              <w:topLinePunct w:val="0"/>
              <w:bidi w:val="0"/>
              <w:adjustRightInd w:val="0"/>
              <w:snapToGrid w:val="0"/>
              <w:spacing w:before="181" w:beforeLines="50" w:after="181" w:afterLines="50"/>
              <w:rPr>
                <w:rFonts w:hint="eastAsia" w:ascii="宋体" w:hAnsi="宋体" w:eastAsia="宋体" w:cs="宋体"/>
                <w:b/>
                <w:color w:val="auto"/>
                <w:sz w:val="21"/>
                <w:szCs w:val="21"/>
                <w:highlight w:val="none"/>
              </w:rPr>
            </w:pPr>
            <w:r>
              <w:rPr>
                <w:rFonts w:hint="eastAsia" w:ascii="宋体" w:hAnsi="宋体" w:eastAsia="宋体" w:cs="宋体"/>
                <w:i w:val="0"/>
                <w:iCs w:val="0"/>
                <w:color w:val="000000"/>
                <w:kern w:val="0"/>
                <w:sz w:val="21"/>
                <w:szCs w:val="21"/>
                <w:u w:val="none"/>
                <w:lang w:val="en-US" w:eastAsia="zh-CN" w:bidi="ar"/>
              </w:rPr>
              <w:t>★</w:t>
            </w:r>
            <w:r>
              <w:rPr>
                <w:rFonts w:hint="eastAsia" w:ascii="宋体" w:hAnsi="宋体" w:eastAsia="宋体" w:cs="宋体"/>
                <w:b/>
                <w:color w:val="auto"/>
                <w:sz w:val="21"/>
                <w:szCs w:val="21"/>
                <w:highlight w:val="none"/>
              </w:rPr>
              <w:t>二、商务要求（以下所有商务条款均为实质性要求）</w:t>
            </w:r>
          </w:p>
        </w:tc>
      </w:tr>
      <w:tr w14:paraId="7A18F8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4" w:hRule="atLeast"/>
        </w:trPr>
        <w:tc>
          <w:tcPr>
            <w:tcW w:w="1643" w:type="dxa"/>
            <w:gridSpan w:val="2"/>
            <w:shd w:val="clear" w:color="auto" w:fill="auto"/>
            <w:noWrap/>
            <w:vAlign w:val="center"/>
          </w:tcPr>
          <w:p w14:paraId="633646DE">
            <w:pPr>
              <w:keepNext w:val="0"/>
              <w:keepLines w:val="0"/>
              <w:pageBreakBefore w:val="0"/>
              <w:widowControl/>
              <w:kinsoku/>
              <w:wordWrap/>
              <w:overflowPunct/>
              <w:topLinePunct w:val="0"/>
              <w:bidi w:val="0"/>
              <w:adjustRightInd w:val="0"/>
              <w:snapToGrid w:val="0"/>
              <w:spacing w:before="181" w:beforeLines="50" w:after="181" w:afterLines="50"/>
              <w:rPr>
                <w:rFonts w:hint="eastAsia" w:ascii="宋体" w:hAnsi="宋体" w:eastAsia="宋体" w:cs="宋体"/>
                <w:b/>
                <w:color w:val="auto"/>
                <w:sz w:val="21"/>
                <w:szCs w:val="21"/>
                <w:highlight w:val="none"/>
              </w:rPr>
            </w:pPr>
            <w:r>
              <w:rPr>
                <w:rFonts w:hint="eastAsia" w:ascii="宋体" w:hAnsi="宋体" w:eastAsia="宋体" w:cs="宋体"/>
                <w:b/>
                <w:bCs/>
                <w:color w:val="auto"/>
                <w:sz w:val="21"/>
                <w:szCs w:val="21"/>
                <w:highlight w:val="none"/>
              </w:rPr>
              <w:t>售后服务要求</w:t>
            </w:r>
          </w:p>
        </w:tc>
        <w:tc>
          <w:tcPr>
            <w:tcW w:w="8397" w:type="dxa"/>
            <w:gridSpan w:val="3"/>
            <w:shd w:val="clear" w:color="auto" w:fill="auto"/>
            <w:noWrap/>
            <w:vAlign w:val="center"/>
          </w:tcPr>
          <w:p w14:paraId="09781A63">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 xml:space="preserve">1.所有产品必须是厂家合法渠道的全新正品，符合规定的质量、规格、性能，并按 照相关国际、国家及专业标准检验的合格产品，其产品须符合国家有关规定及厂家承诺实行“三包”（采购需求有特殊要求的，按采购需求执行）。 </w:t>
            </w:r>
          </w:p>
          <w:p w14:paraId="3EB785F7">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2.保修年限：</w:t>
            </w:r>
            <w:r>
              <w:rPr>
                <w:rFonts w:hint="eastAsia" w:ascii="宋体" w:hAnsi="宋体" w:eastAsia="宋体" w:cs="宋体"/>
                <w:color w:val="auto"/>
                <w:sz w:val="21"/>
                <w:szCs w:val="21"/>
              </w:rPr>
              <w:t>除有特殊要求外，</w:t>
            </w:r>
            <w:r>
              <w:rPr>
                <w:rFonts w:hint="eastAsia" w:ascii="宋体" w:hAnsi="宋体" w:eastAsia="宋体" w:cs="宋体"/>
                <w:color w:val="000000"/>
                <w:kern w:val="0"/>
                <w:sz w:val="21"/>
                <w:szCs w:val="21"/>
                <w:lang w:val="en-US" w:eastAsia="zh-CN" w:bidi="ar"/>
              </w:rPr>
              <w:t>各项货物免费保修期最短不得少于两年</w:t>
            </w:r>
            <w:r>
              <w:rPr>
                <w:rFonts w:hint="eastAsia" w:ascii="宋体" w:hAnsi="宋体" w:eastAsia="宋体" w:cs="宋体"/>
                <w:color w:val="auto"/>
                <w:sz w:val="21"/>
                <w:szCs w:val="21"/>
              </w:rPr>
              <w:t>(若厂家免费质保期超过两年的,按厂家规定保修)</w:t>
            </w:r>
            <w:r>
              <w:rPr>
                <w:rFonts w:hint="eastAsia" w:ascii="宋体" w:hAnsi="宋体" w:eastAsia="宋体" w:cs="宋体"/>
                <w:color w:val="000000"/>
                <w:kern w:val="0"/>
                <w:sz w:val="21"/>
                <w:szCs w:val="21"/>
                <w:lang w:val="en-US" w:eastAsia="zh-CN" w:bidi="ar"/>
              </w:rPr>
              <w:t xml:space="preserve">。 </w:t>
            </w:r>
          </w:p>
          <w:p w14:paraId="7235582F">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 xml:space="preserve">3.免费送货上门，免费安装调试合格。 </w:t>
            </w:r>
          </w:p>
          <w:p w14:paraId="1376CC4C">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 xml:space="preserve">4.服务响应时间：接到用户故障通知后2小时内给予答复，4小时内给出解决方案，24小时内解决故障。未能在规定时间内排除故障的，必须在48小时内提供同档次的备用机并提交故障解决处理方案。 </w:t>
            </w:r>
          </w:p>
          <w:p w14:paraId="3F931442">
            <w:pPr>
              <w:keepNext w:val="0"/>
              <w:keepLines w:val="0"/>
              <w:pageBreakBefore w:val="0"/>
              <w:widowControl/>
              <w:suppressLineNumbers w:val="0"/>
              <w:kinsoku/>
              <w:wordWrap/>
              <w:overflowPunct/>
              <w:topLinePunct w:val="0"/>
              <w:autoSpaceDE/>
              <w:autoSpaceDN/>
              <w:bidi w:val="0"/>
              <w:snapToGrid/>
              <w:spacing w:line="240" w:lineRule="auto"/>
              <w:jc w:val="left"/>
              <w:textAlignment w:val="auto"/>
              <w:rPr>
                <w:rFonts w:hint="eastAsia" w:ascii="宋体" w:hAnsi="宋体" w:eastAsia="宋体" w:cs="宋体"/>
                <w:sz w:val="21"/>
                <w:szCs w:val="21"/>
              </w:rPr>
            </w:pPr>
            <w:r>
              <w:rPr>
                <w:rFonts w:hint="eastAsia" w:ascii="宋体" w:hAnsi="宋体" w:eastAsia="宋体" w:cs="宋体"/>
                <w:color w:val="000000"/>
                <w:kern w:val="0"/>
                <w:sz w:val="21"/>
                <w:szCs w:val="21"/>
                <w:lang w:val="en-US" w:eastAsia="zh-CN" w:bidi="ar"/>
              </w:rPr>
              <w:t xml:space="preserve">5.质保期内所有货物免费上门维修服务、免费更换零部件；质保期过后提供免费电话咨询服务，并应承诺提供产品终身上门维护；其余按厂家承诺进行。 </w:t>
            </w:r>
          </w:p>
          <w:p w14:paraId="46D97BF1">
            <w:pPr>
              <w:keepNext w:val="0"/>
              <w:keepLines w:val="0"/>
              <w:pageBreakBefore w:val="0"/>
              <w:widowControl/>
              <w:kinsoku/>
              <w:wordWrap/>
              <w:overflowPunct/>
              <w:topLinePunct w:val="0"/>
              <w:bidi w:val="0"/>
              <w:adjustRightInd w:val="0"/>
              <w:snapToGrid w:val="0"/>
              <w:spacing w:before="181" w:beforeLines="50" w:after="181" w:afterLines="50"/>
              <w:rPr>
                <w:rFonts w:hint="eastAsia" w:ascii="宋体" w:hAnsi="宋体" w:eastAsia="宋体" w:cs="宋体"/>
                <w:b/>
                <w:color w:val="auto"/>
                <w:sz w:val="21"/>
                <w:szCs w:val="21"/>
                <w:highlight w:val="none"/>
              </w:rPr>
            </w:pPr>
            <w:r>
              <w:rPr>
                <w:rFonts w:hint="eastAsia" w:ascii="宋体" w:hAnsi="宋体" w:eastAsia="宋体" w:cs="宋体"/>
                <w:color w:val="000000"/>
                <w:kern w:val="0"/>
                <w:sz w:val="21"/>
                <w:szCs w:val="21"/>
                <w:lang w:val="en-US" w:eastAsia="zh-CN" w:bidi="ar"/>
              </w:rPr>
              <w:t>6.在质保期内，如果中标供应商和制造商的产品技术升级，供应商应及时通知采购人，如采购人有相应要求，中标供应商和制造商应对采购人购买的产品进行升级服务。</w:t>
            </w:r>
          </w:p>
        </w:tc>
      </w:tr>
      <w:tr w14:paraId="52252A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68" w:hRule="atLeast"/>
        </w:trPr>
        <w:tc>
          <w:tcPr>
            <w:tcW w:w="1643" w:type="dxa"/>
            <w:gridSpan w:val="2"/>
            <w:shd w:val="clear" w:color="auto" w:fill="auto"/>
            <w:noWrap/>
            <w:vAlign w:val="center"/>
          </w:tcPr>
          <w:p w14:paraId="1F93E206">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交货时间及地点</w:t>
            </w:r>
          </w:p>
        </w:tc>
        <w:tc>
          <w:tcPr>
            <w:tcW w:w="8397" w:type="dxa"/>
            <w:gridSpan w:val="3"/>
            <w:shd w:val="clear" w:color="auto" w:fill="auto"/>
            <w:vAlign w:val="center"/>
          </w:tcPr>
          <w:p w14:paraId="6504BE27">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outlineLvl w:val="4"/>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1.交付使用时间：自签订合同之日起 30 天内到货，45 天内全部安装调试完毕。货到学校有货物签收单由学校清点签收。若因业主场地原因，导至不能安装调试的，交付时间由中标商和业主协商确定。</w:t>
            </w:r>
          </w:p>
          <w:p w14:paraId="49E1085F">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outlineLvl w:val="4"/>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2、交货地点：采购人指定地点。</w:t>
            </w:r>
          </w:p>
        </w:tc>
      </w:tr>
      <w:tr w14:paraId="46FC35E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584" w:hRule="atLeast"/>
        </w:trPr>
        <w:tc>
          <w:tcPr>
            <w:tcW w:w="1643" w:type="dxa"/>
            <w:gridSpan w:val="2"/>
            <w:shd w:val="clear" w:color="auto" w:fill="auto"/>
            <w:noWrap/>
            <w:vAlign w:val="center"/>
          </w:tcPr>
          <w:p w14:paraId="72891220">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000000" w:themeColor="text1"/>
                <w:sz w:val="21"/>
                <w:szCs w:val="21"/>
                <w:highlight w:val="none"/>
                <w14:textFill>
                  <w14:solidFill>
                    <w14:schemeClr w14:val="tx1"/>
                  </w14:solidFill>
                </w14:textFill>
              </w:rPr>
            </w:pPr>
            <w:r>
              <w:rPr>
                <w:rFonts w:hint="eastAsia" w:ascii="宋体" w:hAnsi="宋体" w:eastAsia="宋体" w:cs="宋体"/>
                <w:b/>
                <w:bCs/>
                <w:color w:val="000000" w:themeColor="text1"/>
                <w:sz w:val="21"/>
                <w:szCs w:val="21"/>
                <w:highlight w:val="none"/>
                <w14:textFill>
                  <w14:solidFill>
                    <w14:schemeClr w14:val="tx1"/>
                  </w14:solidFill>
                </w14:textFill>
              </w:rPr>
              <w:t>付款方式</w:t>
            </w:r>
          </w:p>
        </w:tc>
        <w:tc>
          <w:tcPr>
            <w:tcW w:w="8397" w:type="dxa"/>
            <w:gridSpan w:val="3"/>
            <w:shd w:val="clear" w:color="auto" w:fill="auto"/>
            <w:vAlign w:val="center"/>
          </w:tcPr>
          <w:p w14:paraId="70741124">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1、合同总价包括中标服务商完成本项目服务要求后所产生的全部费用（含税），采购人不再另行向中标服务商支付其他任何费用。</w:t>
            </w:r>
          </w:p>
          <w:p w14:paraId="5A949264">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2、本项目的资金拨付根据项目资金的到账情况及财政部门的付款流程、付款期限执行。</w:t>
            </w:r>
          </w:p>
          <w:p w14:paraId="32AFA77E">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color w:val="000000" w:themeColor="text1"/>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合同签订后，成交供应商可申请预付合同金额的30%，同时提供相应金额的发票，财政部门拨付的该项目资金到账后，采购人在10个工作日内向成交供应商支付预付款；项目竣工且验收合格后，成交供应商开具相应金额发票给采购人，财政部门拨付的该项目资金到账后，采购人在30个工作日内向成交供应商支付剩余合同金额的70%（无息）。</w:t>
            </w:r>
          </w:p>
        </w:tc>
      </w:tr>
      <w:tr w14:paraId="1DF39E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55" w:hRule="atLeast"/>
        </w:trPr>
        <w:tc>
          <w:tcPr>
            <w:tcW w:w="1643" w:type="dxa"/>
            <w:gridSpan w:val="2"/>
            <w:shd w:val="clear" w:color="auto" w:fill="auto"/>
            <w:noWrap/>
            <w:vAlign w:val="center"/>
          </w:tcPr>
          <w:p w14:paraId="3220DEEF">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000000" w:themeColor="text1"/>
                <w:sz w:val="21"/>
                <w:szCs w:val="21"/>
                <w:highlight w:val="none"/>
                <w14:textFill>
                  <w14:solidFill>
                    <w14:schemeClr w14:val="tx1"/>
                  </w14:solidFill>
                </w14:textFill>
              </w:rPr>
            </w:pPr>
            <w:r>
              <w:rPr>
                <w:rFonts w:hint="eastAsia" w:ascii="宋体" w:hAnsi="宋体" w:eastAsia="宋体" w:cs="宋体"/>
                <w:b/>
                <w:bCs/>
                <w:color w:val="000000" w:themeColor="text1"/>
                <w:sz w:val="21"/>
                <w:szCs w:val="21"/>
                <w:highlight w:val="none"/>
                <w14:textFill>
                  <w14:solidFill>
                    <w14:schemeClr w14:val="tx1"/>
                  </w14:solidFill>
                </w14:textFill>
              </w:rPr>
              <w:t>验收</w:t>
            </w:r>
            <w:r>
              <w:rPr>
                <w:rFonts w:hint="eastAsia" w:ascii="宋体" w:hAnsi="宋体" w:eastAsia="宋体" w:cs="宋体"/>
                <w:b/>
                <w:bCs/>
                <w:color w:val="000000" w:themeColor="text1"/>
                <w:sz w:val="21"/>
                <w:szCs w:val="21"/>
                <w:highlight w:val="none"/>
                <w:lang w:eastAsia="zh-CN"/>
                <w14:textFill>
                  <w14:solidFill>
                    <w14:schemeClr w14:val="tx1"/>
                  </w14:solidFill>
                </w14:textFill>
              </w:rPr>
              <w:t>要求</w:t>
            </w:r>
          </w:p>
        </w:tc>
        <w:tc>
          <w:tcPr>
            <w:tcW w:w="8397" w:type="dxa"/>
            <w:gridSpan w:val="3"/>
            <w:shd w:val="clear" w:color="auto" w:fill="auto"/>
            <w:vAlign w:val="center"/>
          </w:tcPr>
          <w:p w14:paraId="4B2C6880">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 xml:space="preserve">1.采购人将组织相关人员及专家对采购项目进行验收，验收意见作为验收书的参考资料存档备查，验收将严格按照招标文件的规定和投标文件的响应及承诺执行，验收不合格的将根据合同有关条款进行处理。 </w:t>
            </w:r>
          </w:p>
          <w:p w14:paraId="0F5B2019">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 xml:space="preserve">2.验收依据：招标文件和中标供应商的投标文件。 </w:t>
            </w:r>
          </w:p>
          <w:p w14:paraId="101D1D9E">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 xml:space="preserve">3.签订合同后，中标供应商须提供生产厂家出具的“技术要求”确认表、售后服务保证原件、供货证明原件，否则采购方将不予通过验收。 </w:t>
            </w:r>
          </w:p>
          <w:p w14:paraId="3CFA43F6">
            <w:pPr>
              <w:rPr>
                <w:rFonts w:hint="eastAsia" w:ascii="宋体" w:hAnsi="宋体" w:eastAsia="宋体" w:cs="宋体"/>
                <w:color w:val="000000" w:themeColor="text1"/>
                <w:lang w:val="en-US"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lang w:val="en-US" w:eastAsia="zh-CN"/>
                <w14:textFill>
                  <w14:solidFill>
                    <w14:schemeClr w14:val="tx1"/>
                  </w14:solidFill>
                </w14:textFill>
              </w:rPr>
              <w:t>货物（设备）技术参数中属于固定值要求的厚度参数，投标产品只能大于等于招标文件中要求的数值，属于固定值要求的其他参数，投标产品允许有1%的偏差。</w:t>
            </w:r>
          </w:p>
          <w:p w14:paraId="441B9746">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highlight w:val="none"/>
                <w14:textFill>
                  <w14:solidFill>
                    <w14:schemeClr w14:val="tx1"/>
                  </w14:solidFill>
                </w14:textFill>
              </w:rPr>
              <w:t>.中标供应商必须提供原装正品的、全新的、符合有关质量标准的产品和按要求提供资料。交货时，采购人现场根据招标文件要求和投标文件承诺逐条对应进行核验，若发现产品不符合招标文件要求和投标文件承诺的，采购人不予验收，同时报相关监督管理部门处理，由此造成采购人经济损失的由中标供应商负责承担全部赔偿责任。</w:t>
            </w:r>
          </w:p>
        </w:tc>
      </w:tr>
      <w:tr w14:paraId="4116CE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643" w:type="dxa"/>
            <w:gridSpan w:val="2"/>
            <w:shd w:val="clear" w:color="auto" w:fill="auto"/>
            <w:noWrap/>
            <w:vAlign w:val="center"/>
          </w:tcPr>
          <w:p w14:paraId="6D2ED255">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auto"/>
                <w:sz w:val="21"/>
                <w:szCs w:val="21"/>
                <w:highlight w:val="none"/>
              </w:rPr>
            </w:pPr>
            <w:r>
              <w:rPr>
                <w:rFonts w:hint="eastAsia" w:ascii="宋体" w:hAnsi="宋体" w:eastAsia="宋体" w:cs="宋体"/>
                <w:b/>
                <w:bCs/>
                <w:color w:val="auto"/>
                <w:sz w:val="21"/>
                <w:szCs w:val="21"/>
                <w:highlight w:val="none"/>
              </w:rPr>
              <w:t>质量标准</w:t>
            </w:r>
          </w:p>
        </w:tc>
        <w:tc>
          <w:tcPr>
            <w:tcW w:w="8397" w:type="dxa"/>
            <w:gridSpan w:val="3"/>
            <w:shd w:val="clear" w:color="auto" w:fill="auto"/>
            <w:vAlign w:val="center"/>
          </w:tcPr>
          <w:p w14:paraId="3E98F112">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ind w:firstLine="411" w:firstLineChars="196"/>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产品符合设备制造厂家合格产品的出厂质量标准，提供全新的原装正品，不得侵犯任何第三方的专利权、商标权、工业设计权或其他权利。</w:t>
            </w:r>
          </w:p>
        </w:tc>
      </w:tr>
      <w:tr w14:paraId="0A68DD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15" w:hRule="atLeast"/>
        </w:trPr>
        <w:tc>
          <w:tcPr>
            <w:tcW w:w="1643" w:type="dxa"/>
            <w:gridSpan w:val="2"/>
            <w:shd w:val="clear" w:color="auto" w:fill="auto"/>
            <w:noWrap/>
            <w:vAlign w:val="center"/>
          </w:tcPr>
          <w:p w14:paraId="4C83E14D">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bCs/>
                <w:color w:val="000000" w:themeColor="text1"/>
                <w:sz w:val="21"/>
                <w:szCs w:val="21"/>
                <w:highlight w:val="none"/>
                <w14:textFill>
                  <w14:solidFill>
                    <w14:schemeClr w14:val="tx1"/>
                  </w14:solidFill>
                </w14:textFill>
              </w:rPr>
            </w:pPr>
            <w:r>
              <w:rPr>
                <w:rFonts w:hint="eastAsia" w:ascii="宋体" w:hAnsi="宋体" w:eastAsia="宋体" w:cs="宋体"/>
                <w:b/>
                <w:bCs/>
                <w:color w:val="000000" w:themeColor="text1"/>
                <w:sz w:val="21"/>
                <w:szCs w:val="21"/>
                <w:highlight w:val="none"/>
                <w14:textFill>
                  <w14:solidFill>
                    <w14:schemeClr w14:val="tx1"/>
                  </w14:solidFill>
                </w14:textFill>
              </w:rPr>
              <w:t>其他要求</w:t>
            </w:r>
          </w:p>
        </w:tc>
        <w:tc>
          <w:tcPr>
            <w:tcW w:w="8397" w:type="dxa"/>
            <w:gridSpan w:val="3"/>
            <w:shd w:val="clear" w:color="auto" w:fill="auto"/>
            <w:vAlign w:val="center"/>
          </w:tcPr>
          <w:p w14:paraId="46F1B8B9">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1.本</w:t>
            </w:r>
            <w:r>
              <w:rPr>
                <w:rFonts w:hint="eastAsia" w:ascii="宋体" w:hAnsi="宋体" w:eastAsia="宋体" w:cs="宋体"/>
                <w:color w:val="000000" w:themeColor="text1"/>
                <w:sz w:val="21"/>
                <w:szCs w:val="21"/>
                <w:highlight w:val="none"/>
                <w:lang w:eastAsia="zh-CN"/>
                <w14:textFill>
                  <w14:solidFill>
                    <w14:schemeClr w14:val="tx1"/>
                  </w14:solidFill>
                </w14:textFill>
              </w:rPr>
              <w:t>标项</w:t>
            </w:r>
            <w:r>
              <w:rPr>
                <w:rFonts w:hint="eastAsia" w:ascii="宋体" w:hAnsi="宋体" w:eastAsia="宋体" w:cs="宋体"/>
                <w:color w:val="000000" w:themeColor="text1"/>
                <w:sz w:val="21"/>
                <w:szCs w:val="21"/>
                <w:highlight w:val="none"/>
                <w14:textFill>
                  <w14:solidFill>
                    <w14:schemeClr w14:val="tx1"/>
                  </w14:solidFill>
                </w14:textFill>
              </w:rPr>
              <w:t>采购预算金额为人民币10</w:t>
            </w:r>
            <w:r>
              <w:rPr>
                <w:rFonts w:hint="eastAsia" w:ascii="宋体" w:hAnsi="宋体" w:eastAsia="宋体" w:cs="宋体"/>
                <w:color w:val="000000" w:themeColor="text1"/>
                <w:sz w:val="21"/>
                <w:szCs w:val="21"/>
                <w:highlight w:val="none"/>
                <w:lang w:val="en-US" w:eastAsia="zh-CN"/>
                <w14:textFill>
                  <w14:solidFill>
                    <w14:schemeClr w14:val="tx1"/>
                  </w14:solidFill>
                </w14:textFill>
              </w:rPr>
              <w:t>04</w:t>
            </w:r>
            <w:r>
              <w:rPr>
                <w:rFonts w:hint="eastAsia" w:ascii="宋体" w:hAnsi="宋体" w:eastAsia="宋体" w:cs="宋体"/>
                <w:color w:val="000000" w:themeColor="text1"/>
                <w:sz w:val="21"/>
                <w:szCs w:val="21"/>
                <w:highlight w:val="none"/>
                <w14:textFill>
                  <w14:solidFill>
                    <w14:schemeClr w14:val="tx1"/>
                  </w14:solidFill>
                </w14:textFill>
              </w:rPr>
              <w:t>000.00元，最高限价：10</w:t>
            </w:r>
            <w:r>
              <w:rPr>
                <w:rFonts w:hint="eastAsia" w:ascii="宋体" w:hAnsi="宋体" w:eastAsia="宋体" w:cs="宋体"/>
                <w:color w:val="000000" w:themeColor="text1"/>
                <w:sz w:val="21"/>
                <w:szCs w:val="21"/>
                <w:highlight w:val="none"/>
                <w:lang w:val="en-US" w:eastAsia="zh-CN"/>
                <w14:textFill>
                  <w14:solidFill>
                    <w14:schemeClr w14:val="tx1"/>
                  </w14:solidFill>
                </w14:textFill>
              </w:rPr>
              <w:t>04</w:t>
            </w:r>
            <w:r>
              <w:rPr>
                <w:rFonts w:hint="eastAsia" w:ascii="宋体" w:hAnsi="宋体" w:eastAsia="宋体" w:cs="宋体"/>
                <w:color w:val="000000" w:themeColor="text1"/>
                <w:sz w:val="21"/>
                <w:szCs w:val="21"/>
                <w:highlight w:val="none"/>
                <w14:textFill>
                  <w14:solidFill>
                    <w14:schemeClr w14:val="tx1"/>
                  </w14:solidFill>
                </w14:textFill>
              </w:rPr>
              <w:t>000.00</w:t>
            </w:r>
            <w:r>
              <w:rPr>
                <w:rFonts w:hint="eastAsia" w:ascii="宋体" w:hAnsi="宋体" w:eastAsia="宋体" w:cs="宋体"/>
                <w:color w:val="000000" w:themeColor="text1"/>
                <w:sz w:val="21"/>
                <w:szCs w:val="21"/>
                <w:highlight w:val="none"/>
                <w:lang w:eastAsia="zh-CN"/>
                <w14:textFill>
                  <w14:solidFill>
                    <w14:schemeClr w14:val="tx1"/>
                  </w14:solidFill>
                </w14:textFill>
              </w:rPr>
              <w:t>元，</w:t>
            </w:r>
            <w:r>
              <w:rPr>
                <w:rFonts w:hint="eastAsia" w:ascii="宋体" w:hAnsi="宋体" w:eastAsia="宋体" w:cs="宋体"/>
                <w:color w:val="000000" w:themeColor="text1"/>
                <w:sz w:val="21"/>
                <w:szCs w:val="21"/>
                <w:highlight w:val="none"/>
                <w14:textFill>
                  <w14:solidFill>
                    <w14:schemeClr w14:val="tx1"/>
                  </w14:solidFill>
                </w14:textFill>
              </w:rPr>
              <w:t>投标</w:t>
            </w:r>
            <w:r>
              <w:rPr>
                <w:rFonts w:hint="eastAsia" w:ascii="宋体" w:hAnsi="宋体" w:eastAsia="宋体" w:cs="宋体"/>
                <w:color w:val="000000" w:themeColor="text1"/>
                <w:sz w:val="21"/>
                <w:szCs w:val="21"/>
                <w:highlight w:val="none"/>
                <w:lang w:eastAsia="zh-CN"/>
                <w14:textFill>
                  <w14:solidFill>
                    <w14:schemeClr w14:val="tx1"/>
                  </w14:solidFill>
                </w14:textFill>
              </w:rPr>
              <w:t>总</w:t>
            </w:r>
            <w:r>
              <w:rPr>
                <w:rFonts w:hint="eastAsia" w:ascii="宋体" w:hAnsi="宋体" w:eastAsia="宋体" w:cs="宋体"/>
                <w:color w:val="000000" w:themeColor="text1"/>
                <w:sz w:val="21"/>
                <w:szCs w:val="21"/>
                <w:highlight w:val="none"/>
                <w14:textFill>
                  <w14:solidFill>
                    <w14:schemeClr w14:val="tx1"/>
                  </w14:solidFill>
                </w14:textFill>
              </w:rPr>
              <w:t>报价超出采购</w:t>
            </w:r>
            <w:r>
              <w:rPr>
                <w:rFonts w:hint="eastAsia" w:ascii="宋体" w:hAnsi="宋体" w:eastAsia="宋体" w:cs="宋体"/>
                <w:b/>
                <w:bCs/>
                <w:color w:val="000000" w:themeColor="text1"/>
                <w:kern w:val="2"/>
                <w:sz w:val="21"/>
                <w:szCs w:val="21"/>
                <w:highlight w:val="none"/>
                <w:lang w:eastAsia="zh-CN"/>
                <w14:textFill>
                  <w14:solidFill>
                    <w14:schemeClr w14:val="tx1"/>
                  </w14:solidFill>
                </w14:textFill>
              </w:rPr>
              <w:t>最高限价</w:t>
            </w:r>
            <w:r>
              <w:rPr>
                <w:rFonts w:hint="eastAsia" w:ascii="宋体" w:hAnsi="宋体" w:eastAsia="宋体" w:cs="宋体"/>
                <w:color w:val="000000" w:themeColor="text1"/>
                <w:sz w:val="21"/>
                <w:szCs w:val="21"/>
                <w:highlight w:val="none"/>
                <w14:textFill>
                  <w14:solidFill>
                    <w14:schemeClr w14:val="tx1"/>
                  </w14:solidFill>
                </w14:textFill>
              </w:rPr>
              <w:t>的，作投标无效处理。</w:t>
            </w:r>
          </w:p>
          <w:p w14:paraId="0D68B766">
            <w:pPr>
              <w:pStyle w:val="6"/>
              <w:rPr>
                <w:rFonts w:hint="eastAsia"/>
                <w:color w:val="000000" w:themeColor="text1"/>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2.本</w:t>
            </w:r>
            <w:r>
              <w:rPr>
                <w:rFonts w:hint="eastAsia" w:ascii="宋体" w:hAnsi="宋体" w:eastAsia="宋体" w:cs="宋体"/>
                <w:color w:val="000000" w:themeColor="text1"/>
                <w:sz w:val="21"/>
                <w:szCs w:val="21"/>
                <w:highlight w:val="none"/>
                <w:lang w:eastAsia="zh-CN"/>
                <w14:textFill>
                  <w14:solidFill>
                    <w14:schemeClr w14:val="tx1"/>
                  </w14:solidFill>
                </w14:textFill>
              </w:rPr>
              <w:t>标项</w:t>
            </w:r>
            <w:r>
              <w:rPr>
                <w:rFonts w:hint="eastAsia" w:ascii="宋体" w:hAnsi="宋体" w:cs="宋体"/>
                <w:color w:val="000000" w:themeColor="text1"/>
                <w:sz w:val="21"/>
                <w:szCs w:val="21"/>
                <w:highlight w:val="none"/>
                <w:lang w:val="en-US" w:eastAsia="zh-CN"/>
                <w14:textFill>
                  <w14:solidFill>
                    <w14:schemeClr w14:val="tx1"/>
                  </w14:solidFill>
                </w14:textFill>
              </w:rPr>
              <w:t>实行总承包报价；投标报价包含设备设施的投入、集成安装、运抵指定地点运输及装卸、现场安装调试、第三方履约验收代理服务费用、各项保险、附加培训、售后服务、税金、利润及其他所有可能发生的一切费用及所有的不定因素的风险，合同履行过程中，采购人不再另行向中标服务商支付其他任何费用。</w:t>
            </w:r>
          </w:p>
          <w:p w14:paraId="776A1FA6">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u w:val="singl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3</w:t>
            </w:r>
            <w:r>
              <w:rPr>
                <w:rFonts w:hint="eastAsia" w:ascii="宋体" w:hAnsi="宋体" w:eastAsia="宋体" w:cs="宋体"/>
                <w:color w:val="000000" w:themeColor="text1"/>
                <w:sz w:val="21"/>
                <w:szCs w:val="21"/>
                <w:highlight w:val="none"/>
                <w14:textFill>
                  <w14:solidFill>
                    <w14:schemeClr w14:val="tx1"/>
                  </w14:solidFill>
                </w14:textFill>
              </w:rPr>
              <w:t>.本</w:t>
            </w:r>
            <w:r>
              <w:rPr>
                <w:rFonts w:hint="eastAsia" w:ascii="宋体" w:hAnsi="宋体" w:eastAsia="宋体" w:cs="宋体"/>
                <w:color w:val="000000" w:themeColor="text1"/>
                <w:sz w:val="21"/>
                <w:szCs w:val="21"/>
                <w:highlight w:val="none"/>
                <w:lang w:eastAsia="zh-CN"/>
                <w14:textFill>
                  <w14:solidFill>
                    <w14:schemeClr w14:val="tx1"/>
                  </w14:solidFill>
                </w14:textFill>
              </w:rPr>
              <w:t>标项</w:t>
            </w:r>
            <w:r>
              <w:rPr>
                <w:rFonts w:hint="eastAsia" w:ascii="宋体" w:hAnsi="宋体" w:eastAsia="宋体" w:cs="宋体"/>
                <w:color w:val="000000" w:themeColor="text1"/>
                <w:sz w:val="21"/>
                <w:szCs w:val="21"/>
                <w:highlight w:val="none"/>
                <w14:textFill>
                  <w14:solidFill>
                    <w14:schemeClr w14:val="tx1"/>
                  </w14:solidFill>
                </w14:textFill>
              </w:rPr>
              <w:t>核心产品为：</w:t>
            </w:r>
            <w:r>
              <w:rPr>
                <w:rFonts w:hint="eastAsia" w:ascii="宋体" w:hAnsi="宋体" w:eastAsia="宋体" w:cs="宋体"/>
                <w:b/>
                <w:bCs/>
                <w:color w:val="000000" w:themeColor="text1"/>
                <w:sz w:val="21"/>
                <w:szCs w:val="21"/>
                <w:highlight w:val="none"/>
                <w:u w:val="single"/>
                <w:lang w:val="en-US" w:eastAsia="zh-CN"/>
                <w14:textFill>
                  <w14:solidFill>
                    <w14:schemeClr w14:val="tx1"/>
                  </w14:solidFill>
                </w14:textFill>
              </w:rPr>
              <w:t xml:space="preserve"> （十一）热水系统第107项</w:t>
            </w:r>
            <w:r>
              <w:rPr>
                <w:rFonts w:hint="eastAsia" w:ascii="宋体" w:hAnsi="宋体" w:eastAsia="宋体" w:cs="宋体"/>
                <w:b/>
                <w:bCs/>
                <w:color w:val="000000" w:themeColor="text1"/>
                <w:sz w:val="21"/>
                <w:szCs w:val="21"/>
                <w:highlight w:val="none"/>
                <w:u w:val="single"/>
                <w14:textFill>
                  <w14:solidFill>
                    <w14:schemeClr w14:val="tx1"/>
                  </w14:solidFill>
                </w14:textFill>
              </w:rPr>
              <w:t>“空气源热泵中央供热水系统”</w:t>
            </w:r>
            <w:r>
              <w:rPr>
                <w:rFonts w:hint="eastAsia" w:ascii="宋体" w:hAnsi="宋体" w:eastAsia="宋体" w:cs="宋体"/>
                <w:color w:val="000000" w:themeColor="text1"/>
                <w:sz w:val="21"/>
                <w:szCs w:val="21"/>
                <w:highlight w:val="none"/>
                <w14:textFill>
                  <w14:solidFill>
                    <w14:schemeClr w14:val="tx1"/>
                  </w14:solidFill>
                </w14:textFill>
              </w:rPr>
              <w:t>（多家</w:t>
            </w:r>
            <w:r>
              <w:rPr>
                <w:rFonts w:hint="eastAsia" w:ascii="宋体" w:hAnsi="宋体" w:eastAsia="宋体" w:cs="宋体"/>
                <w:color w:val="000000" w:themeColor="text1"/>
                <w:kern w:val="2"/>
                <w:sz w:val="21"/>
                <w:szCs w:val="21"/>
                <w:highlight w:val="none"/>
                <w14:textFill>
                  <w14:solidFill>
                    <w14:schemeClr w14:val="tx1"/>
                  </w14:solidFill>
                </w14:textFill>
              </w:rPr>
              <w:t>投标人</w:t>
            </w:r>
            <w:r>
              <w:rPr>
                <w:rFonts w:hint="eastAsia" w:ascii="宋体" w:hAnsi="宋体" w:eastAsia="宋体" w:cs="宋体"/>
                <w:color w:val="000000" w:themeColor="text1"/>
                <w:sz w:val="21"/>
                <w:szCs w:val="21"/>
                <w:highlight w:val="none"/>
                <w14:textFill>
                  <w14:solidFill>
                    <w14:schemeClr w14:val="tx1"/>
                  </w14:solidFill>
                </w14:textFill>
              </w:rPr>
              <w:t xml:space="preserve">提供的核心产品品牌相同的，视为提供同品牌产品。提供相同品牌产品且通过资格审查、符合性审查的不同投标人参加同一合同项下投标的，按一家投标人计算，评审后得分最高的同品牌投标人获得中标人推荐资格；评审得分相同的，评标价最低的同品牌投标人获得中标人推荐资格；评标价也相同的，投标报价最低的同品牌投标人获得中标人推荐资格；投标报价也相同的，由评标委员会以抽签方式确定一个中标人推荐资格，其他同品牌投标人不作为中标候选人。） </w:t>
            </w:r>
          </w:p>
          <w:p w14:paraId="42D5FE9A">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lang w:val="en-US" w:eastAsia="zh-CN"/>
                <w14:textFill>
                  <w14:solidFill>
                    <w14:schemeClr w14:val="tx1"/>
                  </w14:solidFill>
                </w14:textFill>
              </w:rPr>
              <w:t>4</w:t>
            </w:r>
            <w:r>
              <w:rPr>
                <w:rFonts w:hint="eastAsia" w:ascii="宋体" w:hAnsi="宋体" w:eastAsia="宋体" w:cs="宋体"/>
                <w:color w:val="000000" w:themeColor="text1"/>
                <w:sz w:val="21"/>
                <w:szCs w:val="21"/>
                <w:highlight w:val="none"/>
                <w14:textFill>
                  <w14:solidFill>
                    <w14:schemeClr w14:val="tx1"/>
                  </w14:solidFill>
                </w14:textFill>
              </w:rPr>
              <w:t>.本</w:t>
            </w:r>
            <w:r>
              <w:rPr>
                <w:rFonts w:hint="eastAsia" w:ascii="宋体" w:hAnsi="宋体" w:eastAsia="宋体" w:cs="宋体"/>
                <w:color w:val="000000" w:themeColor="text1"/>
                <w:sz w:val="21"/>
                <w:szCs w:val="21"/>
                <w:highlight w:val="none"/>
                <w:lang w:eastAsia="zh-CN"/>
                <w14:textFill>
                  <w14:solidFill>
                    <w14:schemeClr w14:val="tx1"/>
                  </w14:solidFill>
                </w14:textFill>
              </w:rPr>
              <w:t>标项</w:t>
            </w:r>
            <w:r>
              <w:rPr>
                <w:rFonts w:hint="eastAsia" w:ascii="宋体" w:hAnsi="宋体" w:eastAsia="宋体" w:cs="宋体"/>
                <w:color w:val="000000" w:themeColor="text1"/>
                <w:sz w:val="21"/>
                <w:szCs w:val="21"/>
                <w:highlight w:val="none"/>
                <w14:textFill>
                  <w14:solidFill>
                    <w14:schemeClr w14:val="tx1"/>
                  </w14:solidFill>
                </w14:textFill>
              </w:rPr>
              <w:t>货物不接受进口产品（即通过中国海关报关验放进入中国境内且产自关境外的产品）参与投标，如有此类产品参与投标的作投标无效处理。</w:t>
            </w:r>
          </w:p>
          <w:p w14:paraId="2D2BDEA2">
            <w:pPr>
              <w:pStyle w:val="6"/>
              <w:rPr>
                <w:rFonts w:hint="eastAsia" w:ascii="宋体" w:hAnsi="宋体" w:cs="宋体"/>
                <w:color w:val="000000" w:themeColor="text1"/>
                <w:sz w:val="21"/>
                <w:szCs w:val="21"/>
                <w:lang w:eastAsia="zh-CN"/>
                <w14:textFill>
                  <w14:solidFill>
                    <w14:schemeClr w14:val="tx1"/>
                  </w14:solidFill>
                </w14:textFill>
              </w:rPr>
            </w:pPr>
            <w:r>
              <w:rPr>
                <w:rFonts w:hint="eastAsia" w:ascii="宋体" w:hAnsi="宋体" w:cs="宋体"/>
                <w:color w:val="000000" w:themeColor="text1"/>
                <w:sz w:val="21"/>
                <w:szCs w:val="21"/>
                <w:highlight w:val="none"/>
                <w:lang w:val="en-US" w:eastAsia="zh-CN"/>
                <w14:textFill>
                  <w14:solidFill>
                    <w14:schemeClr w14:val="tx1"/>
                  </w14:solidFill>
                </w14:textFill>
              </w:rPr>
              <w:t>5.</w:t>
            </w:r>
            <w:r>
              <w:rPr>
                <w:rFonts w:hint="eastAsia" w:ascii="宋体" w:hAnsi="宋体" w:eastAsia="宋体" w:cs="宋体"/>
                <w:color w:val="000000" w:themeColor="text1"/>
                <w:sz w:val="21"/>
                <w:szCs w:val="21"/>
                <w14:textFill>
                  <w14:solidFill>
                    <w14:schemeClr w14:val="tx1"/>
                  </w14:solidFill>
                </w14:textFill>
              </w:rPr>
              <w:t>本</w:t>
            </w:r>
            <w:r>
              <w:rPr>
                <w:rFonts w:hint="eastAsia" w:ascii="宋体" w:hAnsi="宋体" w:eastAsia="宋体" w:cs="宋体"/>
                <w:color w:val="000000" w:themeColor="text1"/>
                <w:sz w:val="21"/>
                <w:szCs w:val="21"/>
                <w:highlight w:val="none"/>
                <w:lang w:eastAsia="zh-CN"/>
                <w14:textFill>
                  <w14:solidFill>
                    <w14:schemeClr w14:val="tx1"/>
                  </w14:solidFill>
                </w14:textFill>
              </w:rPr>
              <w:t>标项</w:t>
            </w:r>
            <w:r>
              <w:rPr>
                <w:rFonts w:hint="eastAsia" w:ascii="宋体" w:hAnsi="宋体" w:eastAsia="宋体" w:cs="宋体"/>
                <w:color w:val="000000" w:themeColor="text1"/>
                <w:sz w:val="21"/>
                <w:szCs w:val="21"/>
                <w14:textFill>
                  <w14:solidFill>
                    <w14:schemeClr w14:val="tx1"/>
                  </w14:solidFill>
                </w14:textFill>
              </w:rPr>
              <w:t>所有货物所属行业为</w:t>
            </w:r>
            <w:r>
              <w:rPr>
                <w:rFonts w:hint="eastAsia" w:ascii="宋体" w:hAnsi="宋体" w:eastAsia="宋体" w:cs="宋体"/>
                <w:b/>
                <w:bCs/>
                <w:color w:val="000000" w:themeColor="text1"/>
                <w:sz w:val="21"/>
                <w:szCs w:val="21"/>
                <w14:textFill>
                  <w14:solidFill>
                    <w14:schemeClr w14:val="tx1"/>
                  </w14:solidFill>
                </w14:textFill>
              </w:rPr>
              <w:t>工业</w:t>
            </w:r>
            <w:r>
              <w:rPr>
                <w:rFonts w:hint="eastAsia" w:ascii="宋体" w:hAnsi="宋体" w:cs="宋体"/>
                <w:color w:val="000000" w:themeColor="text1"/>
                <w:sz w:val="21"/>
                <w:szCs w:val="21"/>
                <w:lang w:eastAsia="zh-CN"/>
                <w14:textFill>
                  <w14:solidFill>
                    <w14:schemeClr w14:val="tx1"/>
                  </w14:solidFill>
                </w14:textFill>
              </w:rPr>
              <w:t>。</w:t>
            </w:r>
          </w:p>
          <w:p w14:paraId="4FB307C4">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cs="宋体"/>
                <w:color w:val="000000" w:themeColor="text1"/>
                <w:sz w:val="21"/>
                <w:szCs w:val="21"/>
                <w:lang w:val="en-US" w:eastAsia="zh-CN"/>
                <w14:textFill>
                  <w14:solidFill>
                    <w14:schemeClr w14:val="tx1"/>
                  </w14:solidFill>
                </w14:textFill>
              </w:rPr>
              <w:t>6.</w:t>
            </w:r>
            <w:r>
              <w:rPr>
                <w:rFonts w:hint="eastAsia" w:ascii="宋体" w:hAnsi="宋体" w:eastAsia="宋体" w:cs="宋体"/>
                <w:b/>
                <w:bCs/>
                <w:color w:val="000000" w:themeColor="text1"/>
                <w:kern w:val="0"/>
                <w:sz w:val="20"/>
                <w:szCs w:val="20"/>
                <w:lang w:val="en-US" w:eastAsia="zh-CN" w:bidi="ar"/>
                <w14:textFill>
                  <w14:solidFill>
                    <w14:schemeClr w14:val="tx1"/>
                  </w14:solidFill>
                </w14:textFill>
              </w:rPr>
              <w:t>本标项投标货物中，属于中小企业生产的产品占本分标投标报价的比例不低于50%，其中小微企业生产的产品占中小企业生产的产品的投标报价比例不低于75%。</w:t>
            </w:r>
          </w:p>
        </w:tc>
      </w:tr>
    </w:tbl>
    <w:p w14:paraId="75FA892D">
      <w:pPr>
        <w:pStyle w:val="6"/>
        <w:rPr>
          <w:rFonts w:hint="eastAsia"/>
          <w:lang w:val="en-US" w:eastAsia="zh-CN"/>
        </w:rPr>
      </w:pPr>
    </w:p>
    <w:p w14:paraId="068F9515">
      <w:pPr>
        <w:rPr>
          <w:color w:val="auto"/>
          <w:highlight w:val="none"/>
        </w:rPr>
      </w:pPr>
      <w:r>
        <w:rPr>
          <w:color w:val="auto"/>
          <w:highlight w:val="none"/>
        </w:rPr>
        <w:br w:type="page"/>
      </w:r>
    </w:p>
    <w:p w14:paraId="661E10D9">
      <w:pPr>
        <w:spacing w:after="0" w:line="360" w:lineRule="exact"/>
        <w:jc w:val="center"/>
        <w:outlineLvl w:val="0"/>
        <w:rPr>
          <w:rFonts w:ascii="宋体" w:hAnsi="宋体" w:eastAsia="宋体" w:cs="宋体"/>
          <w:b/>
          <w:color w:val="000000" w:themeColor="text1"/>
          <w:sz w:val="28"/>
          <w:szCs w:val="28"/>
          <w:highlight w:val="none"/>
          <w14:textFill>
            <w14:solidFill>
              <w14:schemeClr w14:val="tx1"/>
            </w14:solidFill>
          </w14:textFill>
        </w:rPr>
      </w:pPr>
      <w:bookmarkStart w:id="4" w:name="_Toc22447"/>
      <w:r>
        <w:rPr>
          <w:rFonts w:hint="eastAsia" w:ascii="宋体" w:hAnsi="宋体" w:eastAsia="宋体" w:cs="宋体"/>
          <w:b/>
          <w:color w:val="000000" w:themeColor="text1"/>
          <w:sz w:val="28"/>
          <w:szCs w:val="28"/>
          <w:highlight w:val="none"/>
          <w:lang w:eastAsia="zh-CN"/>
          <w14:textFill>
            <w14:solidFill>
              <w14:schemeClr w14:val="tx1"/>
            </w14:solidFill>
          </w14:textFill>
        </w:rPr>
        <w:t>第四章</w:t>
      </w:r>
      <w:r>
        <w:rPr>
          <w:rFonts w:hint="eastAsia" w:ascii="宋体" w:hAnsi="宋体" w:eastAsia="宋体" w:cs="宋体"/>
          <w:b/>
          <w:color w:val="000000" w:themeColor="text1"/>
          <w:sz w:val="28"/>
          <w:szCs w:val="28"/>
          <w:highlight w:val="none"/>
          <w:lang w:val="en-US" w:eastAsia="zh-CN"/>
          <w14:textFill>
            <w14:solidFill>
              <w14:schemeClr w14:val="tx1"/>
            </w14:solidFill>
          </w14:textFill>
        </w:rPr>
        <w:t xml:space="preserve"> </w:t>
      </w:r>
      <w:r>
        <w:rPr>
          <w:rFonts w:hint="eastAsia" w:ascii="宋体" w:hAnsi="宋体" w:eastAsia="宋体" w:cs="宋体"/>
          <w:b/>
          <w:color w:val="000000" w:themeColor="text1"/>
          <w:sz w:val="28"/>
          <w:szCs w:val="28"/>
          <w:highlight w:val="none"/>
          <w14:textFill>
            <w14:solidFill>
              <w14:schemeClr w14:val="tx1"/>
            </w14:solidFill>
          </w14:textFill>
        </w:rPr>
        <w:t>评标办法</w:t>
      </w:r>
      <w:bookmarkEnd w:id="4"/>
    </w:p>
    <w:p w14:paraId="00BC7B74">
      <w:pPr>
        <w:spacing w:after="0" w:line="360" w:lineRule="exact"/>
        <w:jc w:val="center"/>
        <w:rPr>
          <w:rFonts w:hint="eastAsia" w:ascii="宋体" w:hAnsi="宋体" w:eastAsia="宋体" w:cs="宋体"/>
          <w:b/>
          <w:color w:val="000000" w:themeColor="text1"/>
          <w:sz w:val="24"/>
          <w:szCs w:val="24"/>
          <w:highlight w:val="none"/>
          <w:lang w:val="en-US" w:eastAsia="zh-CN"/>
          <w14:textFill>
            <w14:solidFill>
              <w14:schemeClr w14:val="tx1"/>
            </w14:solidFill>
          </w14:textFill>
        </w:rPr>
      </w:pPr>
      <w:r>
        <w:rPr>
          <w:rFonts w:hint="eastAsia" w:ascii="宋体" w:hAnsi="宋体" w:eastAsia="宋体" w:cs="宋体"/>
          <w:b/>
          <w:color w:val="000000" w:themeColor="text1"/>
          <w:sz w:val="24"/>
          <w:szCs w:val="24"/>
          <w:highlight w:val="none"/>
          <w:lang w:eastAsia="zh-CN"/>
          <w14:textFill>
            <w14:solidFill>
              <w14:schemeClr w14:val="tx1"/>
            </w14:solidFill>
          </w14:textFill>
        </w:rPr>
        <w:t>标项一</w:t>
      </w:r>
      <w:r>
        <w:rPr>
          <w:rFonts w:hint="eastAsia" w:ascii="宋体" w:hAnsi="宋体" w:eastAsia="宋体" w:cs="宋体"/>
          <w:b/>
          <w:color w:val="000000" w:themeColor="text1"/>
          <w:sz w:val="24"/>
          <w:szCs w:val="24"/>
          <w:highlight w:val="none"/>
          <w:lang w:val="en-US" w:eastAsia="zh-CN"/>
          <w14:textFill>
            <w14:solidFill>
              <w14:schemeClr w14:val="tx1"/>
            </w14:solidFill>
          </w14:textFill>
        </w:rPr>
        <w:t>A分标</w:t>
      </w:r>
      <w:r>
        <w:rPr>
          <w:rFonts w:hint="eastAsia" w:ascii="宋体" w:hAnsi="宋体" w:eastAsia="宋体" w:cs="宋体"/>
          <w:b/>
          <w:color w:val="000000" w:themeColor="text1"/>
          <w:sz w:val="24"/>
          <w:szCs w:val="24"/>
          <w:highlight w:val="none"/>
          <w14:textFill>
            <w14:solidFill>
              <w14:schemeClr w14:val="tx1"/>
            </w14:solidFill>
          </w14:textFill>
        </w:rPr>
        <w:t>评标办法</w:t>
      </w:r>
    </w:p>
    <w:p w14:paraId="0BF323D5">
      <w:pPr>
        <w:spacing w:after="0" w:line="320" w:lineRule="exact"/>
        <w:ind w:firstLine="422" w:firstLineChars="200"/>
        <w:outlineLvl w:val="9"/>
        <w:rPr>
          <w:rFonts w:ascii="宋体" w:hAnsi="宋体" w:eastAsia="宋体" w:cs="宋体"/>
          <w:b/>
          <w:color w:val="000000" w:themeColor="text1"/>
          <w:sz w:val="21"/>
          <w:szCs w:val="21"/>
          <w:highlight w:val="none"/>
          <w14:textFill>
            <w14:solidFill>
              <w14:schemeClr w14:val="tx1"/>
            </w14:solidFill>
          </w14:textFill>
        </w:rPr>
      </w:pPr>
      <w:r>
        <w:rPr>
          <w:rFonts w:hint="eastAsia" w:ascii="宋体" w:hAnsi="宋体" w:eastAsia="宋体" w:cs="宋体"/>
          <w:b/>
          <w:color w:val="000000" w:themeColor="text1"/>
          <w:sz w:val="21"/>
          <w:szCs w:val="21"/>
          <w:highlight w:val="none"/>
          <w14:textFill>
            <w14:solidFill>
              <w14:schemeClr w14:val="tx1"/>
            </w14:solidFill>
          </w14:textFill>
        </w:rPr>
        <w:t>一、投标文件评审（初步评审）：</w:t>
      </w:r>
    </w:p>
    <w:p w14:paraId="3AB53030">
      <w:pPr>
        <w:tabs>
          <w:tab w:val="left" w:pos="1140"/>
        </w:tabs>
        <w:spacing w:after="0" w:line="32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1、采购人依据法律法规和招标文件的规定，对投标文件中的资格证明进行资格性审查，以确定投标</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是否具备投标资格。</w:t>
      </w:r>
    </w:p>
    <w:p w14:paraId="7FE71FF2">
      <w:pPr>
        <w:tabs>
          <w:tab w:val="left" w:pos="1140"/>
        </w:tabs>
        <w:spacing w:after="0" w:line="32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2、评标委员会依据招标文件的规定，从投标文件的有效性、完整性和对招标文件的响应程度进行符合性审查，以确定是否对招标文件的实质性要求作出响应。</w:t>
      </w:r>
    </w:p>
    <w:p w14:paraId="53EBF8B4">
      <w:pPr>
        <w:widowControl w:val="0"/>
        <w:spacing w:after="0" w:line="320" w:lineRule="exact"/>
        <w:ind w:firstLine="422" w:firstLineChars="200"/>
        <w:jc w:val="both"/>
        <w:rPr>
          <w:rFonts w:ascii="宋体" w:hAnsi="宋体" w:eastAsia="宋体" w:cs="宋体"/>
          <w:b/>
          <w:bCs/>
          <w:color w:val="auto"/>
          <w:kern w:val="2"/>
          <w:sz w:val="21"/>
          <w:szCs w:val="21"/>
          <w:highlight w:val="none"/>
        </w:rPr>
      </w:pPr>
      <w:r>
        <w:rPr>
          <w:rFonts w:hint="eastAsia" w:ascii="宋体" w:hAnsi="宋体" w:eastAsia="宋体" w:cs="宋体"/>
          <w:b/>
          <w:color w:val="auto"/>
          <w:kern w:val="2"/>
          <w:sz w:val="21"/>
          <w:szCs w:val="21"/>
          <w:highlight w:val="none"/>
        </w:rPr>
        <w:t>二、</w:t>
      </w:r>
      <w:r>
        <w:rPr>
          <w:rFonts w:hint="eastAsia" w:ascii="宋体" w:hAnsi="宋体" w:eastAsia="宋体" w:cs="宋体"/>
          <w:b/>
          <w:bCs/>
          <w:color w:val="auto"/>
          <w:kern w:val="2"/>
          <w:sz w:val="21"/>
          <w:szCs w:val="21"/>
          <w:highlight w:val="none"/>
        </w:rPr>
        <w:t>投标文件评审（详细评审）</w:t>
      </w:r>
    </w:p>
    <w:p w14:paraId="34AC8D04">
      <w:pPr>
        <w:widowControl w:val="0"/>
        <w:spacing w:after="0" w:line="320" w:lineRule="exact"/>
        <w:ind w:firstLine="420" w:firstLineChars="200"/>
        <w:jc w:val="both"/>
        <w:rPr>
          <w:rFonts w:ascii="宋体" w:hAnsi="宋体" w:eastAsia="宋体" w:cs="宋体"/>
          <w:b/>
          <w:bCs/>
          <w:color w:val="auto"/>
          <w:kern w:val="2"/>
          <w:sz w:val="21"/>
          <w:szCs w:val="21"/>
          <w:highlight w:val="none"/>
        </w:rPr>
      </w:pPr>
      <w:r>
        <w:rPr>
          <w:rFonts w:hint="eastAsia" w:ascii="宋体" w:hAnsi="宋体" w:eastAsia="宋体" w:cs="宋体"/>
          <w:color w:val="auto"/>
          <w:kern w:val="2"/>
          <w:sz w:val="21"/>
          <w:szCs w:val="21"/>
          <w:highlight w:val="none"/>
        </w:rPr>
        <w:t>（一）评标依据：评标委员会以招标文件和投标文件为评标依据，对投标人的投标报价、技术、售后服务、项目实施方案、履约能力、政策功能等方面内容按百分制打分。</w:t>
      </w:r>
    </w:p>
    <w:p w14:paraId="47A820F0">
      <w:pPr>
        <w:widowControl w:val="0"/>
        <w:spacing w:after="0" w:line="320" w:lineRule="exact"/>
        <w:ind w:firstLine="420" w:firstLineChars="200"/>
        <w:jc w:val="both"/>
        <w:rPr>
          <w:rFonts w:ascii="宋体" w:hAnsi="宋体" w:eastAsia="宋体" w:cs="宋体"/>
          <w:b/>
          <w:bCs/>
          <w:color w:val="auto"/>
          <w:kern w:val="2"/>
          <w:sz w:val="21"/>
          <w:szCs w:val="21"/>
          <w:highlight w:val="none"/>
        </w:rPr>
      </w:pPr>
      <w:r>
        <w:rPr>
          <w:rFonts w:hint="eastAsia" w:ascii="宋体" w:hAnsi="宋体" w:eastAsia="宋体" w:cs="宋体"/>
          <w:color w:val="auto"/>
          <w:kern w:val="2"/>
          <w:sz w:val="21"/>
          <w:szCs w:val="21"/>
          <w:highlight w:val="none"/>
        </w:rPr>
        <w:t>（二）评标方式：以封闭方式进行评标。</w:t>
      </w:r>
    </w:p>
    <w:p w14:paraId="408DEB46">
      <w:pPr>
        <w:widowControl w:val="0"/>
        <w:spacing w:after="0" w:line="32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（三）根据财库〔2012〕69号文规定，采购人和采购代理机构、评标委员会成员要严格遵守政府采购相关法律制度，依法履行各自职责，公正、客观、审慎地组织和参与评审工作。</w:t>
      </w:r>
    </w:p>
    <w:p w14:paraId="1DC7B304">
      <w:pPr>
        <w:widowControl w:val="0"/>
        <w:spacing w:after="0" w:line="320" w:lineRule="exact"/>
        <w:ind w:firstLine="420" w:firstLineChars="200"/>
        <w:jc w:val="both"/>
        <w:rPr>
          <w:rFonts w:ascii="宋体" w:hAnsi="宋体" w:eastAsia="宋体" w:cs="宋体"/>
          <w:b/>
          <w:color w:val="auto"/>
          <w:kern w:val="2"/>
          <w:sz w:val="21"/>
          <w:szCs w:val="21"/>
          <w:highlight w:val="none"/>
        </w:rPr>
      </w:pPr>
      <w:r>
        <w:rPr>
          <w:rFonts w:hint="eastAsia" w:ascii="宋体" w:hAnsi="宋体" w:eastAsia="宋体" w:cs="宋体"/>
          <w:bCs/>
          <w:color w:val="auto"/>
          <w:kern w:val="2"/>
          <w:sz w:val="21"/>
          <w:szCs w:val="21"/>
          <w:highlight w:val="none"/>
        </w:rPr>
        <w:t>（四）评标方法：</w:t>
      </w:r>
      <w:r>
        <w:rPr>
          <w:rFonts w:hint="eastAsia" w:ascii="宋体" w:hAnsi="宋体" w:eastAsia="宋体" w:cs="宋体"/>
          <w:color w:val="auto"/>
          <w:kern w:val="2"/>
          <w:sz w:val="21"/>
          <w:szCs w:val="21"/>
          <w:highlight w:val="none"/>
        </w:rPr>
        <w:t>对进入详评的，采用百分制综合评分法。</w:t>
      </w:r>
    </w:p>
    <w:p w14:paraId="393E9198">
      <w:pPr>
        <w:widowControl w:val="0"/>
        <w:spacing w:after="0" w:line="320" w:lineRule="exact"/>
        <w:ind w:firstLine="420" w:firstLineChars="200"/>
        <w:jc w:val="both"/>
        <w:outlineLvl w:val="9"/>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（五）计分办法（</w:t>
      </w:r>
      <w:r>
        <w:rPr>
          <w:rFonts w:hint="eastAsia" w:ascii="宋体" w:hAnsi="宋体" w:eastAsia="宋体" w:cs="宋体"/>
          <w:bCs/>
          <w:color w:val="auto"/>
          <w:kern w:val="2"/>
          <w:sz w:val="21"/>
          <w:szCs w:val="21"/>
          <w:highlight w:val="none"/>
        </w:rPr>
        <w:t>按四舍五入取至小数点后二位</w:t>
      </w:r>
      <w:r>
        <w:rPr>
          <w:rFonts w:hint="eastAsia" w:ascii="宋体" w:hAnsi="宋体" w:eastAsia="宋体" w:cs="宋体"/>
          <w:color w:val="auto"/>
          <w:kern w:val="2"/>
          <w:sz w:val="21"/>
          <w:szCs w:val="21"/>
          <w:highlight w:val="none"/>
        </w:rPr>
        <w:t>）：</w:t>
      </w:r>
    </w:p>
    <w:p w14:paraId="0FC33DC5">
      <w:pPr>
        <w:widowControl w:val="0"/>
        <w:spacing w:after="0" w:line="320" w:lineRule="exact"/>
        <w:ind w:right="-209" w:rightChars="-95" w:firstLine="420"/>
        <w:jc w:val="both"/>
        <w:rPr>
          <w:rFonts w:ascii="宋体" w:hAnsi="宋体" w:eastAsia="宋体" w:cs="宋体"/>
          <w:b/>
          <w:bCs/>
          <w:color w:val="auto"/>
          <w:kern w:val="2"/>
          <w:sz w:val="21"/>
          <w:szCs w:val="21"/>
          <w:highlight w:val="none"/>
        </w:rPr>
      </w:pPr>
      <w:r>
        <w:rPr>
          <w:rFonts w:hint="eastAsia" w:ascii="宋体" w:hAnsi="宋体" w:eastAsia="宋体" w:cs="宋体"/>
          <w:b/>
          <w:color w:val="auto"/>
          <w:kern w:val="2"/>
          <w:sz w:val="21"/>
          <w:szCs w:val="21"/>
          <w:highlight w:val="none"/>
        </w:rPr>
        <w:t xml:space="preserve">1. </w:t>
      </w:r>
      <w:r>
        <w:rPr>
          <w:rFonts w:hint="eastAsia" w:ascii="宋体" w:hAnsi="宋体" w:eastAsia="宋体" w:cs="宋体"/>
          <w:b/>
          <w:bCs/>
          <w:color w:val="auto"/>
          <w:kern w:val="2"/>
          <w:sz w:val="21"/>
          <w:szCs w:val="21"/>
          <w:highlight w:val="none"/>
        </w:rPr>
        <w:t>价格分………………………………………………………………………………………………</w:t>
      </w:r>
      <w:r>
        <w:rPr>
          <w:rFonts w:hint="eastAsia" w:ascii="宋体" w:hAnsi="宋体" w:eastAsia="宋体" w:cs="宋体"/>
          <w:b/>
          <w:color w:val="auto"/>
          <w:kern w:val="2"/>
          <w:sz w:val="21"/>
          <w:szCs w:val="21"/>
          <w:highlight w:val="none"/>
        </w:rPr>
        <w:t>满分</w:t>
      </w:r>
      <w:r>
        <w:rPr>
          <w:rFonts w:hint="eastAsia" w:ascii="宋体" w:hAnsi="宋体" w:eastAsia="宋体" w:cs="宋体"/>
          <w:b/>
          <w:bCs/>
          <w:color w:val="auto"/>
          <w:kern w:val="2"/>
          <w:sz w:val="21"/>
          <w:szCs w:val="21"/>
          <w:highlight w:val="none"/>
          <w:lang w:val="en-US" w:eastAsia="zh-CN"/>
        </w:rPr>
        <w:t>3</w:t>
      </w:r>
      <w:r>
        <w:rPr>
          <w:rFonts w:hint="eastAsia" w:ascii="宋体" w:hAnsi="宋体" w:eastAsia="宋体" w:cs="宋体"/>
          <w:b/>
          <w:bCs/>
          <w:color w:val="auto"/>
          <w:kern w:val="2"/>
          <w:sz w:val="21"/>
          <w:szCs w:val="21"/>
          <w:highlight w:val="none"/>
        </w:rPr>
        <w:t>0分</w:t>
      </w:r>
    </w:p>
    <w:p w14:paraId="60BBC2FB">
      <w:pPr>
        <w:widowControl w:val="0"/>
        <w:spacing w:after="0" w:line="32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w:t>
      </w:r>
      <w:r>
        <w:rPr>
          <w:rFonts w:hint="eastAsia" w:ascii="宋体" w:hAnsi="宋体" w:eastAsia="宋体" w:cs="宋体"/>
          <w:color w:val="auto"/>
          <w:kern w:val="2"/>
          <w:sz w:val="21"/>
          <w:szCs w:val="21"/>
          <w:highlight w:val="none"/>
          <w:lang w:val="en-US" w:eastAsia="zh-CN"/>
        </w:rPr>
        <w:t>1</w:t>
      </w:r>
      <w:r>
        <w:rPr>
          <w:rFonts w:hint="eastAsia" w:ascii="宋体" w:hAnsi="宋体" w:eastAsia="宋体" w:cs="宋体"/>
          <w:color w:val="auto"/>
          <w:kern w:val="2"/>
          <w:sz w:val="21"/>
          <w:szCs w:val="21"/>
          <w:highlight w:val="none"/>
        </w:rPr>
        <w:t>）评标报价=投标报价。</w:t>
      </w:r>
    </w:p>
    <w:p w14:paraId="34CECB80">
      <w:pPr>
        <w:widowControl w:val="0"/>
        <w:spacing w:after="0" w:line="32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w:t>
      </w:r>
      <w:r>
        <w:rPr>
          <w:rFonts w:hint="eastAsia" w:ascii="宋体" w:hAnsi="宋体" w:eastAsia="宋体" w:cs="宋体"/>
          <w:color w:val="auto"/>
          <w:kern w:val="2"/>
          <w:sz w:val="21"/>
          <w:szCs w:val="21"/>
          <w:highlight w:val="none"/>
          <w:lang w:val="en-US" w:eastAsia="zh-CN"/>
        </w:rPr>
        <w:t>2</w:t>
      </w:r>
      <w:r>
        <w:rPr>
          <w:rFonts w:hint="eastAsia" w:ascii="宋体" w:hAnsi="宋体" w:eastAsia="宋体" w:cs="宋体"/>
          <w:color w:val="auto"/>
          <w:kern w:val="2"/>
          <w:sz w:val="21"/>
          <w:szCs w:val="21"/>
          <w:highlight w:val="none"/>
        </w:rPr>
        <w:t>）价格分应当采用低价优先法计算，即满足招标文件要求且投标价格最低的投标报价为评标基准价，其价格分为满分。进入详评投标人的价格分统一按照下列公式计算：</w:t>
      </w:r>
    </w:p>
    <w:p w14:paraId="137B3DC2">
      <w:pPr>
        <w:widowControl w:val="0"/>
        <w:spacing w:after="0" w:line="320" w:lineRule="exact"/>
        <w:ind w:firstLine="630" w:firstLineChars="300"/>
        <w:jc w:val="both"/>
        <w:rPr>
          <w:rFonts w:ascii="宋体" w:hAnsi="宋体" w:eastAsia="宋体" w:cs="宋体"/>
          <w:b/>
          <w:color w:val="auto"/>
          <w:kern w:val="2"/>
          <w:sz w:val="21"/>
          <w:szCs w:val="21"/>
          <w:highlight w:val="none"/>
        </w:rPr>
      </w:pPr>
      <w:r>
        <w:rPr>
          <w:rFonts w:hint="eastAsia" w:ascii="宋体" w:hAnsi="宋体" w:eastAsia="宋体" w:cs="宋体"/>
          <w:color w:val="auto"/>
          <w:kern w:val="2"/>
          <w:sz w:val="21"/>
          <w:szCs w:val="21"/>
          <w:highlight w:val="none"/>
        </w:rPr>
        <w:t>以进入评标的最低的评标报价为</w:t>
      </w:r>
      <w:r>
        <w:rPr>
          <w:rFonts w:hint="eastAsia" w:ascii="宋体" w:hAnsi="宋体" w:eastAsia="宋体" w:cs="宋体"/>
          <w:color w:val="auto"/>
          <w:kern w:val="2"/>
          <w:sz w:val="21"/>
          <w:szCs w:val="21"/>
          <w:highlight w:val="none"/>
          <w:lang w:val="en-US" w:eastAsia="zh-CN"/>
        </w:rPr>
        <w:t>30</w:t>
      </w:r>
      <w:r>
        <w:rPr>
          <w:rFonts w:hint="eastAsia" w:ascii="宋体" w:hAnsi="宋体" w:eastAsia="宋体" w:cs="宋体"/>
          <w:color w:val="auto"/>
          <w:kern w:val="2"/>
          <w:sz w:val="21"/>
          <w:szCs w:val="21"/>
          <w:highlight w:val="none"/>
        </w:rPr>
        <w:t>分。</w:t>
      </w:r>
    </w:p>
    <w:p w14:paraId="324F1316">
      <w:pPr>
        <w:widowControl w:val="0"/>
        <w:spacing w:after="0" w:line="320" w:lineRule="exact"/>
        <w:ind w:firstLine="3990" w:firstLineChars="1900"/>
        <w:jc w:val="both"/>
        <w:rPr>
          <w:rFonts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rPr>
        <w:t xml:space="preserve">评标基准价          </w:t>
      </w:r>
    </w:p>
    <w:p w14:paraId="1D5E8DF4">
      <w:pPr>
        <w:widowControl w:val="0"/>
        <w:spacing w:after="0" w:line="320" w:lineRule="exact"/>
        <w:ind w:firstLine="420"/>
        <w:jc w:val="both"/>
        <w:rPr>
          <w:rFonts w:ascii="宋体" w:hAnsi="宋体" w:eastAsia="宋体" w:cs="宋体"/>
          <w:bCs/>
          <w:color w:val="auto"/>
          <w:kern w:val="2"/>
          <w:sz w:val="21"/>
          <w:szCs w:val="21"/>
          <w:highlight w:val="none"/>
        </w:rPr>
      </w:pPr>
      <w:r>
        <w:rPr>
          <w:rFonts w:ascii="宋体" w:hAnsi="宋体" w:eastAsia="宋体" w:cs="宋体"/>
          <w:bCs/>
          <w:color w:val="auto"/>
          <w:kern w:val="2"/>
          <w:sz w:val="21"/>
          <w:szCs w:val="21"/>
          <w:highlight w:val="none"/>
        </w:rPr>
        <mc:AlternateContent>
          <mc:Choice Requires="wps">
            <w:drawing>
              <wp:anchor distT="0" distB="0" distL="114300" distR="114300" simplePos="0" relativeHeight="251764736" behindDoc="0" locked="0" layoutInCell="1" allowOverlap="1">
                <wp:simplePos x="0" y="0"/>
                <wp:positionH relativeFrom="column">
                  <wp:posOffset>1828800</wp:posOffset>
                </wp:positionH>
                <wp:positionV relativeFrom="paragraph">
                  <wp:posOffset>196850</wp:posOffset>
                </wp:positionV>
                <wp:extent cx="2199005" cy="0"/>
                <wp:effectExtent l="0" t="4445" r="0" b="5080"/>
                <wp:wrapNone/>
                <wp:docPr id="6" name="直接连接符 6"/>
                <wp:cNvGraphicFramePr/>
                <a:graphic xmlns:a="http://schemas.openxmlformats.org/drawingml/2006/main">
                  <a:graphicData uri="http://schemas.microsoft.com/office/word/2010/wordprocessingShape">
                    <wps:wsp>
                      <wps:cNvCnPr>
                        <a:cxnSpLocks noChangeShapeType="1"/>
                      </wps:cNvCnPr>
                      <wps:spPr bwMode="auto">
                        <a:xfrm>
                          <a:off x="0" y="0"/>
                          <a:ext cx="2200275"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44pt;margin-top:15.5pt;height:0pt;width:173.15pt;z-index:251764736;mso-width-relative:page;mso-height-relative:page;" filled="f" stroked="t" coordsize="21600,21600" o:gfxdata="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">
                <v:fill on="f" focussize="0,0"/>
                <v:stroke color="#000000" joinstyle="round"/>
                <v:imagedata o:title=""/>
                <o:lock v:ext="edit" aspectratio="f"/>
              </v:line>
            </w:pict>
          </mc:Fallback>
        </mc:AlternateContent>
      </w:r>
      <w:r>
        <w:rPr>
          <w:rFonts w:hint="eastAsia" w:ascii="宋体" w:hAnsi="宋体" w:eastAsia="宋体" w:cs="宋体"/>
          <w:bCs/>
          <w:color w:val="auto"/>
          <w:kern w:val="2"/>
          <w:sz w:val="21"/>
          <w:szCs w:val="21"/>
          <w:highlight w:val="none"/>
        </w:rPr>
        <w:t>（</w:t>
      </w:r>
      <w:r>
        <w:rPr>
          <w:rFonts w:hint="eastAsia" w:ascii="宋体" w:hAnsi="宋体" w:eastAsia="宋体" w:cs="宋体"/>
          <w:bCs/>
          <w:color w:val="auto"/>
          <w:kern w:val="2"/>
          <w:sz w:val="21"/>
          <w:szCs w:val="21"/>
          <w:highlight w:val="none"/>
          <w:lang w:val="en-US" w:eastAsia="zh-CN"/>
        </w:rPr>
        <w:t>3</w:t>
      </w:r>
      <w:r>
        <w:rPr>
          <w:rFonts w:hint="eastAsia" w:ascii="宋体" w:hAnsi="宋体" w:eastAsia="宋体" w:cs="宋体"/>
          <w:bCs/>
          <w:color w:val="auto"/>
          <w:kern w:val="2"/>
          <w:sz w:val="21"/>
          <w:szCs w:val="21"/>
          <w:highlight w:val="none"/>
        </w:rPr>
        <w:t>）</w:t>
      </w:r>
      <w:r>
        <w:rPr>
          <w:rFonts w:hint="eastAsia" w:ascii="宋体" w:hAnsi="宋体" w:eastAsia="宋体" w:cs="宋体"/>
          <w:color w:val="auto"/>
          <w:kern w:val="2"/>
          <w:sz w:val="21"/>
          <w:szCs w:val="21"/>
          <w:highlight w:val="none"/>
        </w:rPr>
        <w:t>投标人</w:t>
      </w:r>
      <w:r>
        <w:rPr>
          <w:rFonts w:hint="eastAsia" w:ascii="宋体" w:hAnsi="宋体" w:eastAsia="宋体" w:cs="宋体"/>
          <w:bCs/>
          <w:color w:val="auto"/>
          <w:kern w:val="2"/>
          <w:sz w:val="21"/>
          <w:szCs w:val="21"/>
          <w:highlight w:val="none"/>
        </w:rPr>
        <w:t>价格分 =                                      　×</w:t>
      </w:r>
      <w:r>
        <w:rPr>
          <w:rFonts w:hint="eastAsia" w:ascii="宋体" w:hAnsi="宋体" w:eastAsia="宋体" w:cs="宋体"/>
          <w:bCs/>
          <w:color w:val="auto"/>
          <w:kern w:val="2"/>
          <w:sz w:val="21"/>
          <w:szCs w:val="21"/>
          <w:highlight w:val="none"/>
          <w:lang w:val="en-US" w:eastAsia="zh-CN"/>
        </w:rPr>
        <w:t>3</w:t>
      </w:r>
      <w:r>
        <w:rPr>
          <w:rFonts w:hint="eastAsia" w:ascii="宋体" w:hAnsi="宋体" w:eastAsia="宋体" w:cs="宋体"/>
          <w:bCs/>
          <w:color w:val="auto"/>
          <w:kern w:val="2"/>
          <w:sz w:val="21"/>
          <w:szCs w:val="21"/>
          <w:highlight w:val="none"/>
        </w:rPr>
        <w:t>0分</w:t>
      </w:r>
    </w:p>
    <w:p w14:paraId="016DD7E4">
      <w:pPr>
        <w:widowControl w:val="0"/>
        <w:spacing w:after="0" w:line="32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bCs/>
          <w:color w:val="auto"/>
          <w:kern w:val="2"/>
          <w:sz w:val="21"/>
          <w:szCs w:val="21"/>
          <w:highlight w:val="none"/>
        </w:rPr>
        <w:t xml:space="preserve">                                投标人</w:t>
      </w:r>
      <w:r>
        <w:rPr>
          <w:rFonts w:hint="eastAsia" w:ascii="宋体" w:hAnsi="宋体" w:eastAsia="宋体" w:cs="宋体"/>
          <w:color w:val="auto"/>
          <w:kern w:val="2"/>
          <w:sz w:val="21"/>
          <w:szCs w:val="21"/>
          <w:highlight w:val="none"/>
        </w:rPr>
        <w:t>评标报价</w:t>
      </w:r>
      <w:r>
        <w:rPr>
          <w:rFonts w:hint="eastAsia" w:ascii="宋体" w:hAnsi="宋体" w:eastAsia="宋体" w:cs="宋体"/>
          <w:bCs/>
          <w:color w:val="auto"/>
          <w:kern w:val="2"/>
          <w:sz w:val="21"/>
          <w:szCs w:val="21"/>
          <w:highlight w:val="none"/>
        </w:rPr>
        <w:t xml:space="preserve">  </w:t>
      </w:r>
    </w:p>
    <w:p w14:paraId="513E846E">
      <w:pPr>
        <w:widowControl w:val="0"/>
        <w:spacing w:after="0" w:line="360" w:lineRule="exact"/>
        <w:ind w:right="-537" w:rightChars="-244"/>
        <w:jc w:val="both"/>
        <w:rPr>
          <w:rFonts w:ascii="宋体" w:hAnsi="宋体" w:eastAsia="宋体" w:cs="宋体"/>
          <w:b/>
          <w:color w:val="auto"/>
          <w:kern w:val="2"/>
          <w:sz w:val="21"/>
          <w:szCs w:val="21"/>
          <w:highlight w:val="none"/>
        </w:rPr>
      </w:pPr>
    </w:p>
    <w:p w14:paraId="4B2A6C91">
      <w:pPr>
        <w:widowControl w:val="0"/>
        <w:spacing w:after="0" w:line="360" w:lineRule="exact"/>
        <w:ind w:right="-537" w:rightChars="-244" w:firstLine="420"/>
        <w:jc w:val="both"/>
        <w:rPr>
          <w:rFonts w:ascii="宋体" w:hAnsi="宋体" w:eastAsia="宋体" w:cs="宋体"/>
          <w:b/>
          <w:bCs/>
          <w:color w:val="auto"/>
          <w:kern w:val="2"/>
          <w:sz w:val="21"/>
          <w:szCs w:val="21"/>
          <w:highlight w:val="none"/>
        </w:rPr>
      </w:pPr>
      <w:r>
        <w:rPr>
          <w:rFonts w:hint="eastAsia" w:ascii="宋体" w:hAnsi="宋体" w:eastAsia="宋体" w:cs="宋体"/>
          <w:b/>
          <w:color w:val="auto"/>
          <w:kern w:val="2"/>
          <w:sz w:val="21"/>
          <w:szCs w:val="21"/>
          <w:highlight w:val="none"/>
        </w:rPr>
        <w:t>2.</w:t>
      </w:r>
      <w:r>
        <w:rPr>
          <w:rFonts w:hint="eastAsia" w:ascii="宋体" w:hAnsi="宋体" w:eastAsia="宋体" w:cs="宋体"/>
          <w:b/>
          <w:bCs/>
          <w:color w:val="auto"/>
          <w:kern w:val="2"/>
          <w:sz w:val="21"/>
          <w:szCs w:val="21"/>
          <w:highlight w:val="none"/>
        </w:rPr>
        <w:t>技术分………………………………………………………………………………………………</w:t>
      </w:r>
      <w:r>
        <w:rPr>
          <w:rFonts w:hint="eastAsia" w:ascii="宋体" w:hAnsi="宋体" w:eastAsia="宋体" w:cs="宋体"/>
          <w:b/>
          <w:color w:val="auto"/>
          <w:kern w:val="2"/>
          <w:sz w:val="21"/>
          <w:szCs w:val="21"/>
          <w:highlight w:val="none"/>
        </w:rPr>
        <w:t>满分</w:t>
      </w:r>
      <w:r>
        <w:rPr>
          <w:rFonts w:hint="eastAsia" w:ascii="宋体" w:hAnsi="宋体" w:eastAsia="宋体" w:cs="宋体"/>
          <w:b/>
          <w:color w:val="auto"/>
          <w:kern w:val="2"/>
          <w:sz w:val="21"/>
          <w:szCs w:val="21"/>
          <w:highlight w:val="none"/>
          <w:lang w:val="en-US" w:eastAsia="zh-CN"/>
        </w:rPr>
        <w:t>27</w:t>
      </w:r>
      <w:r>
        <w:rPr>
          <w:rFonts w:hint="eastAsia" w:ascii="宋体" w:hAnsi="宋体" w:eastAsia="宋体" w:cs="宋体"/>
          <w:b/>
          <w:bCs/>
          <w:color w:val="auto"/>
          <w:kern w:val="2"/>
          <w:sz w:val="21"/>
          <w:szCs w:val="21"/>
          <w:highlight w:val="none"/>
        </w:rPr>
        <w:t>分</w:t>
      </w:r>
    </w:p>
    <w:p w14:paraId="0DA999C3">
      <w:pPr>
        <w:spacing w:after="0" w:line="360" w:lineRule="exact"/>
        <w:ind w:firstLine="420" w:firstLineChars="200"/>
        <w:rPr>
          <w:rFonts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评标委员会对通过资格性和符合性审查进入详评的各投标人投标文件，对招标文件《货物采购需求》中“主要技术参数（型号规格、技术参数、性能及配置）”的响应情况进行独立评审，并按如下计分方式确定得分：</w:t>
      </w:r>
    </w:p>
    <w:p w14:paraId="62A882B8">
      <w:pPr>
        <w:autoSpaceDE w:val="0"/>
        <w:autoSpaceDN w:val="0"/>
        <w:spacing w:after="0" w:line="360" w:lineRule="exact"/>
        <w:ind w:firstLine="420" w:firstLineChars="200"/>
        <w:jc w:val="both"/>
        <w:rPr>
          <w:rFonts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rPr>
        <w:t>（1）基本分:</w:t>
      </w:r>
      <w:r>
        <w:rPr>
          <w:rFonts w:hint="eastAsia" w:ascii="宋体" w:hAnsi="宋体" w:eastAsia="宋体" w:cs="宋体"/>
          <w:bCs/>
          <w:color w:val="auto"/>
          <w:kern w:val="2"/>
          <w:sz w:val="21"/>
          <w:szCs w:val="21"/>
          <w:highlight w:val="none"/>
          <w:lang w:eastAsia="zh-CN"/>
        </w:rPr>
        <w:t>招标</w:t>
      </w:r>
      <w:r>
        <w:rPr>
          <w:rFonts w:hint="eastAsia" w:ascii="宋体" w:hAnsi="宋体" w:eastAsia="宋体" w:cs="宋体"/>
          <w:bCs/>
          <w:color w:val="auto"/>
          <w:kern w:val="2"/>
          <w:sz w:val="21"/>
          <w:szCs w:val="21"/>
          <w:highlight w:val="none"/>
        </w:rPr>
        <w:t>文件“</w:t>
      </w:r>
      <w:r>
        <w:rPr>
          <w:rFonts w:hint="eastAsia" w:ascii="宋体" w:hAnsi="宋体" w:eastAsia="宋体" w:cs="宋体"/>
          <w:bCs/>
          <w:color w:val="auto"/>
          <w:kern w:val="2"/>
          <w:sz w:val="21"/>
          <w:szCs w:val="21"/>
          <w:highlight w:val="none"/>
          <w:lang w:eastAsia="zh-CN"/>
        </w:rPr>
        <w:t>货物</w:t>
      </w:r>
      <w:r>
        <w:rPr>
          <w:rFonts w:hint="eastAsia" w:ascii="宋体" w:hAnsi="宋体" w:eastAsia="宋体" w:cs="宋体"/>
          <w:bCs/>
          <w:color w:val="auto"/>
          <w:kern w:val="2"/>
          <w:sz w:val="21"/>
          <w:szCs w:val="21"/>
          <w:highlight w:val="none"/>
        </w:rPr>
        <w:t>采购需求”中，评定范围内的所有设备技术参数、性能、配备对比，全部满足，没有负偏离的，得基本分</w:t>
      </w:r>
      <w:r>
        <w:rPr>
          <w:rFonts w:hint="eastAsia" w:ascii="宋体" w:hAnsi="宋体" w:eastAsia="宋体" w:cs="宋体"/>
          <w:bCs/>
          <w:color w:val="auto"/>
          <w:kern w:val="2"/>
          <w:sz w:val="21"/>
          <w:szCs w:val="21"/>
          <w:highlight w:val="none"/>
          <w:lang w:val="en-US" w:eastAsia="zh-CN"/>
        </w:rPr>
        <w:t>7</w:t>
      </w:r>
      <w:r>
        <w:rPr>
          <w:rFonts w:hint="eastAsia" w:ascii="宋体" w:hAnsi="宋体" w:eastAsia="宋体" w:cs="宋体"/>
          <w:bCs/>
          <w:color w:val="auto"/>
          <w:kern w:val="2"/>
          <w:sz w:val="21"/>
          <w:szCs w:val="21"/>
          <w:highlight w:val="none"/>
        </w:rPr>
        <w:t>分。</w:t>
      </w:r>
    </w:p>
    <w:p w14:paraId="0F9F4A76">
      <w:pPr>
        <w:autoSpaceDE w:val="0"/>
        <w:autoSpaceDN w:val="0"/>
        <w:spacing w:after="0" w:line="360" w:lineRule="exact"/>
        <w:ind w:firstLine="420" w:firstLineChars="200"/>
        <w:jc w:val="both"/>
        <w:rPr>
          <w:rFonts w:hint="eastAsia" w:ascii="宋体" w:hAnsi="宋体" w:eastAsia="宋体" w:cs="宋体"/>
          <w:bCs/>
          <w:color w:val="auto"/>
          <w:kern w:val="2"/>
          <w:sz w:val="21"/>
          <w:szCs w:val="21"/>
          <w:highlight w:val="none"/>
        </w:rPr>
      </w:pPr>
      <w:r>
        <w:rPr>
          <w:rFonts w:hint="eastAsia" w:ascii="宋体" w:hAnsi="宋体" w:eastAsia="宋体" w:cs="宋体"/>
          <w:bCs/>
          <w:color w:val="auto"/>
          <w:sz w:val="21"/>
          <w:szCs w:val="21"/>
          <w:highlight w:val="none"/>
        </w:rPr>
        <w:t>（2）</w:t>
      </w:r>
      <w:r>
        <w:rPr>
          <w:rFonts w:hint="eastAsia" w:ascii="宋体" w:hAnsi="宋体" w:eastAsia="宋体" w:cs="宋体"/>
          <w:bCs/>
          <w:color w:val="auto"/>
          <w:sz w:val="21"/>
          <w:szCs w:val="21"/>
          <w:highlight w:val="none"/>
          <w:lang w:eastAsia="zh-CN"/>
        </w:rPr>
        <w:t>招标</w:t>
      </w:r>
      <w:r>
        <w:rPr>
          <w:rFonts w:hint="eastAsia" w:ascii="宋体" w:hAnsi="宋体" w:eastAsia="宋体" w:cs="宋体"/>
          <w:bCs/>
          <w:color w:val="auto"/>
          <w:sz w:val="21"/>
          <w:szCs w:val="21"/>
          <w:highlight w:val="none"/>
        </w:rPr>
        <w:t>文件“</w:t>
      </w:r>
      <w:r>
        <w:rPr>
          <w:rFonts w:hint="eastAsia" w:ascii="宋体" w:hAnsi="宋体" w:eastAsia="宋体" w:cs="宋体"/>
          <w:bCs/>
          <w:color w:val="auto"/>
          <w:sz w:val="21"/>
          <w:szCs w:val="21"/>
          <w:highlight w:val="none"/>
          <w:lang w:eastAsia="zh-CN"/>
        </w:rPr>
        <w:t>货物</w:t>
      </w:r>
      <w:r>
        <w:rPr>
          <w:rFonts w:hint="eastAsia" w:ascii="宋体" w:hAnsi="宋体" w:eastAsia="宋体" w:cs="宋体"/>
          <w:bCs/>
          <w:color w:val="auto"/>
          <w:sz w:val="21"/>
          <w:szCs w:val="21"/>
          <w:highlight w:val="none"/>
        </w:rPr>
        <w:t>采购需求”中，评定范围内每一项非带“★”条款项</w:t>
      </w:r>
      <w:r>
        <w:rPr>
          <w:rFonts w:hint="eastAsia" w:ascii="宋体" w:hAnsi="宋体" w:eastAsia="宋体" w:cs="宋体"/>
          <w:bCs/>
          <w:color w:val="auto"/>
          <w:sz w:val="21"/>
          <w:szCs w:val="21"/>
          <w:highlight w:val="none"/>
          <w:lang w:eastAsia="zh-CN"/>
        </w:rPr>
        <w:t>负</w:t>
      </w:r>
      <w:r>
        <w:rPr>
          <w:rFonts w:hint="eastAsia" w:ascii="宋体" w:hAnsi="宋体" w:eastAsia="宋体" w:cs="宋体"/>
          <w:bCs/>
          <w:color w:val="auto"/>
          <w:sz w:val="21"/>
          <w:szCs w:val="21"/>
          <w:highlight w:val="none"/>
        </w:rPr>
        <w:t>偏离的</w:t>
      </w:r>
      <w:r>
        <w:rPr>
          <w:rFonts w:hint="eastAsia" w:ascii="宋体" w:hAnsi="宋体" w:eastAsia="宋体" w:cs="宋体"/>
          <w:bCs/>
          <w:color w:val="auto"/>
          <w:sz w:val="21"/>
          <w:szCs w:val="21"/>
          <w:highlight w:val="none"/>
          <w:lang w:eastAsia="zh-CN"/>
        </w:rPr>
        <w:t>减</w:t>
      </w:r>
      <w:r>
        <w:rPr>
          <w:rFonts w:hint="eastAsia" w:ascii="宋体" w:hAnsi="宋体" w:eastAsia="宋体" w:cs="宋体"/>
          <w:bCs/>
          <w:color w:val="auto"/>
          <w:sz w:val="21"/>
          <w:szCs w:val="21"/>
          <w:highlight w:val="none"/>
        </w:rPr>
        <w:t>1分，</w:t>
      </w:r>
      <w:r>
        <w:rPr>
          <w:rFonts w:hint="eastAsia" w:ascii="宋体" w:hAnsi="宋体" w:eastAsia="宋体" w:cs="宋体"/>
          <w:bCs/>
          <w:color w:val="auto"/>
          <w:kern w:val="2"/>
          <w:sz w:val="21"/>
          <w:szCs w:val="21"/>
          <w:highlight w:val="none"/>
        </w:rPr>
        <w:t>扣完</w:t>
      </w:r>
      <w:r>
        <w:rPr>
          <w:rFonts w:hint="eastAsia" w:ascii="宋体" w:hAnsi="宋体" w:eastAsia="宋体" w:cs="宋体"/>
          <w:bCs/>
          <w:color w:val="auto"/>
          <w:kern w:val="2"/>
          <w:sz w:val="21"/>
          <w:szCs w:val="21"/>
          <w:highlight w:val="none"/>
          <w:lang w:val="en-US" w:eastAsia="zh-CN"/>
        </w:rPr>
        <w:t>7</w:t>
      </w:r>
      <w:r>
        <w:rPr>
          <w:rFonts w:hint="eastAsia" w:ascii="宋体" w:hAnsi="宋体" w:eastAsia="宋体" w:cs="宋体"/>
          <w:bCs/>
          <w:color w:val="auto"/>
          <w:kern w:val="2"/>
          <w:sz w:val="21"/>
          <w:szCs w:val="21"/>
          <w:highlight w:val="none"/>
        </w:rPr>
        <w:t>分为止</w:t>
      </w:r>
      <w:r>
        <w:rPr>
          <w:rFonts w:hint="eastAsia" w:ascii="宋体" w:hAnsi="宋体" w:eastAsia="宋体" w:cs="宋体"/>
          <w:bCs/>
          <w:color w:val="auto"/>
          <w:sz w:val="21"/>
          <w:szCs w:val="21"/>
          <w:highlight w:val="none"/>
        </w:rPr>
        <w:t>。</w:t>
      </w:r>
    </w:p>
    <w:p w14:paraId="2F9AECB4">
      <w:pPr>
        <w:autoSpaceDE w:val="0"/>
        <w:autoSpaceDN w:val="0"/>
        <w:spacing w:after="0" w:line="360" w:lineRule="exact"/>
        <w:ind w:firstLine="420" w:firstLineChars="200"/>
        <w:jc w:val="both"/>
        <w:rPr>
          <w:rFonts w:hint="eastAsia" w:ascii="宋体" w:hAnsi="宋体" w:eastAsia="宋体" w:cs="宋体"/>
          <w:bCs/>
          <w:color w:val="auto"/>
          <w:kern w:val="2"/>
          <w:sz w:val="21"/>
          <w:szCs w:val="21"/>
          <w:highlight w:val="none"/>
        </w:rPr>
      </w:pPr>
      <w:r>
        <w:rPr>
          <w:rFonts w:hint="eastAsia" w:ascii="宋体" w:hAnsi="宋体" w:eastAsia="宋体" w:cs="宋体"/>
          <w:bCs/>
          <w:color w:val="auto"/>
          <w:sz w:val="21"/>
          <w:szCs w:val="21"/>
          <w:highlight w:val="none"/>
        </w:rPr>
        <w:t>（</w:t>
      </w:r>
      <w:r>
        <w:rPr>
          <w:rFonts w:hint="eastAsia" w:ascii="宋体" w:hAnsi="宋体" w:eastAsia="宋体" w:cs="宋体"/>
          <w:bCs/>
          <w:color w:val="auto"/>
          <w:sz w:val="21"/>
          <w:szCs w:val="21"/>
          <w:highlight w:val="none"/>
          <w:lang w:val="en-US" w:eastAsia="zh-CN"/>
        </w:rPr>
        <w:t>3</w:t>
      </w:r>
      <w:r>
        <w:rPr>
          <w:rFonts w:hint="eastAsia" w:ascii="宋体" w:hAnsi="宋体" w:eastAsia="宋体" w:cs="宋体"/>
          <w:bCs/>
          <w:color w:val="auto"/>
          <w:sz w:val="21"/>
          <w:szCs w:val="21"/>
          <w:highlight w:val="none"/>
        </w:rPr>
        <w:t>）</w:t>
      </w:r>
      <w:r>
        <w:rPr>
          <w:rFonts w:hint="eastAsia" w:ascii="宋体" w:hAnsi="宋体" w:eastAsia="宋体" w:cs="宋体"/>
          <w:bCs/>
          <w:color w:val="auto"/>
          <w:sz w:val="21"/>
          <w:szCs w:val="21"/>
          <w:highlight w:val="none"/>
          <w:lang w:eastAsia="zh-CN"/>
        </w:rPr>
        <w:t>招标</w:t>
      </w:r>
      <w:r>
        <w:rPr>
          <w:rFonts w:hint="eastAsia" w:ascii="宋体" w:hAnsi="宋体" w:eastAsia="宋体" w:cs="宋体"/>
          <w:bCs/>
          <w:color w:val="auto"/>
          <w:sz w:val="21"/>
          <w:szCs w:val="21"/>
          <w:highlight w:val="none"/>
        </w:rPr>
        <w:t>文件“</w:t>
      </w:r>
      <w:r>
        <w:rPr>
          <w:rFonts w:hint="eastAsia" w:ascii="宋体" w:hAnsi="宋体" w:eastAsia="宋体" w:cs="宋体"/>
          <w:bCs/>
          <w:color w:val="auto"/>
          <w:sz w:val="21"/>
          <w:szCs w:val="21"/>
          <w:highlight w:val="none"/>
          <w:lang w:eastAsia="zh-CN"/>
        </w:rPr>
        <w:t>货物</w:t>
      </w:r>
      <w:r>
        <w:rPr>
          <w:rFonts w:hint="eastAsia" w:ascii="宋体" w:hAnsi="宋体" w:eastAsia="宋体" w:cs="宋体"/>
          <w:bCs/>
          <w:color w:val="auto"/>
          <w:sz w:val="21"/>
          <w:szCs w:val="21"/>
          <w:highlight w:val="none"/>
        </w:rPr>
        <w:t>采购需求”中，评定范围内每一项带“★”的条款项正偏离的加2分；每一项非带“★”条款项正偏离的加1分，</w:t>
      </w:r>
      <w:r>
        <w:rPr>
          <w:rFonts w:hint="eastAsia" w:ascii="宋体" w:hAnsi="宋体" w:eastAsia="宋体" w:cs="宋体"/>
          <w:bCs/>
          <w:color w:val="auto"/>
          <w:sz w:val="21"/>
          <w:szCs w:val="21"/>
          <w:highlight w:val="none"/>
          <w:lang w:eastAsia="zh-CN"/>
        </w:rPr>
        <w:t>最高加</w:t>
      </w:r>
      <w:r>
        <w:rPr>
          <w:rFonts w:hint="eastAsia" w:ascii="宋体" w:hAnsi="宋体" w:eastAsia="宋体" w:cs="宋体"/>
          <w:bCs/>
          <w:color w:val="auto"/>
          <w:sz w:val="21"/>
          <w:szCs w:val="21"/>
          <w:highlight w:val="none"/>
          <w:lang w:val="en-US" w:eastAsia="zh-CN"/>
        </w:rPr>
        <w:t>20</w:t>
      </w:r>
      <w:r>
        <w:rPr>
          <w:rFonts w:hint="eastAsia" w:ascii="宋体" w:hAnsi="宋体" w:eastAsia="宋体" w:cs="宋体"/>
          <w:bCs/>
          <w:color w:val="auto"/>
          <w:sz w:val="21"/>
          <w:szCs w:val="21"/>
          <w:highlight w:val="none"/>
        </w:rPr>
        <w:t>分</w:t>
      </w:r>
      <w:bookmarkStart w:id="23" w:name="_GoBack"/>
      <w:bookmarkEnd w:id="23"/>
      <w:r>
        <w:rPr>
          <w:rFonts w:hint="eastAsia" w:ascii="宋体" w:hAnsi="宋体" w:eastAsia="宋体" w:cs="宋体"/>
          <w:bCs/>
          <w:color w:val="auto"/>
          <w:sz w:val="21"/>
          <w:szCs w:val="21"/>
          <w:highlight w:val="none"/>
        </w:rPr>
        <w:t>。</w:t>
      </w:r>
    </w:p>
    <w:p w14:paraId="748D3DCA">
      <w:pPr>
        <w:pStyle w:val="23"/>
        <w:ind w:firstLine="480"/>
        <w:rPr>
          <w:rFonts w:hint="eastAsia" w:ascii="宋体" w:hAnsi="宋体" w:eastAsia="宋体" w:cs="宋体"/>
          <w:bCs/>
          <w:color w:val="auto"/>
          <w:kern w:val="2"/>
          <w:sz w:val="21"/>
          <w:szCs w:val="21"/>
          <w:highlight w:val="none"/>
          <w:lang w:val="en-US" w:eastAsia="zh-CN" w:bidi="ar-SA"/>
        </w:rPr>
      </w:pPr>
    </w:p>
    <w:p w14:paraId="0A7F0466">
      <w:pPr>
        <w:spacing w:after="0" w:line="360" w:lineRule="exact"/>
        <w:ind w:firstLine="422" w:firstLineChars="200"/>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rPr>
        <w:t>3.售后服务承诺分………………………………………………</w:t>
      </w:r>
      <w:r>
        <w:rPr>
          <w:rFonts w:hint="eastAsia" w:ascii="宋体" w:hAnsi="宋体" w:eastAsia="宋体" w:cs="宋体"/>
          <w:b/>
          <w:bCs/>
          <w:color w:val="auto"/>
          <w:kern w:val="2"/>
          <w:sz w:val="21"/>
          <w:szCs w:val="21"/>
          <w:highlight w:val="none"/>
        </w:rPr>
        <w:t>……………………</w:t>
      </w:r>
      <w:r>
        <w:rPr>
          <w:rFonts w:hint="eastAsia" w:ascii="宋体" w:hAnsi="宋体" w:eastAsia="宋体" w:cs="宋体"/>
          <w:b/>
          <w:color w:val="auto"/>
          <w:kern w:val="2"/>
          <w:sz w:val="21"/>
          <w:szCs w:val="21"/>
          <w:highlight w:val="none"/>
        </w:rPr>
        <w:t>…</w:t>
      </w:r>
      <w:r>
        <w:rPr>
          <w:rFonts w:hint="eastAsia" w:ascii="宋体" w:hAnsi="宋体" w:eastAsia="宋体" w:cs="宋体"/>
          <w:b/>
          <w:bCs/>
          <w:color w:val="auto"/>
          <w:kern w:val="2"/>
          <w:sz w:val="21"/>
          <w:szCs w:val="21"/>
          <w:highlight w:val="none"/>
        </w:rPr>
        <w:t>…</w:t>
      </w:r>
      <w:r>
        <w:rPr>
          <w:rFonts w:hint="eastAsia" w:ascii="宋体" w:hAnsi="宋体" w:eastAsia="宋体" w:cs="宋体"/>
          <w:b/>
          <w:color w:val="auto"/>
          <w:kern w:val="2"/>
          <w:sz w:val="21"/>
          <w:szCs w:val="21"/>
          <w:highlight w:val="none"/>
        </w:rPr>
        <w:t>…………满分</w:t>
      </w:r>
      <w:r>
        <w:rPr>
          <w:rFonts w:hint="eastAsia" w:ascii="宋体" w:hAnsi="宋体" w:eastAsia="宋体" w:cs="宋体"/>
          <w:b/>
          <w:color w:val="auto"/>
          <w:kern w:val="2"/>
          <w:sz w:val="21"/>
          <w:szCs w:val="21"/>
          <w:highlight w:val="none"/>
          <w:lang w:val="en-US" w:eastAsia="zh-CN"/>
        </w:rPr>
        <w:t>16</w:t>
      </w:r>
      <w:r>
        <w:rPr>
          <w:rFonts w:hint="eastAsia" w:ascii="宋体" w:hAnsi="宋体" w:eastAsia="宋体" w:cs="宋体"/>
          <w:b/>
          <w:color w:val="auto"/>
          <w:kern w:val="2"/>
          <w:sz w:val="21"/>
          <w:szCs w:val="21"/>
          <w:highlight w:val="none"/>
        </w:rPr>
        <w:t>分</w:t>
      </w:r>
    </w:p>
    <w:p w14:paraId="4C063FFE">
      <w:pPr>
        <w:widowControl w:val="0"/>
        <w:tabs>
          <w:tab w:val="left" w:pos="4214"/>
        </w:tabs>
        <w:spacing w:after="0" w:line="360" w:lineRule="exact"/>
        <w:ind w:firstLine="420" w:firstLineChars="200"/>
        <w:jc w:val="both"/>
        <w:outlineLvl w:val="9"/>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评委对各投标人的投标文件中售后服务承诺书内容，即：从免费保修期、到达故障现场时间、故障出现解决方案，定期维护、免费技术培训方案、免费保修期（免费软件升级期）外维修方案、其它优惠方案等方面情况进行综合评比，确定所属档次并独立打分。</w:t>
      </w:r>
    </w:p>
    <w:p w14:paraId="4DA4E5BF">
      <w:pPr>
        <w:widowControl w:val="0"/>
        <w:tabs>
          <w:tab w:val="left" w:pos="4214"/>
        </w:tabs>
        <w:spacing w:after="0" w:line="36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一档（</w:t>
      </w: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2"/>
          <w:sz w:val="21"/>
          <w:szCs w:val="21"/>
          <w:highlight w:val="none"/>
        </w:rPr>
        <w:t>分）：售后服务方案不完整或简单描述或有缺项的；</w:t>
      </w:r>
    </w:p>
    <w:p w14:paraId="18EB4A7A">
      <w:pPr>
        <w:pStyle w:val="9"/>
        <w:spacing w:line="400" w:lineRule="exact"/>
        <w:ind w:firstLine="420" w:firstLineChars="200"/>
        <w:outlineLvl w:val="0"/>
        <w:rPr>
          <w:rFonts w:hint="eastAsia" w:ascii="宋体" w:hAnsi="宋体" w:eastAsia="宋体" w:cs="宋体"/>
          <w:color w:val="auto"/>
          <w:sz w:val="21"/>
          <w:szCs w:val="21"/>
          <w:highlight w:val="none"/>
        </w:rPr>
      </w:pPr>
      <w:r>
        <w:rPr>
          <w:rFonts w:hint="eastAsia" w:ascii="宋体" w:hAnsi="宋体" w:eastAsia="宋体" w:cs="宋体"/>
          <w:color w:val="auto"/>
          <w:kern w:val="2"/>
          <w:sz w:val="21"/>
          <w:szCs w:val="21"/>
          <w:highlight w:val="none"/>
        </w:rPr>
        <w:t>二档</w:t>
      </w:r>
      <w:r>
        <w:rPr>
          <w:rFonts w:hint="eastAsia" w:ascii="宋体" w:hAnsi="宋体" w:eastAsia="宋体" w:cs="宋体"/>
          <w:color w:val="auto"/>
          <w:sz w:val="21"/>
          <w:szCs w:val="21"/>
          <w:highlight w:val="none"/>
        </w:rPr>
        <w:t>（</w:t>
      </w:r>
      <w:r>
        <w:rPr>
          <w:rFonts w:hint="eastAsia" w:hAnsi="宋体" w:cs="宋体"/>
          <w:color w:val="auto"/>
          <w:sz w:val="21"/>
          <w:szCs w:val="21"/>
          <w:highlight w:val="none"/>
          <w:lang w:val="en-US" w:eastAsia="zh-CN"/>
        </w:rPr>
        <w:t>8</w:t>
      </w:r>
      <w:r>
        <w:rPr>
          <w:rFonts w:hint="eastAsia" w:ascii="宋体" w:hAnsi="宋体" w:eastAsia="宋体" w:cs="宋体"/>
          <w:color w:val="auto"/>
          <w:sz w:val="21"/>
          <w:szCs w:val="21"/>
          <w:highlight w:val="none"/>
        </w:rPr>
        <w:t>分）：售后服务方案</w:t>
      </w:r>
      <w:r>
        <w:rPr>
          <w:rFonts w:hint="eastAsia" w:hAnsi="宋体" w:cs="宋体"/>
          <w:color w:val="auto"/>
          <w:sz w:val="21"/>
          <w:szCs w:val="21"/>
          <w:highlight w:val="none"/>
          <w:lang w:eastAsia="zh-CN"/>
        </w:rPr>
        <w:t>基本能</w:t>
      </w:r>
      <w:r>
        <w:rPr>
          <w:rFonts w:hint="eastAsia" w:ascii="宋体" w:hAnsi="宋体" w:eastAsia="宋体" w:cs="宋体"/>
          <w:color w:val="auto"/>
          <w:sz w:val="21"/>
          <w:szCs w:val="21"/>
          <w:highlight w:val="none"/>
        </w:rPr>
        <w:t>满足招标文件要求，服务内容</w:t>
      </w:r>
      <w:r>
        <w:rPr>
          <w:rFonts w:hint="eastAsia" w:hAnsi="宋体" w:cs="宋体"/>
          <w:color w:val="auto"/>
          <w:sz w:val="21"/>
          <w:szCs w:val="21"/>
          <w:highlight w:val="none"/>
          <w:lang w:eastAsia="zh-CN"/>
        </w:rPr>
        <w:t>明确</w:t>
      </w:r>
      <w:r>
        <w:rPr>
          <w:rFonts w:hint="eastAsia" w:ascii="宋体" w:hAnsi="宋体" w:eastAsia="宋体" w:cs="宋体"/>
          <w:color w:val="auto"/>
          <w:sz w:val="21"/>
          <w:szCs w:val="21"/>
          <w:highlight w:val="none"/>
        </w:rPr>
        <w:t>、售后保障措施完整的；</w:t>
      </w:r>
    </w:p>
    <w:p w14:paraId="7908381C">
      <w:pPr>
        <w:pStyle w:val="9"/>
        <w:spacing w:line="400" w:lineRule="exact"/>
        <w:ind w:firstLine="420" w:firstLineChars="200"/>
        <w:outlineLvl w:val="0"/>
        <w:rPr>
          <w:rFonts w:hint="eastAsia"/>
        </w:rPr>
      </w:pPr>
      <w:r>
        <w:rPr>
          <w:rFonts w:hint="eastAsia" w:ascii="宋体" w:hAnsi="宋体" w:eastAsia="宋体" w:cs="宋体"/>
          <w:color w:val="auto"/>
          <w:sz w:val="21"/>
          <w:szCs w:val="21"/>
          <w:highlight w:val="none"/>
        </w:rPr>
        <w:t>三档（</w:t>
      </w:r>
      <w:r>
        <w:rPr>
          <w:rFonts w:hint="eastAsia" w:hAnsi="宋体" w:cs="宋体"/>
          <w:color w:val="auto"/>
          <w:sz w:val="21"/>
          <w:szCs w:val="21"/>
          <w:highlight w:val="none"/>
          <w:lang w:val="en-US" w:eastAsia="zh-CN"/>
        </w:rPr>
        <w:t>12</w:t>
      </w:r>
      <w:r>
        <w:rPr>
          <w:rFonts w:hint="eastAsia" w:ascii="宋体" w:hAnsi="宋体" w:eastAsia="宋体" w:cs="宋体"/>
          <w:color w:val="auto"/>
          <w:sz w:val="21"/>
          <w:szCs w:val="21"/>
          <w:highlight w:val="none"/>
        </w:rPr>
        <w:t>分）：售后服务方案满足招标文件要求，服务内容明确、售后保障措施较详细、具体、完整的</w:t>
      </w:r>
      <w:r>
        <w:rPr>
          <w:rFonts w:hint="eastAsia" w:hAnsi="宋体" w:cs="宋体"/>
          <w:color w:val="auto"/>
          <w:sz w:val="21"/>
          <w:szCs w:val="21"/>
          <w:highlight w:val="none"/>
          <w:lang w:eastAsia="zh-CN"/>
        </w:rPr>
        <w:t>，</w:t>
      </w:r>
      <w:r>
        <w:rPr>
          <w:rFonts w:hint="eastAsia" w:ascii="宋体" w:hAnsi="宋体" w:eastAsia="宋体" w:cs="宋体"/>
          <w:color w:val="auto"/>
          <w:sz w:val="21"/>
          <w:szCs w:val="21"/>
          <w:highlight w:val="none"/>
        </w:rPr>
        <w:t>提供</w:t>
      </w:r>
      <w:r>
        <w:rPr>
          <w:rFonts w:hint="eastAsia" w:hAnsi="宋体" w:cs="宋体"/>
          <w:color w:val="auto"/>
          <w:sz w:val="21"/>
          <w:szCs w:val="21"/>
          <w:highlight w:val="none"/>
          <w:lang w:eastAsia="zh-CN"/>
        </w:rPr>
        <w:t>有</w:t>
      </w:r>
      <w:r>
        <w:rPr>
          <w:rFonts w:hint="eastAsia" w:ascii="宋体" w:hAnsi="宋体" w:eastAsia="宋体" w:cs="宋体"/>
          <w:color w:val="auto"/>
          <w:sz w:val="21"/>
          <w:szCs w:val="21"/>
          <w:highlight w:val="none"/>
        </w:rPr>
        <w:t>针对性的本地化售后服务措施</w:t>
      </w:r>
      <w:r>
        <w:rPr>
          <w:rFonts w:hint="eastAsia" w:hAnsi="宋体" w:cs="宋体"/>
          <w:color w:val="auto"/>
          <w:sz w:val="21"/>
          <w:szCs w:val="21"/>
          <w:highlight w:val="none"/>
          <w:lang w:eastAsia="zh-CN"/>
        </w:rPr>
        <w:t>和</w:t>
      </w:r>
      <w:r>
        <w:rPr>
          <w:rFonts w:hint="eastAsia" w:ascii="宋体" w:hAnsi="宋体" w:eastAsia="宋体" w:cs="宋体"/>
          <w:color w:val="auto"/>
          <w:sz w:val="21"/>
          <w:szCs w:val="21"/>
          <w:highlight w:val="none"/>
        </w:rPr>
        <w:t>应急保障方案</w:t>
      </w:r>
      <w:r>
        <w:rPr>
          <w:rFonts w:hint="eastAsia" w:hAnsi="宋体" w:cs="宋体"/>
          <w:color w:val="auto"/>
          <w:sz w:val="21"/>
          <w:szCs w:val="21"/>
          <w:highlight w:val="none"/>
          <w:lang w:eastAsia="zh-CN"/>
        </w:rPr>
        <w:t>，</w:t>
      </w:r>
      <w:r>
        <w:rPr>
          <w:rFonts w:hint="eastAsia" w:ascii="宋体" w:hAnsi="宋体" w:eastAsia="宋体" w:cs="宋体"/>
          <w:color w:val="auto"/>
          <w:sz w:val="21"/>
          <w:szCs w:val="21"/>
          <w:highlight w:val="none"/>
        </w:rPr>
        <w:t>定期维护计划（注明时间）考虑周全；</w:t>
      </w:r>
    </w:p>
    <w:p w14:paraId="2EFDA885">
      <w:pPr>
        <w:autoSpaceDE w:val="0"/>
        <w:autoSpaceDN w:val="0"/>
        <w:spacing w:after="0" w:line="360" w:lineRule="auto"/>
        <w:ind w:firstLine="420" w:firstLineChars="200"/>
        <w:jc w:val="both"/>
        <w:rPr>
          <w:rFonts w:hint="eastAsia" w:ascii="宋体" w:hAnsi="宋体" w:eastAsia="宋体" w:cs="宋体"/>
          <w:color w:val="auto"/>
          <w:sz w:val="21"/>
          <w:szCs w:val="21"/>
          <w:highlight w:val="none"/>
        </w:rPr>
      </w:pPr>
      <w:r>
        <w:rPr>
          <w:rFonts w:hint="eastAsia" w:hAnsi="宋体" w:cs="宋体"/>
          <w:color w:val="auto"/>
          <w:sz w:val="21"/>
          <w:szCs w:val="21"/>
          <w:highlight w:val="none"/>
          <w:lang w:eastAsia="zh-CN"/>
        </w:rPr>
        <w:t>四</w:t>
      </w:r>
      <w:r>
        <w:rPr>
          <w:rFonts w:hint="eastAsia" w:ascii="宋体" w:hAnsi="宋体" w:eastAsia="宋体" w:cs="宋体"/>
          <w:color w:val="auto"/>
          <w:sz w:val="21"/>
          <w:szCs w:val="21"/>
          <w:highlight w:val="none"/>
        </w:rPr>
        <w:t>档（</w:t>
      </w:r>
      <w:r>
        <w:rPr>
          <w:rFonts w:hint="eastAsia" w:ascii="宋体" w:hAnsi="宋体" w:eastAsia="宋体" w:cs="宋体"/>
          <w:color w:val="auto"/>
          <w:sz w:val="21"/>
          <w:szCs w:val="21"/>
          <w:highlight w:val="none"/>
          <w:lang w:val="en-US" w:eastAsia="zh-CN"/>
        </w:rPr>
        <w:t>16</w:t>
      </w:r>
      <w:r>
        <w:rPr>
          <w:rFonts w:hint="eastAsia" w:ascii="宋体" w:hAnsi="宋体" w:eastAsia="宋体" w:cs="宋体"/>
          <w:color w:val="auto"/>
          <w:sz w:val="21"/>
          <w:szCs w:val="21"/>
          <w:highlight w:val="none"/>
        </w:rPr>
        <w:t>分）：售后服务方案满足招标文件要求，在第</w:t>
      </w:r>
      <w:r>
        <w:rPr>
          <w:rFonts w:hint="eastAsia" w:ascii="宋体" w:hAnsi="宋体" w:eastAsia="宋体" w:cs="宋体"/>
          <w:color w:val="auto"/>
          <w:sz w:val="21"/>
          <w:szCs w:val="21"/>
          <w:highlight w:val="none"/>
          <w:lang w:eastAsia="zh-CN"/>
        </w:rPr>
        <w:t>四</w:t>
      </w:r>
      <w:r>
        <w:rPr>
          <w:rFonts w:hint="eastAsia" w:ascii="宋体" w:hAnsi="宋体" w:eastAsia="宋体" w:cs="宋体"/>
          <w:color w:val="auto"/>
          <w:sz w:val="21"/>
          <w:szCs w:val="21"/>
          <w:highlight w:val="none"/>
        </w:rPr>
        <w:t>档的基础上，提供针对性的替代品方案、免费技术培训方案、免费保修期外维修方案、增值售后服务方案均全面、可行、科学。</w:t>
      </w:r>
    </w:p>
    <w:p w14:paraId="7975F762">
      <w:pPr>
        <w:spacing w:after="0" w:line="360" w:lineRule="exact"/>
        <w:ind w:firstLine="211" w:firstLineChars="100"/>
        <w:rPr>
          <w:rFonts w:hint="eastAsia" w:ascii="宋体" w:hAnsi="宋体" w:eastAsia="宋体" w:cs="宋体"/>
          <w:b/>
          <w:color w:val="auto"/>
          <w:sz w:val="21"/>
          <w:szCs w:val="21"/>
          <w:highlight w:val="none"/>
        </w:rPr>
      </w:pPr>
    </w:p>
    <w:p w14:paraId="63233D8B">
      <w:pPr>
        <w:widowControl w:val="0"/>
        <w:spacing w:after="0" w:line="360" w:lineRule="exact"/>
        <w:ind w:right="-328" w:rightChars="-149" w:firstLine="413" w:firstLineChars="196"/>
        <w:jc w:val="both"/>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lang w:val="en-US" w:eastAsia="zh-CN"/>
        </w:rPr>
        <w:t>4</w:t>
      </w:r>
      <w:r>
        <w:rPr>
          <w:rFonts w:hint="eastAsia" w:ascii="宋体" w:hAnsi="宋体" w:eastAsia="宋体" w:cs="宋体"/>
          <w:b/>
          <w:color w:val="auto"/>
          <w:kern w:val="2"/>
          <w:sz w:val="21"/>
          <w:szCs w:val="21"/>
          <w:highlight w:val="none"/>
        </w:rPr>
        <w:t>.项目实施方案分……………………………………………</w:t>
      </w:r>
      <w:r>
        <w:rPr>
          <w:rFonts w:hint="eastAsia" w:ascii="宋体" w:hAnsi="宋体" w:eastAsia="宋体" w:cs="宋体"/>
          <w:b/>
          <w:bCs/>
          <w:color w:val="auto"/>
          <w:kern w:val="2"/>
          <w:sz w:val="21"/>
          <w:szCs w:val="21"/>
          <w:highlight w:val="none"/>
        </w:rPr>
        <w:t>……………………………</w:t>
      </w:r>
      <w:r>
        <w:rPr>
          <w:rFonts w:hint="eastAsia" w:ascii="宋体" w:hAnsi="宋体" w:eastAsia="宋体" w:cs="宋体"/>
          <w:b/>
          <w:color w:val="auto"/>
          <w:kern w:val="2"/>
          <w:sz w:val="21"/>
          <w:szCs w:val="21"/>
          <w:highlight w:val="none"/>
        </w:rPr>
        <w:t>…………满分</w:t>
      </w:r>
      <w:r>
        <w:rPr>
          <w:rFonts w:hint="eastAsia" w:ascii="宋体" w:hAnsi="宋体" w:eastAsia="宋体" w:cs="宋体"/>
          <w:b/>
          <w:color w:val="auto"/>
          <w:kern w:val="2"/>
          <w:sz w:val="21"/>
          <w:szCs w:val="21"/>
          <w:highlight w:val="none"/>
          <w:lang w:val="en-US" w:eastAsia="zh-CN"/>
        </w:rPr>
        <w:t>16</w:t>
      </w:r>
      <w:r>
        <w:rPr>
          <w:rFonts w:hint="eastAsia" w:ascii="宋体" w:hAnsi="宋体" w:eastAsia="宋体" w:cs="宋体"/>
          <w:b/>
          <w:color w:val="auto"/>
          <w:kern w:val="2"/>
          <w:sz w:val="21"/>
          <w:szCs w:val="21"/>
          <w:highlight w:val="none"/>
        </w:rPr>
        <w:t>分</w:t>
      </w:r>
    </w:p>
    <w:p w14:paraId="30259661">
      <w:pPr>
        <w:spacing w:after="0" w:line="36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由评委根据各投标人所提供项目实施方案（包括对项目的总体理解、设备选型、设备布局、项目实施人员组织、质量保证、安装调试方案、建议的验收方法等）的优劣进行综合评比，确定所属档次并独立打分。</w:t>
      </w:r>
    </w:p>
    <w:p w14:paraId="5086E7A4">
      <w:pPr>
        <w:spacing w:after="0" w:line="36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一档（0分）：未提供方案或提供的内容与本项目无关的；</w:t>
      </w:r>
    </w:p>
    <w:p w14:paraId="6930DDA7">
      <w:pPr>
        <w:spacing w:after="0" w:line="36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二档（</w:t>
      </w:r>
      <w:r>
        <w:rPr>
          <w:rFonts w:hint="eastAsia" w:ascii="宋体" w:hAnsi="宋体" w:eastAsia="宋体" w:cs="宋体"/>
          <w:color w:val="auto"/>
          <w:sz w:val="21"/>
          <w:szCs w:val="21"/>
          <w:highlight w:val="none"/>
          <w:lang w:val="en-US" w:eastAsia="zh-CN"/>
        </w:rPr>
        <w:t>4</w:t>
      </w:r>
      <w:r>
        <w:rPr>
          <w:rFonts w:hint="eastAsia" w:ascii="宋体" w:hAnsi="宋体" w:eastAsia="宋体" w:cs="宋体"/>
          <w:color w:val="auto"/>
          <w:sz w:val="21"/>
          <w:szCs w:val="21"/>
          <w:highlight w:val="none"/>
        </w:rPr>
        <w:t>分）：方案内容不完整或简单描述或有缺项的；</w:t>
      </w:r>
    </w:p>
    <w:p w14:paraId="7003CDC1">
      <w:pPr>
        <w:pStyle w:val="9"/>
        <w:spacing w:line="400" w:lineRule="exact"/>
        <w:ind w:firstLine="420" w:firstLineChars="200"/>
        <w:outlineLvl w:val="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三档（</w:t>
      </w:r>
      <w:r>
        <w:rPr>
          <w:rFonts w:hint="eastAsia" w:hAnsi="宋体" w:cs="宋体"/>
          <w:color w:val="auto"/>
          <w:sz w:val="21"/>
          <w:szCs w:val="21"/>
          <w:highlight w:val="none"/>
          <w:lang w:val="en-US" w:eastAsia="zh-CN"/>
        </w:rPr>
        <w:t>8</w:t>
      </w:r>
      <w:r>
        <w:rPr>
          <w:rFonts w:hint="eastAsia" w:ascii="宋体" w:hAnsi="宋体" w:eastAsia="宋体" w:cs="宋体"/>
          <w:color w:val="auto"/>
          <w:sz w:val="21"/>
          <w:szCs w:val="21"/>
          <w:highlight w:val="none"/>
        </w:rPr>
        <w:t>分）：方案内容中对项目的总体理解、设备选型、项目实施人员组织、质量保证、安装调试方案、建议的验收方法等内容描述完整；</w:t>
      </w:r>
    </w:p>
    <w:p w14:paraId="0712C572">
      <w:pPr>
        <w:pStyle w:val="9"/>
        <w:spacing w:line="400" w:lineRule="exact"/>
        <w:ind w:firstLine="420" w:firstLineChars="200"/>
        <w:outlineLvl w:val="0"/>
        <w:rPr>
          <w:rFonts w:hint="eastAsia" w:ascii="宋体" w:hAnsi="宋体" w:eastAsia="宋体" w:cs="宋体"/>
          <w:color w:val="auto"/>
          <w:sz w:val="21"/>
          <w:szCs w:val="21"/>
          <w:highlight w:val="none"/>
        </w:rPr>
      </w:pPr>
      <w:r>
        <w:rPr>
          <w:rFonts w:hint="eastAsia" w:hAnsi="宋体" w:cs="宋体"/>
          <w:color w:val="auto"/>
          <w:sz w:val="21"/>
          <w:szCs w:val="21"/>
          <w:highlight w:val="none"/>
          <w:lang w:eastAsia="zh-CN"/>
        </w:rPr>
        <w:t>四</w:t>
      </w:r>
      <w:r>
        <w:rPr>
          <w:rFonts w:hint="eastAsia" w:ascii="宋体" w:hAnsi="宋体" w:eastAsia="宋体" w:cs="宋体"/>
          <w:color w:val="auto"/>
          <w:sz w:val="21"/>
          <w:szCs w:val="21"/>
          <w:highlight w:val="none"/>
        </w:rPr>
        <w:t>档（</w:t>
      </w:r>
      <w:r>
        <w:rPr>
          <w:rFonts w:hint="eastAsia" w:hAnsi="宋体" w:cs="宋体"/>
          <w:color w:val="auto"/>
          <w:sz w:val="21"/>
          <w:szCs w:val="21"/>
          <w:highlight w:val="none"/>
          <w:lang w:val="en-US" w:eastAsia="zh-CN"/>
        </w:rPr>
        <w:t>12</w:t>
      </w:r>
      <w:r>
        <w:rPr>
          <w:rFonts w:hint="eastAsia" w:ascii="宋体" w:hAnsi="宋体" w:eastAsia="宋体" w:cs="宋体"/>
          <w:color w:val="auto"/>
          <w:sz w:val="21"/>
          <w:szCs w:val="21"/>
          <w:highlight w:val="none"/>
        </w:rPr>
        <w:t>分）：方案内容中对项目的总体理解、设备选型、项目实施人员组织、质量保证、安装调试方案、建议的验收方法等内容描述较完整</w:t>
      </w:r>
      <w:r>
        <w:rPr>
          <w:rFonts w:hint="eastAsia" w:hAnsi="宋体" w:cs="宋体"/>
          <w:color w:val="auto"/>
          <w:sz w:val="21"/>
          <w:szCs w:val="21"/>
          <w:highlight w:val="none"/>
          <w:lang w:eastAsia="zh-CN"/>
        </w:rPr>
        <w:t>、</w:t>
      </w:r>
      <w:r>
        <w:rPr>
          <w:rFonts w:hint="eastAsia" w:ascii="宋体" w:hAnsi="宋体" w:eastAsia="宋体" w:cs="宋体"/>
          <w:color w:val="auto"/>
          <w:sz w:val="21"/>
          <w:szCs w:val="21"/>
          <w:highlight w:val="none"/>
        </w:rPr>
        <w:t>详细，具有合理性、可行性；</w:t>
      </w:r>
    </w:p>
    <w:p w14:paraId="005CDD2F">
      <w:pPr>
        <w:spacing w:after="0" w:line="360" w:lineRule="exact"/>
        <w:ind w:firstLine="420" w:firstLineChars="200"/>
        <w:rPr>
          <w:rFonts w:hint="eastAsia" w:ascii="宋体" w:hAnsi="宋体" w:eastAsia="宋体" w:cs="宋体"/>
          <w:b/>
          <w:bCs/>
          <w:color w:val="auto"/>
          <w:sz w:val="21"/>
          <w:szCs w:val="21"/>
          <w:highlight w:val="none"/>
          <w:lang w:eastAsia="zh-CN"/>
        </w:rPr>
      </w:pPr>
      <w:r>
        <w:rPr>
          <w:rFonts w:hint="eastAsia" w:ascii="宋体" w:hAnsi="宋体" w:eastAsia="宋体" w:cs="宋体"/>
          <w:color w:val="auto"/>
          <w:sz w:val="21"/>
          <w:szCs w:val="21"/>
          <w:highlight w:val="none"/>
          <w:lang w:eastAsia="zh-CN"/>
        </w:rPr>
        <w:t>五</w:t>
      </w:r>
      <w:r>
        <w:rPr>
          <w:rFonts w:hint="eastAsia" w:ascii="宋体" w:hAnsi="宋体" w:eastAsia="宋体" w:cs="宋体"/>
          <w:color w:val="auto"/>
          <w:sz w:val="21"/>
          <w:szCs w:val="21"/>
          <w:highlight w:val="none"/>
        </w:rPr>
        <w:t>档（</w:t>
      </w:r>
      <w:r>
        <w:rPr>
          <w:rFonts w:hint="eastAsia" w:ascii="宋体" w:hAnsi="宋体" w:eastAsia="宋体" w:cs="宋体"/>
          <w:color w:val="auto"/>
          <w:sz w:val="21"/>
          <w:szCs w:val="21"/>
          <w:highlight w:val="none"/>
          <w:lang w:val="en-US" w:eastAsia="zh-CN"/>
        </w:rPr>
        <w:t>16</w:t>
      </w:r>
      <w:r>
        <w:rPr>
          <w:rFonts w:hint="eastAsia" w:ascii="宋体" w:hAnsi="宋体" w:eastAsia="宋体" w:cs="宋体"/>
          <w:color w:val="auto"/>
          <w:sz w:val="21"/>
          <w:szCs w:val="21"/>
          <w:highlight w:val="none"/>
        </w:rPr>
        <w:t>分）：在满足第三档的基础上，结合实际需求，根据自身经验，提供针对性的实施建议，重点、难点突出，具有合理性、可行性，拟投入本项目实施人员齐全且具有专业性，完全能满足项目需求的。</w:t>
      </w:r>
    </w:p>
    <w:p w14:paraId="4E5313A1">
      <w:pPr>
        <w:autoSpaceDE w:val="0"/>
        <w:autoSpaceDN w:val="0"/>
        <w:spacing w:after="0" w:line="360" w:lineRule="auto"/>
        <w:ind w:firstLine="420" w:firstLineChars="200"/>
        <w:jc w:val="both"/>
        <w:rPr>
          <w:rFonts w:hint="eastAsia" w:ascii="宋体" w:hAnsi="宋体" w:eastAsia="宋体" w:cs="宋体"/>
          <w:color w:val="auto"/>
          <w:sz w:val="21"/>
          <w:szCs w:val="21"/>
          <w:highlight w:val="none"/>
        </w:rPr>
      </w:pPr>
    </w:p>
    <w:p w14:paraId="4F3415F3">
      <w:pPr>
        <w:spacing w:after="0" w:line="360" w:lineRule="exact"/>
        <w:ind w:firstLine="422" w:firstLineChars="200"/>
        <w:rPr>
          <w:rFonts w:hint="eastAsia" w:ascii="宋体" w:hAnsi="宋体" w:eastAsia="宋体" w:cs="宋体"/>
          <w:b/>
          <w:color w:val="auto"/>
          <w:sz w:val="21"/>
          <w:szCs w:val="21"/>
          <w:highlight w:val="none"/>
        </w:rPr>
      </w:pPr>
    </w:p>
    <w:p w14:paraId="01766620">
      <w:pPr>
        <w:spacing w:after="0" w:line="360" w:lineRule="exact"/>
        <w:ind w:firstLine="422" w:firstLineChars="200"/>
        <w:rPr>
          <w:rFonts w:hint="eastAsia" w:ascii="宋体" w:hAnsi="宋体" w:eastAsia="宋体" w:cs="宋体"/>
          <w:b/>
          <w:color w:val="auto"/>
          <w:sz w:val="21"/>
          <w:szCs w:val="21"/>
          <w:highlight w:val="none"/>
        </w:rPr>
      </w:pPr>
      <w:r>
        <w:rPr>
          <w:rFonts w:hint="eastAsia" w:ascii="宋体" w:hAnsi="宋体" w:eastAsia="宋体" w:cs="宋体"/>
          <w:b/>
          <w:color w:val="auto"/>
          <w:sz w:val="21"/>
          <w:szCs w:val="21"/>
          <w:highlight w:val="none"/>
          <w:lang w:val="en-US" w:eastAsia="zh-CN"/>
        </w:rPr>
        <w:t>5</w:t>
      </w:r>
      <w:r>
        <w:rPr>
          <w:rFonts w:hint="eastAsia" w:ascii="宋体" w:hAnsi="宋体" w:eastAsia="宋体" w:cs="宋体"/>
          <w:b/>
          <w:color w:val="auto"/>
          <w:sz w:val="21"/>
          <w:szCs w:val="21"/>
          <w:highlight w:val="none"/>
        </w:rPr>
        <w:t>.履约能力分 …………………………………………………</w:t>
      </w:r>
      <w:r>
        <w:rPr>
          <w:rFonts w:hint="eastAsia" w:ascii="宋体" w:hAnsi="宋体" w:eastAsia="宋体" w:cs="宋体"/>
          <w:b/>
          <w:bCs/>
          <w:color w:val="auto"/>
          <w:kern w:val="2"/>
          <w:sz w:val="21"/>
          <w:szCs w:val="21"/>
          <w:highlight w:val="none"/>
        </w:rPr>
        <w:t>………………………</w:t>
      </w:r>
      <w:r>
        <w:rPr>
          <w:rFonts w:hint="eastAsia" w:ascii="宋体" w:hAnsi="宋体" w:eastAsia="宋体" w:cs="宋体"/>
          <w:b/>
          <w:color w:val="auto"/>
          <w:sz w:val="21"/>
          <w:szCs w:val="21"/>
          <w:highlight w:val="none"/>
        </w:rPr>
        <w:t>………………满分</w:t>
      </w:r>
      <w:r>
        <w:rPr>
          <w:rFonts w:hint="eastAsia" w:ascii="宋体" w:hAnsi="宋体" w:eastAsia="宋体" w:cs="宋体"/>
          <w:b/>
          <w:color w:val="auto"/>
          <w:sz w:val="21"/>
          <w:szCs w:val="21"/>
          <w:highlight w:val="none"/>
          <w:lang w:val="en-US" w:eastAsia="zh-CN"/>
        </w:rPr>
        <w:t>9</w:t>
      </w:r>
      <w:r>
        <w:rPr>
          <w:rFonts w:hint="eastAsia" w:ascii="宋体" w:hAnsi="宋体" w:eastAsia="宋体" w:cs="宋体"/>
          <w:b/>
          <w:color w:val="auto"/>
          <w:sz w:val="21"/>
          <w:szCs w:val="21"/>
          <w:highlight w:val="none"/>
        </w:rPr>
        <w:t>分</w:t>
      </w:r>
    </w:p>
    <w:p w14:paraId="2864480B">
      <w:pPr>
        <w:spacing w:after="0" w:line="360" w:lineRule="exact"/>
        <w:ind w:firstLine="420" w:firstLineChars="200"/>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（1）投标人或所投产品或所投产品生产厂家的信息系统安全集成服务资质符合 CCRC-ISV-C01《信息安全服务规范》三级或三级以上服务资质要求并提供证书扫描件的，得</w:t>
      </w:r>
      <w:r>
        <w:rPr>
          <w:rFonts w:hint="eastAsia" w:ascii="宋体" w:hAnsi="宋体" w:eastAsia="宋体" w:cs="宋体"/>
          <w:b w:val="0"/>
          <w:bCs/>
          <w:color w:val="auto"/>
          <w:sz w:val="21"/>
          <w:szCs w:val="21"/>
          <w:highlight w:val="none"/>
          <w:lang w:val="en-US" w:eastAsia="zh-CN"/>
        </w:rPr>
        <w:t>2</w:t>
      </w:r>
      <w:r>
        <w:rPr>
          <w:rFonts w:hint="eastAsia" w:ascii="宋体" w:hAnsi="宋体" w:eastAsia="宋体" w:cs="宋体"/>
          <w:b w:val="0"/>
          <w:bCs/>
          <w:color w:val="auto"/>
          <w:sz w:val="21"/>
          <w:szCs w:val="21"/>
          <w:highlight w:val="none"/>
          <w:lang w:eastAsia="zh-CN"/>
        </w:rPr>
        <w:t>分，满分</w:t>
      </w:r>
      <w:r>
        <w:rPr>
          <w:rFonts w:hint="eastAsia" w:ascii="宋体" w:hAnsi="宋体" w:eastAsia="宋体" w:cs="宋体"/>
          <w:b w:val="0"/>
          <w:bCs/>
          <w:color w:val="auto"/>
          <w:sz w:val="21"/>
          <w:szCs w:val="21"/>
          <w:highlight w:val="none"/>
          <w:lang w:val="en-US" w:eastAsia="zh-CN"/>
        </w:rPr>
        <w:t>2分</w:t>
      </w:r>
      <w:r>
        <w:rPr>
          <w:rFonts w:hint="eastAsia" w:ascii="宋体" w:hAnsi="宋体" w:eastAsia="宋体" w:cs="宋体"/>
          <w:b w:val="0"/>
          <w:bCs/>
          <w:color w:val="auto"/>
          <w:sz w:val="21"/>
          <w:szCs w:val="21"/>
          <w:highlight w:val="none"/>
          <w:lang w:eastAsia="zh-CN"/>
        </w:rPr>
        <w:t>。</w:t>
      </w:r>
    </w:p>
    <w:p w14:paraId="523C709C">
      <w:pPr>
        <w:spacing w:after="0" w:line="360" w:lineRule="exact"/>
        <w:ind w:firstLine="420" w:firstLineChars="200"/>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（2）投标人或所投产品或所投产品生产厂家，获得QC 080000有害物质过程管理认证证书，得</w:t>
      </w:r>
      <w:r>
        <w:rPr>
          <w:rFonts w:hint="eastAsia" w:ascii="宋体" w:hAnsi="宋体" w:eastAsia="宋体" w:cs="宋体"/>
          <w:b w:val="0"/>
          <w:bCs/>
          <w:color w:val="auto"/>
          <w:sz w:val="21"/>
          <w:szCs w:val="21"/>
          <w:highlight w:val="none"/>
          <w:lang w:val="en-US" w:eastAsia="zh-CN"/>
        </w:rPr>
        <w:t>2</w:t>
      </w:r>
      <w:r>
        <w:rPr>
          <w:rFonts w:hint="eastAsia" w:ascii="宋体" w:hAnsi="宋体" w:eastAsia="宋体" w:cs="宋体"/>
          <w:b w:val="0"/>
          <w:bCs/>
          <w:color w:val="auto"/>
          <w:sz w:val="21"/>
          <w:szCs w:val="21"/>
          <w:highlight w:val="none"/>
          <w:lang w:eastAsia="zh-CN"/>
        </w:rPr>
        <w:t>分，满分</w:t>
      </w:r>
      <w:r>
        <w:rPr>
          <w:rFonts w:hint="eastAsia" w:ascii="宋体" w:hAnsi="宋体" w:eastAsia="宋体" w:cs="宋体"/>
          <w:b w:val="0"/>
          <w:bCs/>
          <w:color w:val="auto"/>
          <w:sz w:val="21"/>
          <w:szCs w:val="21"/>
          <w:highlight w:val="none"/>
          <w:lang w:val="en-US" w:eastAsia="zh-CN"/>
        </w:rPr>
        <w:t>2分</w:t>
      </w:r>
      <w:r>
        <w:rPr>
          <w:rFonts w:hint="eastAsia" w:ascii="宋体" w:hAnsi="宋体" w:eastAsia="宋体" w:cs="宋体"/>
          <w:b w:val="0"/>
          <w:bCs/>
          <w:color w:val="auto"/>
          <w:sz w:val="21"/>
          <w:szCs w:val="21"/>
          <w:highlight w:val="none"/>
          <w:lang w:eastAsia="zh-CN"/>
        </w:rPr>
        <w:t xml:space="preserve">。（须提供证明材料扫描件，否则不得分） </w:t>
      </w:r>
      <w:r>
        <w:rPr>
          <w:rFonts w:hint="eastAsia" w:ascii="宋体" w:hAnsi="宋体" w:eastAsia="宋体" w:cs="宋体"/>
          <w:b w:val="0"/>
          <w:bCs/>
          <w:color w:val="auto"/>
          <w:sz w:val="21"/>
          <w:szCs w:val="21"/>
          <w:highlight w:val="none"/>
          <w:lang w:val="en-US" w:eastAsia="zh-CN"/>
        </w:rPr>
        <w:t xml:space="preserve">   </w:t>
      </w:r>
    </w:p>
    <w:p w14:paraId="01026143">
      <w:pPr>
        <w:spacing w:after="0" w:line="360" w:lineRule="exact"/>
        <w:ind w:firstLine="420" w:firstLineChars="200"/>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（3）投标人或所投产品或所投产品生产厂家，符合GB/T27922-2011《商品售后服务评价体系》+GB/T 16868-2009 《商品经营服务质量管理规范》标准，提供售后服务完善程度认证证书扫描件（提供7星级的得</w:t>
      </w:r>
      <w:r>
        <w:rPr>
          <w:rFonts w:hint="eastAsia" w:ascii="宋体" w:hAnsi="宋体" w:eastAsia="宋体" w:cs="宋体"/>
          <w:b w:val="0"/>
          <w:bCs/>
          <w:color w:val="auto"/>
          <w:sz w:val="21"/>
          <w:szCs w:val="21"/>
          <w:highlight w:val="none"/>
          <w:lang w:val="en-US" w:eastAsia="zh-CN"/>
        </w:rPr>
        <w:t>1分</w:t>
      </w:r>
      <w:r>
        <w:rPr>
          <w:rFonts w:hint="eastAsia" w:ascii="宋体" w:hAnsi="宋体" w:eastAsia="宋体" w:cs="宋体"/>
          <w:b w:val="0"/>
          <w:bCs/>
          <w:color w:val="auto"/>
          <w:sz w:val="21"/>
          <w:szCs w:val="21"/>
          <w:highlight w:val="none"/>
          <w:lang w:eastAsia="zh-CN"/>
        </w:rPr>
        <w:t>、提供8星级的得</w:t>
      </w:r>
      <w:r>
        <w:rPr>
          <w:rFonts w:hint="eastAsia" w:ascii="宋体" w:hAnsi="宋体" w:eastAsia="宋体" w:cs="宋体"/>
          <w:b w:val="0"/>
          <w:bCs/>
          <w:color w:val="auto"/>
          <w:sz w:val="21"/>
          <w:szCs w:val="21"/>
          <w:highlight w:val="none"/>
          <w:lang w:val="en-US" w:eastAsia="zh-CN"/>
        </w:rPr>
        <w:t>2分</w:t>
      </w:r>
      <w:r>
        <w:rPr>
          <w:rFonts w:hint="eastAsia" w:ascii="宋体" w:hAnsi="宋体" w:eastAsia="宋体" w:cs="宋体"/>
          <w:b w:val="0"/>
          <w:bCs/>
          <w:color w:val="auto"/>
          <w:sz w:val="21"/>
          <w:szCs w:val="21"/>
          <w:highlight w:val="none"/>
          <w:lang w:eastAsia="zh-CN"/>
        </w:rPr>
        <w:t>、提供</w:t>
      </w:r>
      <w:r>
        <w:rPr>
          <w:rFonts w:hint="eastAsia" w:ascii="宋体" w:hAnsi="宋体" w:eastAsia="宋体" w:cs="宋体"/>
          <w:b w:val="0"/>
          <w:bCs/>
          <w:color w:val="auto"/>
          <w:sz w:val="21"/>
          <w:szCs w:val="21"/>
          <w:highlight w:val="none"/>
          <w:lang w:val="en-US" w:eastAsia="zh-CN"/>
        </w:rPr>
        <w:t>9</w:t>
      </w:r>
      <w:r>
        <w:rPr>
          <w:rFonts w:hint="eastAsia" w:ascii="宋体" w:hAnsi="宋体" w:eastAsia="宋体" w:cs="宋体"/>
          <w:b w:val="0"/>
          <w:bCs/>
          <w:color w:val="auto"/>
          <w:sz w:val="21"/>
          <w:szCs w:val="21"/>
          <w:highlight w:val="none"/>
          <w:lang w:eastAsia="zh-CN"/>
        </w:rPr>
        <w:t>星级的得</w:t>
      </w:r>
      <w:r>
        <w:rPr>
          <w:rFonts w:hint="eastAsia" w:ascii="宋体" w:hAnsi="宋体" w:eastAsia="宋体" w:cs="宋体"/>
          <w:b w:val="0"/>
          <w:bCs/>
          <w:color w:val="auto"/>
          <w:sz w:val="21"/>
          <w:szCs w:val="21"/>
          <w:highlight w:val="none"/>
          <w:lang w:val="en-US" w:eastAsia="zh-CN"/>
        </w:rPr>
        <w:t>3分</w:t>
      </w:r>
      <w:r>
        <w:rPr>
          <w:rFonts w:hint="eastAsia" w:ascii="宋体" w:hAnsi="宋体" w:eastAsia="宋体" w:cs="宋体"/>
          <w:b w:val="0"/>
          <w:bCs/>
          <w:color w:val="auto"/>
          <w:sz w:val="21"/>
          <w:szCs w:val="21"/>
          <w:highlight w:val="none"/>
          <w:lang w:eastAsia="zh-CN"/>
        </w:rPr>
        <w:t>、提供</w:t>
      </w:r>
      <w:r>
        <w:rPr>
          <w:rFonts w:hint="eastAsia" w:ascii="宋体" w:hAnsi="宋体" w:eastAsia="宋体" w:cs="宋体"/>
          <w:b w:val="0"/>
          <w:bCs/>
          <w:color w:val="auto"/>
          <w:sz w:val="21"/>
          <w:szCs w:val="21"/>
          <w:highlight w:val="none"/>
          <w:lang w:val="en-US" w:eastAsia="zh-CN"/>
        </w:rPr>
        <w:t>10</w:t>
      </w:r>
      <w:r>
        <w:rPr>
          <w:rFonts w:hint="eastAsia" w:ascii="宋体" w:hAnsi="宋体" w:eastAsia="宋体" w:cs="宋体"/>
          <w:b w:val="0"/>
          <w:bCs/>
          <w:color w:val="auto"/>
          <w:sz w:val="21"/>
          <w:szCs w:val="21"/>
          <w:highlight w:val="none"/>
          <w:lang w:eastAsia="zh-CN"/>
        </w:rPr>
        <w:t>星级的得</w:t>
      </w:r>
      <w:r>
        <w:rPr>
          <w:rFonts w:hint="eastAsia" w:ascii="宋体" w:hAnsi="宋体" w:eastAsia="宋体" w:cs="宋体"/>
          <w:b w:val="0"/>
          <w:bCs/>
          <w:color w:val="auto"/>
          <w:sz w:val="21"/>
          <w:szCs w:val="21"/>
          <w:highlight w:val="none"/>
          <w:lang w:val="en-US" w:eastAsia="zh-CN"/>
        </w:rPr>
        <w:t>4分</w:t>
      </w:r>
      <w:r>
        <w:rPr>
          <w:rFonts w:hint="eastAsia" w:ascii="宋体" w:hAnsi="宋体" w:eastAsia="宋体" w:cs="宋体"/>
          <w:b w:val="0"/>
          <w:bCs/>
          <w:color w:val="auto"/>
          <w:sz w:val="21"/>
          <w:szCs w:val="21"/>
          <w:highlight w:val="none"/>
          <w:lang w:eastAsia="zh-CN"/>
        </w:rPr>
        <w:t>、提供</w:t>
      </w:r>
      <w:r>
        <w:rPr>
          <w:rFonts w:hint="eastAsia" w:ascii="宋体" w:hAnsi="宋体" w:eastAsia="宋体" w:cs="宋体"/>
          <w:b w:val="0"/>
          <w:bCs/>
          <w:color w:val="auto"/>
          <w:sz w:val="21"/>
          <w:szCs w:val="21"/>
          <w:highlight w:val="none"/>
          <w:lang w:val="en-US" w:eastAsia="zh-CN"/>
        </w:rPr>
        <w:t>12</w:t>
      </w:r>
      <w:r>
        <w:rPr>
          <w:rFonts w:hint="eastAsia" w:ascii="宋体" w:hAnsi="宋体" w:eastAsia="宋体" w:cs="宋体"/>
          <w:b w:val="0"/>
          <w:bCs/>
          <w:color w:val="auto"/>
          <w:sz w:val="21"/>
          <w:szCs w:val="21"/>
          <w:highlight w:val="none"/>
          <w:lang w:eastAsia="zh-CN"/>
        </w:rPr>
        <w:t>星级的得</w:t>
      </w:r>
      <w:r>
        <w:rPr>
          <w:rFonts w:hint="eastAsia" w:ascii="宋体" w:hAnsi="宋体" w:eastAsia="宋体" w:cs="宋体"/>
          <w:b w:val="0"/>
          <w:bCs/>
          <w:color w:val="auto"/>
          <w:sz w:val="21"/>
          <w:szCs w:val="21"/>
          <w:highlight w:val="none"/>
          <w:lang w:val="en-US" w:eastAsia="zh-CN"/>
        </w:rPr>
        <w:t>5分</w:t>
      </w:r>
      <w:r>
        <w:rPr>
          <w:rFonts w:hint="eastAsia" w:ascii="宋体" w:hAnsi="宋体" w:eastAsia="宋体" w:cs="宋体"/>
          <w:b w:val="0"/>
          <w:bCs/>
          <w:color w:val="auto"/>
          <w:sz w:val="21"/>
          <w:szCs w:val="21"/>
          <w:highlight w:val="none"/>
          <w:lang w:eastAsia="zh-CN"/>
        </w:rPr>
        <w:t>），满分</w:t>
      </w:r>
      <w:r>
        <w:rPr>
          <w:rFonts w:hint="eastAsia" w:ascii="宋体" w:hAnsi="宋体" w:eastAsia="宋体" w:cs="宋体"/>
          <w:b w:val="0"/>
          <w:bCs/>
          <w:color w:val="auto"/>
          <w:sz w:val="21"/>
          <w:szCs w:val="21"/>
          <w:highlight w:val="none"/>
          <w:lang w:val="en-US" w:eastAsia="zh-CN"/>
        </w:rPr>
        <w:t>5分</w:t>
      </w:r>
      <w:r>
        <w:rPr>
          <w:rFonts w:hint="eastAsia" w:ascii="宋体" w:hAnsi="宋体" w:eastAsia="宋体" w:cs="宋体"/>
          <w:b w:val="0"/>
          <w:bCs/>
          <w:color w:val="auto"/>
          <w:sz w:val="21"/>
          <w:szCs w:val="21"/>
          <w:highlight w:val="none"/>
          <w:lang w:eastAsia="zh-CN"/>
        </w:rPr>
        <w:t>。</w:t>
      </w:r>
    </w:p>
    <w:p w14:paraId="5C030DDE">
      <w:pPr>
        <w:autoSpaceDE w:val="0"/>
        <w:autoSpaceDN w:val="0"/>
        <w:spacing w:after="0" w:line="360" w:lineRule="auto"/>
        <w:ind w:firstLine="420" w:firstLineChars="200"/>
        <w:jc w:val="both"/>
        <w:rPr>
          <w:rFonts w:hint="eastAsia" w:ascii="宋体" w:hAnsi="宋体" w:eastAsia="宋体" w:cs="宋体"/>
          <w:color w:val="auto"/>
          <w:sz w:val="21"/>
          <w:szCs w:val="21"/>
          <w:highlight w:val="none"/>
        </w:rPr>
      </w:pPr>
    </w:p>
    <w:p w14:paraId="0B50A657">
      <w:pPr>
        <w:spacing w:line="360" w:lineRule="exact"/>
        <w:ind w:firstLine="442" w:firstLineChars="200"/>
        <w:rPr>
          <w:rFonts w:ascii="宋体" w:hAnsi="宋体" w:eastAsia="宋体" w:cs="宋体"/>
          <w:b/>
          <w:color w:val="auto"/>
          <w:szCs w:val="21"/>
          <w:highlight w:val="none"/>
        </w:rPr>
      </w:pPr>
      <w:r>
        <w:rPr>
          <w:rFonts w:hint="eastAsia" w:ascii="宋体" w:hAnsi="宋体" w:eastAsia="宋体" w:cs="宋体"/>
          <w:b/>
          <w:color w:val="auto"/>
          <w:szCs w:val="21"/>
          <w:highlight w:val="none"/>
        </w:rPr>
        <w:t>6.政策功能分（节能、环保产品）………………………………………………………………满分2分</w:t>
      </w:r>
    </w:p>
    <w:p w14:paraId="6BD91D80">
      <w:pPr>
        <w:pStyle w:val="9"/>
        <w:spacing w:line="360" w:lineRule="exact"/>
        <w:ind w:firstLine="420" w:firstLineChars="200"/>
        <w:jc w:val="left"/>
        <w:outlineLvl w:val="9"/>
        <w:rPr>
          <w:rFonts w:hAnsi="宋体" w:cs="宋体"/>
          <w:color w:val="auto"/>
          <w:szCs w:val="21"/>
          <w:highlight w:val="none"/>
        </w:rPr>
      </w:pPr>
      <w:r>
        <w:rPr>
          <w:rFonts w:hint="eastAsia" w:hAnsi="宋体" w:cs="宋体"/>
          <w:color w:val="auto"/>
          <w:highlight w:val="none"/>
        </w:rPr>
        <w:t>（1）</w:t>
      </w:r>
      <w:r>
        <w:rPr>
          <w:rFonts w:hint="eastAsia" w:hAnsi="宋体" w:cs="宋体"/>
          <w:bCs/>
          <w:color w:val="auto"/>
          <w:szCs w:val="21"/>
          <w:highlight w:val="none"/>
        </w:rPr>
        <w:t>投标产品中含有列入财政部现行《节能产品政府采购清单》目录内（</w:t>
      </w:r>
      <w:r>
        <w:rPr>
          <w:rFonts w:hint="eastAsia" w:hAnsi="宋体" w:cs="宋体"/>
          <w:color w:val="auto"/>
          <w:szCs w:val="21"/>
          <w:highlight w:val="none"/>
        </w:rPr>
        <w:t>政府强制采购节能产品</w:t>
      </w:r>
      <w:r>
        <w:rPr>
          <w:rFonts w:hint="eastAsia" w:hAnsi="宋体" w:cs="宋体"/>
          <w:bCs/>
          <w:color w:val="auto"/>
          <w:szCs w:val="21"/>
          <w:highlight w:val="none"/>
        </w:rPr>
        <w:t>除外）优先采购产品并具有有效节能产品认证证书的，每项产品得0.5分</w:t>
      </w:r>
      <w:r>
        <w:rPr>
          <w:rFonts w:hint="eastAsia" w:hAnsi="宋体" w:cs="宋体"/>
          <w:color w:val="auto"/>
          <w:szCs w:val="21"/>
          <w:highlight w:val="none"/>
        </w:rPr>
        <w:t>（以</w:t>
      </w:r>
      <w:r>
        <w:rPr>
          <w:rFonts w:hint="eastAsia" w:hAnsi="宋体" w:cs="宋体"/>
          <w:bCs/>
          <w:color w:val="auto"/>
          <w:szCs w:val="21"/>
          <w:highlight w:val="none"/>
        </w:rPr>
        <w:t>《节能产品政府采购清单》</w:t>
      </w:r>
      <w:r>
        <w:rPr>
          <w:rFonts w:hint="eastAsia" w:hAnsi="宋体" w:cs="宋体"/>
          <w:color w:val="auto"/>
          <w:szCs w:val="21"/>
          <w:highlight w:val="none"/>
        </w:rPr>
        <w:t>和有效的节能产品认证证书原件的扫描件为准）。满分1分。</w:t>
      </w:r>
    </w:p>
    <w:p w14:paraId="2CB5FF39">
      <w:pPr>
        <w:pStyle w:val="9"/>
        <w:spacing w:line="360" w:lineRule="exact"/>
        <w:ind w:firstLine="411" w:firstLineChars="196"/>
        <w:jc w:val="left"/>
        <w:outlineLvl w:val="9"/>
        <w:rPr>
          <w:rFonts w:hAnsi="宋体" w:cs="宋体"/>
          <w:color w:val="auto"/>
          <w:highlight w:val="none"/>
        </w:rPr>
      </w:pPr>
      <w:r>
        <w:rPr>
          <w:rFonts w:hint="eastAsia" w:hAnsi="宋体" w:cs="宋体"/>
          <w:color w:val="auto"/>
          <w:highlight w:val="none"/>
        </w:rPr>
        <w:t>（2）</w:t>
      </w:r>
      <w:r>
        <w:rPr>
          <w:rFonts w:hint="eastAsia" w:hAnsi="宋体" w:cs="宋体"/>
          <w:bCs/>
          <w:color w:val="auto"/>
          <w:szCs w:val="21"/>
          <w:highlight w:val="none"/>
        </w:rPr>
        <w:t>投标产品中含有列入财政部现行《环境标志产品政府采购品目清单》目录内（</w:t>
      </w:r>
      <w:r>
        <w:rPr>
          <w:rFonts w:hint="eastAsia" w:hAnsi="宋体" w:cs="宋体"/>
          <w:color w:val="auto"/>
          <w:szCs w:val="21"/>
          <w:highlight w:val="none"/>
        </w:rPr>
        <w:t>政府强制采购节能产品</w:t>
      </w:r>
      <w:r>
        <w:rPr>
          <w:rFonts w:hint="eastAsia" w:hAnsi="宋体" w:cs="宋体"/>
          <w:bCs/>
          <w:color w:val="auto"/>
          <w:szCs w:val="21"/>
          <w:highlight w:val="none"/>
        </w:rPr>
        <w:t>除外）优先采购产品并具有效环境标志产品认证证书的，每项产品得0.5分</w:t>
      </w:r>
      <w:r>
        <w:rPr>
          <w:rFonts w:hint="eastAsia" w:hAnsi="宋体" w:cs="宋体"/>
          <w:color w:val="auto"/>
          <w:szCs w:val="21"/>
          <w:highlight w:val="none"/>
        </w:rPr>
        <w:t>（以</w:t>
      </w:r>
      <w:r>
        <w:rPr>
          <w:rFonts w:hint="eastAsia" w:hAnsi="宋体" w:cs="宋体"/>
          <w:bCs/>
          <w:color w:val="auto"/>
          <w:szCs w:val="21"/>
          <w:highlight w:val="none"/>
        </w:rPr>
        <w:t>《环境标志产品政府采购品目清单》</w:t>
      </w:r>
      <w:r>
        <w:rPr>
          <w:rFonts w:hint="eastAsia" w:hAnsi="宋体" w:cs="宋体"/>
          <w:color w:val="auto"/>
          <w:szCs w:val="21"/>
          <w:highlight w:val="none"/>
        </w:rPr>
        <w:t>和有效的环境标志产品认证证书原件的扫描件为准）。满分1分。</w:t>
      </w:r>
    </w:p>
    <w:p w14:paraId="779269CA">
      <w:pPr>
        <w:widowControl w:val="0"/>
        <w:spacing w:after="0" w:line="360" w:lineRule="exact"/>
        <w:ind w:firstLine="420" w:firstLineChars="200"/>
        <w:outlineLvl w:val="9"/>
        <w:rPr>
          <w:rFonts w:ascii="宋体" w:hAnsi="宋体" w:eastAsia="宋体" w:cs="宋体"/>
          <w:color w:val="auto"/>
          <w:kern w:val="2"/>
          <w:sz w:val="21"/>
          <w:szCs w:val="21"/>
          <w:highlight w:val="none"/>
        </w:rPr>
      </w:pPr>
    </w:p>
    <w:p w14:paraId="18CF33C3">
      <w:pPr>
        <w:widowControl w:val="0"/>
        <w:tabs>
          <w:tab w:val="left" w:pos="4214"/>
        </w:tabs>
        <w:spacing w:after="0" w:line="360" w:lineRule="exact"/>
        <w:ind w:firstLine="422" w:firstLineChars="200"/>
        <w:jc w:val="both"/>
        <w:rPr>
          <w:rFonts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7.综合得分＝1+2+3+4+5+6</w:t>
      </w:r>
    </w:p>
    <w:p w14:paraId="510BC6EA">
      <w:pPr>
        <w:widowControl w:val="0"/>
        <w:spacing w:after="0" w:line="360" w:lineRule="exact"/>
        <w:ind w:firstLine="422" w:firstLineChars="200"/>
        <w:jc w:val="both"/>
        <w:rPr>
          <w:rFonts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三、推荐中标候选人的原则</w:t>
      </w:r>
    </w:p>
    <w:p w14:paraId="30CCEF09">
      <w:pPr>
        <w:widowControl w:val="0"/>
        <w:tabs>
          <w:tab w:val="left" w:pos="4214"/>
        </w:tabs>
        <w:spacing w:after="0" w:line="36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（1）评标委员会根据综合得分由高到低排列次序；若得分相同时</w:t>
      </w:r>
      <w:r>
        <w:rPr>
          <w:rFonts w:hint="eastAsia" w:ascii="宋体" w:hAnsi="宋体" w:eastAsia="宋体" w:cs="宋体"/>
          <w:color w:val="auto"/>
          <w:kern w:val="2"/>
          <w:sz w:val="21"/>
          <w:szCs w:val="21"/>
          <w:highlight w:val="none"/>
          <w:lang w:eastAsia="zh-CN"/>
        </w:rPr>
        <w:t>，</w:t>
      </w:r>
      <w:r>
        <w:rPr>
          <w:rFonts w:hint="eastAsia" w:ascii="宋体" w:hAnsi="宋体" w:eastAsia="宋体" w:cs="宋体"/>
          <w:color w:val="auto"/>
          <w:kern w:val="2"/>
          <w:sz w:val="21"/>
          <w:szCs w:val="21"/>
          <w:highlight w:val="none"/>
        </w:rPr>
        <w:t>按投标报价由低到高顺序排列；若相同的，则依次按技术、项目实施方案、履约能力、售后服务得分由高到低的顺序排列并推荐中标候选</w:t>
      </w:r>
      <w:r>
        <w:rPr>
          <w:rFonts w:hint="eastAsia" w:ascii="宋体" w:hAnsi="宋体" w:eastAsia="宋体" w:cs="宋体"/>
          <w:color w:val="auto"/>
          <w:kern w:val="2"/>
          <w:sz w:val="21"/>
          <w:szCs w:val="21"/>
          <w:highlight w:val="none"/>
          <w:lang w:eastAsia="zh-CN"/>
        </w:rPr>
        <w:t>人</w:t>
      </w:r>
      <w:r>
        <w:rPr>
          <w:rFonts w:hint="eastAsia" w:ascii="宋体" w:hAnsi="宋体" w:eastAsia="宋体" w:cs="宋体"/>
          <w:color w:val="auto"/>
          <w:kern w:val="2"/>
          <w:highlight w:val="none"/>
        </w:rPr>
        <w:t>。</w:t>
      </w:r>
    </w:p>
    <w:p w14:paraId="2133CA37">
      <w:pPr>
        <w:widowControl w:val="0"/>
        <w:tabs>
          <w:tab w:val="left" w:pos="4214"/>
        </w:tabs>
        <w:spacing w:after="0" w:line="36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（2）评标委员会可推荐前三名为中标候选人，采购人应当确定评标委员会推荐排名第一的中标候选人为中标人。</w:t>
      </w:r>
    </w:p>
    <w:p w14:paraId="333A53A6">
      <w:pPr>
        <w:widowControl w:val="0"/>
        <w:spacing w:after="0" w:line="360" w:lineRule="exact"/>
        <w:ind w:firstLine="420" w:firstLineChars="200"/>
        <w:jc w:val="both"/>
        <w:rPr>
          <w:rFonts w:ascii="宋体" w:hAnsi="宋体" w:eastAsia="宋体" w:cs="宋体"/>
          <w:b/>
          <w:bCs/>
          <w:color w:val="auto"/>
          <w:kern w:val="2"/>
          <w:sz w:val="24"/>
          <w:szCs w:val="20"/>
          <w:highlight w:val="none"/>
        </w:rPr>
      </w:pPr>
      <w:r>
        <w:rPr>
          <w:rFonts w:hint="eastAsia" w:ascii="宋体" w:hAnsi="宋体" w:eastAsia="宋体" w:cs="宋体"/>
          <w:color w:val="auto"/>
          <w:kern w:val="2"/>
          <w:sz w:val="21"/>
          <w:szCs w:val="21"/>
          <w:highlight w:val="none"/>
        </w:rPr>
        <w:t>（3）排名第一的中标候选人放弃中标、因不可抗力提出不能履行合同，或者招标文件规定应当提交履约保证金而在规定的期限内未能提交的，或因失信行为被取消中标候选人资格的，采购人可以确定排名第二的中标候选人为中标人或重新招标，并依此类推。</w:t>
      </w:r>
    </w:p>
    <w:p w14:paraId="1257FDCF">
      <w:pPr>
        <w:widowControl w:val="0"/>
        <w:spacing w:after="0" w:line="360" w:lineRule="exact"/>
        <w:ind w:firstLine="422" w:firstLineChars="200"/>
        <w:jc w:val="both"/>
        <w:rPr>
          <w:rFonts w:ascii="宋体" w:hAnsi="宋体" w:eastAsia="宋体" w:cs="宋体"/>
          <w:b/>
          <w:bCs/>
          <w:color w:val="auto"/>
          <w:kern w:val="2"/>
          <w:sz w:val="21"/>
          <w:szCs w:val="20"/>
          <w:highlight w:val="none"/>
        </w:rPr>
      </w:pPr>
      <w:r>
        <w:rPr>
          <w:rFonts w:hint="eastAsia" w:ascii="宋体" w:hAnsi="宋体" w:eastAsia="宋体" w:cs="宋体"/>
          <w:b/>
          <w:bCs/>
          <w:color w:val="auto"/>
          <w:kern w:val="2"/>
          <w:sz w:val="21"/>
          <w:szCs w:val="21"/>
          <w:highlight w:val="none"/>
        </w:rPr>
        <w:t>（4）</w:t>
      </w:r>
      <w:r>
        <w:rPr>
          <w:rFonts w:hint="eastAsia" w:ascii="宋体" w:hAnsi="宋体" w:eastAsia="宋体" w:cs="宋体"/>
          <w:b/>
          <w:bCs/>
          <w:color w:val="auto"/>
          <w:kern w:val="2"/>
          <w:sz w:val="21"/>
          <w:szCs w:val="20"/>
          <w:highlight w:val="none"/>
        </w:rPr>
        <w:t>评标委员会认为投标人的报价明显低于其他通过符合性审查投标人的报价，有可能影响产品质量或者不能诚信履约的，应当要求其在评标现场合理的时间内提供书面说明，必要时提交相关证明材料</w:t>
      </w:r>
      <w:r>
        <w:rPr>
          <w:rFonts w:hint="eastAsia" w:ascii="宋体" w:hAnsi="宋体" w:eastAsia="宋体" w:cs="宋体"/>
          <w:b/>
          <w:color w:val="auto"/>
          <w:kern w:val="2"/>
          <w:sz w:val="21"/>
          <w:szCs w:val="21"/>
          <w:highlight w:val="none"/>
        </w:rPr>
        <w:t>（通过</w:t>
      </w:r>
      <w:r>
        <w:rPr>
          <w:rFonts w:hint="eastAsia" w:ascii="宋体" w:hAnsi="宋体" w:eastAsia="宋体" w:cs="宋体"/>
          <w:b/>
          <w:color w:val="auto"/>
          <w:kern w:val="2"/>
          <w:sz w:val="21"/>
          <w:szCs w:val="21"/>
          <w:highlight w:val="none"/>
          <w:lang w:eastAsia="zh-CN"/>
        </w:rPr>
        <w:t>“广西政府采购云平台”</w:t>
      </w:r>
      <w:r>
        <w:rPr>
          <w:rFonts w:hint="eastAsia" w:ascii="宋体" w:hAnsi="宋体" w:eastAsia="宋体" w:cs="宋体"/>
          <w:b/>
          <w:color w:val="auto"/>
          <w:kern w:val="2"/>
          <w:sz w:val="21"/>
          <w:szCs w:val="21"/>
          <w:highlight w:val="none"/>
        </w:rPr>
        <w:t>平台提交）</w:t>
      </w:r>
      <w:r>
        <w:rPr>
          <w:rFonts w:hint="eastAsia" w:ascii="宋体" w:hAnsi="宋体" w:eastAsia="宋体" w:cs="宋体"/>
          <w:b/>
          <w:bCs/>
          <w:color w:val="auto"/>
          <w:kern w:val="2"/>
          <w:sz w:val="21"/>
          <w:szCs w:val="20"/>
          <w:highlight w:val="none"/>
        </w:rPr>
        <w:t>；投标人不能证明其报价合理性的，评标委员会应当将其作为无效投标处理。</w:t>
      </w:r>
    </w:p>
    <w:p w14:paraId="492726E4">
      <w:pPr>
        <w:rPr>
          <w:color w:val="auto"/>
          <w:highlight w:val="none"/>
        </w:rPr>
      </w:pPr>
    </w:p>
    <w:p w14:paraId="75806AFC">
      <w:pPr>
        <w:pStyle w:val="23"/>
        <w:rPr>
          <w:color w:val="auto"/>
          <w:highlight w:val="none"/>
        </w:rPr>
      </w:pPr>
    </w:p>
    <w:p w14:paraId="53606761">
      <w:pPr>
        <w:rPr>
          <w:rFonts w:hint="eastAsia" w:ascii="宋体" w:hAnsi="宋体" w:eastAsia="宋体" w:cs="宋体"/>
          <w:b/>
          <w:color w:val="0000FF"/>
          <w:sz w:val="24"/>
          <w:szCs w:val="24"/>
          <w:highlight w:val="none"/>
          <w:lang w:eastAsia="zh-CN"/>
        </w:rPr>
      </w:pPr>
      <w:r>
        <w:rPr>
          <w:rFonts w:hint="eastAsia" w:ascii="宋体" w:hAnsi="宋体" w:eastAsia="宋体" w:cs="宋体"/>
          <w:b/>
          <w:color w:val="0000FF"/>
          <w:sz w:val="24"/>
          <w:szCs w:val="24"/>
          <w:highlight w:val="none"/>
          <w:lang w:eastAsia="zh-CN"/>
        </w:rPr>
        <w:br w:type="page"/>
      </w:r>
    </w:p>
    <w:p w14:paraId="77571E63">
      <w:pPr>
        <w:spacing w:after="0" w:line="360" w:lineRule="exact"/>
        <w:jc w:val="center"/>
        <w:rPr>
          <w:rFonts w:hint="eastAsia" w:ascii="宋体" w:hAnsi="宋体" w:eastAsia="宋体" w:cs="宋体"/>
          <w:b/>
          <w:color w:val="000000" w:themeColor="text1"/>
          <w:sz w:val="24"/>
          <w:szCs w:val="24"/>
          <w:highlight w:val="none"/>
          <w:lang w:val="en-US" w:eastAsia="zh-CN"/>
          <w14:textFill>
            <w14:solidFill>
              <w14:schemeClr w14:val="tx1"/>
            </w14:solidFill>
          </w14:textFill>
        </w:rPr>
      </w:pPr>
      <w:r>
        <w:rPr>
          <w:rFonts w:hint="eastAsia" w:ascii="宋体" w:hAnsi="宋体" w:eastAsia="宋体" w:cs="宋体"/>
          <w:b/>
          <w:color w:val="000000" w:themeColor="text1"/>
          <w:sz w:val="24"/>
          <w:szCs w:val="24"/>
          <w:highlight w:val="none"/>
          <w:lang w:eastAsia="zh-CN"/>
          <w14:textFill>
            <w14:solidFill>
              <w14:schemeClr w14:val="tx1"/>
            </w14:solidFill>
          </w14:textFill>
        </w:rPr>
        <w:t>标项二</w:t>
      </w:r>
      <w:r>
        <w:rPr>
          <w:rFonts w:hint="eastAsia" w:ascii="宋体" w:hAnsi="宋体" w:eastAsia="宋体" w:cs="宋体"/>
          <w:b/>
          <w:color w:val="000000" w:themeColor="text1"/>
          <w:sz w:val="24"/>
          <w:szCs w:val="24"/>
          <w:highlight w:val="none"/>
          <w:lang w:val="en-US" w:eastAsia="zh-CN"/>
          <w14:textFill>
            <w14:solidFill>
              <w14:schemeClr w14:val="tx1"/>
            </w14:solidFill>
          </w14:textFill>
        </w:rPr>
        <w:t>B分标</w:t>
      </w:r>
      <w:r>
        <w:rPr>
          <w:rFonts w:hint="eastAsia" w:ascii="宋体" w:hAnsi="宋体" w:eastAsia="宋体" w:cs="宋体"/>
          <w:b/>
          <w:color w:val="000000" w:themeColor="text1"/>
          <w:sz w:val="24"/>
          <w:szCs w:val="24"/>
          <w:highlight w:val="none"/>
          <w14:textFill>
            <w14:solidFill>
              <w14:schemeClr w14:val="tx1"/>
            </w14:solidFill>
          </w14:textFill>
        </w:rPr>
        <w:t>评标办法</w:t>
      </w:r>
    </w:p>
    <w:p w14:paraId="1063711C">
      <w:pPr>
        <w:rPr>
          <w:color w:val="000000" w:themeColor="text1"/>
          <w:highlight w:val="none"/>
          <w14:textFill>
            <w14:solidFill>
              <w14:schemeClr w14:val="tx1"/>
            </w14:solidFill>
          </w14:textFill>
        </w:rPr>
      </w:pPr>
    </w:p>
    <w:p w14:paraId="6FD9DB41">
      <w:pPr>
        <w:spacing w:after="0" w:line="320" w:lineRule="exact"/>
        <w:ind w:firstLine="422" w:firstLineChars="200"/>
        <w:outlineLvl w:val="9"/>
        <w:rPr>
          <w:rFonts w:ascii="宋体" w:hAnsi="宋体" w:eastAsia="宋体" w:cs="宋体"/>
          <w:b/>
          <w:color w:val="auto"/>
          <w:sz w:val="21"/>
          <w:szCs w:val="21"/>
          <w:highlight w:val="none"/>
        </w:rPr>
      </w:pPr>
      <w:r>
        <w:rPr>
          <w:rFonts w:hint="eastAsia" w:ascii="宋体" w:hAnsi="宋体" w:eastAsia="宋体" w:cs="宋体"/>
          <w:b/>
          <w:color w:val="auto"/>
          <w:sz w:val="21"/>
          <w:szCs w:val="21"/>
          <w:highlight w:val="none"/>
        </w:rPr>
        <w:t>一、投标文件评审（初步评审）：</w:t>
      </w:r>
    </w:p>
    <w:p w14:paraId="792FA70B">
      <w:pPr>
        <w:tabs>
          <w:tab w:val="left" w:pos="1140"/>
        </w:tabs>
        <w:spacing w:after="0" w:line="32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1、采购人依据法律法规和招标文件的规定，对投标文件中的资格证明进行资格性审查，以确定投标</w:t>
      </w:r>
      <w:r>
        <w:rPr>
          <w:rFonts w:hint="eastAsia" w:ascii="宋体" w:hAnsi="宋体" w:eastAsia="宋体" w:cs="宋体"/>
          <w:color w:val="auto"/>
          <w:sz w:val="21"/>
          <w:szCs w:val="21"/>
          <w:highlight w:val="none"/>
          <w:lang w:eastAsia="zh-CN"/>
        </w:rPr>
        <w:t>人</w:t>
      </w:r>
      <w:r>
        <w:rPr>
          <w:rFonts w:hint="eastAsia" w:ascii="宋体" w:hAnsi="宋体" w:eastAsia="宋体" w:cs="宋体"/>
          <w:color w:val="auto"/>
          <w:sz w:val="21"/>
          <w:szCs w:val="21"/>
          <w:highlight w:val="none"/>
        </w:rPr>
        <w:t>是否具备投标资格。</w:t>
      </w:r>
    </w:p>
    <w:p w14:paraId="4E082F59">
      <w:pPr>
        <w:tabs>
          <w:tab w:val="left" w:pos="1140"/>
        </w:tabs>
        <w:spacing w:after="0" w:line="32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2、评标委员会依据招标文件的规定，从投标文件的有效性、完整性和对招标文件的响应程度进行符合性审查，以确定是否对招标文件的实质性要求作出响应。</w:t>
      </w:r>
    </w:p>
    <w:p w14:paraId="69E4385E">
      <w:pPr>
        <w:widowControl w:val="0"/>
        <w:spacing w:after="0" w:line="320" w:lineRule="exact"/>
        <w:ind w:firstLine="422" w:firstLineChars="200"/>
        <w:jc w:val="both"/>
        <w:rPr>
          <w:rFonts w:ascii="宋体" w:hAnsi="宋体" w:eastAsia="宋体" w:cs="宋体"/>
          <w:b/>
          <w:bCs/>
          <w:color w:val="auto"/>
          <w:kern w:val="2"/>
          <w:sz w:val="21"/>
          <w:szCs w:val="21"/>
          <w:highlight w:val="none"/>
        </w:rPr>
      </w:pPr>
      <w:r>
        <w:rPr>
          <w:rFonts w:hint="eastAsia" w:ascii="宋体" w:hAnsi="宋体" w:eastAsia="宋体" w:cs="宋体"/>
          <w:b/>
          <w:color w:val="auto"/>
          <w:kern w:val="2"/>
          <w:sz w:val="21"/>
          <w:szCs w:val="21"/>
          <w:highlight w:val="none"/>
        </w:rPr>
        <w:t>二、</w:t>
      </w:r>
      <w:r>
        <w:rPr>
          <w:rFonts w:hint="eastAsia" w:ascii="宋体" w:hAnsi="宋体" w:eastAsia="宋体" w:cs="宋体"/>
          <w:b/>
          <w:bCs/>
          <w:color w:val="auto"/>
          <w:kern w:val="2"/>
          <w:sz w:val="21"/>
          <w:szCs w:val="21"/>
          <w:highlight w:val="none"/>
        </w:rPr>
        <w:t>投标文件评审（详细评审）</w:t>
      </w:r>
    </w:p>
    <w:p w14:paraId="43F29979">
      <w:pPr>
        <w:widowControl w:val="0"/>
        <w:spacing w:after="0" w:line="320" w:lineRule="exact"/>
        <w:ind w:firstLine="420" w:firstLineChars="200"/>
        <w:jc w:val="both"/>
        <w:rPr>
          <w:rFonts w:ascii="宋体" w:hAnsi="宋体" w:eastAsia="宋体" w:cs="宋体"/>
          <w:b/>
          <w:bCs/>
          <w:color w:val="auto"/>
          <w:kern w:val="2"/>
          <w:sz w:val="21"/>
          <w:szCs w:val="21"/>
          <w:highlight w:val="none"/>
        </w:rPr>
      </w:pPr>
      <w:r>
        <w:rPr>
          <w:rFonts w:hint="eastAsia" w:ascii="宋体" w:hAnsi="宋体" w:eastAsia="宋体" w:cs="宋体"/>
          <w:color w:val="auto"/>
          <w:kern w:val="2"/>
          <w:sz w:val="21"/>
          <w:szCs w:val="21"/>
          <w:highlight w:val="none"/>
        </w:rPr>
        <w:t>（一）评标依据：评标委员会以招标文件和投标文件为评标依据，对投标人的投标报价、技术、项目实施方案、履约能力、售后服务、政策功能等方面内容按百分制打分。</w:t>
      </w:r>
    </w:p>
    <w:p w14:paraId="06E6E879">
      <w:pPr>
        <w:widowControl w:val="0"/>
        <w:spacing w:after="0" w:line="320" w:lineRule="exact"/>
        <w:ind w:firstLine="420" w:firstLineChars="200"/>
        <w:jc w:val="both"/>
        <w:rPr>
          <w:rFonts w:ascii="宋体" w:hAnsi="宋体" w:eastAsia="宋体" w:cs="宋体"/>
          <w:b/>
          <w:bCs/>
          <w:color w:val="auto"/>
          <w:kern w:val="2"/>
          <w:sz w:val="21"/>
          <w:szCs w:val="21"/>
          <w:highlight w:val="none"/>
        </w:rPr>
      </w:pPr>
      <w:r>
        <w:rPr>
          <w:rFonts w:hint="eastAsia" w:ascii="宋体" w:hAnsi="宋体" w:eastAsia="宋体" w:cs="宋体"/>
          <w:color w:val="auto"/>
          <w:kern w:val="2"/>
          <w:sz w:val="21"/>
          <w:szCs w:val="21"/>
          <w:highlight w:val="none"/>
        </w:rPr>
        <w:t>（二）评标方式：以封闭方式进行评标。</w:t>
      </w:r>
    </w:p>
    <w:p w14:paraId="2218BB61">
      <w:pPr>
        <w:widowControl w:val="0"/>
        <w:spacing w:after="0" w:line="32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（三）根据财库〔2012〕69号文规定，采购人和采购代理机构、评标委员会成员要严格遵守政府采购相关法律制度，依法履行各自职责，公正、客观、审慎地组织和参与评审工作。</w:t>
      </w:r>
    </w:p>
    <w:p w14:paraId="3B30D9B1">
      <w:pPr>
        <w:widowControl w:val="0"/>
        <w:spacing w:after="0" w:line="320" w:lineRule="exact"/>
        <w:ind w:firstLine="420" w:firstLineChars="200"/>
        <w:jc w:val="both"/>
        <w:rPr>
          <w:rFonts w:ascii="宋体" w:hAnsi="宋体" w:eastAsia="宋体" w:cs="宋体"/>
          <w:b/>
          <w:color w:val="auto"/>
          <w:kern w:val="2"/>
          <w:sz w:val="21"/>
          <w:szCs w:val="21"/>
          <w:highlight w:val="none"/>
        </w:rPr>
      </w:pPr>
      <w:r>
        <w:rPr>
          <w:rFonts w:hint="eastAsia" w:ascii="宋体" w:hAnsi="宋体" w:eastAsia="宋体" w:cs="宋体"/>
          <w:bCs/>
          <w:color w:val="auto"/>
          <w:kern w:val="2"/>
          <w:sz w:val="21"/>
          <w:szCs w:val="21"/>
          <w:highlight w:val="none"/>
        </w:rPr>
        <w:t>（四）评标方法：</w:t>
      </w:r>
      <w:r>
        <w:rPr>
          <w:rFonts w:hint="eastAsia" w:ascii="宋体" w:hAnsi="宋体" w:eastAsia="宋体" w:cs="宋体"/>
          <w:color w:val="auto"/>
          <w:kern w:val="2"/>
          <w:sz w:val="21"/>
          <w:szCs w:val="21"/>
          <w:highlight w:val="none"/>
        </w:rPr>
        <w:t>对进入详评的，采用百分制综合评分法。</w:t>
      </w:r>
    </w:p>
    <w:p w14:paraId="01FA1AB3">
      <w:pPr>
        <w:widowControl w:val="0"/>
        <w:spacing w:after="0" w:line="320" w:lineRule="exact"/>
        <w:ind w:firstLine="420" w:firstLineChars="200"/>
        <w:jc w:val="both"/>
        <w:outlineLvl w:val="9"/>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（五）计分办法（</w:t>
      </w:r>
      <w:r>
        <w:rPr>
          <w:rFonts w:hint="eastAsia" w:ascii="宋体" w:hAnsi="宋体" w:eastAsia="宋体" w:cs="宋体"/>
          <w:bCs/>
          <w:color w:val="auto"/>
          <w:kern w:val="2"/>
          <w:sz w:val="21"/>
          <w:szCs w:val="21"/>
          <w:highlight w:val="none"/>
        </w:rPr>
        <w:t>按四舍五入取至小数点后二位</w:t>
      </w:r>
      <w:r>
        <w:rPr>
          <w:rFonts w:hint="eastAsia" w:ascii="宋体" w:hAnsi="宋体" w:eastAsia="宋体" w:cs="宋体"/>
          <w:color w:val="auto"/>
          <w:kern w:val="2"/>
          <w:sz w:val="21"/>
          <w:szCs w:val="21"/>
          <w:highlight w:val="none"/>
        </w:rPr>
        <w:t>）：</w:t>
      </w:r>
    </w:p>
    <w:p w14:paraId="09E5CED1">
      <w:pPr>
        <w:widowControl w:val="0"/>
        <w:spacing w:after="0" w:line="320" w:lineRule="exact"/>
        <w:ind w:right="-209" w:rightChars="-95" w:firstLine="420"/>
        <w:jc w:val="both"/>
        <w:rPr>
          <w:rFonts w:ascii="宋体" w:hAnsi="宋体" w:eastAsia="宋体" w:cs="宋体"/>
          <w:b/>
          <w:bCs/>
          <w:color w:val="auto"/>
          <w:kern w:val="2"/>
          <w:sz w:val="21"/>
          <w:szCs w:val="21"/>
          <w:highlight w:val="none"/>
        </w:rPr>
      </w:pPr>
      <w:r>
        <w:rPr>
          <w:rFonts w:hint="eastAsia" w:ascii="宋体" w:hAnsi="宋体" w:eastAsia="宋体" w:cs="宋体"/>
          <w:b/>
          <w:color w:val="auto"/>
          <w:kern w:val="2"/>
          <w:sz w:val="21"/>
          <w:szCs w:val="21"/>
          <w:highlight w:val="none"/>
        </w:rPr>
        <w:t xml:space="preserve">1. </w:t>
      </w:r>
      <w:r>
        <w:rPr>
          <w:rFonts w:hint="eastAsia" w:ascii="宋体" w:hAnsi="宋体" w:eastAsia="宋体" w:cs="宋体"/>
          <w:b/>
          <w:bCs/>
          <w:color w:val="auto"/>
          <w:kern w:val="2"/>
          <w:sz w:val="21"/>
          <w:szCs w:val="21"/>
          <w:highlight w:val="none"/>
        </w:rPr>
        <w:t>价格分………………………………………………………………………………………………</w:t>
      </w:r>
      <w:r>
        <w:rPr>
          <w:rFonts w:hint="eastAsia" w:ascii="宋体" w:hAnsi="宋体" w:eastAsia="宋体" w:cs="宋体"/>
          <w:b/>
          <w:color w:val="auto"/>
          <w:kern w:val="2"/>
          <w:sz w:val="21"/>
          <w:szCs w:val="21"/>
          <w:highlight w:val="none"/>
        </w:rPr>
        <w:t>满分</w:t>
      </w:r>
      <w:r>
        <w:rPr>
          <w:rFonts w:hint="eastAsia" w:ascii="宋体" w:hAnsi="宋体" w:eastAsia="宋体" w:cs="宋体"/>
          <w:b/>
          <w:bCs/>
          <w:color w:val="auto"/>
          <w:kern w:val="2"/>
          <w:sz w:val="21"/>
          <w:szCs w:val="21"/>
          <w:highlight w:val="none"/>
          <w:lang w:val="en-US" w:eastAsia="zh-CN"/>
        </w:rPr>
        <w:t>3</w:t>
      </w:r>
      <w:r>
        <w:rPr>
          <w:rFonts w:hint="eastAsia" w:ascii="宋体" w:hAnsi="宋体" w:eastAsia="宋体" w:cs="宋体"/>
          <w:b/>
          <w:bCs/>
          <w:color w:val="auto"/>
          <w:kern w:val="2"/>
          <w:sz w:val="21"/>
          <w:szCs w:val="21"/>
          <w:highlight w:val="none"/>
        </w:rPr>
        <w:t>0分</w:t>
      </w:r>
    </w:p>
    <w:p w14:paraId="0E78F782">
      <w:pPr>
        <w:widowControl w:val="0"/>
        <w:spacing w:after="0" w:line="32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w:t>
      </w:r>
      <w:r>
        <w:rPr>
          <w:rFonts w:hint="eastAsia" w:ascii="宋体" w:hAnsi="宋体" w:eastAsia="宋体" w:cs="宋体"/>
          <w:color w:val="auto"/>
          <w:kern w:val="2"/>
          <w:sz w:val="21"/>
          <w:szCs w:val="21"/>
          <w:highlight w:val="none"/>
          <w:lang w:val="en-US" w:eastAsia="zh-CN"/>
        </w:rPr>
        <w:t>1</w:t>
      </w:r>
      <w:r>
        <w:rPr>
          <w:rFonts w:hint="eastAsia" w:ascii="宋体" w:hAnsi="宋体" w:eastAsia="宋体" w:cs="宋体"/>
          <w:color w:val="auto"/>
          <w:kern w:val="2"/>
          <w:sz w:val="21"/>
          <w:szCs w:val="21"/>
          <w:highlight w:val="none"/>
        </w:rPr>
        <w:t>）评标报价=投标报价。</w:t>
      </w:r>
    </w:p>
    <w:p w14:paraId="7AF32FC9">
      <w:pPr>
        <w:widowControl w:val="0"/>
        <w:spacing w:after="0" w:line="32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w:t>
      </w:r>
      <w:r>
        <w:rPr>
          <w:rFonts w:hint="eastAsia" w:ascii="宋体" w:hAnsi="宋体" w:eastAsia="宋体" w:cs="宋体"/>
          <w:color w:val="auto"/>
          <w:kern w:val="2"/>
          <w:sz w:val="21"/>
          <w:szCs w:val="21"/>
          <w:highlight w:val="none"/>
          <w:lang w:val="en-US" w:eastAsia="zh-CN"/>
        </w:rPr>
        <w:t>2</w:t>
      </w:r>
      <w:r>
        <w:rPr>
          <w:rFonts w:hint="eastAsia" w:ascii="宋体" w:hAnsi="宋体" w:eastAsia="宋体" w:cs="宋体"/>
          <w:color w:val="auto"/>
          <w:kern w:val="2"/>
          <w:sz w:val="21"/>
          <w:szCs w:val="21"/>
          <w:highlight w:val="none"/>
        </w:rPr>
        <w:t>）价格分应当采用低价优先法计算，即满足招标文件要求且投标价格最低的投标报价为评标基准价，其价格分为满分。进入详评投标人的价格分统一按照下列公式计算：</w:t>
      </w:r>
    </w:p>
    <w:p w14:paraId="7E62BC07">
      <w:pPr>
        <w:widowControl w:val="0"/>
        <w:spacing w:after="0" w:line="320" w:lineRule="exact"/>
        <w:ind w:firstLine="630" w:firstLineChars="300"/>
        <w:jc w:val="both"/>
        <w:rPr>
          <w:rFonts w:ascii="宋体" w:hAnsi="宋体" w:eastAsia="宋体" w:cs="宋体"/>
          <w:b/>
          <w:color w:val="auto"/>
          <w:kern w:val="2"/>
          <w:sz w:val="21"/>
          <w:szCs w:val="21"/>
          <w:highlight w:val="none"/>
        </w:rPr>
      </w:pPr>
      <w:r>
        <w:rPr>
          <w:rFonts w:hint="eastAsia" w:ascii="宋体" w:hAnsi="宋体" w:eastAsia="宋体" w:cs="宋体"/>
          <w:color w:val="auto"/>
          <w:kern w:val="2"/>
          <w:sz w:val="21"/>
          <w:szCs w:val="21"/>
          <w:highlight w:val="none"/>
        </w:rPr>
        <w:t>以进入评标的最低的评标报价为</w:t>
      </w:r>
      <w:r>
        <w:rPr>
          <w:rFonts w:hint="eastAsia" w:ascii="宋体" w:hAnsi="宋体" w:eastAsia="宋体" w:cs="宋体"/>
          <w:color w:val="auto"/>
          <w:kern w:val="2"/>
          <w:sz w:val="21"/>
          <w:szCs w:val="21"/>
          <w:highlight w:val="none"/>
          <w:lang w:val="en-US" w:eastAsia="zh-CN"/>
        </w:rPr>
        <w:t>30</w:t>
      </w:r>
      <w:r>
        <w:rPr>
          <w:rFonts w:hint="eastAsia" w:ascii="宋体" w:hAnsi="宋体" w:eastAsia="宋体" w:cs="宋体"/>
          <w:color w:val="auto"/>
          <w:kern w:val="2"/>
          <w:sz w:val="21"/>
          <w:szCs w:val="21"/>
          <w:highlight w:val="none"/>
        </w:rPr>
        <w:t>分。</w:t>
      </w:r>
    </w:p>
    <w:p w14:paraId="4A33B648">
      <w:pPr>
        <w:widowControl w:val="0"/>
        <w:spacing w:after="0" w:line="320" w:lineRule="exact"/>
        <w:ind w:firstLine="3990" w:firstLineChars="1900"/>
        <w:jc w:val="both"/>
        <w:rPr>
          <w:rFonts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rPr>
        <w:t xml:space="preserve">评标基准价          </w:t>
      </w:r>
    </w:p>
    <w:p w14:paraId="3F611F02">
      <w:pPr>
        <w:widowControl w:val="0"/>
        <w:spacing w:after="0" w:line="320" w:lineRule="exact"/>
        <w:ind w:firstLine="420"/>
        <w:jc w:val="both"/>
        <w:rPr>
          <w:rFonts w:ascii="宋体" w:hAnsi="宋体" w:eastAsia="宋体" w:cs="宋体"/>
          <w:bCs/>
          <w:color w:val="auto"/>
          <w:kern w:val="2"/>
          <w:sz w:val="21"/>
          <w:szCs w:val="21"/>
          <w:highlight w:val="none"/>
        </w:rPr>
      </w:pPr>
      <w:r>
        <w:rPr>
          <w:rFonts w:ascii="宋体" w:hAnsi="宋体" w:eastAsia="宋体" w:cs="宋体"/>
          <w:bCs/>
          <w:color w:val="auto"/>
          <w:kern w:val="2"/>
          <w:sz w:val="21"/>
          <w:szCs w:val="21"/>
          <w:highlight w:val="none"/>
        </w:rPr>
        <mc:AlternateContent>
          <mc:Choice Requires="wps">
            <w:drawing>
              <wp:anchor distT="0" distB="0" distL="114300" distR="114300" simplePos="0" relativeHeight="251763712" behindDoc="0" locked="0" layoutInCell="1" allowOverlap="1">
                <wp:simplePos x="0" y="0"/>
                <wp:positionH relativeFrom="column">
                  <wp:posOffset>1828800</wp:posOffset>
                </wp:positionH>
                <wp:positionV relativeFrom="paragraph">
                  <wp:posOffset>196850</wp:posOffset>
                </wp:positionV>
                <wp:extent cx="2199005" cy="0"/>
                <wp:effectExtent l="0" t="4445" r="0" b="5080"/>
                <wp:wrapNone/>
                <wp:docPr id="109" name="直接连接符 109"/>
                <wp:cNvGraphicFramePr/>
                <a:graphic xmlns:a="http://schemas.openxmlformats.org/drawingml/2006/main">
                  <a:graphicData uri="http://schemas.microsoft.com/office/word/2010/wordprocessingShape">
                    <wps:wsp>
                      <wps:cNvCnPr>
                        <a:cxnSpLocks noChangeShapeType="1"/>
                      </wps:cNvCnPr>
                      <wps:spPr bwMode="auto">
                        <a:xfrm>
                          <a:off x="0" y="0"/>
                          <a:ext cx="2200275" cy="0"/>
                        </a:xfrm>
                        <a:prstGeom prst="line">
                          <a:avLst/>
                        </a:prstGeom>
                        <a:noFill/>
                        <a:ln w="9525">
                          <a:solidFill>
                            <a:srgbClr val="000000"/>
                          </a:solidFill>
                          <a:round/>
                        </a:ln>
                        <a:effectLst/>
                      </wps:spPr>
                      <wps:bodyPr/>
                    </wps:wsp>
                  </a:graphicData>
                </a:graphic>
              </wp:anchor>
            </w:drawing>
          </mc:Choice>
          <mc:Fallback>
            <w:pict>
              <v:line id="_x0000_s1026" o:spid="_x0000_s1026" o:spt="20" style="position:absolute;left:0pt;margin-left:144pt;margin-top:15.5pt;height:0pt;width:173.15pt;z-index:251763712;mso-width-relative:page;mso-height-relative:page;" filled="f" stroked="t" coordsize="21600,21600" o:gfxdata="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">
                <v:fill on="f" focussize="0,0"/>
                <v:stroke color="#000000" joinstyle="round"/>
                <v:imagedata o:title=""/>
                <o:lock v:ext="edit" aspectratio="f"/>
              </v:line>
            </w:pict>
          </mc:Fallback>
        </mc:AlternateContent>
      </w:r>
      <w:r>
        <w:rPr>
          <w:rFonts w:hint="eastAsia" w:ascii="宋体" w:hAnsi="宋体" w:eastAsia="宋体" w:cs="宋体"/>
          <w:bCs/>
          <w:color w:val="auto"/>
          <w:kern w:val="2"/>
          <w:sz w:val="21"/>
          <w:szCs w:val="21"/>
          <w:highlight w:val="none"/>
        </w:rPr>
        <w:t>（</w:t>
      </w:r>
      <w:r>
        <w:rPr>
          <w:rFonts w:hint="eastAsia" w:ascii="宋体" w:hAnsi="宋体" w:eastAsia="宋体" w:cs="宋体"/>
          <w:bCs/>
          <w:color w:val="auto"/>
          <w:kern w:val="2"/>
          <w:sz w:val="21"/>
          <w:szCs w:val="21"/>
          <w:highlight w:val="none"/>
          <w:lang w:val="en-US" w:eastAsia="zh-CN"/>
        </w:rPr>
        <w:t>3</w:t>
      </w:r>
      <w:r>
        <w:rPr>
          <w:rFonts w:hint="eastAsia" w:ascii="宋体" w:hAnsi="宋体" w:eastAsia="宋体" w:cs="宋体"/>
          <w:bCs/>
          <w:color w:val="auto"/>
          <w:kern w:val="2"/>
          <w:sz w:val="21"/>
          <w:szCs w:val="21"/>
          <w:highlight w:val="none"/>
        </w:rPr>
        <w:t>）</w:t>
      </w:r>
      <w:r>
        <w:rPr>
          <w:rFonts w:hint="eastAsia" w:ascii="宋体" w:hAnsi="宋体" w:eastAsia="宋体" w:cs="宋体"/>
          <w:color w:val="auto"/>
          <w:kern w:val="2"/>
          <w:sz w:val="21"/>
          <w:szCs w:val="21"/>
          <w:highlight w:val="none"/>
        </w:rPr>
        <w:t>投标人</w:t>
      </w:r>
      <w:r>
        <w:rPr>
          <w:rFonts w:hint="eastAsia" w:ascii="宋体" w:hAnsi="宋体" w:eastAsia="宋体" w:cs="宋体"/>
          <w:bCs/>
          <w:color w:val="auto"/>
          <w:kern w:val="2"/>
          <w:sz w:val="21"/>
          <w:szCs w:val="21"/>
          <w:highlight w:val="none"/>
        </w:rPr>
        <w:t>价格分 =                                      　×</w:t>
      </w:r>
      <w:r>
        <w:rPr>
          <w:rFonts w:hint="eastAsia" w:ascii="宋体" w:hAnsi="宋体" w:eastAsia="宋体" w:cs="宋体"/>
          <w:bCs/>
          <w:color w:val="auto"/>
          <w:kern w:val="2"/>
          <w:sz w:val="21"/>
          <w:szCs w:val="21"/>
          <w:highlight w:val="none"/>
          <w:lang w:val="en-US" w:eastAsia="zh-CN"/>
        </w:rPr>
        <w:t>3</w:t>
      </w:r>
      <w:r>
        <w:rPr>
          <w:rFonts w:hint="eastAsia" w:ascii="宋体" w:hAnsi="宋体" w:eastAsia="宋体" w:cs="宋体"/>
          <w:bCs/>
          <w:color w:val="auto"/>
          <w:kern w:val="2"/>
          <w:sz w:val="21"/>
          <w:szCs w:val="21"/>
          <w:highlight w:val="none"/>
        </w:rPr>
        <w:t>0分</w:t>
      </w:r>
    </w:p>
    <w:p w14:paraId="71659E1A">
      <w:pPr>
        <w:widowControl w:val="0"/>
        <w:spacing w:after="0" w:line="32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bCs/>
          <w:color w:val="auto"/>
          <w:kern w:val="2"/>
          <w:sz w:val="21"/>
          <w:szCs w:val="21"/>
          <w:highlight w:val="none"/>
        </w:rPr>
        <w:t xml:space="preserve">                                投标人</w:t>
      </w:r>
      <w:r>
        <w:rPr>
          <w:rFonts w:hint="eastAsia" w:ascii="宋体" w:hAnsi="宋体" w:eastAsia="宋体" w:cs="宋体"/>
          <w:color w:val="auto"/>
          <w:kern w:val="2"/>
          <w:sz w:val="21"/>
          <w:szCs w:val="21"/>
          <w:highlight w:val="none"/>
        </w:rPr>
        <w:t>评标报价</w:t>
      </w:r>
      <w:r>
        <w:rPr>
          <w:rFonts w:hint="eastAsia" w:ascii="宋体" w:hAnsi="宋体" w:eastAsia="宋体" w:cs="宋体"/>
          <w:bCs/>
          <w:color w:val="auto"/>
          <w:kern w:val="2"/>
          <w:sz w:val="21"/>
          <w:szCs w:val="21"/>
          <w:highlight w:val="none"/>
        </w:rPr>
        <w:t xml:space="preserve">  </w:t>
      </w:r>
    </w:p>
    <w:p w14:paraId="158227F2">
      <w:pPr>
        <w:widowControl w:val="0"/>
        <w:spacing w:after="0" w:line="360" w:lineRule="exact"/>
        <w:ind w:right="-537" w:rightChars="-244" w:firstLine="420"/>
        <w:jc w:val="both"/>
        <w:rPr>
          <w:rFonts w:ascii="宋体" w:hAnsi="宋体" w:eastAsia="宋体" w:cs="宋体"/>
          <w:b/>
          <w:bCs/>
          <w:color w:val="auto"/>
          <w:kern w:val="2"/>
          <w:sz w:val="21"/>
          <w:szCs w:val="21"/>
          <w:highlight w:val="none"/>
        </w:rPr>
      </w:pPr>
      <w:r>
        <w:rPr>
          <w:rFonts w:hint="eastAsia" w:ascii="宋体" w:hAnsi="宋体" w:eastAsia="宋体" w:cs="宋体"/>
          <w:b/>
          <w:color w:val="auto"/>
          <w:kern w:val="2"/>
          <w:sz w:val="21"/>
          <w:szCs w:val="21"/>
          <w:highlight w:val="none"/>
        </w:rPr>
        <w:t>2.</w:t>
      </w:r>
      <w:r>
        <w:rPr>
          <w:rFonts w:hint="eastAsia" w:ascii="宋体" w:hAnsi="宋体" w:eastAsia="宋体" w:cs="宋体"/>
          <w:b/>
          <w:bCs/>
          <w:color w:val="auto"/>
          <w:kern w:val="2"/>
          <w:sz w:val="21"/>
          <w:szCs w:val="21"/>
          <w:highlight w:val="none"/>
        </w:rPr>
        <w:t>技术分………………………………………………………………………………………………</w:t>
      </w:r>
      <w:r>
        <w:rPr>
          <w:rFonts w:hint="eastAsia" w:ascii="宋体" w:hAnsi="宋体" w:eastAsia="宋体" w:cs="宋体"/>
          <w:b/>
          <w:color w:val="auto"/>
          <w:kern w:val="2"/>
          <w:sz w:val="21"/>
          <w:szCs w:val="21"/>
          <w:highlight w:val="none"/>
        </w:rPr>
        <w:t>满分</w:t>
      </w:r>
      <w:r>
        <w:rPr>
          <w:rFonts w:hint="eastAsia" w:ascii="宋体" w:hAnsi="宋体" w:eastAsia="宋体" w:cs="宋体"/>
          <w:b/>
          <w:color w:val="auto"/>
          <w:kern w:val="2"/>
          <w:sz w:val="21"/>
          <w:szCs w:val="21"/>
          <w:highlight w:val="none"/>
          <w:lang w:val="en-US" w:eastAsia="zh-CN"/>
        </w:rPr>
        <w:t>12</w:t>
      </w:r>
      <w:r>
        <w:rPr>
          <w:rFonts w:hint="eastAsia" w:ascii="宋体" w:hAnsi="宋体" w:eastAsia="宋体" w:cs="宋体"/>
          <w:b/>
          <w:bCs/>
          <w:color w:val="auto"/>
          <w:kern w:val="2"/>
          <w:sz w:val="21"/>
          <w:szCs w:val="21"/>
          <w:highlight w:val="none"/>
        </w:rPr>
        <w:t>分</w:t>
      </w:r>
    </w:p>
    <w:p w14:paraId="5BF94F78">
      <w:pPr>
        <w:spacing w:after="0" w:line="360" w:lineRule="exact"/>
        <w:ind w:firstLine="420" w:firstLineChars="200"/>
        <w:rPr>
          <w:rFonts w:ascii="宋体" w:hAnsi="宋体" w:eastAsia="宋体" w:cs="宋体"/>
          <w:bCs/>
          <w:color w:val="auto"/>
          <w:sz w:val="21"/>
          <w:szCs w:val="21"/>
          <w:highlight w:val="none"/>
        </w:rPr>
      </w:pPr>
      <w:r>
        <w:rPr>
          <w:rFonts w:hint="eastAsia" w:ascii="宋体" w:hAnsi="宋体" w:eastAsia="宋体" w:cs="宋体"/>
          <w:bCs/>
          <w:color w:val="auto"/>
          <w:sz w:val="21"/>
          <w:szCs w:val="21"/>
          <w:highlight w:val="none"/>
        </w:rPr>
        <w:t>评标委员会对通过资格性和符合性审查进入详评的各投标人投标文件，对招标文件《货物采购需求》中“主要技术参数（型号规格、技术参数、性能及配置）”的响应情况进行独立评审，并按如下计分方式确定得分：</w:t>
      </w:r>
    </w:p>
    <w:p w14:paraId="1795C2CE">
      <w:pPr>
        <w:autoSpaceDE w:val="0"/>
        <w:autoSpaceDN w:val="0"/>
        <w:spacing w:after="0" w:line="360" w:lineRule="exact"/>
        <w:ind w:firstLine="420" w:firstLineChars="200"/>
        <w:jc w:val="both"/>
        <w:rPr>
          <w:rFonts w:ascii="宋体" w:hAnsi="宋体" w:eastAsia="宋体" w:cs="宋体"/>
          <w:bCs/>
          <w:color w:val="auto"/>
          <w:kern w:val="2"/>
          <w:sz w:val="21"/>
          <w:szCs w:val="21"/>
          <w:highlight w:val="none"/>
        </w:rPr>
      </w:pPr>
      <w:r>
        <w:rPr>
          <w:rFonts w:hint="eastAsia" w:ascii="宋体" w:hAnsi="宋体" w:eastAsia="宋体" w:cs="宋体"/>
          <w:bCs/>
          <w:color w:val="auto"/>
          <w:kern w:val="2"/>
          <w:sz w:val="21"/>
          <w:szCs w:val="21"/>
          <w:highlight w:val="none"/>
        </w:rPr>
        <w:t>（1）基本分:通过资格性和符合性审查，得</w:t>
      </w:r>
      <w:r>
        <w:rPr>
          <w:rFonts w:hint="eastAsia" w:ascii="宋体" w:hAnsi="宋体" w:eastAsia="宋体" w:cs="宋体"/>
          <w:bCs/>
          <w:color w:val="auto"/>
          <w:kern w:val="2"/>
          <w:sz w:val="21"/>
          <w:szCs w:val="21"/>
          <w:highlight w:val="none"/>
          <w:lang w:val="en-US" w:eastAsia="zh-CN"/>
        </w:rPr>
        <w:t>12</w:t>
      </w:r>
      <w:r>
        <w:rPr>
          <w:rFonts w:hint="eastAsia" w:ascii="宋体" w:hAnsi="宋体" w:eastAsia="宋体" w:cs="宋体"/>
          <w:bCs/>
          <w:color w:val="auto"/>
          <w:kern w:val="2"/>
          <w:sz w:val="21"/>
          <w:szCs w:val="21"/>
          <w:highlight w:val="none"/>
        </w:rPr>
        <w:t>分，满分</w:t>
      </w:r>
      <w:r>
        <w:rPr>
          <w:rFonts w:hint="eastAsia" w:ascii="宋体" w:hAnsi="宋体" w:eastAsia="宋体" w:cs="宋体"/>
          <w:bCs/>
          <w:color w:val="auto"/>
          <w:kern w:val="2"/>
          <w:sz w:val="21"/>
          <w:szCs w:val="21"/>
          <w:highlight w:val="none"/>
          <w:lang w:val="en-US" w:eastAsia="zh-CN"/>
        </w:rPr>
        <w:t>12</w:t>
      </w:r>
      <w:r>
        <w:rPr>
          <w:rFonts w:hint="eastAsia" w:ascii="宋体" w:hAnsi="宋体" w:eastAsia="宋体" w:cs="宋体"/>
          <w:bCs/>
          <w:color w:val="auto"/>
          <w:kern w:val="2"/>
          <w:sz w:val="21"/>
          <w:szCs w:val="21"/>
          <w:highlight w:val="none"/>
        </w:rPr>
        <w:t>分。</w:t>
      </w:r>
    </w:p>
    <w:p w14:paraId="5BCE3CED">
      <w:pPr>
        <w:autoSpaceDE w:val="0"/>
        <w:autoSpaceDN w:val="0"/>
        <w:spacing w:after="0" w:line="360" w:lineRule="exact"/>
        <w:ind w:firstLine="420" w:firstLineChars="200"/>
        <w:jc w:val="both"/>
        <w:rPr>
          <w:rFonts w:hint="eastAsia" w:ascii="宋体" w:hAnsi="宋体" w:eastAsia="宋体" w:cs="宋体"/>
          <w:bCs/>
          <w:color w:val="auto"/>
          <w:kern w:val="2"/>
          <w:sz w:val="21"/>
          <w:szCs w:val="21"/>
          <w:highlight w:val="none"/>
        </w:rPr>
      </w:pPr>
      <w:r>
        <w:rPr>
          <w:rFonts w:hint="eastAsia" w:ascii="宋体" w:hAnsi="宋体" w:eastAsia="宋体" w:cs="宋体"/>
          <w:bCs/>
          <w:color w:val="auto"/>
          <w:sz w:val="21"/>
          <w:szCs w:val="21"/>
          <w:highlight w:val="none"/>
        </w:rPr>
        <w:t>（2）负偏离扣分：</w:t>
      </w:r>
      <w:r>
        <w:rPr>
          <w:rFonts w:hint="eastAsia" w:ascii="宋体" w:hAnsi="宋体" w:eastAsia="宋体" w:cs="宋体"/>
          <w:bCs/>
          <w:color w:val="auto"/>
          <w:kern w:val="2"/>
          <w:sz w:val="21"/>
          <w:szCs w:val="21"/>
          <w:highlight w:val="none"/>
        </w:rPr>
        <w:t>非★号的技术参数出现负偏差的，每一项扣减</w:t>
      </w:r>
      <w:r>
        <w:rPr>
          <w:rFonts w:hint="eastAsia" w:ascii="宋体" w:hAnsi="宋体" w:eastAsia="宋体" w:cs="宋体"/>
          <w:bCs/>
          <w:color w:val="auto"/>
          <w:kern w:val="2"/>
          <w:sz w:val="21"/>
          <w:szCs w:val="21"/>
          <w:highlight w:val="none"/>
          <w:lang w:val="en-US" w:eastAsia="zh-CN"/>
        </w:rPr>
        <w:t>1</w:t>
      </w:r>
      <w:r>
        <w:rPr>
          <w:rFonts w:hint="eastAsia" w:ascii="宋体" w:hAnsi="宋体" w:eastAsia="宋体" w:cs="宋体"/>
          <w:bCs/>
          <w:color w:val="auto"/>
          <w:kern w:val="2"/>
          <w:sz w:val="21"/>
          <w:szCs w:val="21"/>
          <w:highlight w:val="none"/>
        </w:rPr>
        <w:t>分，扣完</w:t>
      </w:r>
      <w:r>
        <w:rPr>
          <w:rFonts w:hint="eastAsia" w:ascii="宋体" w:hAnsi="宋体" w:eastAsia="宋体" w:cs="宋体"/>
          <w:bCs/>
          <w:color w:val="auto"/>
          <w:kern w:val="2"/>
          <w:sz w:val="21"/>
          <w:szCs w:val="21"/>
          <w:highlight w:val="none"/>
          <w:lang w:val="en-US" w:eastAsia="zh-CN"/>
        </w:rPr>
        <w:t>12</w:t>
      </w:r>
      <w:r>
        <w:rPr>
          <w:rFonts w:hint="eastAsia" w:ascii="宋体" w:hAnsi="宋体" w:eastAsia="宋体" w:cs="宋体"/>
          <w:bCs/>
          <w:color w:val="auto"/>
          <w:kern w:val="2"/>
          <w:sz w:val="21"/>
          <w:szCs w:val="21"/>
          <w:highlight w:val="none"/>
        </w:rPr>
        <w:t>分为止。</w:t>
      </w:r>
    </w:p>
    <w:p w14:paraId="73FF7CB6">
      <w:pPr>
        <w:pStyle w:val="23"/>
        <w:ind w:firstLine="480"/>
        <w:rPr>
          <w:rFonts w:hint="eastAsia" w:ascii="宋体" w:hAnsi="宋体" w:eastAsia="宋体" w:cs="宋体"/>
          <w:bCs/>
          <w:color w:val="auto"/>
          <w:kern w:val="2"/>
          <w:sz w:val="21"/>
          <w:szCs w:val="21"/>
          <w:highlight w:val="none"/>
          <w:lang w:val="en-US" w:eastAsia="zh-CN" w:bidi="ar-SA"/>
        </w:rPr>
      </w:pPr>
    </w:p>
    <w:p w14:paraId="3E16A4A3">
      <w:pPr>
        <w:spacing w:after="0" w:line="360" w:lineRule="exact"/>
        <w:ind w:firstLine="422" w:firstLineChars="200"/>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rPr>
        <w:t>3.售后服务承诺分………………………………………………</w:t>
      </w:r>
      <w:r>
        <w:rPr>
          <w:rFonts w:hint="eastAsia" w:ascii="宋体" w:hAnsi="宋体" w:eastAsia="宋体" w:cs="宋体"/>
          <w:b/>
          <w:bCs/>
          <w:color w:val="auto"/>
          <w:kern w:val="2"/>
          <w:sz w:val="21"/>
          <w:szCs w:val="21"/>
          <w:highlight w:val="none"/>
        </w:rPr>
        <w:t>……………………</w:t>
      </w:r>
      <w:r>
        <w:rPr>
          <w:rFonts w:hint="eastAsia" w:ascii="宋体" w:hAnsi="宋体" w:eastAsia="宋体" w:cs="宋体"/>
          <w:b/>
          <w:color w:val="auto"/>
          <w:kern w:val="2"/>
          <w:sz w:val="21"/>
          <w:szCs w:val="21"/>
          <w:highlight w:val="none"/>
        </w:rPr>
        <w:t>…</w:t>
      </w:r>
      <w:r>
        <w:rPr>
          <w:rFonts w:hint="eastAsia" w:ascii="宋体" w:hAnsi="宋体" w:eastAsia="宋体" w:cs="宋体"/>
          <w:b/>
          <w:bCs/>
          <w:color w:val="auto"/>
          <w:kern w:val="2"/>
          <w:sz w:val="21"/>
          <w:szCs w:val="21"/>
          <w:highlight w:val="none"/>
        </w:rPr>
        <w:t>…</w:t>
      </w:r>
      <w:r>
        <w:rPr>
          <w:rFonts w:hint="eastAsia" w:ascii="宋体" w:hAnsi="宋体" w:eastAsia="宋体" w:cs="宋体"/>
          <w:b/>
          <w:color w:val="auto"/>
          <w:kern w:val="2"/>
          <w:sz w:val="21"/>
          <w:szCs w:val="21"/>
          <w:highlight w:val="none"/>
        </w:rPr>
        <w:t>…………满分</w:t>
      </w:r>
      <w:r>
        <w:rPr>
          <w:rFonts w:hint="eastAsia" w:ascii="宋体" w:hAnsi="宋体" w:eastAsia="宋体" w:cs="宋体"/>
          <w:b/>
          <w:color w:val="auto"/>
          <w:kern w:val="2"/>
          <w:sz w:val="21"/>
          <w:szCs w:val="21"/>
          <w:highlight w:val="none"/>
          <w:lang w:val="en-US" w:eastAsia="zh-CN"/>
        </w:rPr>
        <w:t>24</w:t>
      </w:r>
      <w:r>
        <w:rPr>
          <w:rFonts w:hint="eastAsia" w:ascii="宋体" w:hAnsi="宋体" w:eastAsia="宋体" w:cs="宋体"/>
          <w:b/>
          <w:color w:val="auto"/>
          <w:kern w:val="2"/>
          <w:sz w:val="21"/>
          <w:szCs w:val="21"/>
          <w:highlight w:val="none"/>
        </w:rPr>
        <w:t>分</w:t>
      </w:r>
    </w:p>
    <w:p w14:paraId="5708EB45">
      <w:pPr>
        <w:widowControl w:val="0"/>
        <w:tabs>
          <w:tab w:val="left" w:pos="4214"/>
        </w:tabs>
        <w:spacing w:after="0" w:line="360" w:lineRule="exact"/>
        <w:ind w:firstLine="420" w:firstLineChars="200"/>
        <w:jc w:val="both"/>
        <w:outlineLvl w:val="9"/>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评委对各投标人的投标文件中售后服务承诺书内容，即：从免费保修期、到达故障现场时间、故障出现解决方案，定期维护、免费技术培训方案、免费保修期外维修方案、其它优惠方案等方面情况进行综合评比，确定所属档次并独立打分。</w:t>
      </w:r>
    </w:p>
    <w:p w14:paraId="20C69DD2">
      <w:pPr>
        <w:widowControl w:val="0"/>
        <w:tabs>
          <w:tab w:val="left" w:pos="4214"/>
        </w:tabs>
        <w:spacing w:after="0" w:line="36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eastAsia="zh-CN"/>
        </w:rPr>
        <w:t>一</w:t>
      </w:r>
      <w:r>
        <w:rPr>
          <w:rFonts w:hint="eastAsia" w:ascii="宋体" w:hAnsi="宋体" w:eastAsia="宋体" w:cs="宋体"/>
          <w:color w:val="auto"/>
          <w:kern w:val="2"/>
          <w:sz w:val="21"/>
          <w:szCs w:val="21"/>
          <w:highlight w:val="none"/>
        </w:rPr>
        <w:t>档（</w:t>
      </w:r>
      <w:r>
        <w:rPr>
          <w:rFonts w:hint="eastAsia" w:ascii="宋体" w:hAnsi="宋体" w:eastAsia="宋体" w:cs="宋体"/>
          <w:color w:val="auto"/>
          <w:kern w:val="2"/>
          <w:sz w:val="21"/>
          <w:szCs w:val="21"/>
          <w:highlight w:val="none"/>
          <w:lang w:val="en-US" w:eastAsia="zh-CN"/>
        </w:rPr>
        <w:t>6</w:t>
      </w:r>
      <w:r>
        <w:rPr>
          <w:rFonts w:hint="eastAsia" w:ascii="宋体" w:hAnsi="宋体" w:eastAsia="宋体" w:cs="宋体"/>
          <w:color w:val="auto"/>
          <w:kern w:val="2"/>
          <w:sz w:val="21"/>
          <w:szCs w:val="21"/>
          <w:highlight w:val="none"/>
        </w:rPr>
        <w:t>分）：售后服务方案不完整或简单描述或有缺项的；</w:t>
      </w:r>
    </w:p>
    <w:p w14:paraId="7463AC9E">
      <w:pPr>
        <w:pStyle w:val="9"/>
        <w:spacing w:line="400" w:lineRule="exact"/>
        <w:ind w:firstLine="420" w:firstLineChars="200"/>
        <w:outlineLvl w:val="0"/>
        <w:rPr>
          <w:rFonts w:hint="eastAsia" w:ascii="宋体" w:hAnsi="宋体" w:eastAsia="宋体" w:cs="宋体"/>
          <w:color w:val="auto"/>
          <w:sz w:val="21"/>
          <w:szCs w:val="21"/>
          <w:highlight w:val="none"/>
        </w:rPr>
      </w:pPr>
      <w:r>
        <w:rPr>
          <w:rFonts w:hint="eastAsia" w:ascii="宋体" w:hAnsi="宋体" w:eastAsia="宋体" w:cs="宋体"/>
          <w:color w:val="auto"/>
          <w:kern w:val="2"/>
          <w:sz w:val="21"/>
          <w:szCs w:val="21"/>
          <w:highlight w:val="none"/>
        </w:rPr>
        <w:t>二</w:t>
      </w:r>
      <w:r>
        <w:rPr>
          <w:rFonts w:hint="eastAsia" w:ascii="宋体" w:hAnsi="宋体" w:eastAsia="宋体" w:cs="宋体"/>
          <w:color w:val="auto"/>
          <w:sz w:val="21"/>
          <w:szCs w:val="21"/>
          <w:highlight w:val="none"/>
        </w:rPr>
        <w:t>档（</w:t>
      </w:r>
      <w:r>
        <w:rPr>
          <w:rFonts w:hint="eastAsia" w:hAnsi="宋体" w:cs="宋体"/>
          <w:color w:val="auto"/>
          <w:sz w:val="21"/>
          <w:szCs w:val="21"/>
          <w:highlight w:val="none"/>
          <w:lang w:val="en-US" w:eastAsia="zh-CN"/>
        </w:rPr>
        <w:t>12</w:t>
      </w:r>
      <w:r>
        <w:rPr>
          <w:rFonts w:hint="eastAsia" w:ascii="宋体" w:hAnsi="宋体" w:eastAsia="宋体" w:cs="宋体"/>
          <w:color w:val="auto"/>
          <w:sz w:val="21"/>
          <w:szCs w:val="21"/>
          <w:highlight w:val="none"/>
        </w:rPr>
        <w:t>分）：售后服务方案</w:t>
      </w:r>
      <w:r>
        <w:rPr>
          <w:rFonts w:hint="eastAsia" w:hAnsi="宋体" w:cs="宋体"/>
          <w:color w:val="auto"/>
          <w:sz w:val="21"/>
          <w:szCs w:val="21"/>
          <w:highlight w:val="none"/>
          <w:lang w:eastAsia="zh-CN"/>
        </w:rPr>
        <w:t>基本能</w:t>
      </w:r>
      <w:r>
        <w:rPr>
          <w:rFonts w:hint="eastAsia" w:ascii="宋体" w:hAnsi="宋体" w:eastAsia="宋体" w:cs="宋体"/>
          <w:color w:val="auto"/>
          <w:sz w:val="21"/>
          <w:szCs w:val="21"/>
          <w:highlight w:val="none"/>
        </w:rPr>
        <w:t>满足招标文件要求，服务内容</w:t>
      </w:r>
      <w:r>
        <w:rPr>
          <w:rFonts w:hint="eastAsia" w:hAnsi="宋体" w:cs="宋体"/>
          <w:color w:val="auto"/>
          <w:sz w:val="21"/>
          <w:szCs w:val="21"/>
          <w:highlight w:val="none"/>
          <w:lang w:eastAsia="zh-CN"/>
        </w:rPr>
        <w:t>明确</w:t>
      </w:r>
      <w:r>
        <w:rPr>
          <w:rFonts w:hint="eastAsia" w:ascii="宋体" w:hAnsi="宋体" w:eastAsia="宋体" w:cs="宋体"/>
          <w:color w:val="auto"/>
          <w:sz w:val="21"/>
          <w:szCs w:val="21"/>
          <w:highlight w:val="none"/>
        </w:rPr>
        <w:t>、售后保障措施完整的；</w:t>
      </w:r>
    </w:p>
    <w:p w14:paraId="3CBF4728">
      <w:pPr>
        <w:pStyle w:val="9"/>
        <w:spacing w:line="400" w:lineRule="exact"/>
        <w:ind w:firstLine="420" w:firstLineChars="200"/>
        <w:outlineLvl w:val="0"/>
        <w:rPr>
          <w:rFonts w:hint="eastAsia"/>
        </w:rPr>
      </w:pPr>
      <w:r>
        <w:rPr>
          <w:rFonts w:hint="eastAsia" w:ascii="宋体" w:hAnsi="宋体" w:eastAsia="宋体" w:cs="宋体"/>
          <w:color w:val="auto"/>
          <w:sz w:val="21"/>
          <w:szCs w:val="21"/>
          <w:highlight w:val="none"/>
        </w:rPr>
        <w:t>三档（</w:t>
      </w:r>
      <w:r>
        <w:rPr>
          <w:rFonts w:hint="eastAsia" w:hAnsi="宋体" w:cs="宋体"/>
          <w:color w:val="auto"/>
          <w:sz w:val="21"/>
          <w:szCs w:val="21"/>
          <w:highlight w:val="none"/>
          <w:lang w:val="en-US" w:eastAsia="zh-CN"/>
        </w:rPr>
        <w:t>18</w:t>
      </w:r>
      <w:r>
        <w:rPr>
          <w:rFonts w:hint="eastAsia" w:ascii="宋体" w:hAnsi="宋体" w:eastAsia="宋体" w:cs="宋体"/>
          <w:color w:val="auto"/>
          <w:sz w:val="21"/>
          <w:szCs w:val="21"/>
          <w:highlight w:val="none"/>
        </w:rPr>
        <w:t>分）：售后服务方案满足招标文件要求，服务内容明确、售后保障措施较详细、具体、完整的</w:t>
      </w:r>
      <w:r>
        <w:rPr>
          <w:rFonts w:hint="eastAsia" w:hAnsi="宋体" w:cs="宋体"/>
          <w:color w:val="auto"/>
          <w:sz w:val="21"/>
          <w:szCs w:val="21"/>
          <w:highlight w:val="none"/>
          <w:lang w:eastAsia="zh-CN"/>
        </w:rPr>
        <w:t>，</w:t>
      </w:r>
      <w:r>
        <w:rPr>
          <w:rFonts w:hint="eastAsia" w:ascii="宋体" w:hAnsi="宋体" w:eastAsia="宋体" w:cs="宋体"/>
          <w:color w:val="auto"/>
          <w:sz w:val="21"/>
          <w:szCs w:val="21"/>
          <w:highlight w:val="none"/>
        </w:rPr>
        <w:t>提供</w:t>
      </w:r>
      <w:r>
        <w:rPr>
          <w:rFonts w:hint="eastAsia" w:hAnsi="宋体" w:cs="宋体"/>
          <w:color w:val="auto"/>
          <w:sz w:val="21"/>
          <w:szCs w:val="21"/>
          <w:highlight w:val="none"/>
          <w:lang w:eastAsia="zh-CN"/>
        </w:rPr>
        <w:t>有</w:t>
      </w:r>
      <w:r>
        <w:rPr>
          <w:rFonts w:hint="eastAsia" w:ascii="宋体" w:hAnsi="宋体" w:eastAsia="宋体" w:cs="宋体"/>
          <w:color w:val="auto"/>
          <w:sz w:val="21"/>
          <w:szCs w:val="21"/>
          <w:highlight w:val="none"/>
        </w:rPr>
        <w:t>针对性的本地化售后服务措施</w:t>
      </w:r>
      <w:r>
        <w:rPr>
          <w:rFonts w:hint="eastAsia" w:hAnsi="宋体" w:cs="宋体"/>
          <w:color w:val="auto"/>
          <w:sz w:val="21"/>
          <w:szCs w:val="21"/>
          <w:highlight w:val="none"/>
          <w:lang w:eastAsia="zh-CN"/>
        </w:rPr>
        <w:t>和</w:t>
      </w:r>
      <w:r>
        <w:rPr>
          <w:rFonts w:hint="eastAsia" w:ascii="宋体" w:hAnsi="宋体" w:eastAsia="宋体" w:cs="宋体"/>
          <w:color w:val="auto"/>
          <w:sz w:val="21"/>
          <w:szCs w:val="21"/>
          <w:highlight w:val="none"/>
        </w:rPr>
        <w:t>应急保障方案</w:t>
      </w:r>
      <w:r>
        <w:rPr>
          <w:rFonts w:hint="eastAsia" w:hAnsi="宋体" w:cs="宋体"/>
          <w:color w:val="auto"/>
          <w:sz w:val="21"/>
          <w:szCs w:val="21"/>
          <w:highlight w:val="none"/>
          <w:lang w:eastAsia="zh-CN"/>
        </w:rPr>
        <w:t>，</w:t>
      </w:r>
      <w:r>
        <w:rPr>
          <w:rFonts w:hint="eastAsia" w:ascii="宋体" w:hAnsi="宋体" w:eastAsia="宋体" w:cs="宋体"/>
          <w:color w:val="auto"/>
          <w:sz w:val="21"/>
          <w:szCs w:val="21"/>
          <w:highlight w:val="none"/>
        </w:rPr>
        <w:t>定期维护计划（注明时间）考虑周全；</w:t>
      </w:r>
    </w:p>
    <w:p w14:paraId="405B1A20">
      <w:pPr>
        <w:autoSpaceDE w:val="0"/>
        <w:autoSpaceDN w:val="0"/>
        <w:spacing w:after="0" w:line="360" w:lineRule="auto"/>
        <w:ind w:firstLine="420" w:firstLineChars="200"/>
        <w:jc w:val="both"/>
        <w:rPr>
          <w:rFonts w:hint="eastAsia" w:ascii="宋体" w:hAnsi="宋体" w:eastAsia="宋体" w:cs="宋体"/>
          <w:color w:val="auto"/>
          <w:sz w:val="21"/>
          <w:szCs w:val="21"/>
          <w:highlight w:val="none"/>
        </w:rPr>
      </w:pPr>
      <w:r>
        <w:rPr>
          <w:rFonts w:hint="eastAsia" w:hAnsi="宋体" w:cs="宋体"/>
          <w:color w:val="auto"/>
          <w:sz w:val="21"/>
          <w:szCs w:val="21"/>
          <w:highlight w:val="none"/>
          <w:lang w:eastAsia="zh-CN"/>
        </w:rPr>
        <w:t>四</w:t>
      </w:r>
      <w:r>
        <w:rPr>
          <w:rFonts w:hint="eastAsia" w:ascii="宋体" w:hAnsi="宋体" w:eastAsia="宋体" w:cs="宋体"/>
          <w:color w:val="auto"/>
          <w:sz w:val="21"/>
          <w:szCs w:val="21"/>
          <w:highlight w:val="none"/>
        </w:rPr>
        <w:t>档（</w:t>
      </w:r>
      <w:r>
        <w:rPr>
          <w:rFonts w:hint="eastAsia" w:ascii="宋体" w:hAnsi="宋体" w:eastAsia="宋体" w:cs="宋体"/>
          <w:color w:val="auto"/>
          <w:sz w:val="21"/>
          <w:szCs w:val="21"/>
          <w:highlight w:val="none"/>
          <w:lang w:val="en-US" w:eastAsia="zh-CN"/>
        </w:rPr>
        <w:t>24</w:t>
      </w:r>
      <w:r>
        <w:rPr>
          <w:rFonts w:hint="eastAsia" w:ascii="宋体" w:hAnsi="宋体" w:eastAsia="宋体" w:cs="宋体"/>
          <w:color w:val="auto"/>
          <w:sz w:val="21"/>
          <w:szCs w:val="21"/>
          <w:highlight w:val="none"/>
        </w:rPr>
        <w:t>分）：售后服务方案满足招标文件要求，在第</w:t>
      </w:r>
      <w:r>
        <w:rPr>
          <w:rFonts w:hint="eastAsia" w:ascii="宋体" w:hAnsi="宋体" w:eastAsia="宋体" w:cs="宋体"/>
          <w:color w:val="auto"/>
          <w:sz w:val="21"/>
          <w:szCs w:val="21"/>
          <w:highlight w:val="none"/>
          <w:lang w:eastAsia="zh-CN"/>
        </w:rPr>
        <w:t>四</w:t>
      </w:r>
      <w:r>
        <w:rPr>
          <w:rFonts w:hint="eastAsia" w:ascii="宋体" w:hAnsi="宋体" w:eastAsia="宋体" w:cs="宋体"/>
          <w:color w:val="auto"/>
          <w:sz w:val="21"/>
          <w:szCs w:val="21"/>
          <w:highlight w:val="none"/>
        </w:rPr>
        <w:t>档的基础上，提供针对性的替代品方案、免费技术培训方案、免费保修期外维修方案、增值售后服务方案均全面、可行、科学。</w:t>
      </w:r>
    </w:p>
    <w:p w14:paraId="7E67749B">
      <w:pPr>
        <w:pStyle w:val="9"/>
        <w:spacing w:line="400" w:lineRule="exact"/>
        <w:outlineLvl w:val="0"/>
        <w:rPr>
          <w:rFonts w:hint="eastAsia" w:ascii="宋体" w:hAnsi="宋体" w:eastAsia="宋体" w:cs="宋体"/>
          <w:color w:val="auto"/>
          <w:sz w:val="21"/>
          <w:szCs w:val="21"/>
          <w:highlight w:val="yellow"/>
        </w:rPr>
      </w:pPr>
    </w:p>
    <w:p w14:paraId="385AC1E8">
      <w:pPr>
        <w:spacing w:after="0" w:line="360" w:lineRule="exact"/>
        <w:rPr>
          <w:rFonts w:hint="eastAsia" w:ascii="宋体" w:hAnsi="宋体" w:eastAsia="宋体" w:cs="宋体"/>
          <w:b/>
          <w:color w:val="auto"/>
          <w:kern w:val="2"/>
          <w:sz w:val="21"/>
          <w:szCs w:val="21"/>
          <w:highlight w:val="none"/>
        </w:rPr>
      </w:pPr>
    </w:p>
    <w:p w14:paraId="44111BE5">
      <w:pPr>
        <w:widowControl w:val="0"/>
        <w:spacing w:after="0" w:line="360" w:lineRule="exact"/>
        <w:ind w:right="-328" w:rightChars="-149" w:firstLine="413" w:firstLineChars="196"/>
        <w:jc w:val="both"/>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lang w:val="en-US" w:eastAsia="zh-CN"/>
        </w:rPr>
        <w:t>4</w:t>
      </w:r>
      <w:r>
        <w:rPr>
          <w:rFonts w:hint="eastAsia" w:ascii="宋体" w:hAnsi="宋体" w:eastAsia="宋体" w:cs="宋体"/>
          <w:b/>
          <w:color w:val="auto"/>
          <w:kern w:val="2"/>
          <w:sz w:val="21"/>
          <w:szCs w:val="21"/>
          <w:highlight w:val="none"/>
        </w:rPr>
        <w:t>.项目实施方案分……………………………………………</w:t>
      </w:r>
      <w:r>
        <w:rPr>
          <w:rFonts w:hint="eastAsia" w:ascii="宋体" w:hAnsi="宋体" w:eastAsia="宋体" w:cs="宋体"/>
          <w:b/>
          <w:bCs/>
          <w:color w:val="auto"/>
          <w:kern w:val="2"/>
          <w:sz w:val="21"/>
          <w:szCs w:val="21"/>
          <w:highlight w:val="none"/>
        </w:rPr>
        <w:t>……………………………</w:t>
      </w:r>
      <w:r>
        <w:rPr>
          <w:rFonts w:hint="eastAsia" w:ascii="宋体" w:hAnsi="宋体" w:eastAsia="宋体" w:cs="宋体"/>
          <w:b/>
          <w:color w:val="auto"/>
          <w:kern w:val="2"/>
          <w:sz w:val="21"/>
          <w:szCs w:val="21"/>
          <w:highlight w:val="none"/>
        </w:rPr>
        <w:t>…………满分</w:t>
      </w:r>
      <w:r>
        <w:rPr>
          <w:rFonts w:hint="eastAsia" w:ascii="宋体" w:hAnsi="宋体" w:eastAsia="宋体" w:cs="宋体"/>
          <w:b/>
          <w:color w:val="auto"/>
          <w:kern w:val="2"/>
          <w:sz w:val="21"/>
          <w:szCs w:val="21"/>
          <w:highlight w:val="none"/>
          <w:lang w:val="en-US" w:eastAsia="zh-CN"/>
        </w:rPr>
        <w:t>24</w:t>
      </w:r>
      <w:r>
        <w:rPr>
          <w:rFonts w:hint="eastAsia" w:ascii="宋体" w:hAnsi="宋体" w:eastAsia="宋体" w:cs="宋体"/>
          <w:b/>
          <w:color w:val="auto"/>
          <w:kern w:val="2"/>
          <w:sz w:val="21"/>
          <w:szCs w:val="21"/>
          <w:highlight w:val="none"/>
        </w:rPr>
        <w:t>分</w:t>
      </w:r>
    </w:p>
    <w:p w14:paraId="139C4C17">
      <w:pPr>
        <w:spacing w:after="0" w:line="36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由评委根据各投标人所提供项目实施方案（包括对项目的总体理解、设备选型、项目实施人员组织、质量保证、安装调试方案、图纸设计</w:t>
      </w:r>
      <w:r>
        <w:rPr>
          <w:rFonts w:hint="eastAsia" w:ascii="宋体" w:hAnsi="宋体" w:eastAsia="宋体" w:cs="宋体"/>
          <w:color w:val="auto"/>
          <w:sz w:val="21"/>
          <w:szCs w:val="21"/>
          <w:highlight w:val="none"/>
          <w:lang w:eastAsia="zh-CN"/>
        </w:rPr>
        <w:t>方案含厨房</w:t>
      </w:r>
      <w:r>
        <w:rPr>
          <w:rFonts w:hint="eastAsia" w:ascii="宋体" w:hAnsi="宋体" w:eastAsia="宋体" w:cs="宋体"/>
          <w:color w:val="auto"/>
          <w:sz w:val="21"/>
          <w:szCs w:val="21"/>
          <w:highlight w:val="none"/>
        </w:rPr>
        <w:t>设备布置平面图、厨房给水系统图、厨房排水系统图</w:t>
      </w:r>
      <w:r>
        <w:rPr>
          <w:rFonts w:hint="eastAsia" w:ascii="宋体" w:hAnsi="宋体" w:eastAsia="宋体" w:cs="宋体"/>
          <w:color w:val="auto"/>
          <w:sz w:val="21"/>
          <w:szCs w:val="21"/>
          <w:highlight w:val="none"/>
          <w:lang w:eastAsia="zh-CN"/>
        </w:rPr>
        <w:t>、厨房电路系统图、厨房抽排系统图、厨房鲜风系统图</w:t>
      </w:r>
      <w:r>
        <w:rPr>
          <w:rFonts w:hint="eastAsia" w:ascii="宋体" w:hAnsi="宋体" w:eastAsia="宋体" w:cs="宋体"/>
          <w:color w:val="auto"/>
          <w:sz w:val="21"/>
          <w:szCs w:val="21"/>
          <w:highlight w:val="none"/>
        </w:rPr>
        <w:t>等等）的优劣进行综合评比，确定所属档次并独立打分。</w:t>
      </w:r>
    </w:p>
    <w:p w14:paraId="50685689">
      <w:pPr>
        <w:spacing w:after="0" w:line="36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一档（0分）：未提供方案或提供的内容与本项目无关的；</w:t>
      </w:r>
    </w:p>
    <w:p w14:paraId="0ECFE455">
      <w:pPr>
        <w:spacing w:after="0" w:line="360" w:lineRule="exact"/>
        <w:ind w:firstLine="420" w:firstLineChars="200"/>
        <w:rPr>
          <w:rFonts w:ascii="宋体" w:hAnsi="宋体" w:eastAsia="宋体" w:cs="宋体"/>
          <w:color w:val="auto"/>
          <w:sz w:val="21"/>
          <w:szCs w:val="21"/>
          <w:highlight w:val="none"/>
        </w:rPr>
      </w:pPr>
      <w:r>
        <w:rPr>
          <w:rFonts w:hint="eastAsia" w:ascii="宋体" w:hAnsi="宋体" w:eastAsia="宋体" w:cs="宋体"/>
          <w:color w:val="auto"/>
          <w:sz w:val="21"/>
          <w:szCs w:val="21"/>
          <w:highlight w:val="none"/>
        </w:rPr>
        <w:t>二档（</w:t>
      </w:r>
      <w:r>
        <w:rPr>
          <w:rFonts w:hint="eastAsia" w:ascii="宋体" w:hAnsi="宋体" w:eastAsia="宋体" w:cs="宋体"/>
          <w:color w:val="auto"/>
          <w:sz w:val="21"/>
          <w:szCs w:val="21"/>
          <w:highlight w:val="none"/>
          <w:lang w:val="en-US" w:eastAsia="zh-CN"/>
        </w:rPr>
        <w:t>6</w:t>
      </w:r>
      <w:r>
        <w:rPr>
          <w:rFonts w:hint="eastAsia" w:ascii="宋体" w:hAnsi="宋体" w:eastAsia="宋体" w:cs="宋体"/>
          <w:color w:val="auto"/>
          <w:sz w:val="21"/>
          <w:szCs w:val="21"/>
          <w:highlight w:val="none"/>
        </w:rPr>
        <w:t>分）：方案内容不完整或简单描述或有缺项的；</w:t>
      </w:r>
    </w:p>
    <w:p w14:paraId="55A3F565">
      <w:pPr>
        <w:pStyle w:val="9"/>
        <w:spacing w:line="400" w:lineRule="exact"/>
        <w:ind w:firstLine="420" w:firstLineChars="200"/>
        <w:outlineLvl w:val="0"/>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三档（</w:t>
      </w:r>
      <w:r>
        <w:rPr>
          <w:rFonts w:hint="eastAsia" w:hAnsi="宋体" w:cs="宋体"/>
          <w:color w:val="auto"/>
          <w:sz w:val="21"/>
          <w:szCs w:val="21"/>
          <w:highlight w:val="none"/>
          <w:lang w:val="en-US" w:eastAsia="zh-CN"/>
        </w:rPr>
        <w:t>12</w:t>
      </w:r>
      <w:r>
        <w:rPr>
          <w:rFonts w:hint="eastAsia" w:ascii="宋体" w:hAnsi="宋体" w:eastAsia="宋体" w:cs="宋体"/>
          <w:color w:val="auto"/>
          <w:sz w:val="21"/>
          <w:szCs w:val="21"/>
          <w:highlight w:val="none"/>
        </w:rPr>
        <w:t>分）：方案内容中对项目的总体理解、设备选型、项目实施人员组织、质量保证、安装调试方案、</w:t>
      </w:r>
      <w:r>
        <w:rPr>
          <w:rFonts w:hint="eastAsia" w:hAnsi="宋体" w:cs="宋体"/>
          <w:color w:val="auto"/>
          <w:sz w:val="21"/>
          <w:szCs w:val="21"/>
          <w:highlight w:val="none"/>
          <w:lang w:eastAsia="zh-CN"/>
        </w:rPr>
        <w:t>图纸设计方案</w:t>
      </w:r>
      <w:r>
        <w:rPr>
          <w:rFonts w:hint="eastAsia" w:ascii="宋体" w:hAnsi="宋体" w:eastAsia="宋体" w:cs="宋体"/>
          <w:color w:val="auto"/>
          <w:sz w:val="21"/>
          <w:szCs w:val="21"/>
          <w:highlight w:val="none"/>
        </w:rPr>
        <w:t>等内容描述完整；</w:t>
      </w:r>
    </w:p>
    <w:p w14:paraId="3C75F130">
      <w:pPr>
        <w:pStyle w:val="9"/>
        <w:spacing w:line="400" w:lineRule="exact"/>
        <w:ind w:firstLine="420" w:firstLineChars="200"/>
        <w:outlineLvl w:val="0"/>
        <w:rPr>
          <w:rFonts w:hint="eastAsia" w:ascii="宋体" w:hAnsi="宋体" w:eastAsia="宋体" w:cs="宋体"/>
          <w:color w:val="auto"/>
          <w:sz w:val="21"/>
          <w:szCs w:val="21"/>
          <w:highlight w:val="none"/>
        </w:rPr>
      </w:pPr>
      <w:r>
        <w:rPr>
          <w:rFonts w:hint="eastAsia" w:hAnsi="宋体" w:cs="宋体"/>
          <w:color w:val="auto"/>
          <w:sz w:val="21"/>
          <w:szCs w:val="21"/>
          <w:highlight w:val="none"/>
          <w:lang w:eastAsia="zh-CN"/>
        </w:rPr>
        <w:t>四</w:t>
      </w:r>
      <w:r>
        <w:rPr>
          <w:rFonts w:hint="eastAsia" w:ascii="宋体" w:hAnsi="宋体" w:eastAsia="宋体" w:cs="宋体"/>
          <w:color w:val="auto"/>
          <w:sz w:val="21"/>
          <w:szCs w:val="21"/>
          <w:highlight w:val="none"/>
        </w:rPr>
        <w:t>档（</w:t>
      </w:r>
      <w:r>
        <w:rPr>
          <w:rFonts w:hint="eastAsia" w:hAnsi="宋体" w:cs="宋体"/>
          <w:color w:val="auto"/>
          <w:sz w:val="21"/>
          <w:szCs w:val="21"/>
          <w:highlight w:val="none"/>
          <w:lang w:val="en-US" w:eastAsia="zh-CN"/>
        </w:rPr>
        <w:t>18</w:t>
      </w:r>
      <w:r>
        <w:rPr>
          <w:rFonts w:hint="eastAsia" w:ascii="宋体" w:hAnsi="宋体" w:eastAsia="宋体" w:cs="宋体"/>
          <w:color w:val="auto"/>
          <w:sz w:val="21"/>
          <w:szCs w:val="21"/>
          <w:highlight w:val="none"/>
        </w:rPr>
        <w:t>分）：方案内容中对项目的总体理解、设备选型、项目实施人员组织、质量保证、安装调试方案、</w:t>
      </w:r>
      <w:r>
        <w:rPr>
          <w:rFonts w:hint="eastAsia" w:hAnsi="宋体" w:cs="宋体"/>
          <w:color w:val="auto"/>
          <w:sz w:val="21"/>
          <w:szCs w:val="21"/>
          <w:highlight w:val="none"/>
          <w:lang w:eastAsia="zh-CN"/>
        </w:rPr>
        <w:t>图纸设计方案</w:t>
      </w:r>
      <w:r>
        <w:rPr>
          <w:rFonts w:hint="eastAsia" w:ascii="宋体" w:hAnsi="宋体" w:eastAsia="宋体" w:cs="宋体"/>
          <w:color w:val="auto"/>
          <w:sz w:val="21"/>
          <w:szCs w:val="21"/>
          <w:highlight w:val="none"/>
        </w:rPr>
        <w:t>等内容描述较完整</w:t>
      </w:r>
      <w:r>
        <w:rPr>
          <w:rFonts w:hint="eastAsia" w:hAnsi="宋体" w:cs="宋体"/>
          <w:color w:val="auto"/>
          <w:sz w:val="21"/>
          <w:szCs w:val="21"/>
          <w:highlight w:val="none"/>
          <w:lang w:eastAsia="zh-CN"/>
        </w:rPr>
        <w:t>、</w:t>
      </w:r>
      <w:r>
        <w:rPr>
          <w:rFonts w:hint="eastAsia" w:ascii="宋体" w:hAnsi="宋体" w:eastAsia="宋体" w:cs="宋体"/>
          <w:color w:val="auto"/>
          <w:sz w:val="21"/>
          <w:szCs w:val="21"/>
          <w:highlight w:val="none"/>
        </w:rPr>
        <w:t>详细，具有合理性、可行性；</w:t>
      </w:r>
    </w:p>
    <w:p w14:paraId="46756A4C">
      <w:pPr>
        <w:spacing w:after="0" w:line="360" w:lineRule="exact"/>
        <w:ind w:firstLine="420" w:firstLineChars="200"/>
        <w:rPr>
          <w:rFonts w:hint="eastAsia" w:ascii="宋体" w:hAnsi="宋体" w:eastAsia="宋体" w:cs="宋体"/>
          <w:color w:val="auto"/>
          <w:sz w:val="21"/>
          <w:szCs w:val="21"/>
          <w:highlight w:val="none"/>
          <w:lang w:eastAsia="zh-CN"/>
        </w:rPr>
      </w:pPr>
      <w:r>
        <w:rPr>
          <w:rFonts w:hint="eastAsia" w:ascii="宋体" w:hAnsi="宋体" w:eastAsia="宋体" w:cs="宋体"/>
          <w:color w:val="auto"/>
          <w:sz w:val="21"/>
          <w:szCs w:val="21"/>
          <w:highlight w:val="none"/>
          <w:lang w:eastAsia="zh-CN"/>
        </w:rPr>
        <w:t>五</w:t>
      </w:r>
      <w:r>
        <w:rPr>
          <w:rFonts w:hint="eastAsia" w:ascii="宋体" w:hAnsi="宋体" w:eastAsia="宋体" w:cs="宋体"/>
          <w:color w:val="auto"/>
          <w:sz w:val="21"/>
          <w:szCs w:val="21"/>
          <w:highlight w:val="none"/>
        </w:rPr>
        <w:t>档（</w:t>
      </w:r>
      <w:r>
        <w:rPr>
          <w:rFonts w:hint="eastAsia" w:ascii="宋体" w:hAnsi="宋体" w:eastAsia="宋体" w:cs="宋体"/>
          <w:color w:val="auto"/>
          <w:sz w:val="21"/>
          <w:szCs w:val="21"/>
          <w:highlight w:val="none"/>
          <w:lang w:val="en-US" w:eastAsia="zh-CN"/>
        </w:rPr>
        <w:t>24</w:t>
      </w:r>
      <w:r>
        <w:rPr>
          <w:rFonts w:hint="eastAsia" w:ascii="宋体" w:hAnsi="宋体" w:eastAsia="宋体" w:cs="宋体"/>
          <w:color w:val="auto"/>
          <w:sz w:val="21"/>
          <w:szCs w:val="21"/>
          <w:highlight w:val="none"/>
        </w:rPr>
        <w:t>分）：在满足第三档的基础上，结合实际需求，根据自身经验，提供针对性的实施建议，重点、难点突出，</w:t>
      </w:r>
      <w:r>
        <w:rPr>
          <w:rFonts w:hint="eastAsia" w:ascii="宋体" w:hAnsi="宋体" w:eastAsia="宋体" w:cs="宋体"/>
          <w:color w:val="auto"/>
          <w:sz w:val="21"/>
          <w:szCs w:val="21"/>
          <w:highlight w:val="none"/>
          <w:lang w:eastAsia="zh-CN"/>
        </w:rPr>
        <w:t>流程规划、</w:t>
      </w:r>
      <w:r>
        <w:rPr>
          <w:rFonts w:hint="eastAsia" w:ascii="宋体" w:hAnsi="宋体" w:eastAsia="宋体" w:cs="宋体"/>
          <w:color w:val="auto"/>
          <w:sz w:val="21"/>
          <w:szCs w:val="21"/>
          <w:highlight w:val="none"/>
        </w:rPr>
        <w:t>设计思路和技术措施具有合理性、可行性，拟投入本项目实施人员齐全且具有专业性，完全能满足项目需求的</w:t>
      </w:r>
      <w:r>
        <w:rPr>
          <w:rFonts w:hint="eastAsia" w:ascii="宋体" w:hAnsi="宋体" w:eastAsia="宋体" w:cs="宋体"/>
          <w:color w:val="auto"/>
          <w:sz w:val="21"/>
          <w:szCs w:val="21"/>
          <w:highlight w:val="none"/>
          <w:lang w:eastAsia="zh-CN"/>
        </w:rPr>
        <w:t>，</w:t>
      </w:r>
      <w:r>
        <w:rPr>
          <w:rFonts w:hint="eastAsia" w:ascii="宋体" w:hAnsi="宋体" w:eastAsia="宋体" w:cs="宋体"/>
          <w:color w:val="auto"/>
          <w:sz w:val="21"/>
          <w:szCs w:val="21"/>
          <w:highlight w:val="none"/>
        </w:rPr>
        <w:t>针对本项目有合理物流配送方案。</w:t>
      </w:r>
    </w:p>
    <w:p w14:paraId="60AEF1BB">
      <w:pPr>
        <w:autoSpaceDE w:val="0"/>
        <w:autoSpaceDN w:val="0"/>
        <w:spacing w:after="0" w:line="360" w:lineRule="auto"/>
        <w:ind w:firstLine="420" w:firstLineChars="200"/>
        <w:jc w:val="both"/>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（注：请根据</w:t>
      </w:r>
      <w:r>
        <w:rPr>
          <w:rFonts w:hint="eastAsia" w:ascii="宋体" w:hAnsi="宋体" w:eastAsia="宋体" w:cs="宋体"/>
          <w:color w:val="auto"/>
          <w:sz w:val="21"/>
          <w:szCs w:val="21"/>
          <w:highlight w:val="none"/>
          <w:lang w:eastAsia="zh-CN"/>
        </w:rPr>
        <w:t>提供的</w:t>
      </w:r>
      <w:r>
        <w:rPr>
          <w:rFonts w:hint="eastAsia" w:ascii="宋体" w:hAnsi="宋体" w:eastAsia="宋体" w:cs="宋体"/>
          <w:color w:val="auto"/>
          <w:sz w:val="21"/>
          <w:szCs w:val="21"/>
          <w:highlight w:val="none"/>
        </w:rPr>
        <w:t>学校食堂的平面图</w:t>
      </w:r>
      <w:r>
        <w:rPr>
          <w:rFonts w:hint="eastAsia" w:ascii="宋体" w:hAnsi="宋体" w:eastAsia="宋体" w:cs="宋体"/>
          <w:color w:val="auto"/>
          <w:sz w:val="21"/>
          <w:szCs w:val="21"/>
          <w:highlight w:val="none"/>
          <w:lang w:eastAsia="zh-CN"/>
        </w:rPr>
        <w:t>编制图纸</w:t>
      </w:r>
      <w:r>
        <w:rPr>
          <w:rFonts w:hint="eastAsia" w:ascii="宋体" w:hAnsi="宋体" w:eastAsia="宋体" w:cs="宋体"/>
          <w:color w:val="auto"/>
          <w:sz w:val="21"/>
          <w:szCs w:val="21"/>
          <w:highlight w:val="none"/>
        </w:rPr>
        <w:t>设计方案，平面图详见附件，请自行下载。）</w:t>
      </w:r>
    </w:p>
    <w:p w14:paraId="4679A5D2">
      <w:pPr>
        <w:spacing w:after="0" w:line="360" w:lineRule="exact"/>
        <w:ind w:firstLine="422" w:firstLineChars="200"/>
        <w:rPr>
          <w:rFonts w:ascii="宋体" w:hAnsi="宋体" w:eastAsia="宋体" w:cs="宋体"/>
          <w:b/>
          <w:color w:val="auto"/>
          <w:kern w:val="2"/>
          <w:sz w:val="21"/>
          <w:szCs w:val="21"/>
          <w:highlight w:val="none"/>
        </w:rPr>
      </w:pPr>
      <w:r>
        <w:rPr>
          <w:rFonts w:hint="eastAsia" w:ascii="宋体" w:hAnsi="宋体" w:eastAsia="宋体" w:cs="宋体"/>
          <w:b/>
          <w:color w:val="auto"/>
          <w:kern w:val="2"/>
          <w:sz w:val="21"/>
          <w:szCs w:val="21"/>
          <w:highlight w:val="none"/>
          <w:lang w:val="en-US" w:eastAsia="zh-CN"/>
        </w:rPr>
        <w:t>5.</w:t>
      </w:r>
      <w:r>
        <w:rPr>
          <w:rFonts w:hint="eastAsia" w:ascii="宋体" w:hAnsi="宋体" w:eastAsia="宋体" w:cs="宋体"/>
          <w:b/>
          <w:color w:val="auto"/>
          <w:sz w:val="21"/>
          <w:szCs w:val="21"/>
          <w:highlight w:val="none"/>
        </w:rPr>
        <w:t>履约能力分</w:t>
      </w:r>
      <w:r>
        <w:rPr>
          <w:rFonts w:hint="eastAsia" w:ascii="宋体" w:hAnsi="宋体" w:eastAsia="宋体" w:cs="宋体"/>
          <w:b/>
          <w:color w:val="auto"/>
          <w:kern w:val="2"/>
          <w:sz w:val="21"/>
          <w:szCs w:val="21"/>
          <w:highlight w:val="none"/>
        </w:rPr>
        <w:t>…………………………………………………………………………………</w:t>
      </w:r>
      <w:r>
        <w:rPr>
          <w:rFonts w:hint="eastAsia" w:ascii="宋体" w:hAnsi="宋体" w:eastAsia="宋体" w:cs="宋体"/>
          <w:b/>
          <w:bCs/>
          <w:color w:val="auto"/>
          <w:kern w:val="2"/>
          <w:sz w:val="21"/>
          <w:szCs w:val="21"/>
          <w:highlight w:val="none"/>
        </w:rPr>
        <w:t>…………</w:t>
      </w:r>
      <w:r>
        <w:rPr>
          <w:rFonts w:hint="eastAsia" w:ascii="宋体" w:hAnsi="宋体" w:eastAsia="宋体" w:cs="宋体"/>
          <w:b/>
          <w:color w:val="auto"/>
          <w:kern w:val="2"/>
          <w:sz w:val="21"/>
          <w:szCs w:val="21"/>
          <w:highlight w:val="none"/>
        </w:rPr>
        <w:t>满分</w:t>
      </w:r>
      <w:r>
        <w:rPr>
          <w:rFonts w:hint="eastAsia" w:ascii="宋体" w:hAnsi="宋体" w:eastAsia="宋体" w:cs="宋体"/>
          <w:b/>
          <w:color w:val="auto"/>
          <w:kern w:val="2"/>
          <w:sz w:val="21"/>
          <w:szCs w:val="21"/>
          <w:highlight w:val="none"/>
          <w:lang w:val="en-US" w:eastAsia="zh-CN"/>
        </w:rPr>
        <w:t>8</w:t>
      </w:r>
      <w:r>
        <w:rPr>
          <w:rFonts w:hint="eastAsia" w:ascii="宋体" w:hAnsi="宋体" w:eastAsia="宋体" w:cs="宋体"/>
          <w:b/>
          <w:color w:val="auto"/>
          <w:kern w:val="2"/>
          <w:sz w:val="21"/>
          <w:szCs w:val="21"/>
          <w:highlight w:val="none"/>
        </w:rPr>
        <w:t>分</w:t>
      </w:r>
    </w:p>
    <w:p w14:paraId="6A5F823D">
      <w:pPr>
        <w:spacing w:after="0" w:line="360" w:lineRule="exact"/>
        <w:ind w:firstLine="420" w:firstLineChars="200"/>
        <w:rPr>
          <w:rFonts w:hint="eastAsia" w:ascii="宋体" w:hAnsi="宋体" w:eastAsia="宋体" w:cs="宋体"/>
          <w:b w:val="0"/>
          <w:bCs/>
          <w:color w:val="auto"/>
          <w:sz w:val="21"/>
          <w:szCs w:val="21"/>
          <w:highlight w:val="none"/>
          <w:lang w:eastAsia="zh-CN"/>
        </w:rPr>
      </w:pPr>
      <w:r>
        <w:rPr>
          <w:rFonts w:hint="eastAsia" w:ascii="宋体" w:hAnsi="宋体" w:eastAsia="宋体" w:cs="宋体"/>
          <w:b w:val="0"/>
          <w:bCs/>
          <w:color w:val="auto"/>
          <w:sz w:val="21"/>
          <w:szCs w:val="21"/>
          <w:highlight w:val="none"/>
          <w:lang w:eastAsia="zh-CN"/>
        </w:rPr>
        <w:t>（</w:t>
      </w:r>
      <w:r>
        <w:rPr>
          <w:rFonts w:hint="eastAsia" w:ascii="宋体" w:hAnsi="宋体" w:eastAsia="宋体" w:cs="宋体"/>
          <w:b w:val="0"/>
          <w:bCs/>
          <w:color w:val="auto"/>
          <w:sz w:val="21"/>
          <w:szCs w:val="21"/>
          <w:highlight w:val="none"/>
          <w:lang w:val="en-US" w:eastAsia="zh-CN"/>
        </w:rPr>
        <w:t>1</w:t>
      </w:r>
      <w:r>
        <w:rPr>
          <w:rFonts w:hint="eastAsia" w:ascii="宋体" w:hAnsi="宋体" w:eastAsia="宋体" w:cs="宋体"/>
          <w:b w:val="0"/>
          <w:bCs/>
          <w:color w:val="auto"/>
          <w:sz w:val="21"/>
          <w:szCs w:val="21"/>
          <w:highlight w:val="none"/>
          <w:lang w:eastAsia="zh-CN"/>
        </w:rPr>
        <w:t>）</w:t>
      </w:r>
      <w:r>
        <w:rPr>
          <w:rFonts w:hint="eastAsia" w:ascii="宋体" w:hAnsi="宋体" w:eastAsia="宋体" w:cs="宋体"/>
          <w:b w:val="0"/>
          <w:bCs/>
          <w:color w:val="auto"/>
          <w:sz w:val="21"/>
          <w:szCs w:val="21"/>
          <w:highlight w:val="none"/>
        </w:rPr>
        <w:t>投标人通过ISO国际质量体系认证的得</w:t>
      </w:r>
      <w:r>
        <w:rPr>
          <w:rFonts w:hint="eastAsia" w:ascii="宋体" w:hAnsi="宋体" w:eastAsia="宋体" w:cs="宋体"/>
          <w:b w:val="0"/>
          <w:bCs/>
          <w:color w:val="auto"/>
          <w:sz w:val="21"/>
          <w:szCs w:val="21"/>
          <w:highlight w:val="none"/>
          <w:lang w:val="en-US" w:eastAsia="zh-CN"/>
        </w:rPr>
        <w:t>2</w:t>
      </w:r>
      <w:r>
        <w:rPr>
          <w:rFonts w:hint="eastAsia" w:ascii="宋体" w:hAnsi="宋体" w:eastAsia="宋体" w:cs="宋体"/>
          <w:b w:val="0"/>
          <w:bCs/>
          <w:color w:val="auto"/>
          <w:sz w:val="21"/>
          <w:szCs w:val="21"/>
          <w:highlight w:val="none"/>
        </w:rPr>
        <w:t>分</w:t>
      </w:r>
      <w:r>
        <w:rPr>
          <w:rFonts w:hint="eastAsia" w:ascii="宋体" w:hAnsi="宋体" w:eastAsia="宋体" w:cs="宋体"/>
          <w:b w:val="0"/>
          <w:bCs/>
          <w:color w:val="auto"/>
          <w:sz w:val="21"/>
          <w:szCs w:val="21"/>
          <w:highlight w:val="none"/>
          <w:lang w:eastAsia="zh-CN"/>
        </w:rPr>
        <w:t>。</w:t>
      </w:r>
    </w:p>
    <w:p w14:paraId="182B3AC4">
      <w:pPr>
        <w:spacing w:line="360" w:lineRule="exact"/>
        <w:ind w:firstLine="420" w:firstLineChars="200"/>
        <w:rPr>
          <w:rFonts w:hint="eastAsia" w:ascii="宋体" w:hAnsi="宋体" w:eastAsia="宋体" w:cs="宋体"/>
          <w:color w:val="auto"/>
          <w:sz w:val="21"/>
          <w:szCs w:val="21"/>
          <w:highlight w:val="none"/>
        </w:rPr>
      </w:pP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lang w:val="en-US" w:eastAsia="zh-CN"/>
          <w14:textFill>
            <w14:solidFill>
              <w14:schemeClr w14:val="tx1"/>
            </w14:solidFill>
          </w14:textFill>
        </w:rPr>
        <w:t>2</w:t>
      </w:r>
      <w:r>
        <w:rPr>
          <w:rFonts w:hint="eastAsia" w:ascii="宋体" w:hAnsi="宋体" w:eastAsia="宋体" w:cs="宋体"/>
          <w:color w:val="000000" w:themeColor="text1"/>
          <w:sz w:val="21"/>
          <w:szCs w:val="21"/>
          <w:highlight w:val="none"/>
          <w:lang w:eastAsia="zh-CN"/>
          <w14:textFill>
            <w14:solidFill>
              <w14:schemeClr w14:val="tx1"/>
            </w14:solidFill>
          </w14:textFill>
        </w:rPr>
        <w:t>）</w:t>
      </w:r>
      <w:r>
        <w:rPr>
          <w:rFonts w:hint="eastAsia" w:ascii="宋体" w:hAnsi="宋体" w:eastAsia="宋体" w:cs="宋体"/>
          <w:color w:val="000000" w:themeColor="text1"/>
          <w:sz w:val="21"/>
          <w:szCs w:val="21"/>
          <w:highlight w:val="none"/>
          <w14:textFill>
            <w14:solidFill>
              <w14:schemeClr w14:val="tx1"/>
            </w14:solidFill>
          </w14:textFill>
        </w:rPr>
        <w:t>投标人20</w:t>
      </w:r>
      <w:r>
        <w:rPr>
          <w:rFonts w:hint="eastAsia" w:hAnsi="宋体" w:cs="宋体"/>
          <w:color w:val="000000" w:themeColor="text1"/>
          <w:sz w:val="21"/>
          <w:szCs w:val="21"/>
          <w:highlight w:val="none"/>
          <w:lang w:val="en-US" w:eastAsia="zh-CN"/>
          <w14:textFill>
            <w14:solidFill>
              <w14:schemeClr w14:val="tx1"/>
            </w14:solidFill>
          </w14:textFill>
        </w:rPr>
        <w:t>21</w:t>
      </w:r>
      <w:r>
        <w:rPr>
          <w:rFonts w:hint="eastAsia" w:ascii="宋体" w:hAnsi="宋体" w:eastAsia="宋体" w:cs="宋体"/>
          <w:color w:val="000000" w:themeColor="text1"/>
          <w:sz w:val="21"/>
          <w:szCs w:val="21"/>
          <w:highlight w:val="none"/>
          <w14:textFill>
            <w14:solidFill>
              <w14:schemeClr w14:val="tx1"/>
            </w14:solidFill>
          </w14:textFill>
        </w:rPr>
        <w:t>年以来具有同类产品的销售业绩[以中标/成交通知书或签订的销售</w:t>
      </w:r>
      <w:r>
        <w:rPr>
          <w:rFonts w:hint="eastAsia" w:ascii="宋体" w:hAnsi="宋体" w:eastAsia="宋体" w:cs="宋体"/>
          <w:color w:val="auto"/>
          <w:sz w:val="21"/>
          <w:szCs w:val="21"/>
          <w:highlight w:val="none"/>
        </w:rPr>
        <w:t>合同为准，并能清晰反映所销售的货物名称或合同标的，否则将不予评审]的 ，每提供1个业绩得</w:t>
      </w:r>
      <w:r>
        <w:rPr>
          <w:rFonts w:hint="eastAsia" w:ascii="宋体" w:hAnsi="宋体" w:eastAsia="宋体" w:cs="宋体"/>
          <w:color w:val="auto"/>
          <w:sz w:val="21"/>
          <w:szCs w:val="21"/>
          <w:highlight w:val="none"/>
          <w:lang w:val="en-US" w:eastAsia="zh-CN"/>
        </w:rPr>
        <w:t>2</w:t>
      </w:r>
      <w:r>
        <w:rPr>
          <w:rFonts w:hint="eastAsia" w:ascii="宋体" w:hAnsi="宋体" w:eastAsia="宋体" w:cs="宋体"/>
          <w:color w:val="auto"/>
          <w:sz w:val="21"/>
          <w:szCs w:val="21"/>
          <w:highlight w:val="none"/>
        </w:rPr>
        <w:t>分，最多得</w:t>
      </w:r>
      <w:r>
        <w:rPr>
          <w:rFonts w:hint="eastAsia" w:hAnsi="宋体" w:cs="宋体"/>
          <w:color w:val="auto"/>
          <w:sz w:val="21"/>
          <w:szCs w:val="21"/>
          <w:highlight w:val="none"/>
          <w:lang w:val="en-US" w:eastAsia="zh-CN"/>
        </w:rPr>
        <w:t>6</w:t>
      </w:r>
      <w:r>
        <w:rPr>
          <w:rFonts w:hint="eastAsia" w:ascii="宋体" w:hAnsi="宋体" w:eastAsia="宋体" w:cs="宋体"/>
          <w:color w:val="auto"/>
          <w:sz w:val="21"/>
          <w:szCs w:val="21"/>
          <w:highlight w:val="none"/>
        </w:rPr>
        <w:t>分。</w:t>
      </w:r>
    </w:p>
    <w:p w14:paraId="6C5EAB6B">
      <w:pPr>
        <w:spacing w:line="360" w:lineRule="exact"/>
        <w:ind w:firstLine="442" w:firstLineChars="200"/>
        <w:rPr>
          <w:rFonts w:ascii="宋体" w:hAnsi="宋体" w:eastAsia="宋体" w:cs="宋体"/>
          <w:b/>
          <w:color w:val="auto"/>
          <w:szCs w:val="21"/>
          <w:highlight w:val="none"/>
        </w:rPr>
      </w:pPr>
      <w:r>
        <w:rPr>
          <w:rFonts w:hint="eastAsia" w:ascii="宋体" w:hAnsi="宋体" w:eastAsia="宋体" w:cs="宋体"/>
          <w:b/>
          <w:color w:val="auto"/>
          <w:szCs w:val="21"/>
          <w:highlight w:val="none"/>
        </w:rPr>
        <w:t>6.政策功能分（节能、环保产品）………………………………………………………………满分2分</w:t>
      </w:r>
    </w:p>
    <w:p w14:paraId="5682F6CA">
      <w:pPr>
        <w:pStyle w:val="9"/>
        <w:spacing w:line="360" w:lineRule="exact"/>
        <w:ind w:firstLine="420" w:firstLineChars="200"/>
        <w:jc w:val="left"/>
        <w:outlineLvl w:val="9"/>
        <w:rPr>
          <w:rFonts w:hAnsi="宋体" w:cs="宋体"/>
          <w:color w:val="auto"/>
          <w:szCs w:val="21"/>
          <w:highlight w:val="none"/>
        </w:rPr>
      </w:pPr>
      <w:r>
        <w:rPr>
          <w:rFonts w:hint="eastAsia" w:hAnsi="宋体" w:cs="宋体"/>
          <w:color w:val="auto"/>
          <w:highlight w:val="none"/>
        </w:rPr>
        <w:t>（1）</w:t>
      </w:r>
      <w:r>
        <w:rPr>
          <w:rFonts w:hint="eastAsia" w:hAnsi="宋体" w:cs="宋体"/>
          <w:bCs/>
          <w:color w:val="auto"/>
          <w:szCs w:val="21"/>
          <w:highlight w:val="none"/>
        </w:rPr>
        <w:t>投标产品中含有列入财政部现行《节能产品政府采购清单》目录内（</w:t>
      </w:r>
      <w:r>
        <w:rPr>
          <w:rFonts w:hint="eastAsia" w:hAnsi="宋体" w:cs="宋体"/>
          <w:color w:val="auto"/>
          <w:szCs w:val="21"/>
          <w:highlight w:val="none"/>
        </w:rPr>
        <w:t>政府强制采购节能产品</w:t>
      </w:r>
      <w:r>
        <w:rPr>
          <w:rFonts w:hint="eastAsia" w:hAnsi="宋体" w:cs="宋体"/>
          <w:bCs/>
          <w:color w:val="auto"/>
          <w:szCs w:val="21"/>
          <w:highlight w:val="none"/>
        </w:rPr>
        <w:t>除外）优先采购产品并具有有效节能产品认证证书的，每项产品得0.5分</w:t>
      </w:r>
      <w:r>
        <w:rPr>
          <w:rFonts w:hint="eastAsia" w:hAnsi="宋体" w:cs="宋体"/>
          <w:color w:val="auto"/>
          <w:szCs w:val="21"/>
          <w:highlight w:val="none"/>
        </w:rPr>
        <w:t>（以</w:t>
      </w:r>
      <w:r>
        <w:rPr>
          <w:rFonts w:hint="eastAsia" w:hAnsi="宋体" w:cs="宋体"/>
          <w:bCs/>
          <w:color w:val="auto"/>
          <w:szCs w:val="21"/>
          <w:highlight w:val="none"/>
        </w:rPr>
        <w:t>《节能产品政府采购清单》</w:t>
      </w:r>
      <w:r>
        <w:rPr>
          <w:rFonts w:hint="eastAsia" w:hAnsi="宋体" w:cs="宋体"/>
          <w:color w:val="auto"/>
          <w:szCs w:val="21"/>
          <w:highlight w:val="none"/>
        </w:rPr>
        <w:t>和有效的节能产品认证证书原件的扫描件为准）。满分1分。</w:t>
      </w:r>
    </w:p>
    <w:p w14:paraId="70FAA36D">
      <w:pPr>
        <w:pStyle w:val="9"/>
        <w:spacing w:line="360" w:lineRule="exact"/>
        <w:ind w:firstLine="411" w:firstLineChars="196"/>
        <w:jc w:val="left"/>
        <w:outlineLvl w:val="9"/>
        <w:rPr>
          <w:rFonts w:hAnsi="宋体" w:cs="宋体"/>
          <w:color w:val="auto"/>
          <w:highlight w:val="none"/>
        </w:rPr>
      </w:pPr>
      <w:r>
        <w:rPr>
          <w:rFonts w:hint="eastAsia" w:hAnsi="宋体" w:cs="宋体"/>
          <w:color w:val="auto"/>
          <w:highlight w:val="none"/>
        </w:rPr>
        <w:t>（2）</w:t>
      </w:r>
      <w:r>
        <w:rPr>
          <w:rFonts w:hint="eastAsia" w:hAnsi="宋体" w:cs="宋体"/>
          <w:bCs/>
          <w:color w:val="auto"/>
          <w:szCs w:val="21"/>
          <w:highlight w:val="none"/>
        </w:rPr>
        <w:t>投标产品中含有列入财政部现行《环境标志产品政府采购品目清单》目录内（</w:t>
      </w:r>
      <w:r>
        <w:rPr>
          <w:rFonts w:hint="eastAsia" w:hAnsi="宋体" w:cs="宋体"/>
          <w:color w:val="auto"/>
          <w:szCs w:val="21"/>
          <w:highlight w:val="none"/>
        </w:rPr>
        <w:t>政府强制采购节能产品</w:t>
      </w:r>
      <w:r>
        <w:rPr>
          <w:rFonts w:hint="eastAsia" w:hAnsi="宋体" w:cs="宋体"/>
          <w:bCs/>
          <w:color w:val="auto"/>
          <w:szCs w:val="21"/>
          <w:highlight w:val="none"/>
        </w:rPr>
        <w:t>除外）优先采购产品并具有效环境标志产品认证证书的，每项产品得0.5分</w:t>
      </w:r>
      <w:r>
        <w:rPr>
          <w:rFonts w:hint="eastAsia" w:hAnsi="宋体" w:cs="宋体"/>
          <w:color w:val="auto"/>
          <w:szCs w:val="21"/>
          <w:highlight w:val="none"/>
        </w:rPr>
        <w:t>（以</w:t>
      </w:r>
      <w:r>
        <w:rPr>
          <w:rFonts w:hint="eastAsia" w:hAnsi="宋体" w:cs="宋体"/>
          <w:bCs/>
          <w:color w:val="auto"/>
          <w:szCs w:val="21"/>
          <w:highlight w:val="none"/>
        </w:rPr>
        <w:t>《环境标志产品政府采购品目清单》</w:t>
      </w:r>
      <w:r>
        <w:rPr>
          <w:rFonts w:hint="eastAsia" w:hAnsi="宋体" w:cs="宋体"/>
          <w:color w:val="auto"/>
          <w:szCs w:val="21"/>
          <w:highlight w:val="none"/>
        </w:rPr>
        <w:t>和有效的环境标志产品认证证书原件的扫描件为准）。满分1分。</w:t>
      </w:r>
    </w:p>
    <w:p w14:paraId="7F906CD1">
      <w:pPr>
        <w:widowControl w:val="0"/>
        <w:spacing w:after="0" w:line="360" w:lineRule="exact"/>
        <w:ind w:firstLine="420" w:firstLineChars="200"/>
        <w:outlineLvl w:val="9"/>
        <w:rPr>
          <w:rFonts w:ascii="宋体" w:hAnsi="宋体" w:eastAsia="宋体" w:cs="宋体"/>
          <w:color w:val="auto"/>
          <w:kern w:val="2"/>
          <w:sz w:val="21"/>
          <w:szCs w:val="21"/>
          <w:highlight w:val="none"/>
        </w:rPr>
      </w:pPr>
    </w:p>
    <w:p w14:paraId="74882FF1">
      <w:pPr>
        <w:widowControl w:val="0"/>
        <w:tabs>
          <w:tab w:val="left" w:pos="4214"/>
        </w:tabs>
        <w:spacing w:after="0" w:line="360" w:lineRule="exact"/>
        <w:ind w:firstLine="422" w:firstLineChars="200"/>
        <w:jc w:val="both"/>
        <w:rPr>
          <w:rFonts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7.综合得分＝1+2+3+4+5+6</w:t>
      </w:r>
    </w:p>
    <w:p w14:paraId="37C80D19">
      <w:pPr>
        <w:widowControl w:val="0"/>
        <w:spacing w:after="0" w:line="360" w:lineRule="exact"/>
        <w:ind w:firstLine="422" w:firstLineChars="200"/>
        <w:jc w:val="both"/>
        <w:rPr>
          <w:rFonts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三、推荐中标候选人的原则</w:t>
      </w:r>
    </w:p>
    <w:p w14:paraId="65573EBE">
      <w:pPr>
        <w:widowControl w:val="0"/>
        <w:tabs>
          <w:tab w:val="left" w:pos="4214"/>
        </w:tabs>
        <w:spacing w:after="0" w:line="36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（1）评标委员会根据综合得分由高到低排列次序；若得分相同时</w:t>
      </w:r>
      <w:r>
        <w:rPr>
          <w:rFonts w:hint="eastAsia" w:ascii="宋体" w:hAnsi="宋体" w:eastAsia="宋体" w:cs="宋体"/>
          <w:color w:val="auto"/>
          <w:kern w:val="2"/>
          <w:sz w:val="21"/>
          <w:szCs w:val="21"/>
          <w:highlight w:val="none"/>
          <w:lang w:eastAsia="zh-CN"/>
        </w:rPr>
        <w:t>，</w:t>
      </w:r>
      <w:r>
        <w:rPr>
          <w:rFonts w:hint="eastAsia" w:ascii="宋体" w:hAnsi="宋体" w:eastAsia="宋体" w:cs="宋体"/>
          <w:color w:val="auto"/>
          <w:kern w:val="2"/>
          <w:sz w:val="21"/>
          <w:szCs w:val="21"/>
          <w:highlight w:val="none"/>
        </w:rPr>
        <w:t>按投标报价由低到高顺序排列；若相同的，则依次按技术、项目实施方案、履约能力、售后服务得分由高到低的顺序排列并推荐中标候选</w:t>
      </w:r>
      <w:r>
        <w:rPr>
          <w:rFonts w:hint="eastAsia" w:ascii="宋体" w:hAnsi="宋体" w:eastAsia="宋体" w:cs="宋体"/>
          <w:color w:val="auto"/>
          <w:kern w:val="2"/>
          <w:sz w:val="21"/>
          <w:szCs w:val="21"/>
          <w:highlight w:val="none"/>
          <w:lang w:eastAsia="zh-CN"/>
        </w:rPr>
        <w:t>人</w:t>
      </w:r>
      <w:r>
        <w:rPr>
          <w:rFonts w:hint="eastAsia" w:ascii="宋体" w:hAnsi="宋体" w:eastAsia="宋体" w:cs="宋体"/>
          <w:color w:val="auto"/>
          <w:kern w:val="2"/>
          <w:highlight w:val="none"/>
        </w:rPr>
        <w:t>。</w:t>
      </w:r>
    </w:p>
    <w:p w14:paraId="57AF4130">
      <w:pPr>
        <w:widowControl w:val="0"/>
        <w:tabs>
          <w:tab w:val="left" w:pos="4214"/>
        </w:tabs>
        <w:spacing w:after="0" w:line="360" w:lineRule="exact"/>
        <w:ind w:firstLine="420" w:firstLineChars="200"/>
        <w:jc w:val="both"/>
        <w:rPr>
          <w:rFonts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（2）评标委员会可推荐前三名为中标候选人，采购人应当确定评标委员会推荐排名第一的中标候选人为中标人。</w:t>
      </w:r>
    </w:p>
    <w:p w14:paraId="259B51C7">
      <w:pPr>
        <w:widowControl w:val="0"/>
        <w:spacing w:after="0" w:line="360" w:lineRule="exact"/>
        <w:ind w:firstLine="420" w:firstLineChars="200"/>
        <w:jc w:val="both"/>
        <w:rPr>
          <w:rFonts w:ascii="宋体" w:hAnsi="宋体" w:eastAsia="宋体" w:cs="宋体"/>
          <w:b/>
          <w:bCs/>
          <w:color w:val="auto"/>
          <w:kern w:val="2"/>
          <w:sz w:val="24"/>
          <w:szCs w:val="20"/>
          <w:highlight w:val="none"/>
        </w:rPr>
      </w:pPr>
      <w:r>
        <w:rPr>
          <w:rFonts w:hint="eastAsia" w:ascii="宋体" w:hAnsi="宋体" w:eastAsia="宋体" w:cs="宋体"/>
          <w:color w:val="auto"/>
          <w:kern w:val="2"/>
          <w:sz w:val="21"/>
          <w:szCs w:val="21"/>
          <w:highlight w:val="none"/>
        </w:rPr>
        <w:t>（3）排名第一的中标候选人放弃中标、因不可抗力提出不能履行合同，或者招标文件规定应当提交履约保证金而在规定的期限内未能提交的，或因失信行为被取消中标候选人资格的，采购人可以确定排名第二的中标候选人为中标人或重新招标，并依此类推。</w:t>
      </w:r>
    </w:p>
    <w:p w14:paraId="2D2AC053">
      <w:pPr>
        <w:pStyle w:val="23"/>
        <w:rPr>
          <w:color w:val="auto"/>
          <w:highlight w:val="none"/>
        </w:rPr>
      </w:pPr>
      <w:r>
        <w:rPr>
          <w:rFonts w:hint="eastAsia" w:ascii="宋体" w:hAnsi="宋体" w:eastAsia="宋体" w:cs="宋体"/>
          <w:b/>
          <w:bCs/>
          <w:color w:val="auto"/>
          <w:kern w:val="2"/>
          <w:sz w:val="21"/>
          <w:szCs w:val="21"/>
          <w:highlight w:val="none"/>
        </w:rPr>
        <w:t>（4）</w:t>
      </w:r>
      <w:r>
        <w:rPr>
          <w:rFonts w:hint="eastAsia" w:ascii="宋体" w:hAnsi="宋体" w:eastAsia="宋体" w:cs="宋体"/>
          <w:b/>
          <w:bCs/>
          <w:color w:val="auto"/>
          <w:kern w:val="2"/>
          <w:sz w:val="21"/>
          <w:szCs w:val="20"/>
          <w:highlight w:val="none"/>
        </w:rPr>
        <w:t>评标委员会认为投标人的报价明显低于其他通过符合性审查投标人的报价，有可能影响产品质量或者不能诚信履约的，应当要求其在评标现场合理的时间内提供书面说明，必要时提交相关证明材料</w:t>
      </w:r>
      <w:r>
        <w:rPr>
          <w:rFonts w:hint="eastAsia" w:ascii="宋体" w:hAnsi="宋体" w:eastAsia="宋体" w:cs="宋体"/>
          <w:b/>
          <w:color w:val="auto"/>
          <w:kern w:val="2"/>
          <w:sz w:val="21"/>
          <w:szCs w:val="21"/>
          <w:highlight w:val="none"/>
        </w:rPr>
        <w:t>（通过</w:t>
      </w:r>
      <w:r>
        <w:rPr>
          <w:rFonts w:hint="eastAsia" w:ascii="宋体" w:hAnsi="宋体" w:eastAsia="宋体" w:cs="宋体"/>
          <w:b/>
          <w:color w:val="auto"/>
          <w:kern w:val="2"/>
          <w:sz w:val="21"/>
          <w:szCs w:val="21"/>
          <w:highlight w:val="none"/>
          <w:lang w:eastAsia="zh-CN"/>
        </w:rPr>
        <w:t>“广西政府采购云平台”</w:t>
      </w:r>
      <w:r>
        <w:rPr>
          <w:rFonts w:hint="eastAsia" w:ascii="宋体" w:hAnsi="宋体" w:eastAsia="宋体" w:cs="宋体"/>
          <w:b/>
          <w:color w:val="auto"/>
          <w:kern w:val="2"/>
          <w:sz w:val="21"/>
          <w:szCs w:val="21"/>
          <w:highlight w:val="none"/>
        </w:rPr>
        <w:t>平台提交）</w:t>
      </w:r>
      <w:r>
        <w:rPr>
          <w:rFonts w:hint="eastAsia" w:ascii="宋体" w:hAnsi="宋体" w:eastAsia="宋体" w:cs="宋体"/>
          <w:b/>
          <w:bCs/>
          <w:color w:val="auto"/>
          <w:kern w:val="2"/>
          <w:sz w:val="21"/>
          <w:szCs w:val="20"/>
          <w:highlight w:val="none"/>
        </w:rPr>
        <w:t>；投标人不能证明其报价合理性的，评标委员会应当将其作为无效投标处理。</w:t>
      </w:r>
    </w:p>
    <w:p w14:paraId="2A684170">
      <w:pPr>
        <w:pStyle w:val="23"/>
        <w:ind w:left="0" w:leftChars="0" w:firstLine="0" w:firstLineChars="0"/>
        <w:rPr>
          <w:color w:val="auto"/>
          <w:highlight w:val="none"/>
        </w:rPr>
      </w:pPr>
    </w:p>
    <w:p w14:paraId="59E57C78">
      <w:pPr>
        <w:rPr>
          <w:rFonts w:hint="eastAsia" w:hAnsi="宋体"/>
          <w:b/>
          <w:color w:val="auto"/>
          <w:sz w:val="32"/>
          <w:szCs w:val="32"/>
          <w:highlight w:val="none"/>
        </w:rPr>
      </w:pPr>
      <w:bookmarkStart w:id="5" w:name="_Toc4466"/>
      <w:r>
        <w:rPr>
          <w:rFonts w:hint="eastAsia" w:hAnsi="宋体"/>
          <w:b/>
          <w:color w:val="auto"/>
          <w:sz w:val="32"/>
          <w:szCs w:val="32"/>
          <w:highlight w:val="none"/>
        </w:rPr>
        <w:br w:type="page"/>
      </w:r>
    </w:p>
    <w:p w14:paraId="0EFB7721">
      <w:pPr>
        <w:pStyle w:val="9"/>
        <w:spacing w:line="400" w:lineRule="exact"/>
        <w:jc w:val="center"/>
        <w:outlineLvl w:val="0"/>
        <w:rPr>
          <w:rFonts w:hint="eastAsia" w:hAnsi="宋体"/>
          <w:b/>
          <w:color w:val="auto"/>
          <w:sz w:val="32"/>
          <w:szCs w:val="32"/>
          <w:highlight w:val="none"/>
        </w:rPr>
      </w:pPr>
      <w:r>
        <w:rPr>
          <w:rFonts w:hint="eastAsia" w:hAnsi="宋体"/>
          <w:b/>
          <w:color w:val="auto"/>
          <w:sz w:val="32"/>
          <w:szCs w:val="32"/>
          <w:highlight w:val="none"/>
        </w:rPr>
        <w:t>第五章  合同主要条款及格式</w:t>
      </w:r>
      <w:bookmarkEnd w:id="5"/>
    </w:p>
    <w:p w14:paraId="7028AD91">
      <w:pPr>
        <w:spacing w:line="400" w:lineRule="exact"/>
        <w:rPr>
          <w:rFonts w:hint="eastAsia" w:ascii="宋体" w:hAnsi="宋体"/>
          <w:color w:val="auto"/>
          <w:highlight w:val="none"/>
        </w:rPr>
      </w:pPr>
    </w:p>
    <w:p w14:paraId="2B88323A">
      <w:pPr>
        <w:widowControl w:val="0"/>
        <w:tabs>
          <w:tab w:val="left" w:pos="4214"/>
        </w:tabs>
        <w:spacing w:after="0" w:line="360" w:lineRule="exact"/>
        <w:ind w:firstLine="420" w:firstLineChars="200"/>
        <w:jc w:val="both"/>
        <w:rPr>
          <w:rFonts w:hint="eastAsia" w:ascii="宋体" w:hAnsi="宋体" w:eastAsia="宋体" w:cs="宋体"/>
          <w:color w:val="000000" w:themeColor="text1"/>
          <w:kern w:val="2"/>
          <w:sz w:val="21"/>
          <w:szCs w:val="21"/>
          <w:highlight w:val="none"/>
          <w:lang w:eastAsia="zh-CN"/>
          <w14:textFill>
            <w14:solidFill>
              <w14:schemeClr w14:val="tx1"/>
            </w14:solidFill>
          </w14:textFill>
        </w:rPr>
      </w:pPr>
      <w:r>
        <w:rPr>
          <w:rFonts w:hint="eastAsia" w:ascii="宋体" w:hAnsi="宋体" w:eastAsia="宋体" w:cs="宋体"/>
          <w:color w:val="000000" w:themeColor="text1"/>
          <w:kern w:val="2"/>
          <w:sz w:val="21"/>
          <w:szCs w:val="21"/>
          <w:highlight w:val="none"/>
          <w14:textFill>
            <w14:solidFill>
              <w14:schemeClr w14:val="tx1"/>
            </w14:solidFill>
          </w14:textFill>
        </w:rPr>
        <w:t>项目名称：</w:t>
      </w:r>
      <w:r>
        <w:rPr>
          <w:rFonts w:hint="eastAsia" w:ascii="宋体" w:hAnsi="宋体" w:eastAsia="宋体" w:cs="宋体"/>
          <w:color w:val="000000" w:themeColor="text1"/>
          <w:kern w:val="2"/>
          <w:sz w:val="21"/>
          <w:szCs w:val="21"/>
          <w:highlight w:val="none"/>
          <w:lang w:eastAsia="zh-CN"/>
          <w14:textFill>
            <w14:solidFill>
              <w14:schemeClr w14:val="tx1"/>
            </w14:solidFill>
          </w14:textFill>
        </w:rPr>
        <w:t>灌阳县洞井民族小学教学仪器设备采购</w:t>
      </w:r>
    </w:p>
    <w:p w14:paraId="6D50B2EC">
      <w:pPr>
        <w:widowControl w:val="0"/>
        <w:tabs>
          <w:tab w:val="left" w:pos="4214"/>
        </w:tabs>
        <w:spacing w:after="0" w:line="360" w:lineRule="exact"/>
        <w:ind w:firstLine="420" w:firstLineChars="200"/>
        <w:jc w:val="both"/>
        <w:rPr>
          <w:rFonts w:hint="eastAsia" w:ascii="宋体" w:hAnsi="宋体" w:eastAsia="宋体" w:cs="宋体"/>
          <w:color w:val="000000" w:themeColor="text1"/>
          <w:kern w:val="2"/>
          <w:sz w:val="21"/>
          <w:szCs w:val="21"/>
          <w:highlight w:val="none"/>
          <w14:textFill>
            <w14:solidFill>
              <w14:schemeClr w14:val="tx1"/>
            </w14:solidFill>
          </w14:textFill>
        </w:rPr>
      </w:pPr>
      <w:r>
        <w:rPr>
          <w:rFonts w:hint="eastAsia" w:ascii="宋体" w:hAnsi="宋体" w:eastAsia="宋体" w:cs="宋体"/>
          <w:color w:val="000000" w:themeColor="text1"/>
          <w:kern w:val="2"/>
          <w:sz w:val="21"/>
          <w:szCs w:val="21"/>
          <w:highlight w:val="none"/>
          <w14:textFill>
            <w14:solidFill>
              <w14:schemeClr w14:val="tx1"/>
            </w14:solidFill>
          </w14:textFill>
        </w:rPr>
        <w:t>项目编号：GLZC2024-G1-270182-GXGX</w:t>
      </w:r>
    </w:p>
    <w:p w14:paraId="78B129D1">
      <w:pPr>
        <w:spacing w:line="400" w:lineRule="exact"/>
        <w:rPr>
          <w:rFonts w:hint="default" w:ascii="宋体" w:hAnsi="宋体" w:eastAsia="宋体" w:cs="宋体"/>
          <w:color w:val="000000" w:themeColor="text1"/>
          <w:highlight w:val="none"/>
          <w:u w:val="single"/>
          <w:lang w:val="en-US" w:eastAsia="zh-CN"/>
          <w14:textFill>
            <w14:solidFill>
              <w14:schemeClr w14:val="tx1"/>
            </w14:solidFill>
          </w14:textFill>
        </w:rPr>
      </w:pPr>
      <w:r>
        <w:rPr>
          <w:rFonts w:hint="eastAsia" w:ascii="宋体" w:hAnsi="宋体" w:eastAsia="宋体" w:cs="宋体"/>
          <w:color w:val="000000" w:themeColor="text1"/>
          <w:highlight w:val="none"/>
          <w:lang w:val="en-US" w:eastAsia="zh-CN"/>
          <w14:textFill>
            <w14:solidFill>
              <w14:schemeClr w14:val="tx1"/>
            </w14:solidFill>
          </w14:textFill>
        </w:rPr>
        <w:t xml:space="preserve">    标项</w:t>
      </w:r>
      <w:r>
        <w:rPr>
          <w:rFonts w:hint="eastAsia" w:ascii="宋体" w:hAnsi="宋体" w:eastAsia="宋体" w:cs="宋体"/>
          <w:color w:val="000000" w:themeColor="text1"/>
          <w:highlight w:val="none"/>
          <w:u w:val="single"/>
          <w:lang w:val="en-US" w:eastAsia="zh-CN"/>
          <w14:textFill>
            <w14:solidFill>
              <w14:schemeClr w14:val="tx1"/>
            </w14:solidFill>
          </w14:textFill>
        </w:rPr>
        <w:t xml:space="preserve">  （  </w:t>
      </w:r>
      <w:r>
        <w:rPr>
          <w:rFonts w:hint="eastAsia" w:ascii="宋体" w:hAnsi="宋体" w:eastAsia="宋体" w:cs="宋体"/>
          <w:color w:val="000000" w:themeColor="text1"/>
          <w:highlight w:val="none"/>
          <w:lang w:val="en-US" w:eastAsia="zh-CN"/>
          <w14:textFill>
            <w14:solidFill>
              <w14:schemeClr w14:val="tx1"/>
            </w14:solidFill>
          </w14:textFill>
        </w:rPr>
        <w:t>分标）：</w:t>
      </w:r>
      <w:r>
        <w:rPr>
          <w:rFonts w:hint="eastAsia" w:ascii="宋体" w:hAnsi="宋体" w:eastAsia="宋体" w:cs="宋体"/>
          <w:color w:val="000000" w:themeColor="text1"/>
          <w:highlight w:val="none"/>
          <w:u w:val="single"/>
          <w:lang w:val="en-US" w:eastAsia="zh-CN"/>
          <w14:textFill>
            <w14:solidFill>
              <w14:schemeClr w14:val="tx1"/>
            </w14:solidFill>
          </w14:textFill>
        </w:rPr>
        <w:t xml:space="preserve">标项名称       </w:t>
      </w:r>
    </w:p>
    <w:p w14:paraId="1720EC91">
      <w:pPr>
        <w:spacing w:line="360" w:lineRule="exact"/>
        <w:rPr>
          <w:rFonts w:hint="eastAsia" w:ascii="宋体" w:hAnsi="宋体" w:eastAsia="宋体" w:cs="宋体"/>
          <w:color w:val="auto"/>
          <w:highlight w:val="none"/>
        </w:rPr>
      </w:pPr>
      <w:r>
        <w:rPr>
          <w:rFonts w:hint="eastAsia" w:ascii="宋体" w:hAnsi="宋体" w:eastAsia="宋体" w:cs="宋体"/>
          <w:color w:val="auto"/>
          <w:highlight w:val="none"/>
        </w:rPr>
        <w:t>甲方：</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 xml:space="preserve"> </w:t>
      </w:r>
      <w:r>
        <w:rPr>
          <w:rFonts w:hint="eastAsia" w:ascii="宋体" w:hAnsi="宋体" w:eastAsia="宋体" w:cs="宋体"/>
          <w:color w:val="auto"/>
          <w:szCs w:val="21"/>
          <w:highlight w:val="none"/>
          <w:u w:val="single"/>
          <w:lang w:eastAsia="zh-CN"/>
        </w:rPr>
        <w:t>灌阳县教育局</w:t>
      </w:r>
      <w:r>
        <w:rPr>
          <w:rFonts w:hint="eastAsia" w:ascii="宋体" w:hAnsi="宋体" w:eastAsia="宋体" w:cs="宋体"/>
          <w:color w:val="auto"/>
          <w:szCs w:val="21"/>
          <w:highlight w:val="none"/>
          <w:u w:val="single"/>
          <w:lang w:val="en-US" w:eastAsia="zh-CN"/>
        </w:rPr>
        <w:t xml:space="preserve"> </w:t>
      </w:r>
      <w:r>
        <w:rPr>
          <w:rFonts w:hint="eastAsia" w:ascii="宋体" w:hAnsi="宋体" w:eastAsia="宋体" w:cs="宋体"/>
          <w:color w:val="auto"/>
          <w:highlight w:val="none"/>
        </w:rPr>
        <w:t>（采购人）</w:t>
      </w:r>
    </w:p>
    <w:p w14:paraId="0A435DB8">
      <w:pPr>
        <w:spacing w:line="360" w:lineRule="exact"/>
        <w:rPr>
          <w:rFonts w:hint="eastAsia" w:ascii="宋体" w:hAnsi="宋体" w:eastAsia="宋体" w:cs="宋体"/>
          <w:color w:val="auto"/>
          <w:highlight w:val="none"/>
        </w:rPr>
      </w:pPr>
      <w:r>
        <w:rPr>
          <w:rFonts w:hint="eastAsia" w:ascii="宋体" w:hAnsi="宋体" w:eastAsia="宋体" w:cs="宋体"/>
          <w:color w:val="auto"/>
          <w:highlight w:val="none"/>
        </w:rPr>
        <w:t>乙方：</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highlight w:val="none"/>
        </w:rPr>
        <w:t>（中标</w:t>
      </w:r>
      <w:r>
        <w:rPr>
          <w:rFonts w:hint="eastAsia" w:ascii="宋体" w:hAnsi="宋体" w:eastAsia="宋体" w:cs="宋体"/>
          <w:color w:val="auto"/>
          <w:highlight w:val="none"/>
          <w:lang w:eastAsia="zh-CN"/>
        </w:rPr>
        <w:t>人</w:t>
      </w:r>
      <w:r>
        <w:rPr>
          <w:rFonts w:hint="eastAsia" w:ascii="宋体" w:hAnsi="宋体" w:eastAsia="宋体" w:cs="宋体"/>
          <w:color w:val="auto"/>
          <w:highlight w:val="none"/>
        </w:rPr>
        <w:t>）</w:t>
      </w:r>
    </w:p>
    <w:p w14:paraId="74A3DB57">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根据《中华人民共和国政府采购法》、《中华人民共和国政府采购法实施条例》、《中华人民共和国民法典》等法律、法规规定，按照招投标文件规定条款和中标</w:t>
      </w:r>
      <w:r>
        <w:rPr>
          <w:rFonts w:hint="eastAsia" w:ascii="宋体" w:hAnsi="宋体" w:eastAsia="宋体" w:cs="宋体"/>
          <w:color w:val="auto"/>
          <w:kern w:val="2"/>
          <w:sz w:val="21"/>
          <w:szCs w:val="21"/>
          <w:highlight w:val="none"/>
          <w:lang w:eastAsia="zh-CN"/>
        </w:rPr>
        <w:t>人</w:t>
      </w:r>
      <w:r>
        <w:rPr>
          <w:rFonts w:hint="eastAsia" w:ascii="宋体" w:hAnsi="宋体" w:eastAsia="宋体" w:cs="宋体"/>
          <w:color w:val="auto"/>
          <w:kern w:val="2"/>
          <w:sz w:val="21"/>
          <w:szCs w:val="21"/>
          <w:highlight w:val="none"/>
        </w:rPr>
        <w:t>承诺、甲乙双方签订本合同。</w:t>
      </w:r>
    </w:p>
    <w:p w14:paraId="439ED443">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lang w:val="en-US" w:eastAsia="zh-CN"/>
        </w:rPr>
        <w:t xml:space="preserve">第一条 </w:t>
      </w:r>
      <w:r>
        <w:rPr>
          <w:rFonts w:hint="eastAsia" w:ascii="宋体" w:hAnsi="宋体" w:eastAsia="宋体" w:cs="宋体"/>
          <w:b/>
          <w:bCs/>
          <w:color w:val="auto"/>
          <w:kern w:val="2"/>
          <w:sz w:val="21"/>
          <w:szCs w:val="21"/>
          <w:highlight w:val="none"/>
        </w:rPr>
        <w:t>合同标的及合同金额</w:t>
      </w:r>
    </w:p>
    <w:p w14:paraId="05E068B6">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lang w:eastAsia="zh-CN"/>
        </w:rPr>
      </w:pPr>
      <w:r>
        <w:rPr>
          <w:rFonts w:hint="eastAsia" w:ascii="宋体" w:hAnsi="宋体" w:eastAsia="宋体" w:cs="宋体"/>
          <w:color w:val="auto"/>
          <w:kern w:val="2"/>
          <w:sz w:val="21"/>
          <w:szCs w:val="21"/>
          <w:highlight w:val="none"/>
        </w:rPr>
        <w:t>1.合同标的</w:t>
      </w:r>
    </w:p>
    <w:tbl>
      <w:tblPr>
        <w:tblStyle w:val="15"/>
        <w:tblW w:w="9940" w:type="dxa"/>
        <w:tblInd w:w="-7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232"/>
        <w:gridCol w:w="1445"/>
        <w:gridCol w:w="1254"/>
        <w:gridCol w:w="1034"/>
        <w:gridCol w:w="600"/>
        <w:gridCol w:w="1200"/>
        <w:gridCol w:w="1266"/>
        <w:gridCol w:w="1200"/>
      </w:tblGrid>
      <w:tr w14:paraId="48741E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44" w:hRule="atLeast"/>
        </w:trPr>
        <w:tc>
          <w:tcPr>
            <w:tcW w:w="709" w:type="dxa"/>
            <w:noWrap w:val="0"/>
            <w:vAlign w:val="center"/>
          </w:tcPr>
          <w:p w14:paraId="07B20FF9">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项号</w:t>
            </w:r>
          </w:p>
        </w:tc>
        <w:tc>
          <w:tcPr>
            <w:tcW w:w="1232" w:type="dxa"/>
            <w:noWrap w:val="0"/>
            <w:vAlign w:val="center"/>
          </w:tcPr>
          <w:p w14:paraId="36643759">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货物名称</w:t>
            </w:r>
          </w:p>
        </w:tc>
        <w:tc>
          <w:tcPr>
            <w:tcW w:w="1445" w:type="dxa"/>
            <w:noWrap w:val="0"/>
            <w:vAlign w:val="center"/>
          </w:tcPr>
          <w:p w14:paraId="105E1554">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30"/>
                <w:highlight w:val="none"/>
              </w:rPr>
              <w:t>厂家、品牌、规格型号</w:t>
            </w:r>
          </w:p>
        </w:tc>
        <w:tc>
          <w:tcPr>
            <w:tcW w:w="1254" w:type="dxa"/>
            <w:noWrap w:val="0"/>
            <w:vAlign w:val="center"/>
          </w:tcPr>
          <w:p w14:paraId="0D3744BB">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技术参数、性能、配置</w:t>
            </w:r>
          </w:p>
        </w:tc>
        <w:tc>
          <w:tcPr>
            <w:tcW w:w="1034" w:type="dxa"/>
            <w:noWrap w:val="0"/>
            <w:vAlign w:val="center"/>
          </w:tcPr>
          <w:p w14:paraId="4F4DDDBE">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数量</w:t>
            </w:r>
          </w:p>
          <w:p w14:paraId="0EFE2914">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①</w:t>
            </w:r>
          </w:p>
        </w:tc>
        <w:tc>
          <w:tcPr>
            <w:tcW w:w="600" w:type="dxa"/>
            <w:noWrap w:val="0"/>
            <w:vAlign w:val="center"/>
          </w:tcPr>
          <w:p w14:paraId="2B6EF6C5">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单位</w:t>
            </w:r>
          </w:p>
        </w:tc>
        <w:tc>
          <w:tcPr>
            <w:tcW w:w="1200" w:type="dxa"/>
            <w:noWrap w:val="0"/>
            <w:vAlign w:val="center"/>
          </w:tcPr>
          <w:p w14:paraId="00F59F92">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单价（元）</w:t>
            </w:r>
          </w:p>
          <w:p w14:paraId="30E4DFF2">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②</w:t>
            </w:r>
          </w:p>
        </w:tc>
        <w:tc>
          <w:tcPr>
            <w:tcW w:w="1266" w:type="dxa"/>
            <w:noWrap w:val="0"/>
            <w:vAlign w:val="center"/>
          </w:tcPr>
          <w:p w14:paraId="118462CE">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b/>
                <w:color w:val="auto"/>
                <w:szCs w:val="21"/>
                <w:highlight w:val="none"/>
              </w:rPr>
              <w:t>单项合计金额</w:t>
            </w:r>
            <w:r>
              <w:rPr>
                <w:rFonts w:hint="eastAsia" w:ascii="宋体" w:hAnsi="宋体" w:eastAsia="宋体" w:cs="宋体"/>
                <w:color w:val="auto"/>
                <w:szCs w:val="21"/>
                <w:highlight w:val="none"/>
              </w:rPr>
              <w:t>（元）</w:t>
            </w:r>
          </w:p>
          <w:p w14:paraId="5645C0D5">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③＝①×②</w:t>
            </w:r>
          </w:p>
        </w:tc>
        <w:tc>
          <w:tcPr>
            <w:tcW w:w="1200" w:type="dxa"/>
            <w:noWrap w:val="0"/>
            <w:vAlign w:val="center"/>
          </w:tcPr>
          <w:p w14:paraId="3511F41B">
            <w:pPr>
              <w:snapToGrid w:val="0"/>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 w:val="21"/>
                <w:szCs w:val="21"/>
                <w:highlight w:val="none"/>
              </w:rPr>
              <w:t>备注【大型/中型/小型/微型（按实际填写）】</w:t>
            </w:r>
          </w:p>
        </w:tc>
      </w:tr>
      <w:tr w14:paraId="3DAF8F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9940" w:type="dxa"/>
            <w:gridSpan w:val="9"/>
            <w:noWrap w:val="0"/>
            <w:vAlign w:val="center"/>
          </w:tcPr>
          <w:p w14:paraId="0D3C83BE">
            <w:pPr>
              <w:snapToGrid w:val="0"/>
              <w:spacing w:line="380" w:lineRule="atLeast"/>
              <w:jc w:val="center"/>
              <w:rPr>
                <w:rFonts w:hint="eastAsia" w:ascii="宋体" w:hAnsi="宋体" w:eastAsia="宋体" w:cs="宋体"/>
                <w:color w:val="auto"/>
                <w:szCs w:val="21"/>
                <w:highlight w:val="none"/>
                <w:lang w:eastAsia="zh-CN"/>
              </w:rPr>
            </w:pPr>
            <w:r>
              <w:rPr>
                <w:rFonts w:hint="eastAsia" w:ascii="宋体" w:hAnsi="宋体" w:eastAsia="宋体" w:cs="宋体"/>
                <w:color w:val="auto"/>
                <w:szCs w:val="21"/>
                <w:highlight w:val="none"/>
                <w:lang w:eastAsia="zh-CN"/>
              </w:rPr>
              <w:t>（一）</w:t>
            </w:r>
          </w:p>
        </w:tc>
      </w:tr>
      <w:tr w14:paraId="57B94E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68A247DC">
            <w:pPr>
              <w:spacing w:line="380" w:lineRule="atLeast"/>
              <w:jc w:val="center"/>
              <w:rPr>
                <w:rFonts w:hint="eastAsia" w:ascii="宋体" w:hAnsi="宋体" w:eastAsia="宋体" w:cs="宋体"/>
                <w:color w:val="auto"/>
                <w:szCs w:val="21"/>
                <w:highlight w:val="none"/>
                <w:lang w:val="en-US" w:eastAsia="zh-CN"/>
              </w:rPr>
            </w:pPr>
            <w:r>
              <w:rPr>
                <w:rFonts w:hint="eastAsia" w:ascii="宋体" w:hAnsi="宋体" w:eastAsia="宋体" w:cs="宋体"/>
                <w:color w:val="auto"/>
                <w:szCs w:val="21"/>
                <w:highlight w:val="none"/>
                <w:lang w:val="en-US" w:eastAsia="zh-CN"/>
              </w:rPr>
              <w:t>1</w:t>
            </w:r>
          </w:p>
        </w:tc>
        <w:tc>
          <w:tcPr>
            <w:tcW w:w="1232" w:type="dxa"/>
            <w:noWrap w:val="0"/>
            <w:vAlign w:val="center"/>
          </w:tcPr>
          <w:p w14:paraId="5D9DBF94">
            <w:pPr>
              <w:spacing w:line="380" w:lineRule="atLeast"/>
              <w:jc w:val="center"/>
              <w:rPr>
                <w:rFonts w:hint="eastAsia" w:ascii="宋体" w:hAnsi="宋体" w:eastAsia="宋体" w:cs="宋体"/>
                <w:color w:val="auto"/>
                <w:szCs w:val="21"/>
                <w:highlight w:val="none"/>
              </w:rPr>
            </w:pPr>
          </w:p>
        </w:tc>
        <w:tc>
          <w:tcPr>
            <w:tcW w:w="1445" w:type="dxa"/>
            <w:noWrap w:val="0"/>
            <w:vAlign w:val="center"/>
          </w:tcPr>
          <w:p w14:paraId="3F1F7D0C">
            <w:pPr>
              <w:snapToGrid w:val="0"/>
              <w:spacing w:line="380" w:lineRule="atLeast"/>
              <w:rPr>
                <w:rFonts w:hint="eastAsia" w:ascii="宋体" w:hAnsi="宋体" w:eastAsia="宋体" w:cs="宋体"/>
                <w:color w:val="auto"/>
                <w:szCs w:val="21"/>
                <w:highlight w:val="none"/>
              </w:rPr>
            </w:pPr>
          </w:p>
        </w:tc>
        <w:tc>
          <w:tcPr>
            <w:tcW w:w="1254" w:type="dxa"/>
            <w:noWrap w:val="0"/>
            <w:vAlign w:val="center"/>
          </w:tcPr>
          <w:p w14:paraId="609955D6">
            <w:pPr>
              <w:snapToGrid w:val="0"/>
              <w:spacing w:line="380" w:lineRule="atLeast"/>
              <w:rPr>
                <w:rFonts w:hint="eastAsia" w:ascii="宋体" w:hAnsi="宋体" w:eastAsia="宋体" w:cs="宋体"/>
                <w:color w:val="auto"/>
                <w:szCs w:val="21"/>
                <w:highlight w:val="none"/>
              </w:rPr>
            </w:pPr>
          </w:p>
        </w:tc>
        <w:tc>
          <w:tcPr>
            <w:tcW w:w="1034" w:type="dxa"/>
            <w:noWrap w:val="0"/>
            <w:vAlign w:val="center"/>
          </w:tcPr>
          <w:p w14:paraId="0A450A7E">
            <w:pPr>
              <w:spacing w:line="380" w:lineRule="atLeast"/>
              <w:jc w:val="center"/>
              <w:rPr>
                <w:rFonts w:hint="eastAsia" w:ascii="宋体" w:hAnsi="宋体" w:eastAsia="宋体" w:cs="宋体"/>
                <w:color w:val="auto"/>
                <w:szCs w:val="21"/>
                <w:highlight w:val="none"/>
              </w:rPr>
            </w:pPr>
          </w:p>
        </w:tc>
        <w:tc>
          <w:tcPr>
            <w:tcW w:w="600" w:type="dxa"/>
            <w:noWrap w:val="0"/>
            <w:vAlign w:val="center"/>
          </w:tcPr>
          <w:p w14:paraId="03CFBC31">
            <w:pPr>
              <w:spacing w:line="380" w:lineRule="atLeast"/>
              <w:jc w:val="center"/>
              <w:rPr>
                <w:rFonts w:hint="eastAsia" w:ascii="宋体" w:hAnsi="宋体" w:eastAsia="宋体" w:cs="宋体"/>
                <w:color w:val="auto"/>
                <w:szCs w:val="21"/>
                <w:highlight w:val="none"/>
              </w:rPr>
            </w:pPr>
          </w:p>
        </w:tc>
        <w:tc>
          <w:tcPr>
            <w:tcW w:w="1200" w:type="dxa"/>
            <w:noWrap w:val="0"/>
            <w:vAlign w:val="center"/>
          </w:tcPr>
          <w:p w14:paraId="43EDC25D">
            <w:pPr>
              <w:snapToGrid w:val="0"/>
              <w:spacing w:line="380" w:lineRule="atLeast"/>
              <w:rPr>
                <w:rFonts w:hint="eastAsia" w:ascii="宋体" w:hAnsi="宋体" w:eastAsia="宋体" w:cs="宋体"/>
                <w:color w:val="auto"/>
                <w:szCs w:val="21"/>
                <w:highlight w:val="none"/>
              </w:rPr>
            </w:pPr>
          </w:p>
        </w:tc>
        <w:tc>
          <w:tcPr>
            <w:tcW w:w="1266" w:type="dxa"/>
            <w:noWrap w:val="0"/>
            <w:vAlign w:val="center"/>
          </w:tcPr>
          <w:p w14:paraId="5B36A063">
            <w:pPr>
              <w:snapToGrid w:val="0"/>
              <w:spacing w:line="380" w:lineRule="atLeast"/>
              <w:rPr>
                <w:rFonts w:hint="eastAsia" w:ascii="宋体" w:hAnsi="宋体" w:eastAsia="宋体" w:cs="宋体"/>
                <w:color w:val="auto"/>
                <w:szCs w:val="21"/>
                <w:highlight w:val="none"/>
              </w:rPr>
            </w:pPr>
          </w:p>
        </w:tc>
        <w:tc>
          <w:tcPr>
            <w:tcW w:w="1200" w:type="dxa"/>
            <w:noWrap w:val="0"/>
            <w:vAlign w:val="center"/>
          </w:tcPr>
          <w:p w14:paraId="760B1EF0">
            <w:pPr>
              <w:snapToGrid w:val="0"/>
              <w:spacing w:line="380" w:lineRule="atLeast"/>
              <w:rPr>
                <w:rFonts w:hint="eastAsia" w:ascii="宋体" w:hAnsi="宋体" w:eastAsia="宋体" w:cs="宋体"/>
                <w:color w:val="auto"/>
                <w:szCs w:val="21"/>
                <w:highlight w:val="none"/>
              </w:rPr>
            </w:pPr>
          </w:p>
        </w:tc>
      </w:tr>
      <w:tr w14:paraId="3BC8A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689A17BE">
            <w:pPr>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1232" w:type="dxa"/>
            <w:noWrap w:val="0"/>
            <w:vAlign w:val="center"/>
          </w:tcPr>
          <w:p w14:paraId="4E156307">
            <w:pPr>
              <w:spacing w:line="380" w:lineRule="atLeast"/>
              <w:jc w:val="center"/>
              <w:rPr>
                <w:rFonts w:hint="eastAsia" w:ascii="宋体" w:hAnsi="宋体" w:eastAsia="宋体" w:cs="宋体"/>
                <w:color w:val="auto"/>
                <w:szCs w:val="21"/>
                <w:highlight w:val="none"/>
              </w:rPr>
            </w:pPr>
          </w:p>
        </w:tc>
        <w:tc>
          <w:tcPr>
            <w:tcW w:w="1445" w:type="dxa"/>
            <w:noWrap w:val="0"/>
            <w:vAlign w:val="center"/>
          </w:tcPr>
          <w:p w14:paraId="0F77F6D5">
            <w:pPr>
              <w:snapToGrid w:val="0"/>
              <w:spacing w:line="380" w:lineRule="atLeast"/>
              <w:rPr>
                <w:rFonts w:hint="eastAsia" w:ascii="宋体" w:hAnsi="宋体" w:eastAsia="宋体" w:cs="宋体"/>
                <w:color w:val="auto"/>
                <w:szCs w:val="21"/>
                <w:highlight w:val="none"/>
              </w:rPr>
            </w:pPr>
          </w:p>
        </w:tc>
        <w:tc>
          <w:tcPr>
            <w:tcW w:w="1254" w:type="dxa"/>
            <w:noWrap w:val="0"/>
            <w:vAlign w:val="center"/>
          </w:tcPr>
          <w:p w14:paraId="23D7A90A">
            <w:pPr>
              <w:snapToGrid w:val="0"/>
              <w:spacing w:line="380" w:lineRule="atLeast"/>
              <w:rPr>
                <w:rFonts w:hint="eastAsia" w:ascii="宋体" w:hAnsi="宋体" w:eastAsia="宋体" w:cs="宋体"/>
                <w:color w:val="auto"/>
                <w:szCs w:val="21"/>
                <w:highlight w:val="none"/>
              </w:rPr>
            </w:pPr>
          </w:p>
        </w:tc>
        <w:tc>
          <w:tcPr>
            <w:tcW w:w="1034" w:type="dxa"/>
            <w:noWrap w:val="0"/>
            <w:vAlign w:val="center"/>
          </w:tcPr>
          <w:p w14:paraId="162F3182">
            <w:pPr>
              <w:spacing w:line="380" w:lineRule="atLeast"/>
              <w:jc w:val="center"/>
              <w:rPr>
                <w:rFonts w:hint="eastAsia" w:ascii="宋体" w:hAnsi="宋体" w:eastAsia="宋体" w:cs="宋体"/>
                <w:color w:val="auto"/>
                <w:szCs w:val="21"/>
                <w:highlight w:val="none"/>
              </w:rPr>
            </w:pPr>
          </w:p>
        </w:tc>
        <w:tc>
          <w:tcPr>
            <w:tcW w:w="600" w:type="dxa"/>
            <w:noWrap w:val="0"/>
            <w:vAlign w:val="center"/>
          </w:tcPr>
          <w:p w14:paraId="1D27C3D7">
            <w:pPr>
              <w:spacing w:line="380" w:lineRule="atLeast"/>
              <w:jc w:val="center"/>
              <w:rPr>
                <w:rFonts w:hint="eastAsia" w:ascii="宋体" w:hAnsi="宋体" w:eastAsia="宋体" w:cs="宋体"/>
                <w:color w:val="auto"/>
                <w:szCs w:val="21"/>
                <w:highlight w:val="none"/>
              </w:rPr>
            </w:pPr>
          </w:p>
        </w:tc>
        <w:tc>
          <w:tcPr>
            <w:tcW w:w="1200" w:type="dxa"/>
            <w:noWrap w:val="0"/>
            <w:vAlign w:val="center"/>
          </w:tcPr>
          <w:p w14:paraId="10B33D71">
            <w:pPr>
              <w:snapToGrid w:val="0"/>
              <w:spacing w:line="380" w:lineRule="atLeast"/>
              <w:rPr>
                <w:rFonts w:hint="eastAsia" w:ascii="宋体" w:hAnsi="宋体" w:eastAsia="宋体" w:cs="宋体"/>
                <w:color w:val="auto"/>
                <w:szCs w:val="21"/>
                <w:highlight w:val="none"/>
              </w:rPr>
            </w:pPr>
          </w:p>
        </w:tc>
        <w:tc>
          <w:tcPr>
            <w:tcW w:w="1266" w:type="dxa"/>
            <w:noWrap w:val="0"/>
            <w:vAlign w:val="center"/>
          </w:tcPr>
          <w:p w14:paraId="037B4739">
            <w:pPr>
              <w:snapToGrid w:val="0"/>
              <w:spacing w:line="380" w:lineRule="atLeast"/>
              <w:rPr>
                <w:rFonts w:hint="eastAsia" w:ascii="宋体" w:hAnsi="宋体" w:eastAsia="宋体" w:cs="宋体"/>
                <w:color w:val="auto"/>
                <w:szCs w:val="21"/>
                <w:highlight w:val="none"/>
              </w:rPr>
            </w:pPr>
          </w:p>
        </w:tc>
        <w:tc>
          <w:tcPr>
            <w:tcW w:w="1200" w:type="dxa"/>
            <w:noWrap w:val="0"/>
            <w:vAlign w:val="center"/>
          </w:tcPr>
          <w:p w14:paraId="40B8E545">
            <w:pPr>
              <w:snapToGrid w:val="0"/>
              <w:spacing w:line="380" w:lineRule="atLeast"/>
              <w:rPr>
                <w:rFonts w:hint="eastAsia" w:ascii="宋体" w:hAnsi="宋体" w:eastAsia="宋体" w:cs="宋体"/>
                <w:color w:val="auto"/>
                <w:szCs w:val="21"/>
                <w:highlight w:val="none"/>
              </w:rPr>
            </w:pPr>
          </w:p>
        </w:tc>
      </w:tr>
      <w:tr w14:paraId="473C3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52872319">
            <w:pPr>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1232" w:type="dxa"/>
            <w:noWrap w:val="0"/>
            <w:vAlign w:val="center"/>
          </w:tcPr>
          <w:p w14:paraId="0060EDC5">
            <w:pPr>
              <w:spacing w:line="380" w:lineRule="atLeast"/>
              <w:jc w:val="center"/>
              <w:rPr>
                <w:rFonts w:hint="eastAsia" w:ascii="宋体" w:hAnsi="宋体" w:eastAsia="宋体" w:cs="宋体"/>
                <w:color w:val="auto"/>
                <w:szCs w:val="21"/>
                <w:highlight w:val="none"/>
              </w:rPr>
            </w:pPr>
          </w:p>
        </w:tc>
        <w:tc>
          <w:tcPr>
            <w:tcW w:w="1445" w:type="dxa"/>
            <w:noWrap w:val="0"/>
            <w:vAlign w:val="center"/>
          </w:tcPr>
          <w:p w14:paraId="528037FD">
            <w:pPr>
              <w:snapToGrid w:val="0"/>
              <w:spacing w:line="380" w:lineRule="atLeast"/>
              <w:rPr>
                <w:rFonts w:hint="eastAsia" w:ascii="宋体" w:hAnsi="宋体" w:eastAsia="宋体" w:cs="宋体"/>
                <w:color w:val="auto"/>
                <w:szCs w:val="21"/>
                <w:highlight w:val="none"/>
              </w:rPr>
            </w:pPr>
          </w:p>
        </w:tc>
        <w:tc>
          <w:tcPr>
            <w:tcW w:w="1254" w:type="dxa"/>
            <w:noWrap w:val="0"/>
            <w:vAlign w:val="center"/>
          </w:tcPr>
          <w:p w14:paraId="1D0AF889">
            <w:pPr>
              <w:snapToGrid w:val="0"/>
              <w:spacing w:line="380" w:lineRule="atLeast"/>
              <w:rPr>
                <w:rFonts w:hint="eastAsia" w:ascii="宋体" w:hAnsi="宋体" w:eastAsia="宋体" w:cs="宋体"/>
                <w:color w:val="auto"/>
                <w:szCs w:val="21"/>
                <w:highlight w:val="none"/>
              </w:rPr>
            </w:pPr>
          </w:p>
        </w:tc>
        <w:tc>
          <w:tcPr>
            <w:tcW w:w="1034" w:type="dxa"/>
            <w:noWrap w:val="0"/>
            <w:vAlign w:val="center"/>
          </w:tcPr>
          <w:p w14:paraId="6E8AAB91">
            <w:pPr>
              <w:spacing w:line="380" w:lineRule="atLeast"/>
              <w:jc w:val="center"/>
              <w:rPr>
                <w:rFonts w:hint="eastAsia" w:ascii="宋体" w:hAnsi="宋体" w:eastAsia="宋体" w:cs="宋体"/>
                <w:color w:val="auto"/>
                <w:szCs w:val="21"/>
                <w:highlight w:val="none"/>
              </w:rPr>
            </w:pPr>
          </w:p>
        </w:tc>
        <w:tc>
          <w:tcPr>
            <w:tcW w:w="600" w:type="dxa"/>
            <w:noWrap w:val="0"/>
            <w:vAlign w:val="center"/>
          </w:tcPr>
          <w:p w14:paraId="1714B8E9">
            <w:pPr>
              <w:spacing w:line="380" w:lineRule="atLeast"/>
              <w:jc w:val="center"/>
              <w:rPr>
                <w:rFonts w:hint="eastAsia" w:ascii="宋体" w:hAnsi="宋体" w:eastAsia="宋体" w:cs="宋体"/>
                <w:color w:val="auto"/>
                <w:szCs w:val="21"/>
                <w:highlight w:val="none"/>
              </w:rPr>
            </w:pPr>
          </w:p>
        </w:tc>
        <w:tc>
          <w:tcPr>
            <w:tcW w:w="1200" w:type="dxa"/>
            <w:noWrap w:val="0"/>
            <w:vAlign w:val="center"/>
          </w:tcPr>
          <w:p w14:paraId="52177197">
            <w:pPr>
              <w:snapToGrid w:val="0"/>
              <w:spacing w:line="380" w:lineRule="atLeast"/>
              <w:rPr>
                <w:rFonts w:hint="eastAsia" w:ascii="宋体" w:hAnsi="宋体" w:eastAsia="宋体" w:cs="宋体"/>
                <w:color w:val="auto"/>
                <w:szCs w:val="21"/>
                <w:highlight w:val="none"/>
              </w:rPr>
            </w:pPr>
          </w:p>
        </w:tc>
        <w:tc>
          <w:tcPr>
            <w:tcW w:w="1266" w:type="dxa"/>
            <w:noWrap w:val="0"/>
            <w:vAlign w:val="center"/>
          </w:tcPr>
          <w:p w14:paraId="6A78009B">
            <w:pPr>
              <w:snapToGrid w:val="0"/>
              <w:spacing w:line="380" w:lineRule="atLeast"/>
              <w:rPr>
                <w:rFonts w:hint="eastAsia" w:ascii="宋体" w:hAnsi="宋体" w:eastAsia="宋体" w:cs="宋体"/>
                <w:color w:val="auto"/>
                <w:szCs w:val="21"/>
                <w:highlight w:val="none"/>
              </w:rPr>
            </w:pPr>
          </w:p>
        </w:tc>
        <w:tc>
          <w:tcPr>
            <w:tcW w:w="1200" w:type="dxa"/>
            <w:noWrap w:val="0"/>
            <w:vAlign w:val="center"/>
          </w:tcPr>
          <w:p w14:paraId="34850BAD">
            <w:pPr>
              <w:snapToGrid w:val="0"/>
              <w:spacing w:line="380" w:lineRule="atLeast"/>
              <w:rPr>
                <w:rFonts w:hint="eastAsia" w:ascii="宋体" w:hAnsi="宋体" w:eastAsia="宋体" w:cs="宋体"/>
                <w:color w:val="auto"/>
                <w:szCs w:val="21"/>
                <w:highlight w:val="none"/>
              </w:rPr>
            </w:pPr>
          </w:p>
        </w:tc>
      </w:tr>
      <w:tr w14:paraId="299D5D9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09" w:type="dxa"/>
            <w:noWrap w:val="0"/>
            <w:vAlign w:val="center"/>
          </w:tcPr>
          <w:p w14:paraId="5E4705EE">
            <w:pPr>
              <w:spacing w:line="380" w:lineRule="atLeas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N</w:t>
            </w:r>
          </w:p>
        </w:tc>
        <w:tc>
          <w:tcPr>
            <w:tcW w:w="1232" w:type="dxa"/>
            <w:noWrap w:val="0"/>
            <w:vAlign w:val="center"/>
          </w:tcPr>
          <w:p w14:paraId="57E9D1C3">
            <w:pPr>
              <w:spacing w:line="380" w:lineRule="atLeast"/>
              <w:jc w:val="center"/>
              <w:rPr>
                <w:rFonts w:hint="eastAsia" w:ascii="宋体" w:hAnsi="宋体" w:eastAsia="宋体" w:cs="宋体"/>
                <w:color w:val="auto"/>
                <w:szCs w:val="21"/>
                <w:highlight w:val="none"/>
              </w:rPr>
            </w:pPr>
          </w:p>
        </w:tc>
        <w:tc>
          <w:tcPr>
            <w:tcW w:w="1445" w:type="dxa"/>
            <w:noWrap w:val="0"/>
            <w:vAlign w:val="center"/>
          </w:tcPr>
          <w:p w14:paraId="609F3983">
            <w:pPr>
              <w:snapToGrid w:val="0"/>
              <w:spacing w:line="380" w:lineRule="atLeast"/>
              <w:rPr>
                <w:rFonts w:hint="eastAsia" w:ascii="宋体" w:hAnsi="宋体" w:eastAsia="宋体" w:cs="宋体"/>
                <w:color w:val="auto"/>
                <w:szCs w:val="21"/>
                <w:highlight w:val="none"/>
              </w:rPr>
            </w:pPr>
          </w:p>
        </w:tc>
        <w:tc>
          <w:tcPr>
            <w:tcW w:w="1254" w:type="dxa"/>
            <w:noWrap w:val="0"/>
            <w:vAlign w:val="center"/>
          </w:tcPr>
          <w:p w14:paraId="4BB2F201">
            <w:pPr>
              <w:snapToGrid w:val="0"/>
              <w:spacing w:line="380" w:lineRule="atLeast"/>
              <w:rPr>
                <w:rFonts w:hint="eastAsia" w:ascii="宋体" w:hAnsi="宋体" w:eastAsia="宋体" w:cs="宋体"/>
                <w:color w:val="auto"/>
                <w:szCs w:val="21"/>
                <w:highlight w:val="none"/>
              </w:rPr>
            </w:pPr>
          </w:p>
        </w:tc>
        <w:tc>
          <w:tcPr>
            <w:tcW w:w="1034" w:type="dxa"/>
            <w:noWrap w:val="0"/>
            <w:vAlign w:val="center"/>
          </w:tcPr>
          <w:p w14:paraId="03B1B9BD">
            <w:pPr>
              <w:spacing w:line="380" w:lineRule="atLeast"/>
              <w:jc w:val="center"/>
              <w:rPr>
                <w:rFonts w:hint="eastAsia" w:ascii="宋体" w:hAnsi="宋体" w:eastAsia="宋体" w:cs="宋体"/>
                <w:color w:val="auto"/>
                <w:szCs w:val="21"/>
                <w:highlight w:val="none"/>
              </w:rPr>
            </w:pPr>
          </w:p>
        </w:tc>
        <w:tc>
          <w:tcPr>
            <w:tcW w:w="600" w:type="dxa"/>
            <w:noWrap w:val="0"/>
            <w:vAlign w:val="center"/>
          </w:tcPr>
          <w:p w14:paraId="622A85B0">
            <w:pPr>
              <w:spacing w:line="380" w:lineRule="atLeast"/>
              <w:jc w:val="center"/>
              <w:rPr>
                <w:rFonts w:hint="eastAsia" w:ascii="宋体" w:hAnsi="宋体" w:eastAsia="宋体" w:cs="宋体"/>
                <w:color w:val="auto"/>
                <w:szCs w:val="21"/>
                <w:highlight w:val="none"/>
              </w:rPr>
            </w:pPr>
          </w:p>
        </w:tc>
        <w:tc>
          <w:tcPr>
            <w:tcW w:w="1200" w:type="dxa"/>
            <w:noWrap w:val="0"/>
            <w:vAlign w:val="center"/>
          </w:tcPr>
          <w:p w14:paraId="0D3EEDBF">
            <w:pPr>
              <w:snapToGrid w:val="0"/>
              <w:spacing w:line="380" w:lineRule="atLeast"/>
              <w:rPr>
                <w:rFonts w:hint="eastAsia" w:ascii="宋体" w:hAnsi="宋体" w:eastAsia="宋体" w:cs="宋体"/>
                <w:color w:val="auto"/>
                <w:szCs w:val="21"/>
                <w:highlight w:val="none"/>
              </w:rPr>
            </w:pPr>
          </w:p>
        </w:tc>
        <w:tc>
          <w:tcPr>
            <w:tcW w:w="1266" w:type="dxa"/>
            <w:noWrap w:val="0"/>
            <w:vAlign w:val="center"/>
          </w:tcPr>
          <w:p w14:paraId="1B53B996">
            <w:pPr>
              <w:snapToGrid w:val="0"/>
              <w:spacing w:line="380" w:lineRule="atLeast"/>
              <w:rPr>
                <w:rFonts w:hint="eastAsia" w:ascii="宋体" w:hAnsi="宋体" w:eastAsia="宋体" w:cs="宋体"/>
                <w:color w:val="auto"/>
                <w:szCs w:val="21"/>
                <w:highlight w:val="none"/>
              </w:rPr>
            </w:pPr>
          </w:p>
        </w:tc>
        <w:tc>
          <w:tcPr>
            <w:tcW w:w="1200" w:type="dxa"/>
            <w:noWrap w:val="0"/>
            <w:vAlign w:val="center"/>
          </w:tcPr>
          <w:p w14:paraId="00E975D6">
            <w:pPr>
              <w:snapToGrid w:val="0"/>
              <w:spacing w:line="380" w:lineRule="atLeast"/>
              <w:rPr>
                <w:rFonts w:hint="eastAsia" w:ascii="宋体" w:hAnsi="宋体" w:eastAsia="宋体" w:cs="宋体"/>
                <w:color w:val="auto"/>
                <w:szCs w:val="21"/>
                <w:highlight w:val="none"/>
              </w:rPr>
            </w:pPr>
          </w:p>
        </w:tc>
      </w:tr>
      <w:tr w14:paraId="2ACD86D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65" w:hRule="atLeast"/>
        </w:trPr>
        <w:tc>
          <w:tcPr>
            <w:tcW w:w="7474" w:type="dxa"/>
            <w:gridSpan w:val="7"/>
            <w:noWrap w:val="0"/>
            <w:vAlign w:val="center"/>
          </w:tcPr>
          <w:p w14:paraId="148D5544">
            <w:pPr>
              <w:snapToGrid w:val="0"/>
              <w:spacing w:line="380" w:lineRule="atLeast"/>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                                                         合   计</w:t>
            </w:r>
          </w:p>
        </w:tc>
        <w:tc>
          <w:tcPr>
            <w:tcW w:w="1266" w:type="dxa"/>
            <w:noWrap w:val="0"/>
            <w:vAlign w:val="center"/>
          </w:tcPr>
          <w:p w14:paraId="0752824B">
            <w:pPr>
              <w:snapToGrid w:val="0"/>
              <w:spacing w:line="380" w:lineRule="atLeast"/>
              <w:rPr>
                <w:rFonts w:hint="eastAsia" w:ascii="宋体" w:hAnsi="宋体" w:eastAsia="宋体" w:cs="宋体"/>
                <w:color w:val="auto"/>
                <w:szCs w:val="21"/>
                <w:highlight w:val="none"/>
              </w:rPr>
            </w:pPr>
          </w:p>
        </w:tc>
        <w:tc>
          <w:tcPr>
            <w:tcW w:w="1200" w:type="dxa"/>
            <w:noWrap w:val="0"/>
            <w:vAlign w:val="center"/>
          </w:tcPr>
          <w:p w14:paraId="71954ECB">
            <w:pPr>
              <w:snapToGrid w:val="0"/>
              <w:spacing w:line="380" w:lineRule="atLeast"/>
              <w:rPr>
                <w:rFonts w:hint="eastAsia" w:ascii="宋体" w:hAnsi="宋体" w:eastAsia="宋体" w:cs="宋体"/>
                <w:color w:val="auto"/>
                <w:szCs w:val="21"/>
                <w:highlight w:val="none"/>
              </w:rPr>
            </w:pPr>
          </w:p>
        </w:tc>
      </w:tr>
    </w:tbl>
    <w:p w14:paraId="0AC7ED29">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2.合同金额：</w:t>
      </w:r>
    </w:p>
    <w:p w14:paraId="3087E6CA">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lang w:eastAsia="zh-CN"/>
        </w:rPr>
      </w:pPr>
      <w:r>
        <w:rPr>
          <w:rFonts w:hint="eastAsia" w:ascii="宋体" w:hAnsi="宋体" w:eastAsia="宋体" w:cs="宋体"/>
          <w:color w:val="auto"/>
          <w:kern w:val="2"/>
          <w:sz w:val="21"/>
          <w:szCs w:val="21"/>
          <w:highlight w:val="none"/>
        </w:rPr>
        <w:t>2.1根据《中标通知书》的中标内容，合同的总金额为：</w:t>
      </w:r>
      <w:r>
        <w:rPr>
          <w:rFonts w:hint="eastAsia" w:ascii="宋体" w:hAnsi="宋体" w:eastAsia="宋体" w:cs="宋体"/>
          <w:color w:val="auto"/>
          <w:kern w:val="2"/>
          <w:sz w:val="21"/>
          <w:szCs w:val="21"/>
          <w:highlight w:val="none"/>
          <w:u w:val="single"/>
        </w:rPr>
        <w:t>（大写）　　　　　　　　　人民币（￥　　　　　元）</w:t>
      </w:r>
      <w:r>
        <w:rPr>
          <w:rFonts w:hint="eastAsia" w:ascii="宋体" w:hAnsi="宋体" w:eastAsia="宋体" w:cs="宋体"/>
          <w:color w:val="auto"/>
          <w:kern w:val="2"/>
          <w:sz w:val="21"/>
          <w:szCs w:val="21"/>
          <w:highlight w:val="none"/>
          <w:u w:val="single"/>
          <w:lang w:eastAsia="zh-CN"/>
        </w:rPr>
        <w:t>。</w:t>
      </w:r>
    </w:p>
    <w:p w14:paraId="52CD8780">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2.2合同总金额应包括本次采购范围内所有服务、设备价款、设备随配标准附件、包装、运输、装卸、保险、税金、到位安装、安装所需辅材、调试、检验、维护、培训、其他等所涉及到的一切费用总和。甲方不再支付任何费用。</w:t>
      </w:r>
    </w:p>
    <w:p w14:paraId="1D521A49">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第二条  质量保证</w:t>
      </w:r>
    </w:p>
    <w:p w14:paraId="57C0AB6B">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 乙方应按投标文件承诺的货物型号、技术规格、技术参数、性能、配置、质量标准向甲方提供未经使用的全新原装产品，且在正常安装、使用和保养条件下，其使用寿命期内各项指标均达到质量标准。</w:t>
      </w:r>
    </w:p>
    <w:p w14:paraId="1D818CBD">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 乙方提供货物的免费质保期为</w:t>
      </w:r>
      <w:r>
        <w:rPr>
          <w:rFonts w:hint="eastAsia" w:ascii="宋体" w:hAnsi="宋体" w:eastAsia="宋体" w:cs="宋体"/>
          <w:color w:val="auto"/>
          <w:kern w:val="2"/>
          <w:sz w:val="21"/>
          <w:szCs w:val="21"/>
          <w:highlight w:val="none"/>
          <w:u w:val="single"/>
        </w:rPr>
        <w:t xml:space="preserve">           </w:t>
      </w:r>
      <w:r>
        <w:rPr>
          <w:rFonts w:hint="eastAsia" w:ascii="宋体" w:hAnsi="宋体" w:eastAsia="宋体" w:cs="宋体"/>
          <w:color w:val="auto"/>
          <w:kern w:val="2"/>
          <w:sz w:val="21"/>
          <w:szCs w:val="21"/>
          <w:highlight w:val="none"/>
        </w:rPr>
        <w:t>（从验收合格之日起计算）（“货物采购需求”中有特殊要求的，按其要求执行）。在免费质保期内因货物本身的质量问题发生故障，乙方应负责免费修理和更换零部件。对达不到技术要求者，根据实际情况，经双方协商，可按以下办法处理：</w:t>
      </w:r>
    </w:p>
    <w:p w14:paraId="1C071D61">
      <w:pPr>
        <w:spacing w:line="360" w:lineRule="atLeast"/>
        <w:ind w:firstLine="435"/>
        <w:rPr>
          <w:rFonts w:hint="eastAsia" w:ascii="宋体" w:hAnsi="宋体" w:eastAsia="宋体" w:cs="宋体"/>
          <w:color w:val="auto"/>
          <w:szCs w:val="21"/>
          <w:highlight w:val="none"/>
        </w:rPr>
      </w:pPr>
      <w:r>
        <w:rPr>
          <w:rFonts w:hint="eastAsia" w:ascii="宋体" w:hAnsi="宋体" w:eastAsia="宋体" w:cs="宋体"/>
          <w:color w:val="auto"/>
          <w:szCs w:val="21"/>
          <w:highlight w:val="none"/>
        </w:rPr>
        <w:t>（1）更换：由乙方承担所有发生的全部费用。</w:t>
      </w:r>
    </w:p>
    <w:p w14:paraId="4C6694BF">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（2）贬值处理：由甲乙双方合议定价。</w:t>
      </w:r>
    </w:p>
    <w:p w14:paraId="22E95896">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（3）退货处理：乙方应退还甲方支付的合同款，同时应承担该货物的直接费用（运输、保险、检验、贷款利息及银行手续费等）。</w:t>
      </w:r>
    </w:p>
    <w:p w14:paraId="345A3F23">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 质量标准：产品符合设备制造厂家合格产品的出厂质量标准。</w:t>
      </w:r>
    </w:p>
    <w:p w14:paraId="741B1FE6">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第三条  权力保证</w:t>
      </w:r>
    </w:p>
    <w:p w14:paraId="15B78D19">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 乙方应保证所提供货物在使用时不会侵犯任何第三方的专利权、商标权、工业设计权或其他权利。</w:t>
      </w:r>
    </w:p>
    <w:p w14:paraId="58A0D7BA">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 乙方应按招标文件规定的时间向甲方提供使用货物的有关技术资料。</w:t>
      </w:r>
    </w:p>
    <w:p w14:paraId="6ED10617">
      <w:pPr>
        <w:widowControl w:val="0"/>
        <w:tabs>
          <w:tab w:val="left" w:pos="4214"/>
        </w:tabs>
        <w:spacing w:after="0" w:line="360" w:lineRule="exact"/>
        <w:ind w:firstLine="210" w:firstLineChars="1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 xml:space="preserve">  3. 乙方保证所交付的货物的所有权完全属于乙方且无任何抵押、质押、查封等产权瑕疵。</w:t>
      </w:r>
    </w:p>
    <w:p w14:paraId="377AEA3A">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第四条  货物包装、运输</w:t>
      </w:r>
    </w:p>
    <w:p w14:paraId="12C8D791">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 乙方应在货物发运前对其进行满足运输距离、防潮、防震、防锈和防破损装卸等要求包装，以保证货物安全运达甲方指定地点。</w:t>
      </w:r>
    </w:p>
    <w:p w14:paraId="53D0B4D2">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 使用说明书（货物属于进口产品的，供货时应同时附上中文使用说明书）、质量检验证明书、随配附件和工具以及清单一并附于货物内。</w:t>
      </w:r>
    </w:p>
    <w:p w14:paraId="1B6A46FC">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 乙方在货物发运手续办理完毕后二十四小时内或货到甲方四十八小时前通知甲方，以准备接货。</w:t>
      </w:r>
    </w:p>
    <w:p w14:paraId="1B3EAF2C">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4. 货物在交付甲方前发生的风险均由乙方负责。</w:t>
      </w:r>
    </w:p>
    <w:p w14:paraId="360125BE">
      <w:pPr>
        <w:widowControl w:val="0"/>
        <w:tabs>
          <w:tab w:val="left" w:pos="4214"/>
        </w:tabs>
        <w:spacing w:after="0" w:line="360" w:lineRule="exact"/>
        <w:ind w:firstLine="422" w:firstLineChars="200"/>
        <w:jc w:val="both"/>
        <w:rPr>
          <w:rFonts w:hint="eastAsia" w:ascii="宋体" w:hAnsi="宋体" w:eastAsia="宋体" w:cs="宋体"/>
          <w:b/>
          <w:bCs/>
          <w:color w:val="000000" w:themeColor="text1"/>
          <w:kern w:val="2"/>
          <w:sz w:val="21"/>
          <w:szCs w:val="21"/>
          <w:highlight w:val="none"/>
          <w14:textFill>
            <w14:solidFill>
              <w14:schemeClr w14:val="tx1"/>
            </w14:solidFill>
          </w14:textFill>
        </w:rPr>
      </w:pPr>
      <w:r>
        <w:rPr>
          <w:rFonts w:hint="eastAsia" w:ascii="宋体" w:hAnsi="宋体" w:eastAsia="宋体" w:cs="宋体"/>
          <w:b/>
          <w:bCs/>
          <w:color w:val="auto"/>
          <w:kern w:val="2"/>
          <w:sz w:val="21"/>
          <w:szCs w:val="21"/>
          <w:highlight w:val="none"/>
        </w:rPr>
        <w:t xml:space="preserve">第五条  </w:t>
      </w:r>
      <w:r>
        <w:rPr>
          <w:rFonts w:hint="eastAsia" w:ascii="宋体" w:hAnsi="宋体" w:eastAsia="宋体" w:cs="宋体"/>
          <w:b/>
          <w:bCs/>
          <w:color w:val="000000" w:themeColor="text1"/>
          <w:kern w:val="2"/>
          <w:sz w:val="21"/>
          <w:szCs w:val="21"/>
          <w:highlight w:val="none"/>
          <w14:textFill>
            <w14:solidFill>
              <w14:schemeClr w14:val="tx1"/>
            </w14:solidFill>
          </w14:textFill>
        </w:rPr>
        <w:t>交付</w:t>
      </w:r>
    </w:p>
    <w:p w14:paraId="50D3BE64">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000000" w:themeColor="text1"/>
          <w:kern w:val="2"/>
          <w:sz w:val="21"/>
          <w:szCs w:val="21"/>
          <w:highlight w:val="none"/>
          <w14:textFill>
            <w14:solidFill>
              <w14:schemeClr w14:val="tx1"/>
            </w14:solidFill>
          </w14:textFill>
        </w:rPr>
        <w:t>1. 交付时间：自签订合同之日起 30 天内到货，45 天内全部安装调试完毕。 货到学校有货物签收单由学校清点签收。 若因业主场地原因，导至不能安装调试的，交付时间由中标商和业主协商确定。</w:t>
      </w:r>
      <w:r>
        <w:rPr>
          <w:rFonts w:hint="eastAsia" w:ascii="宋体" w:hAnsi="宋体" w:eastAsia="宋体" w:cs="宋体"/>
          <w:color w:val="000000" w:themeColor="text1"/>
          <w:kern w:val="2"/>
          <w:sz w:val="21"/>
          <w:szCs w:val="21"/>
          <w:highlight w:val="none"/>
          <w:lang w:val="en-US" w:eastAsia="zh-CN"/>
          <w14:textFill>
            <w14:solidFill>
              <w14:schemeClr w14:val="tx1"/>
            </w14:solidFill>
          </w14:textFill>
        </w:rPr>
        <w:t xml:space="preserve">  </w:t>
      </w:r>
      <w:r>
        <w:rPr>
          <w:rFonts w:hint="eastAsia" w:ascii="宋体" w:hAnsi="宋体" w:eastAsia="宋体" w:cs="宋体"/>
          <w:color w:val="auto"/>
          <w:kern w:val="2"/>
          <w:sz w:val="21"/>
          <w:szCs w:val="21"/>
          <w:highlight w:val="none"/>
          <w:lang w:val="en-US" w:eastAsia="zh-CN"/>
        </w:rPr>
        <w:t xml:space="preserve">      </w:t>
      </w:r>
    </w:p>
    <w:p w14:paraId="0CEB72C0">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rPr>
        <w:t xml:space="preserve">2. </w:t>
      </w:r>
      <w:r>
        <w:rPr>
          <w:rFonts w:hint="eastAsia" w:ascii="宋体" w:hAnsi="宋体" w:eastAsia="宋体" w:cs="宋体"/>
          <w:color w:val="auto"/>
          <w:kern w:val="2"/>
          <w:sz w:val="21"/>
          <w:szCs w:val="21"/>
          <w:highlight w:val="none"/>
        </w:rPr>
        <w:t>交付地点：采购人指定地点。</w:t>
      </w:r>
    </w:p>
    <w:p w14:paraId="31CABD0A">
      <w:pPr>
        <w:widowControl w:val="0"/>
        <w:tabs>
          <w:tab w:val="left" w:pos="4214"/>
        </w:tabs>
        <w:spacing w:after="0" w:line="360" w:lineRule="exact"/>
        <w:ind w:firstLine="210" w:firstLineChars="1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 xml:space="preserve">  </w:t>
      </w:r>
      <w:r>
        <w:rPr>
          <w:rFonts w:hint="eastAsia" w:ascii="宋体" w:hAnsi="宋体" w:eastAsia="宋体" w:cs="宋体"/>
          <w:color w:val="auto"/>
          <w:kern w:val="2"/>
          <w:sz w:val="21"/>
          <w:szCs w:val="21"/>
          <w:highlight w:val="none"/>
          <w:lang w:val="en-US" w:eastAsia="zh-CN"/>
        </w:rPr>
        <w:t>3</w:t>
      </w:r>
      <w:r>
        <w:rPr>
          <w:rFonts w:hint="eastAsia" w:ascii="宋体" w:hAnsi="宋体" w:eastAsia="宋体" w:cs="宋体"/>
          <w:color w:val="auto"/>
          <w:kern w:val="2"/>
          <w:sz w:val="21"/>
          <w:szCs w:val="21"/>
          <w:highlight w:val="none"/>
        </w:rPr>
        <w:t>. 乙方提供不符合招标文件、投标文件和本合同规定的货物，甲方有权拒绝接受。</w:t>
      </w:r>
    </w:p>
    <w:p w14:paraId="2BFE7730">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color w:val="auto"/>
          <w:kern w:val="2"/>
          <w:sz w:val="21"/>
          <w:szCs w:val="21"/>
          <w:highlight w:val="none"/>
        </w:rPr>
        <w:t>. 乙方应将所有提供货物的装箱清单、用户手册、原厂保修卡、随机资料、工具和备用、备件等交付给甲方，如有缺失应及时补齐，否则视为逾期交货。</w:t>
      </w:r>
    </w:p>
    <w:p w14:paraId="6D14C70D">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第六条  调试和验收</w:t>
      </w:r>
    </w:p>
    <w:p w14:paraId="6603B70C">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 乙方交货前应对产品做出全面的检查和对验收文件进行整理，并列出清单，作为甲方验收和使用的技术条件依据，验收的结果应随货物交甲方。</w:t>
      </w:r>
    </w:p>
    <w:p w14:paraId="796140B4">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 验收依据：按照国家标准和行业标准、招标文件要求及乙方的投标文件。</w:t>
      </w:r>
    </w:p>
    <w:p w14:paraId="31C3DB3C">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 乙方提供的设备必须为全新的原装正品，符合有关质量标准的产品；货物安装调试完成后，甲方应在</w:t>
      </w:r>
      <w:r>
        <w:rPr>
          <w:rFonts w:hint="eastAsia" w:ascii="宋体" w:hAnsi="宋体" w:eastAsia="宋体" w:cs="宋体"/>
          <w:color w:val="auto"/>
          <w:kern w:val="2"/>
          <w:sz w:val="21"/>
          <w:szCs w:val="21"/>
          <w:highlight w:val="none"/>
          <w:lang w:eastAsia="zh-CN"/>
        </w:rPr>
        <w:t>五</w:t>
      </w:r>
      <w:r>
        <w:rPr>
          <w:rFonts w:hint="eastAsia" w:ascii="宋体" w:hAnsi="宋体" w:eastAsia="宋体" w:cs="宋体"/>
          <w:color w:val="auto"/>
          <w:kern w:val="2"/>
          <w:sz w:val="21"/>
          <w:szCs w:val="21"/>
          <w:highlight w:val="none"/>
        </w:rPr>
        <w:t>个工作日内依据招标文件、投标文件的技术规格要求及承诺和国家有关质量标准对货物进行现场验收，验收合格后由甲乙双方签署货物验收单并加盖公章，甲乙双方各执一份。核验不合格的，甲方有权终止合同执行并全部退货，同时报相关监督管理部门处理，由此造成甲方经济损失的由乙方负责承担全部赔偿责任。如有异议，将交由国家认可并具检验检测资格的第三方机构邀请相关专家进行实际检验，所有产生的费用由乙方承担。</w:t>
      </w:r>
    </w:p>
    <w:p w14:paraId="3AB52865">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4. 甲方对乙方提供的货物在使用前进行调试时，乙方需负责安装并培训甲方的使用操作人员，并协助甲方一起调试，直到符合技术要求，甲方才做最终验收。</w:t>
      </w:r>
    </w:p>
    <w:p w14:paraId="574C7637">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5. 验收时乙方必须在现场，验收完毕后作出验收结果报告，验收费用由乙方负责。</w:t>
      </w:r>
    </w:p>
    <w:p w14:paraId="4B72CF36">
      <w:pPr>
        <w:spacing w:line="360" w:lineRule="atLeast"/>
        <w:ind w:firstLine="440" w:firstLineChars="200"/>
        <w:rPr>
          <w:rFonts w:hint="eastAsia" w:ascii="宋体" w:hAnsi="宋体" w:eastAsia="宋体" w:cs="宋体"/>
          <w:color w:val="auto"/>
          <w:szCs w:val="21"/>
          <w:highlight w:val="none"/>
        </w:rPr>
      </w:pPr>
      <w:r>
        <w:rPr>
          <w:rFonts w:hint="eastAsia" w:ascii="宋体" w:hAnsi="宋体" w:eastAsia="宋体" w:cs="宋体"/>
          <w:color w:val="auto"/>
          <w:szCs w:val="21"/>
          <w:highlight w:val="none"/>
        </w:rPr>
        <w:t>6. 甲方对验收有异议的，在验收后五个工作日内以书面形式向乙方提出，乙方应自收到甲方书面异议后</w:t>
      </w:r>
      <w:r>
        <w:rPr>
          <w:rFonts w:hint="eastAsia" w:ascii="宋体" w:hAnsi="宋体" w:eastAsia="宋体" w:cs="宋体"/>
          <w:color w:val="auto"/>
          <w:szCs w:val="21"/>
          <w:highlight w:val="none"/>
          <w:u w:val="single"/>
        </w:rPr>
        <w:t>　15　</w:t>
      </w:r>
      <w:r>
        <w:rPr>
          <w:rFonts w:hint="eastAsia" w:ascii="宋体" w:hAnsi="宋体" w:eastAsia="宋体" w:cs="宋体"/>
          <w:color w:val="auto"/>
          <w:szCs w:val="21"/>
          <w:highlight w:val="none"/>
        </w:rPr>
        <w:t>日内及时予以解决。</w:t>
      </w:r>
    </w:p>
    <w:p w14:paraId="4C9F3607">
      <w:pPr>
        <w:spacing w:line="360" w:lineRule="atLeast"/>
        <w:ind w:firstLine="442" w:firstLineChars="200"/>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第七条  安装和培训</w:t>
      </w:r>
    </w:p>
    <w:p w14:paraId="5FD9A99B">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 xml:space="preserve"> 1. 乙方负责免费安装、调试；甲方应提供必要安装条件（如场地、电源、水源等）。</w:t>
      </w:r>
    </w:p>
    <w:p w14:paraId="209BA67B">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 xml:space="preserve"> 2. 乙方负责甲方有关人员的培训。培训时间、地点：</w:t>
      </w:r>
      <w:r>
        <w:rPr>
          <w:rFonts w:hint="eastAsia" w:ascii="宋体" w:hAnsi="宋体" w:eastAsia="宋体" w:cs="宋体"/>
          <w:color w:val="auto"/>
          <w:kern w:val="2"/>
          <w:sz w:val="21"/>
          <w:szCs w:val="21"/>
          <w:highlight w:val="none"/>
          <w:u w:val="single"/>
        </w:rPr>
        <w:t>广西桂林市采购人指定时间地点</w:t>
      </w:r>
      <w:r>
        <w:rPr>
          <w:rFonts w:hint="eastAsia" w:ascii="宋体" w:hAnsi="宋体" w:eastAsia="宋体" w:cs="宋体"/>
          <w:color w:val="auto"/>
          <w:kern w:val="2"/>
          <w:sz w:val="21"/>
          <w:szCs w:val="21"/>
          <w:highlight w:val="none"/>
        </w:rPr>
        <w:t>。</w:t>
      </w:r>
    </w:p>
    <w:p w14:paraId="4EF5A015">
      <w:pPr>
        <w:spacing w:line="360" w:lineRule="atLeast"/>
        <w:ind w:firstLine="433" w:firstLineChars="196"/>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第八条  售后服务</w:t>
      </w:r>
    </w:p>
    <w:p w14:paraId="5EC02315">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 乙方应按照国家有关法律规定和“三包”规定以及投标文件和本合同所附的《服务承诺》，为甲方提供售后服务。</w:t>
      </w:r>
    </w:p>
    <w:p w14:paraId="6F182349">
      <w:pPr>
        <w:widowControl w:val="0"/>
        <w:tabs>
          <w:tab w:val="left" w:pos="4214"/>
        </w:tabs>
        <w:spacing w:after="0" w:line="360" w:lineRule="exact"/>
        <w:ind w:firstLine="420" w:firstLineChars="200"/>
        <w:jc w:val="both"/>
        <w:rPr>
          <w:rFonts w:hint="eastAsia" w:ascii="宋体" w:hAnsi="宋体" w:eastAsia="宋体" w:cs="宋体"/>
          <w:color w:val="auto"/>
          <w:szCs w:val="21"/>
          <w:highlight w:val="none"/>
        </w:rPr>
      </w:pPr>
      <w:r>
        <w:rPr>
          <w:rFonts w:hint="eastAsia" w:ascii="宋体" w:hAnsi="宋体" w:eastAsia="宋体" w:cs="宋体"/>
          <w:color w:val="auto"/>
          <w:kern w:val="2"/>
          <w:sz w:val="21"/>
          <w:szCs w:val="21"/>
          <w:highlight w:val="none"/>
        </w:rPr>
        <w:t>2. 在免费质保期内，因设备质量</w:t>
      </w:r>
      <w:r>
        <w:rPr>
          <w:rFonts w:hint="eastAsia" w:ascii="宋体" w:hAnsi="宋体" w:eastAsia="宋体" w:cs="宋体"/>
          <w:bCs/>
          <w:color w:val="auto"/>
          <w:kern w:val="0"/>
          <w:szCs w:val="21"/>
          <w:highlight w:val="none"/>
        </w:rPr>
        <w:t>、施工而造成设备损坏，其全部费用由乙方负责</w:t>
      </w:r>
      <w:r>
        <w:rPr>
          <w:rFonts w:hint="eastAsia" w:ascii="宋体" w:hAnsi="宋体" w:eastAsia="宋体" w:cs="宋体"/>
          <w:color w:val="auto"/>
          <w:szCs w:val="21"/>
          <w:highlight w:val="none"/>
        </w:rPr>
        <w:t>，</w:t>
      </w:r>
      <w:r>
        <w:rPr>
          <w:rFonts w:hint="eastAsia" w:ascii="宋体" w:hAnsi="宋体" w:eastAsia="宋体" w:cs="宋体"/>
          <w:bCs/>
          <w:color w:val="auto"/>
          <w:kern w:val="0"/>
          <w:szCs w:val="21"/>
          <w:highlight w:val="none"/>
        </w:rPr>
        <w:t>乙方在接到采购人故障报修通知后</w:t>
      </w:r>
      <w:r>
        <w:rPr>
          <w:rFonts w:hint="eastAsia" w:ascii="宋体" w:hAnsi="宋体" w:eastAsia="宋体" w:cs="宋体"/>
          <w:bCs/>
          <w:color w:val="auto"/>
          <w:kern w:val="0"/>
          <w:szCs w:val="21"/>
          <w:highlight w:val="none"/>
          <w:u w:val="single"/>
        </w:rPr>
        <w:t xml:space="preserve">  （按投标文件承诺时间） </w:t>
      </w:r>
      <w:r>
        <w:rPr>
          <w:rFonts w:hint="eastAsia" w:ascii="宋体" w:hAnsi="宋体" w:eastAsia="宋体" w:cs="宋体"/>
          <w:bCs/>
          <w:color w:val="auto"/>
          <w:kern w:val="0"/>
          <w:szCs w:val="21"/>
          <w:highlight w:val="none"/>
        </w:rPr>
        <w:t>给予答复，</w:t>
      </w:r>
      <w:r>
        <w:rPr>
          <w:rFonts w:hint="eastAsia" w:ascii="宋体" w:hAnsi="宋体" w:eastAsia="宋体" w:cs="宋体"/>
          <w:bCs/>
          <w:color w:val="auto"/>
          <w:kern w:val="0"/>
          <w:szCs w:val="21"/>
          <w:highlight w:val="none"/>
          <w:u w:val="single"/>
        </w:rPr>
        <w:t xml:space="preserve">  （按投标文件承诺时间）</w:t>
      </w:r>
      <w:r>
        <w:rPr>
          <w:rFonts w:hint="eastAsia" w:ascii="宋体" w:hAnsi="宋体" w:eastAsia="宋体" w:cs="宋体"/>
          <w:bCs/>
          <w:color w:val="auto"/>
          <w:kern w:val="0"/>
          <w:szCs w:val="21"/>
          <w:highlight w:val="none"/>
          <w:u w:val="none"/>
        </w:rPr>
        <w:t>给出解决方案</w:t>
      </w:r>
      <w:r>
        <w:rPr>
          <w:rFonts w:hint="eastAsia" w:ascii="宋体" w:hAnsi="宋体" w:eastAsia="宋体" w:cs="宋体"/>
          <w:color w:val="auto"/>
          <w:kern w:val="0"/>
          <w:szCs w:val="21"/>
          <w:highlight w:val="none"/>
        </w:rPr>
        <w:t>，</w:t>
      </w:r>
      <w:r>
        <w:rPr>
          <w:rFonts w:hint="eastAsia" w:ascii="宋体" w:hAnsi="宋体" w:eastAsia="宋体" w:cs="宋体"/>
          <w:bCs/>
          <w:color w:val="auto"/>
          <w:kern w:val="0"/>
          <w:szCs w:val="21"/>
          <w:highlight w:val="none"/>
          <w:u w:val="single"/>
        </w:rPr>
        <w:t xml:space="preserve">  （按投标文件承诺时间）</w:t>
      </w:r>
      <w:r>
        <w:rPr>
          <w:rFonts w:hint="eastAsia" w:ascii="宋体" w:hAnsi="宋体" w:eastAsia="宋体" w:cs="宋体"/>
          <w:color w:val="000000"/>
          <w:kern w:val="0"/>
          <w:sz w:val="21"/>
          <w:szCs w:val="21"/>
          <w:lang w:val="en-US" w:eastAsia="zh-CN" w:bidi="ar"/>
        </w:rPr>
        <w:t>解决故障</w:t>
      </w:r>
      <w:r>
        <w:rPr>
          <w:rFonts w:hint="eastAsia" w:ascii="宋体" w:hAnsi="宋体" w:eastAsia="宋体" w:cs="宋体"/>
          <w:color w:val="auto"/>
          <w:kern w:val="0"/>
          <w:szCs w:val="21"/>
          <w:highlight w:val="none"/>
        </w:rPr>
        <w:t>，</w:t>
      </w:r>
      <w:r>
        <w:rPr>
          <w:rFonts w:hint="eastAsia" w:ascii="宋体" w:hAnsi="宋体" w:eastAsia="宋体" w:cs="宋体"/>
          <w:color w:val="000000"/>
          <w:kern w:val="0"/>
          <w:sz w:val="21"/>
          <w:szCs w:val="21"/>
          <w:lang w:val="en-US" w:eastAsia="zh-CN" w:bidi="ar"/>
        </w:rPr>
        <w:t>未能在规定时间内排除故障的，必须在</w:t>
      </w:r>
      <w:r>
        <w:rPr>
          <w:rFonts w:hint="eastAsia" w:ascii="宋体" w:hAnsi="宋体" w:eastAsia="宋体" w:cs="宋体"/>
          <w:bCs/>
          <w:color w:val="auto"/>
          <w:kern w:val="0"/>
          <w:szCs w:val="21"/>
          <w:highlight w:val="none"/>
          <w:u w:val="single"/>
        </w:rPr>
        <w:t>（按投标文件承诺时间）</w:t>
      </w:r>
      <w:r>
        <w:rPr>
          <w:rFonts w:hint="eastAsia" w:ascii="宋体" w:hAnsi="宋体" w:eastAsia="宋体" w:cs="宋体"/>
          <w:color w:val="000000"/>
          <w:kern w:val="0"/>
          <w:sz w:val="21"/>
          <w:szCs w:val="21"/>
          <w:lang w:val="en-US" w:eastAsia="zh-CN" w:bidi="ar"/>
        </w:rPr>
        <w:t>提供同档次的备用机并提交故障解决处理方案。</w:t>
      </w:r>
    </w:p>
    <w:p w14:paraId="4CF0260B">
      <w:pPr>
        <w:widowControl w:val="0"/>
        <w:tabs>
          <w:tab w:val="left" w:pos="4214"/>
        </w:tabs>
        <w:spacing w:after="0" w:line="360" w:lineRule="exact"/>
        <w:ind w:firstLine="44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szCs w:val="21"/>
          <w:highlight w:val="none"/>
        </w:rPr>
        <w:t>3. 在免费质保期内，乙方应对货物出现的质量及安全问题负责处理解决并承担一切费用。免费质保期内免费</w:t>
      </w:r>
      <w:r>
        <w:rPr>
          <w:rFonts w:hint="eastAsia" w:ascii="宋体" w:hAnsi="宋体" w:eastAsia="宋体" w:cs="宋体"/>
          <w:color w:val="auto"/>
          <w:kern w:val="2"/>
          <w:sz w:val="21"/>
          <w:szCs w:val="21"/>
          <w:highlight w:val="none"/>
        </w:rPr>
        <w:t>上门检查维修、免费更换零部件；定期回访检查维修，提供终身服务。免费质保期结束后零配件若损坏，乙方只收取成本费用。</w:t>
      </w:r>
    </w:p>
    <w:p w14:paraId="0E14E309">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4. 免费质保期内，如果需要更换配件的，要求更换的配件应跟被更换的品牌、类型相一致或者是同类同档次的替代品，后者需征得甲方管理人员同意。</w:t>
      </w:r>
    </w:p>
    <w:p w14:paraId="3F8D8E7C">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第九条  税费</w:t>
      </w:r>
    </w:p>
    <w:p w14:paraId="4EE04448">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本合同执行中相关的一切税费均由乙方负担。</w:t>
      </w:r>
    </w:p>
    <w:p w14:paraId="76A6405B">
      <w:pPr>
        <w:widowControl w:val="0"/>
        <w:tabs>
          <w:tab w:val="left" w:pos="4214"/>
        </w:tabs>
        <w:spacing w:after="0" w:line="360" w:lineRule="exact"/>
        <w:ind w:firstLine="422" w:firstLineChars="200"/>
        <w:jc w:val="both"/>
        <w:rPr>
          <w:rFonts w:hint="eastAsia" w:ascii="宋体" w:hAnsi="宋体" w:eastAsia="宋体" w:cs="宋体"/>
          <w:b/>
          <w:bCs/>
          <w:color w:val="000000" w:themeColor="text1"/>
          <w:kern w:val="2"/>
          <w:sz w:val="21"/>
          <w:szCs w:val="21"/>
          <w:highlight w:val="none"/>
          <w14:textFill>
            <w14:solidFill>
              <w14:schemeClr w14:val="tx1"/>
            </w14:solidFill>
          </w14:textFill>
        </w:rPr>
      </w:pPr>
      <w:r>
        <w:rPr>
          <w:rFonts w:hint="eastAsia" w:ascii="宋体" w:hAnsi="宋体" w:eastAsia="宋体" w:cs="宋体"/>
          <w:b/>
          <w:bCs/>
          <w:color w:val="auto"/>
          <w:kern w:val="2"/>
          <w:sz w:val="21"/>
          <w:szCs w:val="21"/>
          <w:highlight w:val="none"/>
        </w:rPr>
        <w:t>第十条</w:t>
      </w:r>
      <w:r>
        <w:rPr>
          <w:rFonts w:hint="eastAsia" w:ascii="宋体" w:hAnsi="宋体" w:eastAsia="宋体" w:cs="宋体"/>
          <w:b/>
          <w:bCs/>
          <w:color w:val="000000" w:themeColor="text1"/>
          <w:kern w:val="2"/>
          <w:sz w:val="21"/>
          <w:szCs w:val="21"/>
          <w:highlight w:val="none"/>
          <w14:textFill>
            <w14:solidFill>
              <w14:schemeClr w14:val="tx1"/>
            </w14:solidFill>
          </w14:textFill>
        </w:rPr>
        <w:t xml:space="preserve">  付款方式</w:t>
      </w:r>
    </w:p>
    <w:p w14:paraId="46FA5FBC">
      <w:pPr>
        <w:keepNext w:val="0"/>
        <w:keepLines w:val="0"/>
        <w:pageBreakBefore w:val="0"/>
        <w:widowControl w:val="0"/>
        <w:tabs>
          <w:tab w:val="left" w:pos="4214"/>
        </w:tabs>
        <w:kinsoku/>
        <w:wordWrap/>
        <w:overflowPunct/>
        <w:topLinePunct w:val="0"/>
        <w:autoSpaceDE/>
        <w:autoSpaceDN/>
        <w:bidi w:val="0"/>
        <w:adjustRightInd w:val="0"/>
        <w:snapToGrid w:val="0"/>
        <w:spacing w:after="0" w:line="360" w:lineRule="exact"/>
        <w:ind w:firstLine="420" w:firstLineChars="200"/>
        <w:jc w:val="both"/>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1、合同总价包括中标服务商完成本项目服务要求后所产生的全部费用（含税），采购人不再另行向中标服务商支付其他任何费用。</w:t>
      </w:r>
    </w:p>
    <w:p w14:paraId="6C1C2F02">
      <w:pPr>
        <w:keepNext w:val="0"/>
        <w:keepLines w:val="0"/>
        <w:pageBreakBefore w:val="0"/>
        <w:widowControl w:val="0"/>
        <w:tabs>
          <w:tab w:val="left" w:pos="4214"/>
        </w:tabs>
        <w:kinsoku/>
        <w:wordWrap/>
        <w:overflowPunct/>
        <w:topLinePunct w:val="0"/>
        <w:autoSpaceDE/>
        <w:autoSpaceDN/>
        <w:bidi w:val="0"/>
        <w:adjustRightInd w:val="0"/>
        <w:snapToGrid w:val="0"/>
        <w:spacing w:after="0" w:line="360" w:lineRule="exact"/>
        <w:ind w:firstLine="420" w:firstLineChars="200"/>
        <w:jc w:val="both"/>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2、本项目的资金拨付根据项目资金的到账情况及财政部门的付款流程、付款期限执行。</w:t>
      </w:r>
    </w:p>
    <w:p w14:paraId="7BBD7687">
      <w:pPr>
        <w:keepNext w:val="0"/>
        <w:keepLines w:val="0"/>
        <w:pageBreakBefore w:val="0"/>
        <w:widowControl w:val="0"/>
        <w:tabs>
          <w:tab w:val="left" w:pos="4214"/>
        </w:tabs>
        <w:kinsoku/>
        <w:wordWrap/>
        <w:overflowPunct/>
        <w:topLinePunct w:val="0"/>
        <w:autoSpaceDE/>
        <w:autoSpaceDN/>
        <w:bidi w:val="0"/>
        <w:adjustRightInd w:val="0"/>
        <w:snapToGrid w:val="0"/>
        <w:spacing w:after="0" w:line="360" w:lineRule="exact"/>
        <w:ind w:firstLine="420" w:firstLineChars="200"/>
        <w:jc w:val="both"/>
        <w:textAlignment w:val="auto"/>
        <w:rPr>
          <w:rFonts w:hint="eastAsia" w:ascii="宋体" w:hAnsi="宋体" w:eastAsia="宋体" w:cs="宋体"/>
          <w:color w:val="000000" w:themeColor="text1"/>
          <w:sz w:val="21"/>
          <w:szCs w:val="21"/>
          <w:highlight w:val="none"/>
          <w14:textFill>
            <w14:solidFill>
              <w14:schemeClr w14:val="tx1"/>
            </w14:solidFill>
          </w14:textFill>
        </w:rPr>
      </w:pPr>
      <w:r>
        <w:rPr>
          <w:rFonts w:hint="eastAsia" w:ascii="宋体" w:hAnsi="宋体" w:eastAsia="宋体" w:cs="宋体"/>
          <w:color w:val="000000" w:themeColor="text1"/>
          <w:sz w:val="21"/>
          <w:szCs w:val="21"/>
          <w:highlight w:val="none"/>
          <w14:textFill>
            <w14:solidFill>
              <w14:schemeClr w14:val="tx1"/>
            </w14:solidFill>
          </w14:textFill>
        </w:rPr>
        <w:t>3、合同签订后，成交供应商可申请预付合同金额的30%，同时提供相应金额的发票，财政部门拨付的该项目资金到账后，采购人在10个工作日内向成交供应商支付预付款；项目竣工且验收合格后，成交供应商开具相应金额发票给采购人，财政部门拨付的该项目资金到账后，采购人在30个工作日内向成交供应商支付剩余合同金额的70%（无息）。</w:t>
      </w:r>
    </w:p>
    <w:p w14:paraId="4829147A">
      <w:pPr>
        <w:widowControl w:val="0"/>
        <w:tabs>
          <w:tab w:val="left" w:pos="4214"/>
        </w:tabs>
        <w:spacing w:after="0" w:line="360" w:lineRule="exact"/>
        <w:ind w:firstLine="422" w:firstLineChars="200"/>
        <w:jc w:val="both"/>
        <w:rPr>
          <w:rFonts w:hint="eastAsia" w:ascii="宋体" w:hAnsi="宋体" w:eastAsia="宋体" w:cs="宋体"/>
          <w:b/>
          <w:bCs/>
          <w:color w:val="000000" w:themeColor="text1"/>
          <w:kern w:val="2"/>
          <w:sz w:val="21"/>
          <w:szCs w:val="21"/>
          <w:highlight w:val="none"/>
          <w14:textFill>
            <w14:solidFill>
              <w14:schemeClr w14:val="tx1"/>
            </w14:solidFill>
          </w14:textFill>
        </w:rPr>
      </w:pPr>
      <w:r>
        <w:rPr>
          <w:rFonts w:hint="eastAsia" w:ascii="宋体" w:hAnsi="宋体" w:eastAsia="宋体" w:cs="宋体"/>
          <w:b/>
          <w:bCs/>
          <w:color w:val="000000" w:themeColor="text1"/>
          <w:kern w:val="2"/>
          <w:sz w:val="21"/>
          <w:szCs w:val="21"/>
          <w:highlight w:val="none"/>
          <w14:textFill>
            <w14:solidFill>
              <w14:schemeClr w14:val="tx1"/>
            </w14:solidFill>
          </w14:textFill>
        </w:rPr>
        <w:t>第十一条  违约责任</w:t>
      </w:r>
    </w:p>
    <w:p w14:paraId="6397F1FA">
      <w:pPr>
        <w:widowControl w:val="0"/>
        <w:tabs>
          <w:tab w:val="left" w:pos="4214"/>
        </w:tabs>
        <w:spacing w:after="0" w:line="360" w:lineRule="exact"/>
        <w:ind w:firstLine="44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szCs w:val="21"/>
          <w:highlight w:val="none"/>
        </w:rPr>
        <w:t>1. 乙方所提供的货物规格、技术标准、材料等质量不合格的，应及时更换，更换不及时的按逾期交货处罚，乙</w:t>
      </w:r>
      <w:r>
        <w:rPr>
          <w:rFonts w:hint="eastAsia" w:ascii="宋体" w:hAnsi="宋体" w:eastAsia="宋体" w:cs="宋体"/>
          <w:color w:val="auto"/>
          <w:kern w:val="2"/>
          <w:sz w:val="21"/>
          <w:szCs w:val="21"/>
          <w:highlight w:val="none"/>
        </w:rPr>
        <w:t>方应向甲方支付合同金额</w:t>
      </w:r>
      <w:r>
        <w:rPr>
          <w:rFonts w:hint="eastAsia" w:ascii="宋体" w:hAnsi="宋体" w:eastAsia="宋体" w:cs="宋体"/>
          <w:color w:val="auto"/>
          <w:kern w:val="2"/>
          <w:sz w:val="21"/>
          <w:szCs w:val="21"/>
          <w:highlight w:val="none"/>
          <w:u w:val="single"/>
        </w:rPr>
        <w:t>　5　</w:t>
      </w:r>
      <w:r>
        <w:rPr>
          <w:rFonts w:hint="eastAsia" w:ascii="宋体" w:hAnsi="宋体" w:eastAsia="宋体" w:cs="宋体"/>
          <w:color w:val="auto"/>
          <w:kern w:val="2"/>
          <w:sz w:val="21"/>
          <w:szCs w:val="21"/>
          <w:highlight w:val="none"/>
        </w:rPr>
        <w:t>%违约金并赔偿甲方经济损失。</w:t>
      </w:r>
    </w:p>
    <w:p w14:paraId="6479076F">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 乙方提供的货物如果侵犯了第三方合法权益而引发的任何纠纷或诉讼，均由乙方负责交涉并承担全部责任。</w:t>
      </w:r>
    </w:p>
    <w:p w14:paraId="79DAD6BC">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 因包装、运输引起的货物损坏，按质量不合格处理。</w:t>
      </w:r>
    </w:p>
    <w:p w14:paraId="5DEC8EA6">
      <w:pPr>
        <w:widowControl w:val="0"/>
        <w:tabs>
          <w:tab w:val="left" w:pos="4214"/>
        </w:tabs>
        <w:spacing w:after="0" w:line="360" w:lineRule="exact"/>
        <w:ind w:firstLine="420" w:firstLineChars="200"/>
        <w:jc w:val="both"/>
        <w:rPr>
          <w:rFonts w:hint="eastAsia" w:ascii="宋体" w:hAnsi="宋体" w:eastAsia="宋体" w:cs="宋体"/>
          <w:color w:val="auto"/>
          <w:sz w:val="21"/>
          <w:szCs w:val="21"/>
          <w:highlight w:val="none"/>
        </w:rPr>
      </w:pPr>
      <w:r>
        <w:rPr>
          <w:rFonts w:hint="eastAsia" w:ascii="宋体" w:hAnsi="宋体" w:eastAsia="宋体" w:cs="宋体"/>
          <w:color w:val="auto"/>
          <w:kern w:val="2"/>
          <w:sz w:val="21"/>
          <w:szCs w:val="21"/>
          <w:highlight w:val="none"/>
        </w:rPr>
        <w:t>4. 甲方无</w:t>
      </w:r>
      <w:r>
        <w:rPr>
          <w:rFonts w:hint="eastAsia" w:ascii="宋体" w:hAnsi="宋体" w:eastAsia="宋体" w:cs="宋体"/>
          <w:color w:val="auto"/>
          <w:sz w:val="21"/>
          <w:szCs w:val="21"/>
          <w:highlight w:val="none"/>
        </w:rPr>
        <w:t>故延期接收货物、乙方逾期交货的，每天向对方偿付违约货款额</w:t>
      </w:r>
      <w:r>
        <w:rPr>
          <w:rFonts w:hint="eastAsia" w:ascii="宋体" w:hAnsi="宋体" w:eastAsia="宋体" w:cs="宋体"/>
          <w:color w:val="auto"/>
          <w:sz w:val="21"/>
          <w:szCs w:val="21"/>
          <w:highlight w:val="none"/>
          <w:u w:val="single"/>
          <w:lang w:val="en-US" w:eastAsia="zh-CN"/>
        </w:rPr>
        <w:t>0.5</w:t>
      </w:r>
      <w:r>
        <w:rPr>
          <w:rFonts w:hint="eastAsia" w:ascii="宋体" w:hAnsi="宋体" w:eastAsia="宋体" w:cs="宋体"/>
          <w:color w:val="auto"/>
          <w:sz w:val="21"/>
          <w:szCs w:val="21"/>
          <w:highlight w:val="none"/>
          <w:u w:val="single"/>
        </w:rPr>
        <w:t>‰</w:t>
      </w:r>
      <w:r>
        <w:rPr>
          <w:rFonts w:hint="eastAsia" w:ascii="宋体" w:hAnsi="宋体" w:eastAsia="宋体" w:cs="宋体"/>
          <w:color w:val="auto"/>
          <w:sz w:val="21"/>
          <w:szCs w:val="21"/>
          <w:highlight w:val="none"/>
        </w:rPr>
        <w:t>违约金，但违约金累计不得超过违约货款额</w:t>
      </w:r>
      <w:r>
        <w:rPr>
          <w:rFonts w:hint="eastAsia" w:ascii="宋体" w:hAnsi="宋体" w:eastAsia="宋体" w:cs="宋体"/>
          <w:color w:val="auto"/>
          <w:sz w:val="21"/>
          <w:szCs w:val="21"/>
          <w:highlight w:val="none"/>
          <w:u w:val="single"/>
        </w:rPr>
        <w:t>5%</w:t>
      </w:r>
      <w:r>
        <w:rPr>
          <w:rFonts w:hint="eastAsia" w:ascii="宋体" w:hAnsi="宋体" w:eastAsia="宋体" w:cs="宋体"/>
          <w:color w:val="auto"/>
          <w:sz w:val="21"/>
          <w:szCs w:val="21"/>
          <w:highlight w:val="none"/>
        </w:rPr>
        <w:t>，超过</w:t>
      </w:r>
      <w:r>
        <w:rPr>
          <w:rFonts w:hint="eastAsia" w:ascii="宋体" w:hAnsi="宋体" w:eastAsia="宋体" w:cs="宋体"/>
          <w:color w:val="auto"/>
          <w:sz w:val="21"/>
          <w:szCs w:val="21"/>
          <w:highlight w:val="none"/>
          <w:u w:val="single"/>
        </w:rPr>
        <w:t xml:space="preserve"> 15 天</w:t>
      </w:r>
      <w:r>
        <w:rPr>
          <w:rFonts w:hint="eastAsia" w:ascii="宋体" w:hAnsi="宋体" w:eastAsia="宋体" w:cs="宋体"/>
          <w:color w:val="auto"/>
          <w:sz w:val="21"/>
          <w:szCs w:val="21"/>
          <w:highlight w:val="none"/>
        </w:rPr>
        <w:t>对方有权解除合同，违约方承担因此给对方造成经济损失；甲方延期付货款的，每天向乙方偿付延期货款额</w:t>
      </w:r>
      <w:r>
        <w:rPr>
          <w:rFonts w:hint="eastAsia" w:ascii="宋体" w:hAnsi="宋体" w:eastAsia="宋体" w:cs="宋体"/>
          <w:color w:val="auto"/>
          <w:sz w:val="21"/>
          <w:szCs w:val="21"/>
          <w:highlight w:val="none"/>
          <w:u w:val="single"/>
        </w:rPr>
        <w:t>0.5‰</w:t>
      </w:r>
      <w:r>
        <w:rPr>
          <w:rFonts w:hint="eastAsia" w:ascii="宋体" w:hAnsi="宋体" w:eastAsia="宋体" w:cs="宋体"/>
          <w:color w:val="auto"/>
          <w:sz w:val="21"/>
          <w:szCs w:val="21"/>
          <w:highlight w:val="none"/>
        </w:rPr>
        <w:t>滞纳金，但滞纳金累计不得超过延期货款额</w:t>
      </w:r>
      <w:r>
        <w:rPr>
          <w:rFonts w:hint="eastAsia" w:ascii="宋体" w:hAnsi="宋体" w:eastAsia="宋体" w:cs="宋体"/>
          <w:color w:val="auto"/>
          <w:sz w:val="21"/>
          <w:szCs w:val="21"/>
          <w:highlight w:val="none"/>
          <w:u w:val="single"/>
        </w:rPr>
        <w:t>5%</w:t>
      </w:r>
      <w:r>
        <w:rPr>
          <w:rFonts w:hint="eastAsia" w:ascii="宋体" w:hAnsi="宋体" w:eastAsia="宋体" w:cs="宋体"/>
          <w:color w:val="auto"/>
          <w:sz w:val="21"/>
          <w:szCs w:val="21"/>
          <w:highlight w:val="none"/>
        </w:rPr>
        <w:t>。</w:t>
      </w:r>
    </w:p>
    <w:p w14:paraId="63716B11">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sz w:val="21"/>
          <w:szCs w:val="21"/>
          <w:highlight w:val="none"/>
        </w:rPr>
        <w:t>5</w:t>
      </w:r>
      <w:r>
        <w:rPr>
          <w:rFonts w:hint="eastAsia" w:ascii="宋体" w:hAnsi="宋体" w:eastAsia="宋体" w:cs="宋体"/>
          <w:color w:val="auto"/>
          <w:kern w:val="2"/>
          <w:sz w:val="21"/>
          <w:szCs w:val="21"/>
          <w:highlight w:val="none"/>
        </w:rPr>
        <w:t>. 乙方未按本合同和投标文件中规定的服务承诺提供售后服务的，乙方应按本合同合同金额</w:t>
      </w:r>
      <w:r>
        <w:rPr>
          <w:rFonts w:hint="eastAsia" w:ascii="宋体" w:hAnsi="宋体" w:eastAsia="宋体" w:cs="宋体"/>
          <w:color w:val="auto"/>
          <w:kern w:val="2"/>
          <w:sz w:val="21"/>
          <w:szCs w:val="21"/>
          <w:highlight w:val="none"/>
          <w:u w:val="single"/>
        </w:rPr>
        <w:t>　5　</w:t>
      </w:r>
      <w:r>
        <w:rPr>
          <w:rFonts w:hint="eastAsia" w:ascii="宋体" w:hAnsi="宋体" w:eastAsia="宋体" w:cs="宋体"/>
          <w:color w:val="auto"/>
          <w:kern w:val="2"/>
          <w:sz w:val="21"/>
          <w:szCs w:val="21"/>
          <w:highlight w:val="none"/>
        </w:rPr>
        <w:t>%向甲方支付违约金。</w:t>
      </w:r>
    </w:p>
    <w:p w14:paraId="1EF8847B">
      <w:pPr>
        <w:widowControl w:val="0"/>
        <w:tabs>
          <w:tab w:val="left" w:pos="4214"/>
        </w:tabs>
        <w:spacing w:after="0" w:line="360" w:lineRule="exact"/>
        <w:ind w:firstLine="420" w:firstLineChars="200"/>
        <w:jc w:val="both"/>
        <w:rPr>
          <w:rFonts w:hint="eastAsia" w:ascii="宋体" w:hAnsi="宋体" w:eastAsia="宋体" w:cs="宋体"/>
          <w:color w:val="auto"/>
          <w:szCs w:val="21"/>
          <w:highlight w:val="none"/>
        </w:rPr>
      </w:pPr>
      <w:r>
        <w:rPr>
          <w:rFonts w:hint="eastAsia" w:ascii="宋体" w:hAnsi="宋体" w:eastAsia="宋体" w:cs="宋体"/>
          <w:color w:val="auto"/>
          <w:kern w:val="2"/>
          <w:sz w:val="21"/>
          <w:szCs w:val="21"/>
          <w:highlight w:val="none"/>
        </w:rPr>
        <w:t>6. 乙方提供</w:t>
      </w:r>
      <w:r>
        <w:rPr>
          <w:rFonts w:hint="eastAsia" w:ascii="宋体" w:hAnsi="宋体" w:eastAsia="宋体" w:cs="宋体"/>
          <w:color w:val="auto"/>
          <w:szCs w:val="21"/>
          <w:highlight w:val="none"/>
        </w:rPr>
        <w:t>的货物在质保期内，因设计、工艺或材料的缺陷和其他质量原因造成的问题，由乙方负责，费用从履约保证金中扣除，不足另补。</w:t>
      </w:r>
    </w:p>
    <w:p w14:paraId="214D53F2">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7. 其他违约行为按违约货款额</w:t>
      </w:r>
      <w:r>
        <w:rPr>
          <w:rFonts w:hint="eastAsia" w:ascii="宋体" w:hAnsi="宋体" w:eastAsia="宋体" w:cs="宋体"/>
          <w:color w:val="auto"/>
          <w:kern w:val="2"/>
          <w:sz w:val="21"/>
          <w:szCs w:val="21"/>
          <w:highlight w:val="none"/>
          <w:u w:val="single"/>
        </w:rPr>
        <w:t>　5　</w:t>
      </w:r>
      <w:r>
        <w:rPr>
          <w:rFonts w:hint="eastAsia" w:ascii="宋体" w:hAnsi="宋体" w:eastAsia="宋体" w:cs="宋体"/>
          <w:color w:val="auto"/>
          <w:kern w:val="2"/>
          <w:sz w:val="21"/>
          <w:szCs w:val="21"/>
          <w:highlight w:val="none"/>
        </w:rPr>
        <w:t>%收取违约金并赔偿经济损失。</w:t>
      </w:r>
    </w:p>
    <w:p w14:paraId="4A87890B">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第十二条  不可抗力事件处理</w:t>
      </w:r>
    </w:p>
    <w:p w14:paraId="645607A2">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 在合同有效期内，乙方因不可抗力事件导致不能履行合同，则合同履行期可延长，其延长期与不可抗力影响期相同。</w:t>
      </w:r>
    </w:p>
    <w:p w14:paraId="202ACD58">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 不可抗力事件发生后，应立即通知对方，并寄送有关权威机构出具的证明。</w:t>
      </w:r>
    </w:p>
    <w:p w14:paraId="3C300466">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 不可抗力事件延续一百二十天以上，双方应通过友好协商，确定是否继续履行合同。</w:t>
      </w:r>
    </w:p>
    <w:p w14:paraId="62B4F173">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第十三条  合同争议解决</w:t>
      </w:r>
    </w:p>
    <w:p w14:paraId="75AF21DC">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 因货物质量问题发生争议的，应邀请国家认可的质量检测机构对货物质量进行鉴定。所有产生的费用由乙方承担。</w:t>
      </w:r>
    </w:p>
    <w:p w14:paraId="4CE12AA8">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 因履行本合同引起的或与本合同有关的争议，甲乙双方应首先通过友好协商解决，如果协商不能解决，可向甲方所在地人民法院提起诉讼。</w:t>
      </w:r>
    </w:p>
    <w:p w14:paraId="42B32C29">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3.若某方违约，违约方应承担守约方所有维权支出，包括但不限于：诉讼费、律师费、保全费、调查取证费等。</w:t>
      </w:r>
    </w:p>
    <w:p w14:paraId="6B10C78E">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4. 诉讼期间，本合同继续履行（继续履行会扩大守约方损失除外）。</w:t>
      </w:r>
    </w:p>
    <w:p w14:paraId="1B5B1450">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第十四条  合同生效及其它</w:t>
      </w:r>
    </w:p>
    <w:p w14:paraId="01DF3DA2">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 合同经甲乙双方法定代表人或相应的授权代表签字并加盖单位公章后生效。</w:t>
      </w:r>
    </w:p>
    <w:p w14:paraId="1670C136">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 合同执行中涉及采购资金和采购内容修改或补充的，需经桂林市</w:t>
      </w:r>
      <w:r>
        <w:rPr>
          <w:rFonts w:hint="eastAsia" w:ascii="宋体" w:hAnsi="宋体" w:eastAsia="宋体" w:cs="宋体"/>
          <w:color w:val="auto"/>
          <w:kern w:val="2"/>
          <w:sz w:val="21"/>
          <w:szCs w:val="21"/>
          <w:highlight w:val="none"/>
          <w:lang w:eastAsia="zh-CN"/>
        </w:rPr>
        <w:t>灌阳县</w:t>
      </w:r>
      <w:r>
        <w:rPr>
          <w:rFonts w:hint="eastAsia" w:ascii="宋体" w:hAnsi="宋体" w:eastAsia="宋体" w:cs="宋体"/>
          <w:color w:val="auto"/>
          <w:kern w:val="2"/>
          <w:sz w:val="21"/>
          <w:szCs w:val="21"/>
          <w:highlight w:val="none"/>
        </w:rPr>
        <w:t>财政部门审批，并签订书面补充协议报桂林市</w:t>
      </w:r>
      <w:r>
        <w:rPr>
          <w:rFonts w:hint="eastAsia" w:ascii="宋体" w:hAnsi="宋体" w:eastAsia="宋体" w:cs="宋体"/>
          <w:color w:val="auto"/>
          <w:kern w:val="2"/>
          <w:sz w:val="21"/>
          <w:szCs w:val="21"/>
          <w:highlight w:val="none"/>
          <w:lang w:eastAsia="zh-CN"/>
        </w:rPr>
        <w:t>灌阳县</w:t>
      </w:r>
      <w:r>
        <w:rPr>
          <w:rFonts w:hint="eastAsia" w:ascii="宋体" w:hAnsi="宋体" w:eastAsia="宋体" w:cs="宋体"/>
          <w:color w:val="auto"/>
          <w:kern w:val="2"/>
          <w:sz w:val="21"/>
          <w:szCs w:val="21"/>
          <w:highlight w:val="none"/>
        </w:rPr>
        <w:t>财政局备案，方可作为主合同不可分割的一部分。</w:t>
      </w:r>
    </w:p>
    <w:p w14:paraId="610E0CAE">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 本合同未尽事宜，遵照《民法典》有关条文执行。</w:t>
      </w:r>
    </w:p>
    <w:p w14:paraId="486F869E">
      <w:pPr>
        <w:widowControl w:val="0"/>
        <w:tabs>
          <w:tab w:val="left" w:pos="4214"/>
        </w:tabs>
        <w:spacing w:after="0" w:line="360" w:lineRule="exact"/>
        <w:ind w:firstLine="422" w:firstLineChars="200"/>
        <w:jc w:val="both"/>
        <w:rPr>
          <w:rFonts w:hint="eastAsia" w:ascii="宋体" w:hAnsi="宋体" w:eastAsia="宋体" w:cs="宋体"/>
          <w:b/>
          <w:bCs/>
          <w:color w:val="auto"/>
          <w:kern w:val="2"/>
          <w:sz w:val="21"/>
          <w:szCs w:val="21"/>
          <w:highlight w:val="none"/>
        </w:rPr>
      </w:pPr>
      <w:r>
        <w:rPr>
          <w:rFonts w:hint="eastAsia" w:ascii="宋体" w:hAnsi="宋体" w:eastAsia="宋体" w:cs="宋体"/>
          <w:b/>
          <w:bCs/>
          <w:color w:val="auto"/>
          <w:kern w:val="2"/>
          <w:sz w:val="21"/>
          <w:szCs w:val="21"/>
          <w:highlight w:val="none"/>
        </w:rPr>
        <w:t>第十五条  合同的变更、终止与转让</w:t>
      </w:r>
    </w:p>
    <w:p w14:paraId="47F79245">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 除《中华人民共和国政府采购法》第五十条规定的情形及本合同约定的情形外，本合同一经签订，甲乙双方不得擅自变更，中止或终止。</w:t>
      </w:r>
    </w:p>
    <w:p w14:paraId="28E59497">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 乙方不得擅自转让其应履行的合同义务。</w:t>
      </w:r>
    </w:p>
    <w:p w14:paraId="4BD64844">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第十六条  签订本合同依据：</w:t>
      </w:r>
    </w:p>
    <w:p w14:paraId="57E1F592">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1.招标文件；</w:t>
      </w:r>
    </w:p>
    <w:p w14:paraId="48E3AAF8">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2.乙方提供的投标文件；</w:t>
      </w:r>
    </w:p>
    <w:p w14:paraId="477D03AA">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3.售后服务承诺书；</w:t>
      </w:r>
    </w:p>
    <w:p w14:paraId="13C2FF2F">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4.中标通知书。</w:t>
      </w:r>
    </w:p>
    <w:p w14:paraId="165801B9">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本合同甲乙双方签字盖章后生效，一式</w:t>
      </w:r>
      <w:r>
        <w:rPr>
          <w:rFonts w:hint="eastAsia" w:ascii="宋体" w:hAnsi="宋体" w:eastAsia="宋体" w:cs="宋体"/>
          <w:color w:val="auto"/>
          <w:kern w:val="2"/>
          <w:sz w:val="21"/>
          <w:szCs w:val="21"/>
          <w:highlight w:val="none"/>
          <w:lang w:eastAsia="zh-CN"/>
        </w:rPr>
        <w:t>陆</w:t>
      </w:r>
      <w:r>
        <w:rPr>
          <w:rFonts w:hint="eastAsia" w:ascii="宋体" w:hAnsi="宋体" w:eastAsia="宋体" w:cs="宋体"/>
          <w:color w:val="auto"/>
          <w:kern w:val="2"/>
          <w:sz w:val="21"/>
          <w:szCs w:val="21"/>
          <w:highlight w:val="none"/>
        </w:rPr>
        <w:t>份，具有同等法律效力，甲方</w:t>
      </w:r>
      <w:r>
        <w:rPr>
          <w:rFonts w:hint="eastAsia" w:ascii="宋体" w:hAnsi="宋体" w:eastAsia="宋体" w:cs="宋体"/>
          <w:color w:val="auto"/>
          <w:kern w:val="2"/>
          <w:sz w:val="21"/>
          <w:szCs w:val="21"/>
          <w:highlight w:val="none"/>
          <w:lang w:eastAsia="zh-CN"/>
        </w:rPr>
        <w:t>叁</w:t>
      </w:r>
      <w:r>
        <w:rPr>
          <w:rFonts w:hint="eastAsia" w:ascii="宋体" w:hAnsi="宋体" w:eastAsia="宋体" w:cs="宋体"/>
          <w:color w:val="auto"/>
          <w:kern w:val="2"/>
          <w:sz w:val="21"/>
          <w:szCs w:val="21"/>
          <w:highlight w:val="none"/>
        </w:rPr>
        <w:t>份、乙方贰份，采购代理机构</w:t>
      </w:r>
      <w:r>
        <w:rPr>
          <w:rFonts w:hint="eastAsia" w:ascii="宋体" w:hAnsi="宋体" w:eastAsia="宋体" w:cs="宋体"/>
          <w:color w:val="auto"/>
          <w:kern w:val="2"/>
          <w:sz w:val="21"/>
          <w:szCs w:val="21"/>
          <w:highlight w:val="none"/>
          <w:lang w:eastAsia="zh-CN"/>
        </w:rPr>
        <w:t>壹</w:t>
      </w:r>
      <w:r>
        <w:rPr>
          <w:rFonts w:hint="eastAsia" w:ascii="宋体" w:hAnsi="宋体" w:eastAsia="宋体" w:cs="宋体"/>
          <w:color w:val="auto"/>
          <w:kern w:val="2"/>
          <w:sz w:val="21"/>
          <w:szCs w:val="21"/>
          <w:highlight w:val="none"/>
        </w:rPr>
        <w:t>份。政府采购合同双方自签订之日起1个工作日内将合同原件两份交采购代理机构</w:t>
      </w:r>
      <w:r>
        <w:rPr>
          <w:rFonts w:hint="eastAsia" w:ascii="宋体" w:hAnsi="宋体" w:eastAsia="宋体" w:cs="宋体"/>
          <w:color w:val="auto"/>
          <w:kern w:val="2"/>
          <w:sz w:val="21"/>
          <w:szCs w:val="21"/>
          <w:highlight w:val="none"/>
          <w:lang w:eastAsia="zh-CN"/>
        </w:rPr>
        <w:t>存档</w:t>
      </w:r>
      <w:r>
        <w:rPr>
          <w:rFonts w:hint="eastAsia" w:ascii="宋体" w:hAnsi="宋体" w:eastAsia="宋体" w:cs="宋体"/>
          <w:color w:val="auto"/>
          <w:kern w:val="2"/>
          <w:sz w:val="21"/>
          <w:szCs w:val="21"/>
          <w:highlight w:val="none"/>
        </w:rPr>
        <w:t>。采购代理机构将政府采购合同在省级以上人民政府财政部门指定媒体上公告。</w:t>
      </w:r>
    </w:p>
    <w:p w14:paraId="5043A5A5">
      <w:pPr>
        <w:spacing w:line="400" w:lineRule="exact"/>
        <w:ind w:firstLine="440" w:firstLineChars="200"/>
        <w:rPr>
          <w:rFonts w:hint="eastAsia" w:ascii="宋体" w:hAnsi="宋体" w:eastAsia="宋体" w:cs="宋体"/>
          <w:color w:val="auto"/>
          <w:highlight w:val="none"/>
        </w:rPr>
      </w:pPr>
    </w:p>
    <w:p w14:paraId="61F378AA">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甲方（公章）：</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乙方（公章）：</w:t>
      </w:r>
      <w:r>
        <w:rPr>
          <w:rFonts w:hint="eastAsia" w:ascii="宋体" w:hAnsi="宋体" w:eastAsia="宋体" w:cs="宋体"/>
          <w:color w:val="auto"/>
          <w:szCs w:val="21"/>
          <w:highlight w:val="none"/>
          <w:u w:val="single"/>
        </w:rPr>
        <w:t xml:space="preserve">                           </w:t>
      </w:r>
    </w:p>
    <w:p w14:paraId="1FD85826">
      <w:pPr>
        <w:keepNext w:val="0"/>
        <w:keepLines w:val="0"/>
        <w:pageBreakBefore w:val="0"/>
        <w:widowControl/>
        <w:kinsoku/>
        <w:wordWrap/>
        <w:overflowPunct/>
        <w:topLinePunct w:val="0"/>
        <w:autoSpaceDE/>
        <w:autoSpaceDN/>
        <w:bidi w:val="0"/>
        <w:adjustRightInd w:val="0"/>
        <w:snapToGrid w:val="0"/>
        <w:spacing w:line="300" w:lineRule="exact"/>
        <w:textAlignment w:val="auto"/>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法定代表人：</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法定代表人：</w:t>
      </w:r>
      <w:r>
        <w:rPr>
          <w:rFonts w:hint="eastAsia" w:ascii="宋体" w:hAnsi="宋体" w:eastAsia="宋体" w:cs="宋体"/>
          <w:color w:val="auto"/>
          <w:szCs w:val="21"/>
          <w:highlight w:val="none"/>
          <w:u w:val="single"/>
        </w:rPr>
        <w:t xml:space="preserve">                               </w:t>
      </w:r>
    </w:p>
    <w:p w14:paraId="665B086D">
      <w:pPr>
        <w:keepNext w:val="0"/>
        <w:keepLines w:val="0"/>
        <w:pageBreakBefore w:val="0"/>
        <w:widowControl/>
        <w:tabs>
          <w:tab w:val="left" w:pos="4680"/>
        </w:tabs>
        <w:kinsoku/>
        <w:wordWrap/>
        <w:overflowPunct/>
        <w:topLinePunct w:val="0"/>
        <w:autoSpaceDE/>
        <w:autoSpaceDN/>
        <w:bidi w:val="0"/>
        <w:adjustRightInd w:val="0"/>
        <w:snapToGrid w:val="0"/>
        <w:spacing w:line="300" w:lineRule="exact"/>
        <w:textAlignment w:val="auto"/>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委托代理人：</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委托代理人：</w:t>
      </w:r>
      <w:r>
        <w:rPr>
          <w:rFonts w:hint="eastAsia" w:ascii="宋体" w:hAnsi="宋体" w:eastAsia="宋体" w:cs="宋体"/>
          <w:color w:val="auto"/>
          <w:szCs w:val="21"/>
          <w:highlight w:val="none"/>
          <w:u w:val="single"/>
        </w:rPr>
        <w:t xml:space="preserve">                                </w:t>
      </w:r>
    </w:p>
    <w:p w14:paraId="7279E2D3">
      <w:pPr>
        <w:keepNext w:val="0"/>
        <w:keepLines w:val="0"/>
        <w:pageBreakBefore w:val="0"/>
        <w:widowControl/>
        <w:tabs>
          <w:tab w:val="left" w:pos="5040"/>
        </w:tabs>
        <w:kinsoku/>
        <w:wordWrap/>
        <w:overflowPunct/>
        <w:topLinePunct w:val="0"/>
        <w:autoSpaceDE/>
        <w:autoSpaceDN/>
        <w:bidi w:val="0"/>
        <w:adjustRightInd w:val="0"/>
        <w:snapToGrid w:val="0"/>
        <w:spacing w:line="300" w:lineRule="exact"/>
        <w:textAlignment w:val="auto"/>
        <w:rPr>
          <w:rFonts w:hint="eastAsia" w:ascii="宋体" w:hAnsi="宋体" w:eastAsia="宋体" w:cs="宋体"/>
          <w:color w:val="auto"/>
          <w:szCs w:val="21"/>
          <w:highlight w:val="none"/>
          <w:u w:val="single"/>
        </w:rPr>
      </w:pPr>
      <w:r>
        <w:rPr>
          <w:rFonts w:hint="eastAsia" w:ascii="宋体" w:hAnsi="宋体" w:eastAsia="宋体" w:cs="宋体"/>
          <w:color w:val="auto"/>
          <w:szCs w:val="21"/>
          <w:highlight w:val="none"/>
        </w:rPr>
        <w:t>电  话：</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电   话： </w:t>
      </w:r>
      <w:r>
        <w:rPr>
          <w:rFonts w:hint="eastAsia" w:ascii="宋体" w:hAnsi="宋体" w:eastAsia="宋体" w:cs="宋体"/>
          <w:color w:val="auto"/>
          <w:szCs w:val="21"/>
          <w:highlight w:val="none"/>
          <w:u w:val="single"/>
        </w:rPr>
        <w:t xml:space="preserve">                                 </w:t>
      </w:r>
    </w:p>
    <w:p w14:paraId="1BD7544D">
      <w:pPr>
        <w:keepNext w:val="0"/>
        <w:keepLines w:val="0"/>
        <w:pageBreakBefore w:val="0"/>
        <w:widowControl/>
        <w:tabs>
          <w:tab w:val="left" w:pos="5040"/>
        </w:tabs>
        <w:kinsoku/>
        <w:wordWrap/>
        <w:overflowPunct/>
        <w:topLinePunct w:val="0"/>
        <w:autoSpaceDE/>
        <w:autoSpaceDN/>
        <w:bidi w:val="0"/>
        <w:adjustRightInd w:val="0"/>
        <w:snapToGrid w:val="0"/>
        <w:spacing w:line="30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开户名称：</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开户名称：</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p>
    <w:p w14:paraId="6B59CDA5">
      <w:pPr>
        <w:keepNext w:val="0"/>
        <w:keepLines w:val="0"/>
        <w:pageBreakBefore w:val="0"/>
        <w:widowControl/>
        <w:tabs>
          <w:tab w:val="left" w:pos="5040"/>
        </w:tabs>
        <w:kinsoku/>
        <w:wordWrap/>
        <w:overflowPunct/>
        <w:topLinePunct w:val="0"/>
        <w:autoSpaceDE/>
        <w:autoSpaceDN/>
        <w:bidi w:val="0"/>
        <w:adjustRightInd w:val="0"/>
        <w:snapToGrid w:val="0"/>
        <w:spacing w:line="30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开户银行：</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开户银行：</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p>
    <w:p w14:paraId="2699332E">
      <w:pPr>
        <w:keepNext w:val="0"/>
        <w:keepLines w:val="0"/>
        <w:pageBreakBefore w:val="0"/>
        <w:widowControl/>
        <w:tabs>
          <w:tab w:val="left" w:pos="5040"/>
        </w:tabs>
        <w:kinsoku/>
        <w:wordWrap/>
        <w:overflowPunct/>
        <w:topLinePunct w:val="0"/>
        <w:autoSpaceDE/>
        <w:autoSpaceDN/>
        <w:bidi w:val="0"/>
        <w:adjustRightInd w:val="0"/>
        <w:snapToGrid w:val="0"/>
        <w:spacing w:line="300" w:lineRule="exact"/>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银行账号：</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银行账号：</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p>
    <w:p w14:paraId="11F6C790">
      <w:pPr>
        <w:keepNext w:val="0"/>
        <w:keepLines w:val="0"/>
        <w:pageBreakBefore w:val="0"/>
        <w:widowControl/>
        <w:tabs>
          <w:tab w:val="left" w:pos="5040"/>
        </w:tabs>
        <w:kinsoku/>
        <w:wordWrap/>
        <w:overflowPunct/>
        <w:topLinePunct w:val="0"/>
        <w:autoSpaceDE/>
        <w:autoSpaceDN/>
        <w:bidi w:val="0"/>
        <w:adjustRightInd w:val="0"/>
        <w:snapToGrid w:val="0"/>
        <w:spacing w:line="300" w:lineRule="exact"/>
        <w:textAlignment w:val="auto"/>
        <w:rPr>
          <w:rFonts w:hint="eastAsia"/>
          <w:color w:val="auto"/>
          <w:highlight w:val="none"/>
        </w:rPr>
      </w:pPr>
      <w:r>
        <w:rPr>
          <w:rFonts w:hint="eastAsia" w:ascii="宋体" w:hAnsi="宋体" w:eastAsia="宋体" w:cs="宋体"/>
          <w:color w:val="auto"/>
          <w:szCs w:val="21"/>
          <w:highlight w:val="none"/>
        </w:rPr>
        <w:t>日    期：</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日    期：</w:t>
      </w:r>
      <w:r>
        <w:rPr>
          <w:rFonts w:hint="eastAsia" w:ascii="宋体" w:hAnsi="宋体" w:eastAsia="宋体" w:cs="宋体"/>
          <w:color w:val="auto"/>
          <w:szCs w:val="21"/>
          <w:highlight w:val="none"/>
          <w:u w:val="single"/>
        </w:rPr>
        <w:t xml:space="preserve">                                </w:t>
      </w:r>
    </w:p>
    <w:p w14:paraId="3B6E75E6">
      <w:pPr>
        <w:rPr>
          <w:rFonts w:hint="eastAsia" w:ascii="宋体" w:hAnsi="宋体" w:eastAsia="宋体" w:cs="宋体"/>
          <w:color w:val="auto"/>
          <w:highlight w:val="none"/>
        </w:rPr>
      </w:pPr>
    </w:p>
    <w:p w14:paraId="750C8B7F">
      <w:pPr>
        <w:rPr>
          <w:rFonts w:hint="eastAsia" w:ascii="宋体" w:hAnsi="宋体" w:eastAsia="宋体" w:cs="宋体"/>
          <w:b/>
          <w:color w:val="auto"/>
          <w:sz w:val="32"/>
          <w:szCs w:val="32"/>
          <w:highlight w:val="none"/>
        </w:rPr>
      </w:pPr>
      <w:bookmarkStart w:id="6" w:name="_Toc20434"/>
      <w:r>
        <w:rPr>
          <w:rFonts w:hint="eastAsia" w:ascii="宋体" w:hAnsi="宋体" w:eastAsia="宋体" w:cs="宋体"/>
          <w:b/>
          <w:color w:val="auto"/>
          <w:sz w:val="32"/>
          <w:szCs w:val="32"/>
          <w:highlight w:val="none"/>
        </w:rPr>
        <w:br w:type="page"/>
      </w:r>
    </w:p>
    <w:p w14:paraId="18E6B839">
      <w:pPr>
        <w:spacing w:line="360" w:lineRule="exact"/>
        <w:jc w:val="center"/>
        <w:outlineLvl w:val="0"/>
        <w:rPr>
          <w:rFonts w:hint="eastAsia" w:ascii="宋体" w:hAnsi="宋体" w:eastAsia="宋体" w:cs="宋体"/>
          <w:b/>
          <w:color w:val="auto"/>
          <w:sz w:val="32"/>
          <w:szCs w:val="32"/>
          <w:highlight w:val="none"/>
        </w:rPr>
      </w:pPr>
    </w:p>
    <w:p w14:paraId="4DD3AD3C">
      <w:pPr>
        <w:spacing w:line="360" w:lineRule="exact"/>
        <w:jc w:val="center"/>
        <w:outlineLvl w:val="0"/>
        <w:rPr>
          <w:rFonts w:hint="eastAsia" w:ascii="宋体" w:hAnsi="宋体" w:eastAsia="宋体" w:cs="宋体"/>
          <w:b/>
          <w:color w:val="auto"/>
          <w:sz w:val="32"/>
          <w:szCs w:val="32"/>
          <w:highlight w:val="none"/>
        </w:rPr>
      </w:pPr>
    </w:p>
    <w:p w14:paraId="05E386BD">
      <w:pPr>
        <w:spacing w:line="360" w:lineRule="exact"/>
        <w:jc w:val="center"/>
        <w:outlineLvl w:val="0"/>
        <w:rPr>
          <w:rFonts w:hint="eastAsia" w:ascii="宋体" w:hAnsi="宋体" w:eastAsia="宋体" w:cs="宋体"/>
          <w:b/>
          <w:color w:val="auto"/>
          <w:sz w:val="32"/>
          <w:szCs w:val="32"/>
          <w:highlight w:val="none"/>
        </w:rPr>
      </w:pPr>
    </w:p>
    <w:p w14:paraId="3DCF0CF8">
      <w:pPr>
        <w:spacing w:line="360" w:lineRule="exact"/>
        <w:jc w:val="center"/>
        <w:outlineLvl w:val="0"/>
        <w:rPr>
          <w:rFonts w:hint="eastAsia" w:ascii="宋体" w:hAnsi="宋体" w:eastAsia="宋体" w:cs="宋体"/>
          <w:b/>
          <w:color w:val="auto"/>
          <w:sz w:val="32"/>
          <w:szCs w:val="32"/>
          <w:highlight w:val="none"/>
        </w:rPr>
      </w:pPr>
    </w:p>
    <w:p w14:paraId="59BEAF05">
      <w:pPr>
        <w:spacing w:line="360" w:lineRule="exact"/>
        <w:jc w:val="center"/>
        <w:outlineLvl w:val="0"/>
        <w:rPr>
          <w:rFonts w:hint="eastAsia" w:ascii="宋体" w:hAnsi="宋体" w:eastAsia="宋体" w:cs="宋体"/>
          <w:b/>
          <w:color w:val="auto"/>
          <w:sz w:val="32"/>
          <w:szCs w:val="32"/>
          <w:highlight w:val="none"/>
        </w:rPr>
      </w:pPr>
    </w:p>
    <w:p w14:paraId="13DE940B">
      <w:pPr>
        <w:spacing w:line="360" w:lineRule="exact"/>
        <w:jc w:val="center"/>
        <w:outlineLvl w:val="0"/>
        <w:rPr>
          <w:rFonts w:hint="eastAsia" w:ascii="宋体" w:hAnsi="宋体" w:eastAsia="宋体" w:cs="宋体"/>
          <w:b/>
          <w:color w:val="auto"/>
          <w:sz w:val="32"/>
          <w:szCs w:val="32"/>
          <w:highlight w:val="none"/>
        </w:rPr>
      </w:pPr>
    </w:p>
    <w:p w14:paraId="0794A691">
      <w:pPr>
        <w:spacing w:line="360" w:lineRule="exact"/>
        <w:jc w:val="center"/>
        <w:outlineLvl w:val="0"/>
        <w:rPr>
          <w:rFonts w:hint="eastAsia" w:ascii="宋体" w:hAnsi="宋体" w:eastAsia="宋体" w:cs="宋体"/>
          <w:b/>
          <w:color w:val="auto"/>
          <w:sz w:val="32"/>
          <w:szCs w:val="32"/>
          <w:highlight w:val="none"/>
        </w:rPr>
      </w:pPr>
    </w:p>
    <w:p w14:paraId="32327DF6">
      <w:pPr>
        <w:spacing w:line="360" w:lineRule="exact"/>
        <w:jc w:val="center"/>
        <w:outlineLvl w:val="0"/>
        <w:rPr>
          <w:rFonts w:hint="eastAsia" w:ascii="宋体" w:hAnsi="宋体" w:eastAsia="宋体" w:cs="宋体"/>
          <w:b/>
          <w:color w:val="auto"/>
          <w:sz w:val="32"/>
          <w:szCs w:val="32"/>
          <w:highlight w:val="none"/>
        </w:rPr>
      </w:pPr>
    </w:p>
    <w:p w14:paraId="7F4DA0A5">
      <w:pPr>
        <w:spacing w:line="360" w:lineRule="exact"/>
        <w:jc w:val="center"/>
        <w:outlineLvl w:val="0"/>
        <w:rPr>
          <w:rFonts w:hint="eastAsia" w:ascii="宋体" w:hAnsi="宋体" w:eastAsia="宋体" w:cs="宋体"/>
          <w:b/>
          <w:color w:val="auto"/>
          <w:sz w:val="32"/>
          <w:szCs w:val="32"/>
          <w:highlight w:val="none"/>
        </w:rPr>
      </w:pPr>
    </w:p>
    <w:p w14:paraId="48C87D86">
      <w:pPr>
        <w:spacing w:line="360" w:lineRule="exact"/>
        <w:jc w:val="center"/>
        <w:outlineLvl w:val="0"/>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第六章 投标文件格</w:t>
      </w:r>
      <w:r>
        <w:rPr>
          <w:rFonts w:hint="eastAsia" w:ascii="宋体" w:hAnsi="宋体" w:eastAsia="宋体" w:cs="宋体"/>
          <w:b/>
          <w:bCs/>
          <w:color w:val="auto"/>
          <w:sz w:val="30"/>
          <w:szCs w:val="30"/>
          <w:highlight w:val="none"/>
        </w:rPr>
        <w:t>式</w:t>
      </w:r>
      <w:bookmarkEnd w:id="6"/>
    </w:p>
    <w:p w14:paraId="71B66B8B">
      <w:pPr>
        <w:rPr>
          <w:rFonts w:hint="eastAsia" w:ascii="宋体" w:hAnsi="宋体" w:eastAsia="宋体" w:cs="宋体"/>
          <w:b/>
          <w:bCs/>
          <w:color w:val="auto"/>
          <w:sz w:val="30"/>
          <w:szCs w:val="30"/>
          <w:highlight w:val="none"/>
        </w:rPr>
      </w:pPr>
      <w:bookmarkStart w:id="7" w:name="_Toc486695806"/>
      <w:bookmarkStart w:id="8" w:name="_Toc498627082"/>
      <w:bookmarkStart w:id="9" w:name="_Toc486867150"/>
      <w:bookmarkStart w:id="10" w:name="_Toc498698226"/>
      <w:bookmarkStart w:id="11" w:name="_Toc478137727"/>
      <w:bookmarkStart w:id="12" w:name="_Toc31410"/>
      <w:bookmarkStart w:id="13" w:name="_Toc1762"/>
    </w:p>
    <w:p w14:paraId="7579894C">
      <w:pPr>
        <w:rPr>
          <w:rFonts w:hint="eastAsia" w:ascii="宋体" w:hAnsi="宋体" w:eastAsia="宋体" w:cs="宋体"/>
          <w:b/>
          <w:bCs/>
          <w:color w:val="auto"/>
          <w:sz w:val="30"/>
          <w:szCs w:val="30"/>
          <w:highlight w:val="none"/>
        </w:rPr>
      </w:pPr>
      <w:r>
        <w:rPr>
          <w:rFonts w:hint="eastAsia" w:ascii="宋体" w:hAnsi="宋体" w:eastAsia="宋体" w:cs="宋体"/>
          <w:b/>
          <w:bCs/>
          <w:color w:val="auto"/>
          <w:sz w:val="30"/>
          <w:szCs w:val="30"/>
          <w:highlight w:val="none"/>
        </w:rPr>
        <w:br w:type="page"/>
      </w:r>
    </w:p>
    <w:p w14:paraId="1D2ABDEC">
      <w:pPr>
        <w:rPr>
          <w:rFonts w:hint="eastAsia" w:ascii="宋体" w:hAnsi="宋体" w:eastAsia="宋体" w:cs="宋体"/>
          <w:b/>
          <w:bCs/>
          <w:color w:val="auto"/>
          <w:sz w:val="30"/>
          <w:szCs w:val="30"/>
          <w:highlight w:val="none"/>
        </w:rPr>
      </w:pPr>
    </w:p>
    <w:p w14:paraId="1B560665">
      <w:pPr>
        <w:rPr>
          <w:rFonts w:hint="eastAsia" w:ascii="宋体" w:hAnsi="宋体" w:eastAsia="宋体" w:cs="宋体"/>
          <w:b/>
          <w:bCs/>
          <w:color w:val="auto"/>
          <w:sz w:val="30"/>
          <w:szCs w:val="30"/>
          <w:highlight w:val="none"/>
        </w:rPr>
      </w:pPr>
      <w:r>
        <w:rPr>
          <w:rFonts w:hint="eastAsia" w:ascii="宋体" w:hAnsi="宋体" w:eastAsia="宋体" w:cs="宋体"/>
          <w:b/>
          <w:bCs/>
          <w:color w:val="auto"/>
          <w:sz w:val="30"/>
          <w:szCs w:val="30"/>
          <w:highlight w:val="none"/>
        </w:rPr>
        <w:t>投标文件封面格式</w:t>
      </w:r>
      <w:bookmarkEnd w:id="7"/>
      <w:bookmarkEnd w:id="8"/>
      <w:bookmarkEnd w:id="9"/>
      <w:bookmarkEnd w:id="10"/>
      <w:bookmarkEnd w:id="11"/>
      <w:r>
        <w:rPr>
          <w:rFonts w:hint="eastAsia" w:ascii="宋体" w:hAnsi="宋体" w:eastAsia="宋体" w:cs="宋体"/>
          <w:b/>
          <w:bCs/>
          <w:color w:val="auto"/>
          <w:sz w:val="30"/>
          <w:szCs w:val="30"/>
          <w:highlight w:val="none"/>
        </w:rPr>
        <w:t>：</w:t>
      </w:r>
      <w:bookmarkEnd w:id="12"/>
      <w:bookmarkEnd w:id="13"/>
    </w:p>
    <w:p w14:paraId="607BB333">
      <w:pPr>
        <w:adjustRightInd w:val="0"/>
        <w:snapToGrid w:val="0"/>
        <w:rPr>
          <w:rFonts w:hint="eastAsia" w:ascii="宋体" w:hAnsi="宋体" w:eastAsia="宋体" w:cs="宋体"/>
          <w:b/>
          <w:color w:val="auto"/>
          <w:sz w:val="44"/>
          <w:szCs w:val="44"/>
          <w:highlight w:val="none"/>
        </w:rPr>
      </w:pPr>
    </w:p>
    <w:p w14:paraId="69D5D8D1">
      <w:pPr>
        <w:rPr>
          <w:rFonts w:hint="eastAsia" w:ascii="宋体" w:hAnsi="宋体" w:eastAsia="宋体" w:cs="宋体"/>
          <w:color w:val="auto"/>
          <w:highlight w:val="none"/>
        </w:rPr>
      </w:pPr>
    </w:p>
    <w:p w14:paraId="4603EC8C">
      <w:pPr>
        <w:adjustRightInd w:val="0"/>
        <w:snapToGrid w:val="0"/>
        <w:jc w:val="center"/>
        <w:rPr>
          <w:rFonts w:hint="eastAsia" w:ascii="宋体" w:hAnsi="宋体" w:eastAsia="宋体" w:cs="宋体"/>
          <w:b/>
          <w:color w:val="auto"/>
          <w:sz w:val="44"/>
          <w:szCs w:val="44"/>
          <w:highlight w:val="none"/>
        </w:rPr>
      </w:pPr>
      <w:bookmarkStart w:id="14" w:name="_Toc3441_WPSOffice_Level1"/>
      <w:bookmarkStart w:id="15" w:name="_Toc13659_WPSOffice_Level1"/>
      <w:r>
        <w:rPr>
          <w:rFonts w:hint="eastAsia" w:ascii="宋体" w:hAnsi="宋体" w:eastAsia="宋体" w:cs="宋体"/>
          <w:bCs/>
          <w:color w:val="auto"/>
          <w:sz w:val="72"/>
          <w:szCs w:val="72"/>
          <w:highlight w:val="none"/>
        </w:rPr>
        <w:t>投标文件</w:t>
      </w:r>
      <w:bookmarkEnd w:id="14"/>
      <w:bookmarkEnd w:id="15"/>
    </w:p>
    <w:p w14:paraId="424B0B94">
      <w:pPr>
        <w:adjustRightInd w:val="0"/>
        <w:snapToGrid w:val="0"/>
        <w:rPr>
          <w:rFonts w:hint="eastAsia" w:ascii="宋体" w:hAnsi="宋体" w:eastAsia="宋体" w:cs="宋体"/>
          <w:b/>
          <w:color w:val="auto"/>
          <w:sz w:val="44"/>
          <w:szCs w:val="44"/>
          <w:highlight w:val="none"/>
        </w:rPr>
      </w:pPr>
    </w:p>
    <w:p w14:paraId="53E11290">
      <w:pPr>
        <w:pStyle w:val="6"/>
        <w:rPr>
          <w:rFonts w:hint="eastAsia"/>
        </w:rPr>
      </w:pPr>
    </w:p>
    <w:p w14:paraId="366B15A3">
      <w:pPr>
        <w:pStyle w:val="24"/>
        <w:ind w:firstLine="883"/>
        <w:rPr>
          <w:rFonts w:hint="eastAsia" w:ascii="宋体" w:hAnsi="宋体" w:eastAsia="宋体" w:cs="宋体"/>
          <w:b/>
          <w:color w:val="auto"/>
          <w:sz w:val="44"/>
          <w:szCs w:val="44"/>
          <w:highlight w:val="none"/>
        </w:rPr>
      </w:pPr>
    </w:p>
    <w:p w14:paraId="418E8645">
      <w:pPr>
        <w:pStyle w:val="24"/>
        <w:ind w:firstLine="2650" w:firstLineChars="600"/>
        <w:jc w:val="both"/>
        <w:rPr>
          <w:rFonts w:hint="eastAsia" w:ascii="宋体" w:hAnsi="宋体" w:cs="宋体"/>
          <w:b/>
          <w:color w:val="auto"/>
          <w:sz w:val="44"/>
          <w:szCs w:val="44"/>
          <w:highlight w:val="none"/>
          <w:lang w:eastAsia="zh-CN"/>
        </w:rPr>
      </w:pPr>
      <w:r>
        <w:rPr>
          <w:rFonts w:hint="eastAsia" w:ascii="宋体" w:hAnsi="宋体" w:cs="宋体"/>
          <w:b/>
          <w:color w:val="auto"/>
          <w:sz w:val="44"/>
          <w:szCs w:val="44"/>
          <w:highlight w:val="none"/>
          <w:lang w:eastAsia="zh-CN"/>
        </w:rPr>
        <w:t>（资格性响应部分）</w:t>
      </w:r>
    </w:p>
    <w:p w14:paraId="0A9B1E85">
      <w:pPr>
        <w:pStyle w:val="24"/>
        <w:ind w:firstLine="2650" w:firstLineChars="600"/>
        <w:jc w:val="both"/>
        <w:rPr>
          <w:rFonts w:hint="eastAsia" w:ascii="宋体" w:hAnsi="宋体" w:cs="宋体"/>
          <w:b/>
          <w:color w:val="auto"/>
          <w:sz w:val="44"/>
          <w:szCs w:val="44"/>
          <w:highlight w:val="none"/>
          <w:lang w:eastAsia="zh-CN"/>
        </w:rPr>
      </w:pPr>
    </w:p>
    <w:p w14:paraId="7EC0BEAD">
      <w:pPr>
        <w:spacing w:line="600" w:lineRule="exact"/>
        <w:ind w:firstLine="750" w:firstLineChars="250"/>
        <w:rPr>
          <w:rFonts w:hint="eastAsia" w:ascii="宋体" w:hAnsi="宋体" w:eastAsia="宋体" w:cs="宋体"/>
          <w:bCs/>
          <w:color w:val="auto"/>
          <w:sz w:val="30"/>
          <w:szCs w:val="30"/>
          <w:highlight w:val="none"/>
          <w:lang w:eastAsia="zh-CN"/>
        </w:rPr>
      </w:pPr>
      <w:r>
        <w:rPr>
          <w:rFonts w:hint="eastAsia" w:ascii="宋体" w:hAnsi="宋体" w:eastAsia="宋体" w:cs="宋体"/>
          <w:bCs/>
          <w:color w:val="auto"/>
          <w:sz w:val="30"/>
          <w:szCs w:val="30"/>
          <w:highlight w:val="none"/>
        </w:rPr>
        <w:t>项目名称：</w:t>
      </w:r>
      <w:r>
        <w:rPr>
          <w:rFonts w:hint="eastAsia" w:ascii="宋体" w:hAnsi="宋体" w:eastAsia="宋体" w:cs="宋体"/>
          <w:bCs/>
          <w:color w:val="auto"/>
          <w:sz w:val="30"/>
          <w:szCs w:val="30"/>
          <w:highlight w:val="none"/>
          <w:u w:val="single"/>
          <w:lang w:eastAsia="zh-CN"/>
        </w:rPr>
        <w:t>灌阳县洞井民族小学教学仪器设备采购</w:t>
      </w:r>
    </w:p>
    <w:p w14:paraId="74A97103">
      <w:pPr>
        <w:spacing w:line="600" w:lineRule="exact"/>
        <w:ind w:firstLine="750" w:firstLineChars="250"/>
        <w:rPr>
          <w:rFonts w:hint="eastAsia" w:ascii="宋体" w:hAnsi="宋体" w:eastAsia="宋体" w:cs="宋体"/>
          <w:bCs/>
          <w:color w:val="auto"/>
          <w:sz w:val="30"/>
          <w:szCs w:val="30"/>
          <w:highlight w:val="none"/>
          <w:u w:val="single"/>
        </w:rPr>
      </w:pPr>
      <w:r>
        <w:rPr>
          <w:rFonts w:hint="eastAsia" w:ascii="宋体" w:hAnsi="宋体" w:eastAsia="宋体" w:cs="宋体"/>
          <w:bCs/>
          <w:color w:val="auto"/>
          <w:sz w:val="30"/>
          <w:szCs w:val="30"/>
          <w:highlight w:val="none"/>
        </w:rPr>
        <w:t>项目编号：</w:t>
      </w:r>
      <w:r>
        <w:rPr>
          <w:rFonts w:hint="eastAsia" w:ascii="宋体" w:hAnsi="宋体" w:eastAsia="宋体" w:cs="宋体"/>
          <w:bCs/>
          <w:color w:val="000000" w:themeColor="text1"/>
          <w:sz w:val="30"/>
          <w:szCs w:val="30"/>
          <w:highlight w:val="none"/>
          <w:u w:val="single"/>
          <w14:textFill>
            <w14:solidFill>
              <w14:schemeClr w14:val="tx1"/>
            </w14:solidFill>
          </w14:textFill>
        </w:rPr>
        <w:t xml:space="preserve">GLZC2024-G1-270182-GXGX </w:t>
      </w:r>
    </w:p>
    <w:p w14:paraId="49EB48A9">
      <w:pPr>
        <w:snapToGrid w:val="0"/>
        <w:spacing w:before="120" w:beforeLines="50" w:after="50"/>
        <w:ind w:firstLine="1260" w:firstLineChars="450"/>
        <w:rPr>
          <w:rFonts w:hint="eastAsia" w:ascii="宋体" w:hAnsi="宋体" w:eastAsia="宋体" w:cs="宋体"/>
          <w:bCs/>
          <w:color w:val="auto"/>
          <w:sz w:val="28"/>
          <w:szCs w:val="28"/>
          <w:highlight w:val="none"/>
        </w:rPr>
      </w:pPr>
    </w:p>
    <w:p w14:paraId="7DB30534">
      <w:pPr>
        <w:pStyle w:val="24"/>
        <w:ind w:firstLine="420"/>
        <w:rPr>
          <w:rFonts w:hint="eastAsia" w:ascii="宋体" w:hAnsi="宋体" w:eastAsia="宋体" w:cs="宋体"/>
          <w:color w:val="auto"/>
          <w:highlight w:val="none"/>
        </w:rPr>
      </w:pPr>
    </w:p>
    <w:p w14:paraId="7C6E1C58">
      <w:pPr>
        <w:jc w:val="left"/>
        <w:rPr>
          <w:rFonts w:hint="eastAsia" w:ascii="宋体" w:hAnsi="宋体" w:eastAsia="宋体" w:cs="宋体"/>
          <w:b/>
          <w:color w:val="auto"/>
          <w:sz w:val="32"/>
          <w:szCs w:val="32"/>
          <w:highlight w:val="none"/>
        </w:rPr>
      </w:pPr>
    </w:p>
    <w:p w14:paraId="33BF9675">
      <w:pPr>
        <w:pStyle w:val="7"/>
        <w:spacing w:line="500" w:lineRule="exact"/>
        <w:ind w:firstLine="240" w:firstLineChars="100"/>
        <w:jc w:val="both"/>
        <w:rPr>
          <w:rFonts w:hint="eastAsia" w:ascii="宋体" w:hAnsi="宋体" w:eastAsia="宋体" w:cs="宋体"/>
          <w:bCs/>
          <w:color w:val="auto"/>
          <w:sz w:val="24"/>
          <w:szCs w:val="24"/>
          <w:highlight w:val="none"/>
          <w:u w:val="single"/>
          <w:lang w:eastAsia="zh-CN"/>
        </w:rPr>
      </w:pPr>
      <w:r>
        <w:rPr>
          <w:rFonts w:hint="eastAsia" w:ascii="宋体" w:hAnsi="宋体" w:eastAsia="宋体" w:cs="宋体"/>
          <w:bCs/>
          <w:color w:val="auto"/>
          <w:sz w:val="24"/>
          <w:szCs w:val="24"/>
          <w:highlight w:val="none"/>
        </w:rPr>
        <w:t>采购代理机构：</w:t>
      </w:r>
      <w:bookmarkStart w:id="16" w:name="_Toc4932_WPSOffice_Level2"/>
      <w:bookmarkStart w:id="17" w:name="_Toc20319_WPSOffice_Level2"/>
      <w:r>
        <w:rPr>
          <w:rFonts w:hint="eastAsia" w:ascii="宋体" w:hAnsi="宋体" w:cs="宋体"/>
          <w:bCs/>
          <w:color w:val="auto"/>
          <w:sz w:val="24"/>
          <w:szCs w:val="24"/>
          <w:highlight w:val="none"/>
          <w:u w:val="single"/>
          <w:lang w:eastAsia="zh-CN"/>
        </w:rPr>
        <w:t>广西国兴项目管理有限公司</w:t>
      </w:r>
    </w:p>
    <w:p w14:paraId="47CADD7C">
      <w:pPr>
        <w:pStyle w:val="7"/>
        <w:spacing w:line="500" w:lineRule="exact"/>
        <w:ind w:firstLine="240" w:firstLineChars="1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投标人名称[公章(CA签章)，自然人除外]：</w:t>
      </w:r>
      <w:bookmarkEnd w:id="16"/>
      <w:bookmarkEnd w:id="17"/>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u w:val="single"/>
          <w:lang w:val="en-US" w:eastAsia="zh-CN"/>
        </w:rPr>
        <w:t>.</w:t>
      </w:r>
      <w:r>
        <w:rPr>
          <w:rFonts w:hint="eastAsia" w:ascii="宋体" w:hAnsi="宋体" w:eastAsia="宋体" w:cs="宋体"/>
          <w:bCs/>
          <w:color w:val="auto"/>
          <w:sz w:val="24"/>
          <w:szCs w:val="24"/>
          <w:highlight w:val="none"/>
          <w:u w:val="single"/>
        </w:rPr>
        <w:t xml:space="preserve">   </w:t>
      </w:r>
    </w:p>
    <w:p w14:paraId="0D8CC099">
      <w:pPr>
        <w:pStyle w:val="9"/>
        <w:spacing w:line="500" w:lineRule="exact"/>
        <w:ind w:firstLine="720" w:firstLineChars="300"/>
        <w:rPr>
          <w:rFonts w:hint="eastAsia" w:ascii="宋体" w:hAnsi="宋体" w:eastAsia="宋体" w:cs="宋体"/>
          <w:color w:val="auto"/>
          <w:sz w:val="24"/>
          <w:szCs w:val="24"/>
          <w:highlight w:val="none"/>
          <w:u w:val="single"/>
        </w:rPr>
      </w:pPr>
      <w:bookmarkStart w:id="18" w:name="_Toc9622_WPSOffice_Level2"/>
      <w:bookmarkStart w:id="19" w:name="_Toc32056_WPSOffice_Level2"/>
      <w:r>
        <w:rPr>
          <w:rFonts w:hint="eastAsia" w:ascii="宋体" w:hAnsi="宋体" w:eastAsia="宋体" w:cs="宋体"/>
          <w:color w:val="auto"/>
          <w:sz w:val="24"/>
          <w:szCs w:val="24"/>
          <w:highlight w:val="none"/>
        </w:rPr>
        <w:t>法定代表人、负责人、自然人或相应的委托代理人签字</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或个人CA签章)：</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w:t>
      </w:r>
      <w:r>
        <w:rPr>
          <w:rFonts w:hint="eastAsia" w:ascii="宋体" w:hAnsi="宋体" w:eastAsia="宋体" w:cs="宋体"/>
          <w:color w:val="auto"/>
          <w:sz w:val="24"/>
          <w:szCs w:val="24"/>
          <w:highlight w:val="none"/>
          <w:u w:val="single"/>
        </w:rPr>
        <w:t xml:space="preserve">      </w:t>
      </w:r>
    </w:p>
    <w:p w14:paraId="6EFA0C87">
      <w:pPr>
        <w:pStyle w:val="7"/>
        <w:spacing w:line="500" w:lineRule="exact"/>
        <w:ind w:firstLine="240" w:firstLineChars="100"/>
        <w:rPr>
          <w:rFonts w:hint="eastAsia" w:ascii="宋体" w:hAnsi="宋体" w:eastAsia="宋体" w:cs="宋体"/>
          <w:bCs/>
          <w:color w:val="auto"/>
          <w:sz w:val="24"/>
          <w:szCs w:val="24"/>
          <w:highlight w:val="none"/>
          <w:u w:val="single"/>
        </w:rPr>
      </w:pPr>
      <w:r>
        <w:rPr>
          <w:rFonts w:hint="eastAsia" w:ascii="宋体" w:hAnsi="宋体" w:eastAsia="宋体" w:cs="宋体"/>
          <w:bCs/>
          <w:color w:val="auto"/>
          <w:sz w:val="24"/>
          <w:szCs w:val="24"/>
          <w:highlight w:val="none"/>
        </w:rPr>
        <w:t>联系电话：</w:t>
      </w:r>
      <w:bookmarkEnd w:id="18"/>
      <w:bookmarkEnd w:id="19"/>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u w:val="single"/>
          <w:lang w:val="en-US" w:eastAsia="zh-CN"/>
        </w:rPr>
        <w:t>.</w:t>
      </w:r>
      <w:r>
        <w:rPr>
          <w:rFonts w:hint="eastAsia" w:ascii="宋体" w:hAnsi="宋体" w:eastAsia="宋体" w:cs="宋体"/>
          <w:bCs/>
          <w:color w:val="auto"/>
          <w:sz w:val="24"/>
          <w:szCs w:val="24"/>
          <w:highlight w:val="none"/>
          <w:u w:val="single"/>
        </w:rPr>
        <w:t xml:space="preserve">                      </w:t>
      </w:r>
    </w:p>
    <w:p w14:paraId="3963395C">
      <w:pPr>
        <w:pStyle w:val="7"/>
        <w:spacing w:line="500" w:lineRule="exact"/>
        <w:ind w:firstLine="240" w:firstLineChars="100"/>
        <w:rPr>
          <w:rFonts w:hint="eastAsia" w:ascii="宋体" w:hAnsi="宋体" w:eastAsia="宋体" w:cs="宋体"/>
          <w:bCs/>
          <w:color w:val="auto"/>
          <w:sz w:val="24"/>
          <w:szCs w:val="24"/>
          <w:highlight w:val="none"/>
        </w:rPr>
      </w:pPr>
      <w:bookmarkStart w:id="20" w:name="_Toc15933_WPSOffice_Level2"/>
      <w:bookmarkStart w:id="21" w:name="_Toc26465_WPSOffice_Level2"/>
      <w:r>
        <w:rPr>
          <w:rFonts w:hint="eastAsia" w:ascii="宋体" w:hAnsi="宋体" w:eastAsia="宋体" w:cs="宋体"/>
          <w:bCs/>
          <w:color w:val="auto"/>
          <w:sz w:val="24"/>
          <w:szCs w:val="24"/>
          <w:highlight w:val="none"/>
        </w:rPr>
        <w:t>投标日期：</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rPr>
        <w:t>年</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rPr>
        <w:t>月</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rPr>
        <w:t>日</w:t>
      </w:r>
      <w:bookmarkEnd w:id="20"/>
      <w:bookmarkEnd w:id="21"/>
    </w:p>
    <w:p w14:paraId="56BCD54A">
      <w:pPr>
        <w:rPr>
          <w:rFonts w:hint="eastAsia" w:ascii="宋体" w:hAnsi="宋体" w:eastAsia="宋体" w:cs="宋体"/>
          <w:color w:val="auto"/>
          <w:highlight w:val="none"/>
        </w:rPr>
      </w:pPr>
    </w:p>
    <w:p w14:paraId="3010D708">
      <w:pPr>
        <w:pStyle w:val="24"/>
        <w:rPr>
          <w:rFonts w:hint="eastAsia" w:ascii="宋体" w:hAnsi="宋体" w:eastAsia="宋体"/>
          <w:color w:val="auto"/>
          <w:sz w:val="32"/>
          <w:highlight w:val="none"/>
        </w:rPr>
      </w:pPr>
    </w:p>
    <w:p w14:paraId="511BAFBD">
      <w:pPr>
        <w:rPr>
          <w:rFonts w:hint="eastAsia" w:ascii="宋体" w:hAnsi="宋体" w:eastAsia="宋体"/>
          <w:color w:val="auto"/>
          <w:sz w:val="32"/>
          <w:highlight w:val="none"/>
        </w:rPr>
      </w:pPr>
      <w:r>
        <w:rPr>
          <w:rFonts w:hint="eastAsia" w:ascii="宋体" w:hAnsi="宋体" w:eastAsia="宋体"/>
          <w:color w:val="auto"/>
          <w:sz w:val="32"/>
          <w:highlight w:val="none"/>
        </w:rPr>
        <w:br w:type="page"/>
      </w:r>
    </w:p>
    <w:p w14:paraId="2EF04BF7">
      <w:pPr>
        <w:pStyle w:val="24"/>
        <w:rPr>
          <w:rFonts w:hint="eastAsia" w:ascii="Times New Roman" w:hAnsi="Times New Roman"/>
          <w:color w:val="auto"/>
          <w:highlight w:val="none"/>
        </w:rPr>
      </w:pPr>
      <w:r>
        <w:rPr>
          <w:rFonts w:hint="eastAsia" w:ascii="宋体" w:hAnsi="宋体" w:eastAsia="宋体"/>
          <w:color w:val="auto"/>
          <w:sz w:val="32"/>
          <w:highlight w:val="none"/>
        </w:rPr>
        <w:t>根据</w:t>
      </w:r>
      <w:r>
        <w:rPr>
          <w:rFonts w:hint="eastAsia" w:ascii="宋体" w:hAnsi="宋体"/>
          <w:color w:val="auto"/>
          <w:sz w:val="32"/>
          <w:highlight w:val="none"/>
          <w:lang w:eastAsia="zh-CN"/>
        </w:rPr>
        <w:t>招标</w:t>
      </w:r>
      <w:r>
        <w:rPr>
          <w:rFonts w:hint="eastAsia" w:ascii="宋体" w:hAnsi="宋体" w:eastAsia="宋体"/>
          <w:color w:val="auto"/>
          <w:sz w:val="32"/>
          <w:highlight w:val="none"/>
        </w:rPr>
        <w:t>文件规定及</w:t>
      </w:r>
      <w:r>
        <w:rPr>
          <w:rFonts w:hint="eastAsia" w:ascii="宋体" w:hAnsi="宋体"/>
          <w:color w:val="auto"/>
          <w:sz w:val="32"/>
          <w:highlight w:val="none"/>
          <w:lang w:eastAsia="zh-CN"/>
        </w:rPr>
        <w:t>投标人</w:t>
      </w:r>
      <w:r>
        <w:rPr>
          <w:rFonts w:hint="eastAsia" w:ascii="宋体" w:hAnsi="宋体" w:eastAsia="宋体"/>
          <w:color w:val="auto"/>
          <w:sz w:val="32"/>
          <w:highlight w:val="none"/>
        </w:rPr>
        <w:t>提供的材料自行编写目录</w:t>
      </w:r>
    </w:p>
    <w:p w14:paraId="3A059EC4">
      <w:pPr>
        <w:tabs>
          <w:tab w:val="left" w:pos="1305"/>
        </w:tabs>
        <w:spacing w:line="520" w:lineRule="exact"/>
        <w:ind w:firstLine="471" w:firstLineChars="147"/>
        <w:outlineLvl w:val="9"/>
        <w:rPr>
          <w:rFonts w:hint="eastAsia" w:ascii="宋体" w:hAnsi="宋体"/>
          <w:b/>
          <w:color w:val="auto"/>
          <w:sz w:val="32"/>
          <w:szCs w:val="32"/>
          <w:highlight w:val="none"/>
        </w:rPr>
      </w:pPr>
    </w:p>
    <w:p w14:paraId="2E96C53C">
      <w:pPr>
        <w:tabs>
          <w:tab w:val="left" w:pos="1305"/>
        </w:tabs>
        <w:spacing w:line="520" w:lineRule="exact"/>
        <w:ind w:firstLine="471" w:firstLineChars="147"/>
        <w:outlineLvl w:val="9"/>
        <w:rPr>
          <w:rFonts w:hint="eastAsia" w:ascii="宋体" w:hAnsi="宋体"/>
          <w:b/>
          <w:color w:val="auto"/>
          <w:sz w:val="32"/>
          <w:szCs w:val="32"/>
          <w:highlight w:val="none"/>
        </w:rPr>
      </w:pPr>
    </w:p>
    <w:p w14:paraId="6B17530B">
      <w:pPr>
        <w:tabs>
          <w:tab w:val="left" w:pos="1305"/>
        </w:tabs>
        <w:spacing w:line="520" w:lineRule="exact"/>
        <w:ind w:firstLine="471" w:firstLineChars="147"/>
        <w:outlineLvl w:val="9"/>
        <w:rPr>
          <w:rFonts w:hint="eastAsia" w:ascii="宋体" w:hAnsi="宋体"/>
          <w:b/>
          <w:color w:val="auto"/>
          <w:sz w:val="32"/>
          <w:szCs w:val="32"/>
          <w:highlight w:val="none"/>
        </w:rPr>
      </w:pPr>
    </w:p>
    <w:p w14:paraId="4A85CDBE">
      <w:pPr>
        <w:tabs>
          <w:tab w:val="left" w:pos="1305"/>
        </w:tabs>
        <w:spacing w:line="520" w:lineRule="exact"/>
        <w:ind w:firstLine="471" w:firstLineChars="147"/>
        <w:outlineLvl w:val="9"/>
        <w:rPr>
          <w:rFonts w:hint="eastAsia" w:ascii="宋体" w:hAnsi="宋体"/>
          <w:b/>
          <w:color w:val="auto"/>
          <w:sz w:val="32"/>
          <w:szCs w:val="32"/>
          <w:highlight w:val="none"/>
        </w:rPr>
      </w:pPr>
    </w:p>
    <w:p w14:paraId="70581F6E">
      <w:pPr>
        <w:tabs>
          <w:tab w:val="left" w:pos="1305"/>
        </w:tabs>
        <w:spacing w:line="520" w:lineRule="exact"/>
        <w:ind w:firstLine="471" w:firstLineChars="147"/>
        <w:outlineLvl w:val="9"/>
        <w:rPr>
          <w:rFonts w:hint="eastAsia" w:ascii="宋体" w:hAnsi="宋体"/>
          <w:b/>
          <w:color w:val="auto"/>
          <w:sz w:val="32"/>
          <w:szCs w:val="32"/>
          <w:highlight w:val="none"/>
        </w:rPr>
      </w:pPr>
    </w:p>
    <w:p w14:paraId="51D3D783">
      <w:pPr>
        <w:tabs>
          <w:tab w:val="left" w:pos="1305"/>
        </w:tabs>
        <w:spacing w:line="520" w:lineRule="exact"/>
        <w:ind w:firstLine="471" w:firstLineChars="147"/>
        <w:outlineLvl w:val="9"/>
        <w:rPr>
          <w:rFonts w:hint="eastAsia" w:ascii="宋体" w:hAnsi="宋体"/>
          <w:b/>
          <w:color w:val="auto"/>
          <w:sz w:val="32"/>
          <w:szCs w:val="32"/>
          <w:highlight w:val="none"/>
        </w:rPr>
      </w:pPr>
    </w:p>
    <w:p w14:paraId="51E5DA38">
      <w:pPr>
        <w:tabs>
          <w:tab w:val="left" w:pos="1305"/>
        </w:tabs>
        <w:spacing w:line="520" w:lineRule="exact"/>
        <w:ind w:firstLine="471" w:firstLineChars="147"/>
        <w:outlineLvl w:val="9"/>
        <w:rPr>
          <w:rFonts w:hint="eastAsia" w:ascii="宋体" w:hAnsi="宋体"/>
          <w:b/>
          <w:color w:val="auto"/>
          <w:sz w:val="32"/>
          <w:szCs w:val="32"/>
          <w:highlight w:val="none"/>
        </w:rPr>
      </w:pPr>
    </w:p>
    <w:p w14:paraId="0B35A8CB">
      <w:pPr>
        <w:tabs>
          <w:tab w:val="left" w:pos="1305"/>
        </w:tabs>
        <w:spacing w:line="520" w:lineRule="exact"/>
        <w:ind w:firstLine="471" w:firstLineChars="147"/>
        <w:outlineLvl w:val="9"/>
        <w:rPr>
          <w:rFonts w:hint="eastAsia" w:ascii="宋体" w:hAnsi="宋体"/>
          <w:b/>
          <w:color w:val="auto"/>
          <w:sz w:val="32"/>
          <w:szCs w:val="32"/>
          <w:highlight w:val="none"/>
        </w:rPr>
      </w:pPr>
    </w:p>
    <w:p w14:paraId="0AD9F384">
      <w:pPr>
        <w:tabs>
          <w:tab w:val="left" w:pos="1305"/>
        </w:tabs>
        <w:spacing w:line="520" w:lineRule="exact"/>
        <w:ind w:firstLine="471" w:firstLineChars="147"/>
        <w:outlineLvl w:val="9"/>
        <w:rPr>
          <w:rFonts w:hint="eastAsia" w:ascii="宋体" w:hAnsi="宋体"/>
          <w:b/>
          <w:color w:val="auto"/>
          <w:sz w:val="32"/>
          <w:szCs w:val="32"/>
          <w:highlight w:val="none"/>
        </w:rPr>
      </w:pPr>
    </w:p>
    <w:p w14:paraId="5285343D">
      <w:pPr>
        <w:tabs>
          <w:tab w:val="left" w:pos="1305"/>
        </w:tabs>
        <w:spacing w:line="520" w:lineRule="exact"/>
        <w:ind w:firstLine="471" w:firstLineChars="147"/>
        <w:outlineLvl w:val="9"/>
        <w:rPr>
          <w:rFonts w:hint="eastAsia" w:ascii="宋体" w:hAnsi="宋体"/>
          <w:b/>
          <w:color w:val="auto"/>
          <w:sz w:val="32"/>
          <w:szCs w:val="32"/>
          <w:highlight w:val="none"/>
        </w:rPr>
      </w:pPr>
    </w:p>
    <w:p w14:paraId="557F8BF5">
      <w:pPr>
        <w:tabs>
          <w:tab w:val="left" w:pos="1305"/>
        </w:tabs>
        <w:spacing w:line="520" w:lineRule="exact"/>
        <w:ind w:firstLine="471" w:firstLineChars="147"/>
        <w:outlineLvl w:val="9"/>
        <w:rPr>
          <w:rFonts w:hint="eastAsia" w:ascii="宋体" w:hAnsi="宋体"/>
          <w:b/>
          <w:color w:val="auto"/>
          <w:sz w:val="32"/>
          <w:szCs w:val="32"/>
          <w:highlight w:val="none"/>
        </w:rPr>
      </w:pPr>
    </w:p>
    <w:p w14:paraId="58316AA7">
      <w:pPr>
        <w:tabs>
          <w:tab w:val="left" w:pos="1305"/>
        </w:tabs>
        <w:spacing w:line="520" w:lineRule="exact"/>
        <w:ind w:firstLine="471" w:firstLineChars="147"/>
        <w:outlineLvl w:val="9"/>
        <w:rPr>
          <w:rFonts w:hint="eastAsia" w:ascii="宋体" w:hAnsi="宋体"/>
          <w:b/>
          <w:color w:val="auto"/>
          <w:sz w:val="32"/>
          <w:szCs w:val="32"/>
          <w:highlight w:val="none"/>
        </w:rPr>
      </w:pPr>
    </w:p>
    <w:p w14:paraId="45D5BB43">
      <w:pPr>
        <w:tabs>
          <w:tab w:val="left" w:pos="1305"/>
        </w:tabs>
        <w:spacing w:line="520" w:lineRule="exact"/>
        <w:ind w:firstLine="471" w:firstLineChars="147"/>
        <w:outlineLvl w:val="9"/>
        <w:rPr>
          <w:rFonts w:hint="eastAsia" w:ascii="宋体" w:hAnsi="宋体"/>
          <w:b/>
          <w:color w:val="auto"/>
          <w:sz w:val="32"/>
          <w:szCs w:val="32"/>
          <w:highlight w:val="none"/>
        </w:rPr>
      </w:pPr>
    </w:p>
    <w:p w14:paraId="3D3076A4">
      <w:pPr>
        <w:tabs>
          <w:tab w:val="left" w:pos="1305"/>
        </w:tabs>
        <w:spacing w:line="520" w:lineRule="exact"/>
        <w:ind w:firstLine="471" w:firstLineChars="147"/>
        <w:outlineLvl w:val="9"/>
        <w:rPr>
          <w:rFonts w:hint="eastAsia" w:ascii="宋体" w:hAnsi="宋体"/>
          <w:b/>
          <w:color w:val="auto"/>
          <w:sz w:val="32"/>
          <w:szCs w:val="32"/>
          <w:highlight w:val="none"/>
        </w:rPr>
      </w:pPr>
    </w:p>
    <w:p w14:paraId="45D19582">
      <w:pPr>
        <w:tabs>
          <w:tab w:val="left" w:pos="1305"/>
        </w:tabs>
        <w:spacing w:line="520" w:lineRule="exact"/>
        <w:ind w:firstLine="471" w:firstLineChars="147"/>
        <w:outlineLvl w:val="9"/>
        <w:rPr>
          <w:rFonts w:hint="eastAsia" w:ascii="宋体" w:hAnsi="宋体"/>
          <w:b/>
          <w:color w:val="auto"/>
          <w:sz w:val="32"/>
          <w:szCs w:val="32"/>
          <w:highlight w:val="none"/>
        </w:rPr>
      </w:pPr>
    </w:p>
    <w:p w14:paraId="6ADF1B34">
      <w:pPr>
        <w:tabs>
          <w:tab w:val="left" w:pos="1305"/>
        </w:tabs>
        <w:spacing w:line="520" w:lineRule="exact"/>
        <w:ind w:firstLine="471" w:firstLineChars="147"/>
        <w:outlineLvl w:val="9"/>
        <w:rPr>
          <w:rFonts w:hint="eastAsia" w:ascii="宋体" w:hAnsi="宋体"/>
          <w:b/>
          <w:color w:val="auto"/>
          <w:sz w:val="32"/>
          <w:szCs w:val="32"/>
          <w:highlight w:val="none"/>
        </w:rPr>
      </w:pPr>
    </w:p>
    <w:p w14:paraId="4390C9A8">
      <w:pPr>
        <w:tabs>
          <w:tab w:val="left" w:pos="1305"/>
        </w:tabs>
        <w:spacing w:line="520" w:lineRule="exact"/>
        <w:ind w:firstLine="471" w:firstLineChars="147"/>
        <w:outlineLvl w:val="9"/>
        <w:rPr>
          <w:rFonts w:hint="eastAsia" w:ascii="宋体" w:hAnsi="宋体"/>
          <w:b/>
          <w:color w:val="auto"/>
          <w:sz w:val="32"/>
          <w:szCs w:val="32"/>
          <w:highlight w:val="none"/>
        </w:rPr>
      </w:pPr>
    </w:p>
    <w:p w14:paraId="0ECF341F">
      <w:pPr>
        <w:tabs>
          <w:tab w:val="left" w:pos="1305"/>
        </w:tabs>
        <w:spacing w:line="520" w:lineRule="exact"/>
        <w:outlineLvl w:val="9"/>
        <w:rPr>
          <w:rFonts w:hint="eastAsia" w:ascii="宋体" w:hAnsi="宋体"/>
          <w:b/>
          <w:color w:val="auto"/>
          <w:sz w:val="32"/>
          <w:szCs w:val="32"/>
          <w:highlight w:val="none"/>
        </w:rPr>
      </w:pPr>
    </w:p>
    <w:p w14:paraId="3E9ED0C5">
      <w:pPr>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br w:type="page"/>
      </w:r>
    </w:p>
    <w:p w14:paraId="6D40ABD6">
      <w:pPr>
        <w:tabs>
          <w:tab w:val="left" w:pos="1305"/>
        </w:tabs>
        <w:spacing w:line="520" w:lineRule="exact"/>
        <w:ind w:firstLine="649" w:firstLineChars="147"/>
        <w:jc w:val="center"/>
        <w:outlineLvl w:val="9"/>
        <w:rPr>
          <w:rFonts w:hint="eastAsia" w:ascii="宋体" w:hAnsi="宋体" w:eastAsia="宋体" w:cs="宋体"/>
          <w:b/>
          <w:color w:val="auto"/>
          <w:sz w:val="44"/>
          <w:szCs w:val="44"/>
          <w:highlight w:val="none"/>
        </w:rPr>
      </w:pPr>
      <w:r>
        <w:rPr>
          <w:rFonts w:hint="eastAsia" w:ascii="宋体" w:hAnsi="宋体" w:eastAsia="宋体" w:cs="宋体"/>
          <w:b/>
          <w:color w:val="auto"/>
          <w:sz w:val="44"/>
          <w:szCs w:val="44"/>
          <w:highlight w:val="none"/>
        </w:rPr>
        <w:t>资格性响应证明材料（格式）</w:t>
      </w:r>
    </w:p>
    <w:p w14:paraId="7C4427DB">
      <w:pPr>
        <w:pStyle w:val="6"/>
        <w:rPr>
          <w:rFonts w:hint="eastAsia"/>
        </w:rPr>
      </w:pPr>
    </w:p>
    <w:p w14:paraId="4B4EF3C0">
      <w:pPr>
        <w:tabs>
          <w:tab w:val="left" w:pos="1305"/>
        </w:tabs>
        <w:spacing w:line="400" w:lineRule="exact"/>
        <w:ind w:firstLine="643" w:firstLineChars="200"/>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1.投标人相应的法定代表人或负责人或自然人身份证正反面扫描件（必须提供）；</w:t>
      </w:r>
    </w:p>
    <w:p w14:paraId="04677454">
      <w:pPr>
        <w:pStyle w:val="9"/>
        <w:spacing w:line="400" w:lineRule="exact"/>
        <w:rPr>
          <w:rFonts w:hint="eastAsia" w:ascii="宋体" w:hAnsi="宋体" w:eastAsia="宋体" w:cs="宋体"/>
          <w:b/>
          <w:color w:val="auto"/>
          <w:sz w:val="32"/>
          <w:szCs w:val="32"/>
          <w:highlight w:val="none"/>
        </w:rPr>
      </w:pPr>
    </w:p>
    <w:p w14:paraId="3E333D63">
      <w:pPr>
        <w:pStyle w:val="9"/>
        <w:spacing w:line="400" w:lineRule="exact"/>
        <w:ind w:firstLine="643" w:firstLineChars="200"/>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2.</w:t>
      </w:r>
      <w:r>
        <w:rPr>
          <w:rFonts w:hint="eastAsia" w:ascii="宋体" w:hAnsi="宋体" w:eastAsia="宋体" w:cs="宋体"/>
          <w:color w:val="auto"/>
          <w:highlight w:val="none"/>
        </w:rPr>
        <w:t xml:space="preserve"> </w:t>
      </w:r>
      <w:r>
        <w:rPr>
          <w:rFonts w:hint="eastAsia" w:ascii="宋体" w:hAnsi="宋体" w:eastAsia="宋体" w:cs="宋体"/>
          <w:b/>
          <w:color w:val="auto"/>
          <w:sz w:val="32"/>
          <w:szCs w:val="32"/>
          <w:highlight w:val="none"/>
        </w:rPr>
        <w:t>投标人的授权委托书原件（格式见附件）、委托代理人身份证正反面扫描件以及由县级以上（含县级）社会养老保险经办机构出具的投标人为委托代理人交纳</w:t>
      </w:r>
      <w:r>
        <w:rPr>
          <w:rFonts w:hint="eastAsia" w:hAnsi="宋体" w:cs="宋体"/>
          <w:b/>
          <w:color w:val="auto"/>
          <w:sz w:val="32"/>
          <w:szCs w:val="32"/>
          <w:highlight w:val="none"/>
          <w:lang w:eastAsia="zh-CN"/>
        </w:rPr>
        <w:t>的</w:t>
      </w:r>
      <w:r>
        <w:rPr>
          <w:rFonts w:hint="eastAsia" w:ascii="宋体" w:hAnsi="宋体" w:eastAsia="宋体" w:cs="宋体"/>
          <w:b/>
          <w:color w:val="auto"/>
          <w:sz w:val="32"/>
          <w:szCs w:val="32"/>
          <w:highlight w:val="none"/>
        </w:rPr>
        <w:t>2024年以来任意一个月社保证明扫描件【自然人投标的应提供由县级以上（含县级）社会养老保险经办机构出具的自然人本人及委托代理人所交纳的2024年以来任意一个月社保证明扫描件】（委托代理时必须提供；若为2024年以来新成立的企业，请根据实际情况提供劳务合同扫描件）；</w:t>
      </w:r>
    </w:p>
    <w:p w14:paraId="29289708">
      <w:pPr>
        <w:pStyle w:val="9"/>
        <w:spacing w:line="400" w:lineRule="exact"/>
        <w:ind w:left="440" w:leftChars="200" w:firstLine="157" w:firstLineChars="49"/>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附件：</w:t>
      </w:r>
    </w:p>
    <w:p w14:paraId="2F9EE963">
      <w:pPr>
        <w:pStyle w:val="9"/>
        <w:jc w:val="center"/>
        <w:rPr>
          <w:rFonts w:hint="eastAsia" w:ascii="宋体" w:hAnsi="宋体" w:eastAsia="宋体" w:cs="宋体"/>
          <w:b/>
          <w:color w:val="auto"/>
          <w:sz w:val="32"/>
          <w:highlight w:val="none"/>
        </w:rPr>
      </w:pPr>
      <w:r>
        <w:rPr>
          <w:rFonts w:hint="eastAsia" w:ascii="宋体" w:hAnsi="宋体" w:eastAsia="宋体" w:cs="宋体"/>
          <w:b/>
          <w:color w:val="auto"/>
          <w:sz w:val="32"/>
          <w:highlight w:val="none"/>
        </w:rPr>
        <w:t xml:space="preserve">  授权委托书（格式一）</w:t>
      </w:r>
    </w:p>
    <w:p w14:paraId="4656AF7F">
      <w:pPr>
        <w:snapToGrid w:val="0"/>
        <w:spacing w:line="400" w:lineRule="exact"/>
        <w:outlineLvl w:val="4"/>
        <w:rPr>
          <w:rFonts w:hint="eastAsia" w:ascii="宋体" w:hAnsi="宋体" w:eastAsia="宋体" w:cs="宋体"/>
          <w:color w:val="auto"/>
          <w:szCs w:val="21"/>
          <w:highlight w:val="none"/>
          <w:u w:val="single"/>
        </w:rPr>
      </w:pPr>
      <w:r>
        <w:rPr>
          <w:rFonts w:hint="eastAsia" w:ascii="宋体" w:hAnsi="宋体" w:eastAsia="宋体" w:cs="宋体"/>
          <w:b/>
          <w:color w:val="auto"/>
          <w:szCs w:val="21"/>
          <w:highlight w:val="none"/>
        </w:rPr>
        <w:t>致</w:t>
      </w:r>
      <w:r>
        <w:rPr>
          <w:rFonts w:hint="eastAsia" w:ascii="宋体" w:hAnsi="宋体" w:eastAsia="宋体" w:cs="宋体"/>
          <w:color w:val="auto"/>
          <w:szCs w:val="21"/>
          <w:highlight w:val="none"/>
        </w:rPr>
        <w:t>：</w:t>
      </w:r>
      <w:r>
        <w:rPr>
          <w:rFonts w:hint="eastAsia" w:ascii="宋体" w:hAnsi="宋体" w:eastAsia="宋体" w:cs="宋体"/>
          <w:color w:val="auto"/>
          <w:highlight w:val="none"/>
          <w:u w:val="single"/>
          <w:lang w:eastAsia="zh-CN"/>
        </w:rPr>
        <w:t>广西国兴项目管理有限公司</w:t>
      </w:r>
    </w:p>
    <w:p w14:paraId="29497200">
      <w:pPr>
        <w:pStyle w:val="9"/>
        <w:spacing w:line="400" w:lineRule="exact"/>
        <w:ind w:firstLine="525" w:firstLineChars="250"/>
        <w:rPr>
          <w:rFonts w:hint="eastAsia" w:ascii="宋体" w:hAnsi="宋体" w:eastAsia="宋体" w:cs="宋体"/>
          <w:color w:val="auto"/>
          <w:highlight w:val="none"/>
        </w:rPr>
      </w:pPr>
      <w:r>
        <w:rPr>
          <w:rFonts w:hint="eastAsia" w:ascii="宋体" w:hAnsi="宋体" w:eastAsia="宋体" w:cs="宋体"/>
          <w:color w:val="auto"/>
          <w:kern w:val="0"/>
          <w:highlight w:val="none"/>
        </w:rPr>
        <w:t>我</w:t>
      </w:r>
      <w:r>
        <w:rPr>
          <w:rFonts w:hint="eastAsia" w:ascii="宋体" w:hAnsi="宋体" w:eastAsia="宋体" w:cs="宋体"/>
          <w:color w:val="auto"/>
          <w:kern w:val="0"/>
          <w:highlight w:val="none"/>
          <w:u w:val="single"/>
        </w:rPr>
        <w:t xml:space="preserve">              </w:t>
      </w:r>
      <w:r>
        <w:rPr>
          <w:rFonts w:hint="eastAsia" w:ascii="宋体" w:hAnsi="宋体" w:eastAsia="宋体" w:cs="宋体"/>
          <w:color w:val="auto"/>
          <w:kern w:val="0"/>
          <w:highlight w:val="none"/>
        </w:rPr>
        <w:t>（姓名）系</w:t>
      </w:r>
      <w:r>
        <w:rPr>
          <w:rFonts w:hint="eastAsia" w:ascii="宋体" w:hAnsi="宋体" w:eastAsia="宋体" w:cs="宋体"/>
          <w:color w:val="auto"/>
          <w:kern w:val="0"/>
          <w:highlight w:val="none"/>
          <w:u w:val="single"/>
        </w:rPr>
        <w:t xml:space="preserve">                              </w:t>
      </w:r>
      <w:r>
        <w:rPr>
          <w:rFonts w:hint="eastAsia" w:ascii="宋体" w:hAnsi="宋体" w:eastAsia="宋体" w:cs="宋体"/>
          <w:color w:val="auto"/>
          <w:kern w:val="0"/>
          <w:highlight w:val="none"/>
        </w:rPr>
        <w:t>（投标人名称）的法定代表人（负责人），现授权委托本单位在职职工</w:t>
      </w:r>
      <w:r>
        <w:rPr>
          <w:rFonts w:hint="eastAsia" w:ascii="宋体" w:hAnsi="宋体" w:eastAsia="宋体" w:cs="宋体"/>
          <w:color w:val="auto"/>
          <w:kern w:val="0"/>
          <w:highlight w:val="none"/>
          <w:u w:val="single"/>
        </w:rPr>
        <w:t xml:space="preserve">            </w:t>
      </w:r>
      <w:r>
        <w:rPr>
          <w:rFonts w:hint="eastAsia" w:ascii="宋体" w:hAnsi="宋体" w:eastAsia="宋体" w:cs="宋体"/>
          <w:color w:val="auto"/>
          <w:kern w:val="0"/>
          <w:highlight w:val="none"/>
        </w:rPr>
        <w:t>（姓名）以我公司名义参加</w:t>
      </w:r>
      <w:r>
        <w:rPr>
          <w:rFonts w:hint="eastAsia" w:ascii="宋体" w:hAnsi="宋体" w:eastAsia="宋体" w:cs="宋体"/>
          <w:color w:val="auto"/>
          <w:kern w:val="0"/>
          <w:highlight w:val="none"/>
          <w:u w:val="single"/>
        </w:rPr>
        <w:t xml:space="preserve">      </w:t>
      </w:r>
      <w:r>
        <w:rPr>
          <w:rFonts w:hint="eastAsia" w:ascii="宋体" w:hAnsi="宋体" w:eastAsia="宋体" w:cs="宋体"/>
          <w:color w:val="auto"/>
          <w:highlight w:val="none"/>
          <w:u w:val="single"/>
        </w:rPr>
        <w:t xml:space="preserve">（项目名称及项目编号）        </w:t>
      </w:r>
      <w:r>
        <w:rPr>
          <w:rFonts w:hint="eastAsia" w:ascii="宋体" w:hAnsi="宋体" w:eastAsia="宋体" w:cs="宋体"/>
          <w:color w:val="auto"/>
          <w:highlight w:val="none"/>
        </w:rPr>
        <w:t>项目的投标活动，并代表我方全权办理针对上述项目的投标、开标、评标、签约等具体事务和签署相关文件。</w:t>
      </w:r>
    </w:p>
    <w:p w14:paraId="69D18069">
      <w:pPr>
        <w:pStyle w:val="9"/>
        <w:spacing w:line="400" w:lineRule="exact"/>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我方对被授权人的签字事项负全部责任。</w:t>
      </w:r>
    </w:p>
    <w:p w14:paraId="668170BD">
      <w:pPr>
        <w:pStyle w:val="9"/>
        <w:spacing w:line="400" w:lineRule="exact"/>
        <w:ind w:firstLine="420" w:firstLineChars="200"/>
        <w:rPr>
          <w:rFonts w:hint="eastAsia" w:ascii="宋体" w:hAnsi="宋体" w:eastAsia="宋体" w:cs="宋体"/>
          <w:color w:val="auto"/>
          <w:highlight w:val="none"/>
          <w:u w:val="single"/>
        </w:rPr>
      </w:pPr>
      <w:r>
        <w:rPr>
          <w:rFonts w:hint="eastAsia" w:ascii="宋体" w:hAnsi="宋体" w:eastAsia="宋体" w:cs="宋体"/>
          <w:color w:val="auto"/>
          <w:highlight w:val="none"/>
        </w:rPr>
        <w:t>授权委托代理期限：自即日起至该项目政府采购活动结束。</w:t>
      </w:r>
    </w:p>
    <w:p w14:paraId="2471BCEB">
      <w:pPr>
        <w:pStyle w:val="9"/>
        <w:spacing w:line="400" w:lineRule="exact"/>
        <w:rPr>
          <w:rFonts w:hint="eastAsia" w:ascii="宋体" w:hAnsi="宋体" w:eastAsia="宋体" w:cs="宋体"/>
          <w:color w:val="auto"/>
          <w:highlight w:val="none"/>
          <w:u w:val="single"/>
        </w:rPr>
      </w:pPr>
      <w:r>
        <w:rPr>
          <w:rFonts w:hint="eastAsia" w:ascii="宋体" w:hAnsi="宋体" w:eastAsia="宋体" w:cs="宋体"/>
          <w:color w:val="auto"/>
          <w:highlight w:val="none"/>
        </w:rPr>
        <w:t xml:space="preserve">                                                                                             </w:t>
      </w:r>
    </w:p>
    <w:p w14:paraId="17D21B44">
      <w:pPr>
        <w:spacing w:line="400" w:lineRule="exact"/>
        <w:ind w:firstLine="440" w:firstLineChars="200"/>
        <w:rPr>
          <w:rFonts w:hint="eastAsia" w:ascii="宋体" w:hAnsi="宋体" w:eastAsia="宋体" w:cs="宋体"/>
          <w:color w:val="auto"/>
          <w:szCs w:val="21"/>
          <w:highlight w:val="none"/>
        </w:rPr>
      </w:pPr>
      <w:r>
        <w:rPr>
          <w:rFonts w:hint="eastAsia" w:ascii="宋体" w:hAnsi="宋体" w:eastAsia="宋体" w:cs="宋体"/>
          <w:color w:val="auto"/>
          <w:kern w:val="0"/>
          <w:highlight w:val="none"/>
        </w:rPr>
        <w:t xml:space="preserve">代理人无转委托权,特此委托。 </w:t>
      </w:r>
    </w:p>
    <w:p w14:paraId="1E183D71">
      <w:pPr>
        <w:snapToGrid w:val="0"/>
        <w:spacing w:line="400" w:lineRule="exact"/>
        <w:ind w:firstLine="420"/>
        <w:outlineLvl w:val="4"/>
        <w:rPr>
          <w:rFonts w:hint="eastAsia" w:ascii="宋体" w:hAnsi="宋体" w:eastAsia="宋体" w:cs="宋体"/>
          <w:color w:val="auto"/>
          <w:szCs w:val="21"/>
          <w:highlight w:val="none"/>
        </w:rPr>
      </w:pPr>
      <w:r>
        <w:rPr>
          <w:rFonts w:hint="eastAsia" w:ascii="宋体" w:hAnsi="宋体" w:eastAsia="宋体" w:cs="宋体"/>
          <w:color w:val="auto"/>
          <w:szCs w:val="21"/>
          <w:highlight w:val="none"/>
        </w:rPr>
        <w:t>我已在下面签字，以资证明。</w:t>
      </w:r>
    </w:p>
    <w:p w14:paraId="72A7B360">
      <w:pPr>
        <w:snapToGrid w:val="0"/>
        <w:spacing w:line="400" w:lineRule="exact"/>
        <w:outlineLvl w:val="9"/>
        <w:rPr>
          <w:rFonts w:hint="eastAsia" w:ascii="宋体" w:hAnsi="宋体" w:eastAsia="宋体" w:cs="宋体"/>
          <w:color w:val="auto"/>
          <w:szCs w:val="21"/>
          <w:highlight w:val="none"/>
        </w:rPr>
      </w:pPr>
    </w:p>
    <w:p w14:paraId="2C370335">
      <w:pPr>
        <w:snapToGrid w:val="0"/>
        <w:spacing w:line="400" w:lineRule="exact"/>
        <w:ind w:firstLine="420"/>
        <w:rPr>
          <w:rFonts w:hint="eastAsia" w:ascii="宋体" w:hAnsi="宋体" w:eastAsia="宋体" w:cs="宋体"/>
          <w:color w:val="auto"/>
          <w:szCs w:val="21"/>
          <w:highlight w:val="none"/>
        </w:rPr>
      </w:pPr>
      <w:r>
        <w:rPr>
          <w:rFonts w:hint="eastAsia" w:ascii="宋体" w:hAnsi="宋体" w:eastAsia="宋体" w:cs="宋体"/>
          <w:color w:val="auto"/>
          <w:szCs w:val="21"/>
          <w:highlight w:val="none"/>
        </w:rPr>
        <w:t>投标人【公章（CA签章）】：</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u w:val="single"/>
          <w:lang w:val="en-US" w:eastAsia="zh-CN"/>
        </w:rPr>
        <w:t>.</w:t>
      </w:r>
      <w:r>
        <w:rPr>
          <w:rFonts w:hint="eastAsia" w:ascii="宋体" w:hAnsi="宋体" w:eastAsia="宋体" w:cs="宋体"/>
          <w:color w:val="auto"/>
          <w:szCs w:val="21"/>
          <w:highlight w:val="none"/>
          <w:u w:val="single"/>
        </w:rPr>
        <w:t xml:space="preserve">              </w:t>
      </w:r>
    </w:p>
    <w:p w14:paraId="26EC7EA4">
      <w:pPr>
        <w:snapToGrid w:val="0"/>
        <w:spacing w:line="400" w:lineRule="exact"/>
        <w:outlineLvl w:val="4"/>
        <w:rPr>
          <w:rFonts w:hint="eastAsia" w:ascii="宋体" w:hAnsi="宋体" w:eastAsia="宋体" w:cs="宋体"/>
          <w:color w:val="auto"/>
          <w:szCs w:val="21"/>
          <w:highlight w:val="none"/>
        </w:rPr>
      </w:pPr>
      <w:r>
        <w:rPr>
          <w:rFonts w:hint="eastAsia" w:ascii="宋体" w:hAnsi="宋体" w:eastAsia="宋体" w:cs="宋体"/>
          <w:color w:val="auto"/>
          <w:szCs w:val="21"/>
          <w:highlight w:val="none"/>
        </w:rPr>
        <w:t>法定代表人（负责人）签字（或个人CA签章）：</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年</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月</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日</w:t>
      </w:r>
    </w:p>
    <w:p w14:paraId="3D45B6CD">
      <w:pPr>
        <w:snapToGrid w:val="0"/>
        <w:spacing w:line="400" w:lineRule="exact"/>
        <w:ind w:firstLine="420"/>
        <w:outlineLvl w:val="9"/>
        <w:rPr>
          <w:rFonts w:hint="eastAsia" w:ascii="宋体" w:hAnsi="宋体" w:eastAsia="宋体" w:cs="宋体"/>
          <w:color w:val="auto"/>
          <w:szCs w:val="21"/>
          <w:highlight w:val="none"/>
        </w:rPr>
      </w:pPr>
    </w:p>
    <w:p w14:paraId="6F0AD8A3">
      <w:pPr>
        <w:pStyle w:val="9"/>
        <w:spacing w:line="400" w:lineRule="exact"/>
        <w:ind w:firstLine="602" w:firstLineChars="25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附：委托代理人身份证正反面</w:t>
      </w:r>
      <w:r>
        <w:rPr>
          <w:rFonts w:hint="eastAsia" w:hAnsi="宋体" w:cs="宋体"/>
          <w:b/>
          <w:color w:val="auto"/>
          <w:sz w:val="24"/>
          <w:szCs w:val="24"/>
          <w:highlight w:val="none"/>
          <w:lang w:eastAsia="zh-CN"/>
        </w:rPr>
        <w:t>扫描</w:t>
      </w:r>
      <w:r>
        <w:rPr>
          <w:rFonts w:hint="eastAsia" w:ascii="宋体" w:hAnsi="宋体" w:eastAsia="宋体" w:cs="宋体"/>
          <w:b/>
          <w:color w:val="auto"/>
          <w:sz w:val="24"/>
          <w:szCs w:val="24"/>
          <w:highlight w:val="none"/>
        </w:rPr>
        <w:t>件以及由县级以上（含县级）社会养老保险经办机构出具的投标人为委托代理人交纳的2024年以来任意一个月社保证明扫描件（委托代理时必须提供；若为2024年以来新成立的企业，请根据实际情况提供劳务合同扫描件）。</w:t>
      </w:r>
    </w:p>
    <w:p w14:paraId="01EFE8E7">
      <w:pPr>
        <w:snapToGrid w:val="0"/>
        <w:spacing w:line="400" w:lineRule="exact"/>
        <w:outlineLvl w:val="9"/>
        <w:rPr>
          <w:rFonts w:hint="eastAsia" w:ascii="宋体" w:hAnsi="宋体" w:eastAsia="宋体" w:cs="宋体"/>
          <w:color w:val="auto"/>
          <w:szCs w:val="21"/>
          <w:highlight w:val="none"/>
        </w:rPr>
      </w:pPr>
    </w:p>
    <w:p w14:paraId="65B1E7AA">
      <w:pPr>
        <w:pStyle w:val="23"/>
        <w:rPr>
          <w:rFonts w:hint="eastAsia"/>
          <w:color w:val="auto"/>
          <w:highlight w:val="none"/>
        </w:rPr>
      </w:pPr>
    </w:p>
    <w:p w14:paraId="1997B9E7">
      <w:pPr>
        <w:pStyle w:val="9"/>
        <w:jc w:val="center"/>
        <w:rPr>
          <w:rFonts w:hint="eastAsia" w:ascii="宋体" w:hAnsi="宋体" w:eastAsia="宋体" w:cs="宋体"/>
          <w:b/>
          <w:color w:val="auto"/>
          <w:sz w:val="32"/>
          <w:highlight w:val="none"/>
        </w:rPr>
      </w:pPr>
    </w:p>
    <w:p w14:paraId="0B1329D7">
      <w:pPr>
        <w:pStyle w:val="9"/>
        <w:jc w:val="center"/>
        <w:rPr>
          <w:rFonts w:hint="eastAsia" w:ascii="宋体" w:hAnsi="宋体" w:eastAsia="宋体" w:cs="宋体"/>
          <w:b/>
          <w:color w:val="auto"/>
          <w:sz w:val="32"/>
          <w:highlight w:val="none"/>
        </w:rPr>
      </w:pPr>
    </w:p>
    <w:p w14:paraId="629CDB72">
      <w:pPr>
        <w:pStyle w:val="9"/>
        <w:jc w:val="center"/>
        <w:rPr>
          <w:rFonts w:hint="eastAsia" w:ascii="宋体" w:hAnsi="宋体" w:eastAsia="宋体" w:cs="宋体"/>
          <w:b/>
          <w:color w:val="auto"/>
          <w:sz w:val="32"/>
          <w:highlight w:val="none"/>
        </w:rPr>
      </w:pPr>
      <w:r>
        <w:rPr>
          <w:rFonts w:hint="eastAsia" w:ascii="宋体" w:hAnsi="宋体" w:eastAsia="宋体" w:cs="宋体"/>
          <w:b/>
          <w:color w:val="auto"/>
          <w:sz w:val="32"/>
          <w:highlight w:val="none"/>
        </w:rPr>
        <w:t>授权委托书（格式二）（适用于自然人投标）</w:t>
      </w:r>
    </w:p>
    <w:p w14:paraId="0364CF6B">
      <w:pPr>
        <w:snapToGrid w:val="0"/>
        <w:spacing w:line="400" w:lineRule="exact"/>
        <w:outlineLvl w:val="9"/>
        <w:rPr>
          <w:rFonts w:hint="eastAsia" w:ascii="宋体" w:hAnsi="宋体" w:eastAsia="宋体" w:cs="宋体"/>
          <w:b/>
          <w:color w:val="auto"/>
          <w:szCs w:val="21"/>
          <w:highlight w:val="none"/>
        </w:rPr>
      </w:pPr>
    </w:p>
    <w:p w14:paraId="0679D490">
      <w:pPr>
        <w:snapToGrid w:val="0"/>
        <w:spacing w:line="400" w:lineRule="exact"/>
        <w:outlineLvl w:val="4"/>
        <w:rPr>
          <w:rFonts w:hint="eastAsia" w:ascii="宋体" w:hAnsi="宋体" w:eastAsia="宋体" w:cs="宋体"/>
          <w:color w:val="auto"/>
          <w:szCs w:val="21"/>
          <w:highlight w:val="none"/>
          <w:u w:val="single"/>
        </w:rPr>
      </w:pPr>
      <w:r>
        <w:rPr>
          <w:rFonts w:hint="eastAsia" w:ascii="宋体" w:hAnsi="宋体" w:eastAsia="宋体" w:cs="宋体"/>
          <w:b/>
          <w:color w:val="auto"/>
          <w:szCs w:val="21"/>
          <w:highlight w:val="none"/>
        </w:rPr>
        <w:t>致</w:t>
      </w:r>
      <w:r>
        <w:rPr>
          <w:rFonts w:hint="eastAsia" w:ascii="宋体" w:hAnsi="宋体" w:eastAsia="宋体" w:cs="宋体"/>
          <w:color w:val="auto"/>
          <w:szCs w:val="21"/>
          <w:highlight w:val="none"/>
        </w:rPr>
        <w:t>：</w:t>
      </w:r>
      <w:r>
        <w:rPr>
          <w:rFonts w:hint="eastAsia" w:ascii="宋体" w:hAnsi="宋体" w:eastAsia="宋体" w:cs="宋体"/>
          <w:color w:val="auto"/>
          <w:highlight w:val="none"/>
          <w:u w:val="single"/>
          <w:lang w:eastAsia="zh-CN"/>
        </w:rPr>
        <w:t>广西国兴项目管理有限公司</w:t>
      </w:r>
    </w:p>
    <w:p w14:paraId="2E07E555">
      <w:pPr>
        <w:pStyle w:val="9"/>
        <w:spacing w:line="340" w:lineRule="exact"/>
        <w:ind w:firstLine="420" w:firstLineChars="200"/>
        <w:rPr>
          <w:rFonts w:hint="eastAsia" w:ascii="宋体" w:hAnsi="宋体" w:eastAsia="宋体" w:cs="宋体"/>
          <w:color w:val="auto"/>
          <w:highlight w:val="none"/>
        </w:rPr>
      </w:pPr>
      <w:r>
        <w:rPr>
          <w:rFonts w:hint="eastAsia" w:ascii="宋体" w:hAnsi="宋体" w:eastAsia="宋体" w:cs="宋体"/>
          <w:color w:val="auto"/>
          <w:kern w:val="0"/>
          <w:highlight w:val="none"/>
        </w:rPr>
        <w:t>我</w:t>
      </w:r>
      <w:r>
        <w:rPr>
          <w:rFonts w:hint="eastAsia" w:ascii="宋体" w:hAnsi="宋体" w:eastAsia="宋体" w:cs="宋体"/>
          <w:color w:val="auto"/>
          <w:kern w:val="0"/>
          <w:highlight w:val="none"/>
          <w:u w:val="single"/>
        </w:rPr>
        <w:t xml:space="preserve">              </w:t>
      </w:r>
      <w:r>
        <w:rPr>
          <w:rFonts w:hint="eastAsia" w:ascii="宋体" w:hAnsi="宋体" w:eastAsia="宋体" w:cs="宋体"/>
          <w:color w:val="auto"/>
          <w:kern w:val="0"/>
          <w:highlight w:val="none"/>
        </w:rPr>
        <w:t>（姓名）系自然人，现授权委托</w:t>
      </w:r>
      <w:r>
        <w:rPr>
          <w:rFonts w:hint="eastAsia" w:ascii="宋体" w:hAnsi="宋体" w:eastAsia="宋体" w:cs="宋体"/>
          <w:color w:val="auto"/>
          <w:kern w:val="0"/>
          <w:highlight w:val="none"/>
          <w:u w:val="single"/>
        </w:rPr>
        <w:t xml:space="preserve">            </w:t>
      </w:r>
      <w:r>
        <w:rPr>
          <w:rFonts w:hint="eastAsia" w:ascii="宋体" w:hAnsi="宋体" w:eastAsia="宋体" w:cs="宋体"/>
          <w:color w:val="auto"/>
          <w:kern w:val="0"/>
          <w:highlight w:val="none"/>
        </w:rPr>
        <w:t>（姓 名）以本人名义参加</w:t>
      </w:r>
      <w:r>
        <w:rPr>
          <w:rFonts w:hint="eastAsia" w:ascii="宋体" w:hAnsi="宋体" w:eastAsia="宋体" w:cs="宋体"/>
          <w:color w:val="auto"/>
          <w:kern w:val="0"/>
          <w:highlight w:val="none"/>
          <w:u w:val="single"/>
        </w:rPr>
        <w:t xml:space="preserve">      </w:t>
      </w:r>
      <w:r>
        <w:rPr>
          <w:rFonts w:hint="eastAsia" w:ascii="宋体" w:hAnsi="宋体" w:eastAsia="宋体" w:cs="宋体"/>
          <w:color w:val="auto"/>
          <w:highlight w:val="none"/>
          <w:u w:val="single"/>
        </w:rPr>
        <w:t xml:space="preserve">（项目名称及项目编号）        </w:t>
      </w:r>
      <w:r>
        <w:rPr>
          <w:rFonts w:hint="eastAsia" w:ascii="宋体" w:hAnsi="宋体" w:eastAsia="宋体" w:cs="宋体"/>
          <w:color w:val="auto"/>
          <w:highlight w:val="none"/>
        </w:rPr>
        <w:t>项目的投标活动，并代表本人全权办理针对上述项目的投标、开标、评标、签约等具体事务和签署相关文件。</w:t>
      </w:r>
    </w:p>
    <w:p w14:paraId="6430870C">
      <w:pPr>
        <w:pStyle w:val="9"/>
        <w:spacing w:line="340" w:lineRule="exact"/>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rPr>
        <w:t>本人对被授权人的签字事项负全部责任。</w:t>
      </w:r>
    </w:p>
    <w:p w14:paraId="10FE88F1">
      <w:pPr>
        <w:pStyle w:val="9"/>
        <w:spacing w:line="340" w:lineRule="exact"/>
        <w:ind w:firstLine="420" w:firstLineChars="200"/>
        <w:rPr>
          <w:rFonts w:hint="eastAsia" w:ascii="宋体" w:hAnsi="宋体" w:eastAsia="宋体" w:cs="宋体"/>
          <w:color w:val="auto"/>
          <w:highlight w:val="none"/>
          <w:u w:val="single"/>
        </w:rPr>
      </w:pPr>
      <w:r>
        <w:rPr>
          <w:rFonts w:hint="eastAsia" w:ascii="宋体" w:hAnsi="宋体" w:eastAsia="宋体" w:cs="宋体"/>
          <w:color w:val="auto"/>
          <w:highlight w:val="none"/>
        </w:rPr>
        <w:t>授权委托代理期限：自即日起至该项目政府采购活动结束。</w:t>
      </w:r>
    </w:p>
    <w:p w14:paraId="1246D6E6">
      <w:pPr>
        <w:pStyle w:val="9"/>
        <w:spacing w:line="340" w:lineRule="exact"/>
        <w:rPr>
          <w:rFonts w:hint="eastAsia" w:ascii="宋体" w:hAnsi="宋体" w:eastAsia="宋体" w:cs="宋体"/>
          <w:color w:val="auto"/>
          <w:highlight w:val="none"/>
          <w:u w:val="single"/>
        </w:rPr>
      </w:pPr>
      <w:r>
        <w:rPr>
          <w:rFonts w:hint="eastAsia" w:ascii="宋体" w:hAnsi="宋体" w:eastAsia="宋体" w:cs="宋体"/>
          <w:color w:val="auto"/>
          <w:highlight w:val="none"/>
        </w:rPr>
        <w:t xml:space="preserve">                                                                                             </w:t>
      </w:r>
    </w:p>
    <w:p w14:paraId="28680E5D">
      <w:pPr>
        <w:spacing w:line="340" w:lineRule="exact"/>
        <w:ind w:firstLine="440" w:firstLineChars="200"/>
        <w:rPr>
          <w:rFonts w:hint="eastAsia" w:ascii="宋体" w:hAnsi="宋体" w:eastAsia="宋体" w:cs="宋体"/>
          <w:color w:val="auto"/>
          <w:kern w:val="0"/>
          <w:highlight w:val="none"/>
        </w:rPr>
      </w:pPr>
      <w:r>
        <w:rPr>
          <w:rFonts w:hint="eastAsia" w:ascii="宋体" w:hAnsi="宋体" w:eastAsia="宋体" w:cs="宋体"/>
          <w:color w:val="auto"/>
          <w:kern w:val="0"/>
          <w:highlight w:val="none"/>
        </w:rPr>
        <w:t xml:space="preserve">代理人无转委托权,特此委托。 </w:t>
      </w:r>
    </w:p>
    <w:p w14:paraId="762D0DC4">
      <w:pPr>
        <w:snapToGrid w:val="0"/>
        <w:spacing w:line="340" w:lineRule="exact"/>
        <w:ind w:firstLine="525"/>
        <w:outlineLvl w:val="9"/>
        <w:rPr>
          <w:rFonts w:hint="eastAsia" w:ascii="宋体" w:hAnsi="宋体" w:eastAsia="宋体" w:cs="宋体"/>
          <w:color w:val="auto"/>
          <w:szCs w:val="21"/>
          <w:highlight w:val="none"/>
        </w:rPr>
      </w:pPr>
    </w:p>
    <w:p w14:paraId="32B398B9">
      <w:pPr>
        <w:snapToGrid w:val="0"/>
        <w:spacing w:line="340" w:lineRule="exact"/>
        <w:ind w:firstLine="420"/>
        <w:outlineLvl w:val="4"/>
        <w:rPr>
          <w:rFonts w:hint="eastAsia" w:ascii="宋体" w:hAnsi="宋体" w:eastAsia="宋体" w:cs="宋体"/>
          <w:color w:val="auto"/>
          <w:szCs w:val="21"/>
          <w:highlight w:val="none"/>
        </w:rPr>
      </w:pPr>
      <w:r>
        <w:rPr>
          <w:rFonts w:hint="eastAsia" w:ascii="宋体" w:hAnsi="宋体" w:eastAsia="宋体" w:cs="宋体"/>
          <w:color w:val="auto"/>
          <w:szCs w:val="21"/>
          <w:highlight w:val="none"/>
        </w:rPr>
        <w:t>我已在下面签字，以资证明。</w:t>
      </w:r>
    </w:p>
    <w:p w14:paraId="119E730E">
      <w:pPr>
        <w:snapToGrid w:val="0"/>
        <w:spacing w:line="340" w:lineRule="exact"/>
        <w:ind w:firstLine="420"/>
        <w:outlineLvl w:val="9"/>
        <w:rPr>
          <w:rFonts w:hint="eastAsia" w:ascii="宋体" w:hAnsi="宋体" w:eastAsia="宋体" w:cs="宋体"/>
          <w:color w:val="auto"/>
          <w:szCs w:val="21"/>
          <w:highlight w:val="none"/>
        </w:rPr>
      </w:pPr>
    </w:p>
    <w:p w14:paraId="0C3261E0">
      <w:pPr>
        <w:snapToGrid w:val="0"/>
        <w:spacing w:line="340" w:lineRule="exact"/>
        <w:ind w:firstLine="420"/>
        <w:outlineLvl w:val="4"/>
        <w:rPr>
          <w:rFonts w:hint="eastAsia" w:ascii="宋体" w:hAnsi="宋体" w:eastAsia="宋体" w:cs="宋体"/>
          <w:color w:val="auto"/>
          <w:szCs w:val="21"/>
          <w:highlight w:val="none"/>
        </w:rPr>
      </w:pPr>
      <w:r>
        <w:rPr>
          <w:rFonts w:hint="eastAsia" w:ascii="宋体" w:hAnsi="宋体" w:eastAsia="宋体" w:cs="宋体"/>
          <w:color w:val="auto"/>
          <w:szCs w:val="21"/>
          <w:highlight w:val="none"/>
        </w:rPr>
        <w:t>自然人签字并在签名处加盖食指指印或个人CA签章：</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 xml:space="preserve">     　 </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年</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月</w:t>
      </w:r>
      <w:r>
        <w:rPr>
          <w:rFonts w:hint="eastAsia" w:ascii="宋体" w:hAnsi="宋体" w:eastAsia="宋体" w:cs="宋体"/>
          <w:color w:val="auto"/>
          <w:szCs w:val="21"/>
          <w:highlight w:val="none"/>
          <w:u w:val="single"/>
        </w:rPr>
        <w:t xml:space="preserve">     </w:t>
      </w:r>
      <w:r>
        <w:rPr>
          <w:rFonts w:hint="eastAsia" w:ascii="宋体" w:hAnsi="宋体" w:eastAsia="宋体" w:cs="宋体"/>
          <w:color w:val="auto"/>
          <w:szCs w:val="21"/>
          <w:highlight w:val="none"/>
        </w:rPr>
        <w:t>日</w:t>
      </w:r>
    </w:p>
    <w:p w14:paraId="0336D5D7">
      <w:pPr>
        <w:snapToGrid w:val="0"/>
        <w:spacing w:line="340" w:lineRule="exact"/>
        <w:ind w:firstLine="420"/>
        <w:outlineLvl w:val="9"/>
        <w:rPr>
          <w:rFonts w:hint="eastAsia" w:ascii="宋体" w:hAnsi="宋体" w:eastAsia="宋体" w:cs="宋体"/>
          <w:color w:val="auto"/>
          <w:szCs w:val="21"/>
          <w:highlight w:val="none"/>
        </w:rPr>
      </w:pPr>
    </w:p>
    <w:p w14:paraId="7EF368C1">
      <w:pPr>
        <w:pStyle w:val="9"/>
        <w:spacing w:line="400" w:lineRule="exact"/>
        <w:ind w:firstLine="602" w:firstLineChars="250"/>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附：委托代理人身份证正反面</w:t>
      </w:r>
      <w:r>
        <w:rPr>
          <w:rFonts w:hint="eastAsia" w:hAnsi="宋体" w:cs="宋体"/>
          <w:b/>
          <w:color w:val="auto"/>
          <w:sz w:val="24"/>
          <w:szCs w:val="24"/>
          <w:highlight w:val="none"/>
          <w:lang w:eastAsia="zh-CN"/>
        </w:rPr>
        <w:t>扫描</w:t>
      </w:r>
      <w:r>
        <w:rPr>
          <w:rFonts w:hint="eastAsia" w:ascii="宋体" w:hAnsi="宋体" w:eastAsia="宋体" w:cs="宋体"/>
          <w:b/>
          <w:color w:val="auto"/>
          <w:sz w:val="24"/>
          <w:szCs w:val="24"/>
          <w:highlight w:val="none"/>
        </w:rPr>
        <w:t>件以及由县级以上（含县级）社会养老保险经办机构出具的自然人本人及委托代理人所交纳的2024年以来任意一个月社保证明扫描件（委托代理时必须提供；若为2024年以来新成立的企业，请根据实际情况提供劳务合同扫描件）。</w:t>
      </w:r>
    </w:p>
    <w:p w14:paraId="66F56AE0">
      <w:pPr>
        <w:pStyle w:val="9"/>
        <w:spacing w:line="400" w:lineRule="exact"/>
        <w:rPr>
          <w:rFonts w:hint="eastAsia" w:ascii="宋体" w:hAnsi="宋体" w:eastAsia="宋体" w:cs="宋体"/>
          <w:color w:val="auto"/>
          <w:highlight w:val="none"/>
        </w:rPr>
      </w:pPr>
    </w:p>
    <w:p w14:paraId="4B701588">
      <w:pPr>
        <w:pStyle w:val="9"/>
        <w:spacing w:line="400" w:lineRule="exact"/>
        <w:rPr>
          <w:rFonts w:hint="eastAsia" w:ascii="宋体" w:hAnsi="宋体" w:eastAsia="宋体" w:cs="宋体"/>
          <w:b/>
          <w:color w:val="auto"/>
          <w:sz w:val="32"/>
          <w:szCs w:val="32"/>
          <w:highlight w:val="none"/>
        </w:rPr>
      </w:pPr>
    </w:p>
    <w:p w14:paraId="73DE0F9E">
      <w:pPr>
        <w:pStyle w:val="9"/>
        <w:spacing w:line="400" w:lineRule="exact"/>
        <w:rPr>
          <w:rFonts w:hint="eastAsia" w:ascii="宋体" w:hAnsi="宋体" w:eastAsia="宋体" w:cs="宋体"/>
          <w:b/>
          <w:color w:val="auto"/>
          <w:sz w:val="32"/>
          <w:szCs w:val="32"/>
          <w:highlight w:val="none"/>
        </w:rPr>
      </w:pPr>
    </w:p>
    <w:p w14:paraId="47B856E9">
      <w:pPr>
        <w:pStyle w:val="9"/>
        <w:spacing w:line="400" w:lineRule="exact"/>
        <w:rPr>
          <w:rFonts w:hint="eastAsia" w:ascii="宋体" w:hAnsi="宋体" w:eastAsia="宋体" w:cs="宋体"/>
          <w:b/>
          <w:color w:val="auto"/>
          <w:sz w:val="32"/>
          <w:szCs w:val="32"/>
          <w:highlight w:val="none"/>
        </w:rPr>
      </w:pPr>
    </w:p>
    <w:p w14:paraId="7C81D3C5">
      <w:pPr>
        <w:pStyle w:val="9"/>
        <w:spacing w:line="400" w:lineRule="exact"/>
        <w:rPr>
          <w:rFonts w:hint="eastAsia" w:ascii="宋体" w:hAnsi="宋体" w:eastAsia="宋体" w:cs="宋体"/>
          <w:b/>
          <w:color w:val="auto"/>
          <w:sz w:val="32"/>
          <w:szCs w:val="32"/>
          <w:highlight w:val="none"/>
        </w:rPr>
      </w:pPr>
    </w:p>
    <w:p w14:paraId="0C29ABE8">
      <w:pPr>
        <w:pStyle w:val="9"/>
        <w:spacing w:line="400" w:lineRule="exact"/>
        <w:rPr>
          <w:rFonts w:hint="eastAsia" w:ascii="宋体" w:hAnsi="宋体" w:eastAsia="宋体" w:cs="宋体"/>
          <w:b/>
          <w:color w:val="auto"/>
          <w:sz w:val="32"/>
          <w:szCs w:val="32"/>
          <w:highlight w:val="none"/>
        </w:rPr>
      </w:pPr>
    </w:p>
    <w:p w14:paraId="602B81DC">
      <w:pPr>
        <w:pStyle w:val="9"/>
        <w:spacing w:line="400" w:lineRule="exact"/>
        <w:rPr>
          <w:rFonts w:hint="eastAsia" w:ascii="宋体" w:hAnsi="宋体" w:eastAsia="宋体" w:cs="宋体"/>
          <w:b/>
          <w:color w:val="auto"/>
          <w:sz w:val="32"/>
          <w:szCs w:val="32"/>
          <w:highlight w:val="none"/>
        </w:rPr>
      </w:pPr>
    </w:p>
    <w:p w14:paraId="1AD39ACC">
      <w:pPr>
        <w:pStyle w:val="9"/>
        <w:spacing w:line="400" w:lineRule="exact"/>
        <w:rPr>
          <w:rFonts w:hint="eastAsia" w:ascii="宋体" w:hAnsi="宋体" w:eastAsia="宋体" w:cs="宋体"/>
          <w:b/>
          <w:color w:val="auto"/>
          <w:sz w:val="32"/>
          <w:szCs w:val="32"/>
          <w:highlight w:val="none"/>
        </w:rPr>
      </w:pPr>
    </w:p>
    <w:p w14:paraId="1AC8AA74">
      <w:pPr>
        <w:pStyle w:val="9"/>
        <w:spacing w:line="400" w:lineRule="exact"/>
        <w:rPr>
          <w:rFonts w:hint="eastAsia" w:ascii="宋体" w:hAnsi="宋体" w:eastAsia="宋体" w:cs="宋体"/>
          <w:b/>
          <w:color w:val="auto"/>
          <w:sz w:val="32"/>
          <w:szCs w:val="32"/>
          <w:highlight w:val="none"/>
        </w:rPr>
      </w:pPr>
    </w:p>
    <w:p w14:paraId="21EEB67D">
      <w:pPr>
        <w:pStyle w:val="9"/>
        <w:spacing w:line="400" w:lineRule="exact"/>
        <w:rPr>
          <w:rFonts w:hint="eastAsia" w:ascii="宋体" w:hAnsi="宋体" w:eastAsia="宋体" w:cs="宋体"/>
          <w:b/>
          <w:color w:val="auto"/>
          <w:sz w:val="32"/>
          <w:szCs w:val="32"/>
          <w:highlight w:val="none"/>
        </w:rPr>
      </w:pPr>
    </w:p>
    <w:p w14:paraId="64464528">
      <w:pPr>
        <w:pStyle w:val="9"/>
        <w:spacing w:line="400" w:lineRule="exact"/>
        <w:rPr>
          <w:rFonts w:hint="eastAsia" w:ascii="宋体" w:hAnsi="宋体" w:eastAsia="宋体" w:cs="宋体"/>
          <w:b/>
          <w:color w:val="auto"/>
          <w:sz w:val="32"/>
          <w:szCs w:val="32"/>
          <w:highlight w:val="none"/>
        </w:rPr>
      </w:pPr>
    </w:p>
    <w:p w14:paraId="282F53F5">
      <w:pPr>
        <w:pStyle w:val="9"/>
        <w:spacing w:line="400" w:lineRule="exact"/>
        <w:rPr>
          <w:rFonts w:hint="eastAsia" w:ascii="宋体" w:hAnsi="宋体" w:eastAsia="宋体" w:cs="宋体"/>
          <w:b/>
          <w:color w:val="auto"/>
          <w:sz w:val="32"/>
          <w:szCs w:val="32"/>
          <w:highlight w:val="none"/>
        </w:rPr>
      </w:pPr>
    </w:p>
    <w:p w14:paraId="619D4C2B">
      <w:pPr>
        <w:pStyle w:val="9"/>
        <w:spacing w:line="400" w:lineRule="exact"/>
        <w:rPr>
          <w:rFonts w:hint="eastAsia" w:ascii="宋体" w:hAnsi="宋体" w:eastAsia="宋体" w:cs="宋体"/>
          <w:b/>
          <w:color w:val="auto"/>
          <w:sz w:val="32"/>
          <w:szCs w:val="32"/>
          <w:highlight w:val="none"/>
        </w:rPr>
      </w:pPr>
    </w:p>
    <w:p w14:paraId="5F905F83">
      <w:pPr>
        <w:pStyle w:val="9"/>
        <w:spacing w:line="400" w:lineRule="exact"/>
        <w:rPr>
          <w:rFonts w:hint="eastAsia" w:ascii="宋体" w:hAnsi="宋体" w:eastAsia="宋体" w:cs="宋体"/>
          <w:b/>
          <w:color w:val="auto"/>
          <w:sz w:val="32"/>
          <w:szCs w:val="32"/>
          <w:highlight w:val="none"/>
        </w:rPr>
      </w:pPr>
    </w:p>
    <w:p w14:paraId="7BC5DA0B">
      <w:pPr>
        <w:pStyle w:val="9"/>
        <w:spacing w:line="400" w:lineRule="exact"/>
        <w:ind w:firstLine="472" w:firstLineChars="147"/>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3.投标人的法人或者其他组织营业执照等证明文件扫描件（必须提供，自然人除外）；</w:t>
      </w:r>
    </w:p>
    <w:p w14:paraId="5FF15698">
      <w:pPr>
        <w:tabs>
          <w:tab w:val="left" w:pos="1305"/>
        </w:tabs>
        <w:spacing w:line="380" w:lineRule="exact"/>
        <w:ind w:firstLine="442" w:firstLineChars="200"/>
        <w:rPr>
          <w:rFonts w:hint="eastAsia" w:ascii="宋体" w:hAnsi="宋体" w:eastAsia="宋体" w:cs="宋体"/>
          <w:color w:val="auto"/>
          <w:szCs w:val="21"/>
          <w:highlight w:val="none"/>
        </w:rPr>
      </w:pPr>
      <w:r>
        <w:rPr>
          <w:rFonts w:hint="eastAsia" w:ascii="宋体" w:hAnsi="宋体" w:eastAsia="宋体" w:cs="宋体"/>
          <w:b/>
          <w:color w:val="auto"/>
          <w:szCs w:val="21"/>
          <w:highlight w:val="none"/>
        </w:rPr>
        <w:t>注：投标人为企业（包括合伙企业），应提供工商部门注册的有效“企业法人营业执照”或“营业执照；投标人为事业单位，应提供有效的“事业单位法人证书”；投标人为非企业专业服务机构的，应提供执业许可证等证明文件；投标人为个体工商户，应提供有效的“个体工商户营业执照”。</w:t>
      </w:r>
    </w:p>
    <w:p w14:paraId="62981086">
      <w:pPr>
        <w:pStyle w:val="9"/>
        <w:spacing w:line="400" w:lineRule="exact"/>
        <w:rPr>
          <w:rFonts w:hint="eastAsia" w:ascii="宋体" w:hAnsi="宋体" w:eastAsia="宋体" w:cs="宋体"/>
          <w:b/>
          <w:color w:val="auto"/>
          <w:sz w:val="32"/>
          <w:szCs w:val="32"/>
          <w:highlight w:val="none"/>
        </w:rPr>
      </w:pPr>
    </w:p>
    <w:p w14:paraId="6B5437F5">
      <w:pPr>
        <w:pStyle w:val="9"/>
        <w:spacing w:line="400" w:lineRule="exact"/>
        <w:rPr>
          <w:rFonts w:hint="eastAsia" w:ascii="宋体" w:hAnsi="宋体" w:eastAsia="宋体" w:cs="宋体"/>
          <w:b/>
          <w:color w:val="auto"/>
          <w:sz w:val="32"/>
          <w:szCs w:val="32"/>
          <w:highlight w:val="none"/>
        </w:rPr>
      </w:pPr>
    </w:p>
    <w:p w14:paraId="7D1EDE0F">
      <w:pPr>
        <w:pStyle w:val="9"/>
        <w:spacing w:line="400" w:lineRule="exact"/>
        <w:rPr>
          <w:rFonts w:hint="eastAsia" w:ascii="宋体" w:hAnsi="宋体" w:eastAsia="宋体" w:cs="宋体"/>
          <w:b/>
          <w:color w:val="auto"/>
          <w:sz w:val="32"/>
          <w:szCs w:val="32"/>
          <w:highlight w:val="none"/>
        </w:rPr>
      </w:pPr>
    </w:p>
    <w:p w14:paraId="6A62B808">
      <w:pPr>
        <w:pStyle w:val="9"/>
        <w:spacing w:line="400" w:lineRule="exact"/>
        <w:rPr>
          <w:rFonts w:hint="eastAsia" w:ascii="宋体" w:hAnsi="宋体" w:eastAsia="宋体" w:cs="宋体"/>
          <w:b/>
          <w:color w:val="auto"/>
          <w:sz w:val="32"/>
          <w:szCs w:val="32"/>
          <w:highlight w:val="none"/>
        </w:rPr>
      </w:pPr>
    </w:p>
    <w:p w14:paraId="2966036C">
      <w:pPr>
        <w:pStyle w:val="9"/>
        <w:spacing w:line="400" w:lineRule="exact"/>
        <w:ind w:firstLine="482" w:firstLineChars="150"/>
        <w:rPr>
          <w:rFonts w:hint="eastAsia" w:ascii="宋体" w:hAnsi="宋体" w:eastAsia="宋体" w:cs="宋体"/>
          <w:b/>
          <w:color w:val="auto"/>
          <w:sz w:val="32"/>
          <w:szCs w:val="32"/>
          <w:highlight w:val="none"/>
          <w:lang w:eastAsia="zh-CN"/>
        </w:rPr>
      </w:pPr>
      <w:r>
        <w:rPr>
          <w:rFonts w:hint="eastAsia" w:ascii="宋体" w:hAnsi="宋体" w:eastAsia="宋体" w:cs="宋体"/>
          <w:b/>
          <w:color w:val="auto"/>
          <w:sz w:val="32"/>
          <w:szCs w:val="32"/>
          <w:highlight w:val="none"/>
        </w:rPr>
        <w:t>4.投标人2022年度以来任意一个年度内的财务状况报告【提供第三方出具的财务审计报告，或投标人出具的财务报表（格式自拟），或2023年以来其基本开户银行出具的资信证明】扫描件（必须提供）</w:t>
      </w:r>
      <w:r>
        <w:rPr>
          <w:rFonts w:hint="eastAsia" w:hAnsi="宋体" w:cs="宋体"/>
          <w:b/>
          <w:color w:val="auto"/>
          <w:sz w:val="32"/>
          <w:szCs w:val="32"/>
          <w:highlight w:val="none"/>
          <w:lang w:eastAsia="zh-CN"/>
        </w:rPr>
        <w:t>；</w:t>
      </w:r>
    </w:p>
    <w:p w14:paraId="6C553976">
      <w:pPr>
        <w:pStyle w:val="9"/>
        <w:spacing w:line="400" w:lineRule="exact"/>
        <w:ind w:firstLine="482" w:firstLineChars="150"/>
        <w:rPr>
          <w:rFonts w:hint="eastAsia" w:ascii="宋体" w:hAnsi="宋体" w:eastAsia="宋体" w:cs="宋体"/>
          <w:b/>
          <w:color w:val="auto"/>
          <w:sz w:val="32"/>
          <w:szCs w:val="32"/>
          <w:highlight w:val="none"/>
        </w:rPr>
      </w:pPr>
    </w:p>
    <w:p w14:paraId="3FD3E4EF">
      <w:pPr>
        <w:pStyle w:val="9"/>
        <w:spacing w:line="400" w:lineRule="exact"/>
        <w:ind w:firstLine="482" w:firstLineChars="150"/>
        <w:rPr>
          <w:rFonts w:hint="eastAsia" w:ascii="宋体" w:hAnsi="宋体" w:eastAsia="宋体" w:cs="宋体"/>
          <w:b/>
          <w:color w:val="auto"/>
          <w:sz w:val="32"/>
          <w:szCs w:val="32"/>
          <w:highlight w:val="none"/>
        </w:rPr>
      </w:pPr>
    </w:p>
    <w:p w14:paraId="3B8372C5">
      <w:pPr>
        <w:pStyle w:val="3"/>
        <w:rPr>
          <w:rFonts w:hint="eastAsia"/>
        </w:rPr>
      </w:pPr>
    </w:p>
    <w:p w14:paraId="73DF8994">
      <w:pPr>
        <w:pStyle w:val="3"/>
        <w:rPr>
          <w:rFonts w:hint="eastAsia"/>
        </w:rPr>
      </w:pPr>
    </w:p>
    <w:p w14:paraId="702B614B">
      <w:pPr>
        <w:pStyle w:val="9"/>
        <w:spacing w:line="400" w:lineRule="exact"/>
        <w:ind w:firstLine="482" w:firstLineChars="150"/>
        <w:rPr>
          <w:rFonts w:hint="eastAsia" w:ascii="宋体" w:hAnsi="宋体" w:eastAsia="宋体" w:cs="宋体"/>
          <w:b/>
          <w:color w:val="auto"/>
          <w:sz w:val="32"/>
          <w:szCs w:val="32"/>
          <w:highlight w:val="none"/>
          <w:lang w:eastAsia="zh-CN"/>
        </w:rPr>
      </w:pPr>
      <w:r>
        <w:rPr>
          <w:rFonts w:hint="eastAsia" w:hAnsi="宋体" w:cs="宋体"/>
          <w:b/>
          <w:color w:val="auto"/>
          <w:sz w:val="32"/>
          <w:szCs w:val="32"/>
          <w:highlight w:val="none"/>
          <w:lang w:val="en-US" w:eastAsia="zh-CN"/>
        </w:rPr>
        <w:t>5.</w:t>
      </w:r>
      <w:r>
        <w:rPr>
          <w:rFonts w:hint="eastAsia" w:ascii="宋体" w:hAnsi="宋体" w:eastAsia="宋体" w:cs="宋体"/>
          <w:color w:val="auto"/>
          <w:highlight w:val="none"/>
        </w:rPr>
        <w:t xml:space="preserve"> </w:t>
      </w:r>
      <w:r>
        <w:rPr>
          <w:rFonts w:hint="eastAsia" w:ascii="宋体" w:hAnsi="宋体" w:eastAsia="宋体" w:cs="宋体"/>
          <w:b/>
          <w:color w:val="auto"/>
          <w:sz w:val="32"/>
          <w:szCs w:val="32"/>
          <w:highlight w:val="none"/>
        </w:rPr>
        <w:t>投标人202</w:t>
      </w:r>
      <w:r>
        <w:rPr>
          <w:rFonts w:hint="eastAsia" w:hAnsi="宋体" w:cs="宋体"/>
          <w:b/>
          <w:color w:val="auto"/>
          <w:sz w:val="32"/>
          <w:szCs w:val="32"/>
          <w:highlight w:val="none"/>
          <w:lang w:val="en-US" w:eastAsia="zh-CN"/>
        </w:rPr>
        <w:t>4</w:t>
      </w:r>
      <w:r>
        <w:rPr>
          <w:rFonts w:hint="eastAsia" w:ascii="宋体" w:hAnsi="宋体" w:eastAsia="宋体" w:cs="宋体"/>
          <w:b/>
          <w:color w:val="auto"/>
          <w:sz w:val="32"/>
          <w:szCs w:val="32"/>
          <w:highlight w:val="none"/>
        </w:rPr>
        <w:t>年以来任意一个月依法缴纳税收</w:t>
      </w:r>
      <w:r>
        <w:rPr>
          <w:rFonts w:hint="eastAsia" w:hAnsi="宋体" w:cs="宋体"/>
          <w:b/>
          <w:color w:val="auto"/>
          <w:sz w:val="32"/>
          <w:szCs w:val="32"/>
          <w:highlight w:val="none"/>
          <w:lang w:eastAsia="zh-CN"/>
        </w:rPr>
        <w:t>或依法免税</w:t>
      </w:r>
      <w:r>
        <w:rPr>
          <w:rFonts w:hint="eastAsia" w:ascii="宋体" w:hAnsi="宋体" w:eastAsia="宋体" w:cs="宋体"/>
          <w:b/>
          <w:color w:val="auto"/>
          <w:sz w:val="32"/>
          <w:szCs w:val="32"/>
          <w:highlight w:val="none"/>
        </w:rPr>
        <w:t>的相关材料扫描件（必须提供）</w:t>
      </w:r>
      <w:r>
        <w:rPr>
          <w:rFonts w:hint="eastAsia" w:ascii="宋体" w:hAnsi="宋体" w:eastAsia="宋体" w:cs="宋体"/>
          <w:b/>
          <w:color w:val="auto"/>
          <w:sz w:val="32"/>
          <w:szCs w:val="32"/>
          <w:highlight w:val="none"/>
          <w:lang w:eastAsia="zh-CN"/>
        </w:rPr>
        <w:t>；</w:t>
      </w:r>
    </w:p>
    <w:p w14:paraId="6C37DB12">
      <w:pPr>
        <w:pStyle w:val="3"/>
        <w:rPr>
          <w:rFonts w:hint="eastAsia"/>
          <w:lang w:eastAsia="zh-CN"/>
        </w:rPr>
      </w:pPr>
    </w:p>
    <w:p w14:paraId="48CFD171">
      <w:pPr>
        <w:rPr>
          <w:rFonts w:hint="eastAsia"/>
          <w:lang w:eastAsia="zh-CN"/>
        </w:rPr>
      </w:pPr>
    </w:p>
    <w:p w14:paraId="5152BB4A">
      <w:pPr>
        <w:rPr>
          <w:rFonts w:hint="eastAsia"/>
          <w:lang w:eastAsia="zh-CN"/>
        </w:rPr>
      </w:pPr>
    </w:p>
    <w:p w14:paraId="22519E44">
      <w:pPr>
        <w:rPr>
          <w:rFonts w:hint="eastAsia"/>
          <w:lang w:eastAsia="zh-CN"/>
        </w:rPr>
      </w:pPr>
    </w:p>
    <w:p w14:paraId="54B785AF">
      <w:pPr>
        <w:pStyle w:val="3"/>
        <w:jc w:val="left"/>
        <w:rPr>
          <w:rFonts w:hint="eastAsia" w:ascii="宋体" w:hAnsi="宋体" w:eastAsia="宋体" w:cs="宋体"/>
          <w:b/>
          <w:color w:val="auto"/>
          <w:kern w:val="2"/>
          <w:sz w:val="32"/>
          <w:szCs w:val="32"/>
          <w:highlight w:val="none"/>
          <w:lang w:val="en-US" w:eastAsia="zh-CN" w:bidi="ar-SA"/>
        </w:rPr>
      </w:pPr>
      <w:r>
        <w:rPr>
          <w:rFonts w:hint="eastAsia"/>
          <w:lang w:val="en-US" w:eastAsia="zh-CN"/>
        </w:rPr>
        <w:t xml:space="preserve">   </w:t>
      </w:r>
      <w:r>
        <w:rPr>
          <w:rFonts w:hint="eastAsia" w:ascii="宋体" w:hAnsi="宋体" w:eastAsia="宋体" w:cs="宋体"/>
          <w:b/>
          <w:color w:val="auto"/>
          <w:kern w:val="2"/>
          <w:sz w:val="32"/>
          <w:szCs w:val="32"/>
          <w:highlight w:val="none"/>
          <w:lang w:val="en-US" w:eastAsia="zh-CN" w:bidi="ar-SA"/>
        </w:rPr>
        <w:t>6.投标人2024年以来任意一个月依法缴纳社会保障资金的相关证明材料扫描件（必须提供）；</w:t>
      </w:r>
    </w:p>
    <w:p w14:paraId="50D3A1EB">
      <w:pPr>
        <w:rPr>
          <w:rFonts w:hint="default"/>
          <w:lang w:val="en-US" w:eastAsia="zh-CN"/>
        </w:rPr>
      </w:pPr>
    </w:p>
    <w:p w14:paraId="7517AA21">
      <w:pPr>
        <w:rPr>
          <w:rFonts w:hint="eastAsia" w:hAnsi="宋体" w:cs="宋体"/>
          <w:b/>
          <w:color w:val="auto"/>
          <w:sz w:val="32"/>
          <w:szCs w:val="32"/>
          <w:highlight w:val="none"/>
          <w:lang w:val="en-US" w:eastAsia="zh-CN"/>
        </w:rPr>
      </w:pPr>
      <w:r>
        <w:rPr>
          <w:rFonts w:hint="eastAsia" w:hAnsi="宋体" w:cs="宋体"/>
          <w:b/>
          <w:color w:val="auto"/>
          <w:sz w:val="32"/>
          <w:szCs w:val="32"/>
          <w:highlight w:val="none"/>
          <w:lang w:val="en-US" w:eastAsia="zh-CN"/>
        </w:rPr>
        <w:br w:type="page"/>
      </w:r>
    </w:p>
    <w:p w14:paraId="038FD43C">
      <w:pPr>
        <w:pStyle w:val="9"/>
        <w:spacing w:line="400" w:lineRule="exact"/>
        <w:ind w:firstLine="482" w:firstLineChars="150"/>
        <w:rPr>
          <w:rFonts w:hint="eastAsia" w:ascii="宋体" w:hAnsi="宋体" w:eastAsia="宋体" w:cs="宋体"/>
          <w:b/>
          <w:color w:val="auto"/>
          <w:sz w:val="32"/>
          <w:szCs w:val="32"/>
          <w:highlight w:val="none"/>
        </w:rPr>
      </w:pPr>
      <w:r>
        <w:rPr>
          <w:rFonts w:hint="eastAsia" w:hAnsi="宋体" w:cs="宋体"/>
          <w:b/>
          <w:color w:val="auto"/>
          <w:sz w:val="32"/>
          <w:szCs w:val="32"/>
          <w:highlight w:val="none"/>
          <w:lang w:val="en-US" w:eastAsia="zh-CN"/>
        </w:rPr>
        <w:t>7.</w:t>
      </w:r>
      <w:r>
        <w:rPr>
          <w:rFonts w:hint="eastAsia" w:ascii="宋体" w:hAnsi="宋体" w:eastAsia="宋体" w:cs="宋体"/>
          <w:b/>
          <w:color w:val="auto"/>
          <w:sz w:val="32"/>
          <w:szCs w:val="32"/>
          <w:highlight w:val="none"/>
        </w:rPr>
        <w:t>投标人参加政府采购活动前三年内在经营活动中没有重大违法记录及有关信用信息、前期服务情况的书面声明（必须提供）</w:t>
      </w:r>
    </w:p>
    <w:p w14:paraId="020E9C8B">
      <w:pPr>
        <w:pStyle w:val="9"/>
        <w:spacing w:line="400" w:lineRule="exact"/>
        <w:ind w:left="440" w:leftChars="200" w:firstLine="157" w:firstLineChars="49"/>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 xml:space="preserve">                       </w:t>
      </w:r>
    </w:p>
    <w:p w14:paraId="7CABA8ED">
      <w:pPr>
        <w:pStyle w:val="9"/>
        <w:spacing w:line="400" w:lineRule="exact"/>
        <w:jc w:val="left"/>
        <w:rPr>
          <w:rFonts w:hint="eastAsia" w:ascii="宋体" w:hAnsi="宋体" w:eastAsia="宋体" w:cs="宋体"/>
          <w:b/>
          <w:color w:val="auto"/>
          <w:sz w:val="32"/>
          <w:szCs w:val="32"/>
          <w:highlight w:val="none"/>
        </w:rPr>
      </w:pPr>
      <w:r>
        <w:rPr>
          <w:rFonts w:hint="eastAsia" w:ascii="宋体" w:hAnsi="宋体" w:eastAsia="宋体" w:cs="宋体"/>
          <w:b/>
          <w:color w:val="auto"/>
          <w:sz w:val="24"/>
          <w:szCs w:val="24"/>
          <w:highlight w:val="none"/>
        </w:rPr>
        <w:t xml:space="preserve">附件：                            </w:t>
      </w:r>
      <w:r>
        <w:rPr>
          <w:rFonts w:hint="eastAsia" w:ascii="宋体" w:hAnsi="宋体" w:eastAsia="宋体" w:cs="宋体"/>
          <w:b/>
          <w:color w:val="auto"/>
          <w:sz w:val="32"/>
          <w:szCs w:val="32"/>
          <w:highlight w:val="none"/>
        </w:rPr>
        <w:t>声   明（格式）</w:t>
      </w:r>
    </w:p>
    <w:p w14:paraId="6D05EB18">
      <w:pPr>
        <w:snapToGrid w:val="0"/>
        <w:spacing w:line="400" w:lineRule="exact"/>
        <w:outlineLvl w:val="4"/>
        <w:rPr>
          <w:rFonts w:hint="eastAsia" w:ascii="宋体" w:hAnsi="宋体" w:eastAsia="宋体" w:cs="宋体"/>
          <w:color w:val="auto"/>
          <w:highlight w:val="none"/>
          <w:lang w:eastAsia="zh-CN"/>
        </w:rPr>
      </w:pPr>
      <w:r>
        <w:rPr>
          <w:rFonts w:hint="eastAsia" w:ascii="宋体" w:hAnsi="宋体" w:eastAsia="宋体" w:cs="宋体"/>
          <w:b/>
          <w:color w:val="auto"/>
          <w:szCs w:val="21"/>
          <w:highlight w:val="none"/>
        </w:rPr>
        <w:t>致</w:t>
      </w:r>
      <w:r>
        <w:rPr>
          <w:rFonts w:hint="eastAsia" w:ascii="宋体" w:hAnsi="宋体" w:eastAsia="宋体" w:cs="宋体"/>
          <w:color w:val="auto"/>
          <w:szCs w:val="21"/>
          <w:highlight w:val="none"/>
        </w:rPr>
        <w:t>：</w:t>
      </w:r>
      <w:r>
        <w:rPr>
          <w:rFonts w:hint="eastAsia" w:ascii="宋体" w:hAnsi="宋体" w:eastAsia="宋体" w:cs="宋体"/>
          <w:color w:val="auto"/>
          <w:highlight w:val="none"/>
          <w:u w:val="single"/>
          <w:lang w:eastAsia="zh-CN"/>
        </w:rPr>
        <w:t>广西国兴项目管理有限公司</w:t>
      </w:r>
    </w:p>
    <w:p w14:paraId="5ECE6456">
      <w:pPr>
        <w:snapToGrid w:val="0"/>
        <w:spacing w:line="400" w:lineRule="exact"/>
        <w:outlineLvl w:val="9"/>
        <w:rPr>
          <w:rFonts w:hint="eastAsia" w:ascii="宋体" w:hAnsi="宋体" w:eastAsia="宋体" w:cs="宋体"/>
          <w:color w:val="auto"/>
          <w:szCs w:val="21"/>
          <w:highlight w:val="none"/>
          <w:u w:val="single"/>
        </w:rPr>
      </w:pPr>
    </w:p>
    <w:p w14:paraId="4EC2CDFF">
      <w:pPr>
        <w:pStyle w:val="9"/>
        <w:spacing w:line="380" w:lineRule="exact"/>
        <w:ind w:firstLine="420" w:firstLineChars="200"/>
        <w:rPr>
          <w:rFonts w:hint="eastAsia" w:ascii="宋体" w:hAnsi="宋体" w:eastAsia="宋体" w:cs="宋体"/>
          <w:color w:val="auto"/>
          <w:highlight w:val="none"/>
          <w:lang w:eastAsia="zh-CN"/>
        </w:rPr>
      </w:pPr>
      <w:r>
        <w:rPr>
          <w:rFonts w:hint="eastAsia" w:ascii="宋体" w:hAnsi="宋体" w:eastAsia="宋体" w:cs="宋体"/>
          <w:color w:val="auto"/>
          <w:highlight w:val="none"/>
        </w:rPr>
        <w:t>我（公司）郑重声明</w:t>
      </w:r>
      <w:r>
        <w:rPr>
          <w:rFonts w:hint="eastAsia" w:ascii="宋体" w:hAnsi="宋体" w:eastAsia="宋体" w:cs="宋体"/>
          <w:color w:val="auto"/>
          <w:highlight w:val="none"/>
          <w:lang w:eastAsia="zh-CN"/>
        </w:rPr>
        <w:t>：</w:t>
      </w:r>
    </w:p>
    <w:p w14:paraId="03C7AC9F">
      <w:pPr>
        <w:pStyle w:val="9"/>
        <w:spacing w:line="380" w:lineRule="exact"/>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1.</w:t>
      </w:r>
      <w:r>
        <w:rPr>
          <w:rFonts w:hint="eastAsia" w:ascii="宋体" w:hAnsi="宋体" w:eastAsia="宋体" w:cs="宋体"/>
          <w:color w:val="auto"/>
          <w:highlight w:val="none"/>
        </w:rPr>
        <w:t>在参加本项目政府采购活动前</w:t>
      </w:r>
      <w:r>
        <w:rPr>
          <w:rFonts w:hint="eastAsia" w:hAnsi="宋体" w:cs="宋体"/>
          <w:color w:val="auto"/>
          <w:highlight w:val="none"/>
          <w:lang w:eastAsia="zh-CN"/>
        </w:rPr>
        <w:t>三</w:t>
      </w:r>
      <w:r>
        <w:rPr>
          <w:rFonts w:hint="eastAsia" w:ascii="宋体" w:hAnsi="宋体" w:eastAsia="宋体" w:cs="宋体"/>
          <w:color w:val="auto"/>
          <w:highlight w:val="none"/>
        </w:rPr>
        <w:t>年内在经营活动中没有重大违法记录（重大违法记录是指</w:t>
      </w:r>
      <w:r>
        <w:rPr>
          <w:rFonts w:hint="eastAsia" w:ascii="宋体" w:hAnsi="宋体" w:eastAsia="宋体" w:cs="Times New Roman"/>
          <w:color w:val="auto"/>
          <w:kern w:val="2"/>
          <w:sz w:val="21"/>
          <w:szCs w:val="21"/>
          <w:highlight w:val="none"/>
        </w:rPr>
        <w:t>投标人</w:t>
      </w:r>
      <w:r>
        <w:rPr>
          <w:rFonts w:hint="eastAsia" w:ascii="宋体" w:hAnsi="宋体" w:eastAsia="宋体" w:cs="宋体"/>
          <w:color w:val="auto"/>
          <w:highlight w:val="none"/>
        </w:rPr>
        <w:t>因违法经营受到刑事处罚或者责令停产停业、吊销许可证或者执照、较大数额罚款等行政处罚），未被列入失信被执行人、</w:t>
      </w:r>
      <w:r>
        <w:rPr>
          <w:rFonts w:hint="eastAsia" w:ascii="宋体" w:hAnsi="宋体" w:eastAsia="宋体" w:cs="宋体"/>
          <w:color w:val="auto"/>
          <w:highlight w:val="none"/>
          <w:lang w:eastAsia="zh-CN"/>
        </w:rPr>
        <w:t>重大税收违法失信主体</w:t>
      </w:r>
      <w:r>
        <w:rPr>
          <w:rFonts w:hint="eastAsia" w:ascii="宋体" w:hAnsi="宋体" w:eastAsia="宋体" w:cs="宋体"/>
          <w:color w:val="auto"/>
          <w:highlight w:val="none"/>
        </w:rPr>
        <w:t>、政府采购严重违法失信行为记录名单，完全符合《中华人民共和国政府采购法》第二十二条规定的</w:t>
      </w:r>
      <w:r>
        <w:rPr>
          <w:rFonts w:hint="eastAsia" w:ascii="宋体" w:hAnsi="宋体" w:eastAsia="宋体" w:cs="Times New Roman"/>
          <w:color w:val="auto"/>
          <w:kern w:val="2"/>
          <w:sz w:val="21"/>
          <w:szCs w:val="21"/>
          <w:highlight w:val="none"/>
        </w:rPr>
        <w:t>投标人</w:t>
      </w:r>
      <w:r>
        <w:rPr>
          <w:rFonts w:hint="eastAsia" w:ascii="宋体" w:hAnsi="宋体" w:eastAsia="宋体" w:cs="宋体"/>
          <w:color w:val="auto"/>
          <w:highlight w:val="none"/>
        </w:rPr>
        <w:t>资格条件，我方对此声明负全部法律责任。</w:t>
      </w:r>
    </w:p>
    <w:p w14:paraId="2DF6BE2E">
      <w:pPr>
        <w:pStyle w:val="9"/>
        <w:spacing w:line="440" w:lineRule="exact"/>
        <w:ind w:firstLine="420" w:firstLineChars="200"/>
        <w:rPr>
          <w:rFonts w:hint="eastAsia" w:ascii="宋体" w:hAnsi="宋体" w:eastAsia="宋体" w:cs="宋体"/>
          <w:color w:val="auto"/>
          <w:highlight w:val="none"/>
        </w:rPr>
      </w:pPr>
      <w:r>
        <w:rPr>
          <w:rFonts w:hint="eastAsia" w:ascii="宋体" w:hAnsi="宋体" w:eastAsia="宋体" w:cs="宋体"/>
          <w:color w:val="auto"/>
          <w:highlight w:val="none"/>
          <w:lang w:val="en-US" w:eastAsia="zh-CN"/>
        </w:rPr>
        <w:t>2.</w:t>
      </w:r>
      <w:r>
        <w:rPr>
          <w:rFonts w:hint="eastAsia" w:ascii="宋体" w:hAnsi="宋体" w:eastAsia="宋体" w:cs="宋体"/>
          <w:color w:val="auto"/>
          <w:highlight w:val="none"/>
        </w:rPr>
        <w:t>在参加本项目政府采购活动前不属于为本采购项目提供整体设计、规范编制或者项目管理、监理、检测等服务的</w:t>
      </w:r>
      <w:r>
        <w:rPr>
          <w:rFonts w:hint="eastAsia" w:ascii="宋体" w:hAnsi="宋体" w:eastAsia="宋体" w:cs="Times New Roman"/>
          <w:color w:val="auto"/>
          <w:kern w:val="2"/>
          <w:sz w:val="21"/>
          <w:szCs w:val="21"/>
          <w:highlight w:val="none"/>
        </w:rPr>
        <w:t>投标人</w:t>
      </w:r>
      <w:r>
        <w:rPr>
          <w:rFonts w:hint="eastAsia" w:ascii="宋体" w:hAnsi="宋体" w:eastAsia="宋体" w:cs="宋体"/>
          <w:color w:val="auto"/>
          <w:highlight w:val="none"/>
        </w:rPr>
        <w:t>。</w:t>
      </w:r>
    </w:p>
    <w:p w14:paraId="1E0E1D1B">
      <w:pPr>
        <w:pStyle w:val="9"/>
        <w:spacing w:line="380" w:lineRule="exact"/>
        <w:rPr>
          <w:rFonts w:hint="eastAsia" w:ascii="宋体" w:hAnsi="宋体" w:eastAsia="宋体" w:cs="宋体"/>
          <w:color w:val="auto"/>
          <w:highlight w:val="none"/>
          <w:lang w:val="en-US" w:eastAsia="zh-CN"/>
        </w:rPr>
      </w:pPr>
    </w:p>
    <w:p w14:paraId="5AD42526">
      <w:pPr>
        <w:snapToGrid w:val="0"/>
        <w:spacing w:line="400" w:lineRule="exact"/>
        <w:ind w:firstLine="4730" w:firstLineChars="2150"/>
        <w:outlineLvl w:val="9"/>
        <w:rPr>
          <w:rFonts w:hint="eastAsia" w:ascii="宋体" w:hAnsi="宋体" w:eastAsia="宋体" w:cs="宋体"/>
          <w:color w:val="auto"/>
          <w:szCs w:val="21"/>
          <w:highlight w:val="none"/>
        </w:rPr>
      </w:pPr>
    </w:p>
    <w:p w14:paraId="134D80AD">
      <w:pPr>
        <w:pStyle w:val="23"/>
        <w:ind w:firstLine="480"/>
        <w:rPr>
          <w:rFonts w:hint="eastAsia" w:ascii="宋体" w:hAnsi="宋体" w:eastAsia="宋体" w:cs="宋体"/>
          <w:color w:val="auto"/>
          <w:highlight w:val="none"/>
        </w:rPr>
      </w:pPr>
    </w:p>
    <w:p w14:paraId="1127E9C5">
      <w:pPr>
        <w:rPr>
          <w:rFonts w:hint="eastAsia" w:ascii="宋体" w:hAnsi="宋体" w:eastAsia="宋体" w:cs="宋体"/>
          <w:color w:val="auto"/>
          <w:highlight w:val="none"/>
        </w:rPr>
      </w:pPr>
    </w:p>
    <w:p w14:paraId="29F81EEC">
      <w:pPr>
        <w:pStyle w:val="9"/>
        <w:ind w:firstLine="1995" w:firstLineChars="950"/>
        <w:rPr>
          <w:rFonts w:hint="eastAsia" w:ascii="宋体" w:hAnsi="宋体" w:eastAsia="宋体" w:cs="宋体"/>
          <w:color w:val="auto"/>
          <w:highlight w:val="none"/>
          <w:u w:val="single"/>
        </w:rPr>
      </w:pPr>
      <w:r>
        <w:rPr>
          <w:rFonts w:hint="eastAsia" w:ascii="宋体" w:hAnsi="宋体" w:eastAsia="宋体" w:cs="宋体"/>
          <w:color w:val="auto"/>
          <w:highlight w:val="none"/>
        </w:rPr>
        <w:t>投标人公章（CA签章，自然人签字或个人CA签章）：</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w:t>
      </w:r>
      <w:r>
        <w:rPr>
          <w:rFonts w:hint="eastAsia" w:ascii="宋体" w:hAnsi="宋体" w:eastAsia="宋体" w:cs="宋体"/>
          <w:color w:val="auto"/>
          <w:highlight w:val="none"/>
          <w:u w:val="single"/>
        </w:rPr>
        <w:t xml:space="preserve">                </w:t>
      </w:r>
    </w:p>
    <w:p w14:paraId="47A63305">
      <w:pPr>
        <w:pStyle w:val="9"/>
        <w:spacing w:line="320" w:lineRule="exact"/>
        <w:ind w:firstLine="420" w:firstLineChars="20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 xml:space="preserve">                             </w:t>
      </w:r>
    </w:p>
    <w:p w14:paraId="1921087A">
      <w:pPr>
        <w:pStyle w:val="9"/>
        <w:spacing w:line="320" w:lineRule="exact"/>
        <w:ind w:firstLine="420" w:firstLineChars="200"/>
        <w:rPr>
          <w:rFonts w:hint="eastAsia" w:ascii="宋体" w:hAnsi="宋体" w:eastAsia="宋体" w:cs="宋体"/>
          <w:bCs/>
          <w:color w:val="auto"/>
          <w:szCs w:val="21"/>
          <w:highlight w:val="none"/>
        </w:rPr>
      </w:pPr>
    </w:p>
    <w:p w14:paraId="31E864E4">
      <w:pPr>
        <w:spacing w:line="340" w:lineRule="exact"/>
        <w:ind w:firstLine="1980" w:firstLineChars="900"/>
        <w:rPr>
          <w:rFonts w:hint="eastAsia" w:ascii="宋体" w:hAnsi="宋体" w:eastAsia="宋体" w:cs="宋体"/>
          <w:color w:val="auto"/>
          <w:highlight w:val="none"/>
          <w:u w:val="single"/>
        </w:rPr>
      </w:pPr>
      <w:r>
        <w:rPr>
          <w:rFonts w:hint="eastAsia" w:ascii="宋体" w:hAnsi="宋体" w:eastAsia="宋体" w:cs="宋体"/>
          <w:bCs/>
          <w:color w:val="auto"/>
          <w:szCs w:val="21"/>
          <w:highlight w:val="none"/>
        </w:rPr>
        <w:t xml:space="preserve"> 日期：</w:t>
      </w:r>
      <w:r>
        <w:rPr>
          <w:rFonts w:hint="eastAsia" w:ascii="宋体" w:hAnsi="宋体" w:eastAsia="宋体" w:cs="宋体"/>
          <w:bCs/>
          <w:color w:val="auto"/>
          <w:szCs w:val="21"/>
          <w:highlight w:val="none"/>
          <w:u w:val="single"/>
        </w:rPr>
        <w:t xml:space="preserve">                     </w:t>
      </w:r>
    </w:p>
    <w:p w14:paraId="5BEFFF99">
      <w:pPr>
        <w:spacing w:line="340" w:lineRule="exact"/>
        <w:ind w:firstLine="1980" w:firstLineChars="900"/>
        <w:rPr>
          <w:rFonts w:hint="eastAsia" w:ascii="宋体" w:hAnsi="宋体" w:eastAsia="宋体" w:cs="宋体"/>
          <w:color w:val="auto"/>
          <w:highlight w:val="none"/>
          <w:u w:val="single"/>
        </w:rPr>
      </w:pPr>
    </w:p>
    <w:p w14:paraId="1F639AC3">
      <w:pPr>
        <w:rPr>
          <w:rFonts w:hint="eastAsia" w:ascii="宋体" w:hAnsi="宋体" w:eastAsia="宋体" w:cs="宋体"/>
          <w:b/>
          <w:bCs/>
          <w:color w:val="auto"/>
          <w:sz w:val="32"/>
          <w:szCs w:val="20"/>
          <w:highlight w:val="none"/>
          <w:lang w:val="en-US" w:eastAsia="zh-CN"/>
        </w:rPr>
      </w:pPr>
      <w:r>
        <w:rPr>
          <w:rFonts w:hint="eastAsia" w:ascii="宋体" w:hAnsi="宋体" w:eastAsia="宋体" w:cs="宋体"/>
          <w:b/>
          <w:bCs/>
          <w:color w:val="auto"/>
          <w:sz w:val="32"/>
          <w:szCs w:val="20"/>
          <w:highlight w:val="none"/>
          <w:lang w:val="en-US" w:eastAsia="zh-CN"/>
        </w:rPr>
        <w:br w:type="page"/>
      </w:r>
    </w:p>
    <w:p w14:paraId="638529A4">
      <w:pPr>
        <w:pStyle w:val="9"/>
        <w:spacing w:line="400" w:lineRule="exact"/>
        <w:ind w:firstLine="482" w:firstLineChars="150"/>
        <w:rPr>
          <w:rFonts w:hint="eastAsia" w:ascii="宋体" w:hAnsi="宋体" w:eastAsia="宋体" w:cs="宋体"/>
          <w:b/>
          <w:color w:val="auto"/>
          <w:sz w:val="32"/>
          <w:szCs w:val="32"/>
          <w:highlight w:val="none"/>
          <w:lang w:val="en-US" w:eastAsia="zh-CN"/>
        </w:rPr>
      </w:pPr>
      <w:r>
        <w:rPr>
          <w:rFonts w:hint="eastAsia" w:ascii="宋体" w:hAnsi="宋体" w:eastAsia="宋体" w:cs="宋体"/>
          <w:b/>
          <w:color w:val="auto"/>
          <w:sz w:val="32"/>
          <w:szCs w:val="32"/>
          <w:highlight w:val="none"/>
          <w:lang w:val="en-US" w:eastAsia="zh-CN"/>
        </w:rPr>
        <w:t>8.中小企业相应有效的证明文件（必须提供），根据企业所属类型，必须提供以下材料之一：</w:t>
      </w:r>
    </w:p>
    <w:p w14:paraId="1C54714B">
      <w:pPr>
        <w:pStyle w:val="9"/>
        <w:spacing w:line="400" w:lineRule="exact"/>
        <w:ind w:firstLine="482" w:firstLineChars="150"/>
        <w:rPr>
          <w:rFonts w:hint="eastAsia" w:ascii="宋体" w:hAnsi="宋体" w:eastAsia="宋体" w:cs="宋体"/>
          <w:b/>
          <w:color w:val="auto"/>
          <w:sz w:val="32"/>
          <w:szCs w:val="32"/>
          <w:highlight w:val="none"/>
          <w:lang w:val="en-US" w:eastAsia="zh-CN"/>
        </w:rPr>
      </w:pPr>
      <w:r>
        <w:rPr>
          <w:rFonts w:hint="eastAsia" w:ascii="宋体" w:hAnsi="宋体" w:eastAsia="宋体" w:cs="宋体"/>
          <w:b/>
          <w:color w:val="auto"/>
          <w:sz w:val="32"/>
          <w:szCs w:val="32"/>
          <w:highlight w:val="none"/>
          <w:lang w:val="en-US" w:eastAsia="zh-CN"/>
        </w:rPr>
        <w:t>①中小企业声明函（如投标人提供的货物由小型、微型企业（中小微型企业划分标准按照《国家统计局关于印发《统计上大中小微型企业划分办法〔2017〕》的通知》（国统字〔2017〕213号）执行）制造的，投标人应如实声明并对出具声明函的真实性负责。中标、成交结果将同时公告该企业《中小企业声明函》，接受社会监督。格式见附件）</w:t>
      </w:r>
    </w:p>
    <w:p w14:paraId="075C6168">
      <w:pPr>
        <w:snapToGrid w:val="0"/>
        <w:spacing w:line="360" w:lineRule="exact"/>
        <w:ind w:left="981" w:leftChars="196" w:hanging="550" w:hangingChars="250"/>
        <w:jc w:val="left"/>
        <w:rPr>
          <w:rFonts w:hint="eastAsia" w:ascii="宋体" w:hAnsi="宋体" w:eastAsia="宋体" w:cs="宋体"/>
          <w:color w:val="auto"/>
          <w:highlight w:val="none"/>
        </w:rPr>
      </w:pPr>
      <w:r>
        <w:rPr>
          <w:rFonts w:hint="eastAsia" w:ascii="宋体" w:hAnsi="宋体" w:eastAsia="宋体" w:cs="宋体"/>
          <w:color w:val="auto"/>
          <w:highlight w:val="none"/>
        </w:rPr>
        <w:t>附件</w:t>
      </w:r>
    </w:p>
    <w:p w14:paraId="6C2234E5">
      <w:pPr>
        <w:pStyle w:val="9"/>
        <w:spacing w:line="440" w:lineRule="exact"/>
        <w:jc w:val="center"/>
        <w:rPr>
          <w:rFonts w:hint="eastAsia" w:ascii="宋体" w:hAnsi="宋体" w:eastAsia="宋体" w:cs="宋体"/>
          <w:b/>
          <w:bCs/>
          <w:color w:val="auto"/>
          <w:sz w:val="28"/>
          <w:szCs w:val="28"/>
          <w:highlight w:val="none"/>
        </w:rPr>
      </w:pPr>
      <w:r>
        <w:rPr>
          <w:rFonts w:hint="eastAsia" w:ascii="宋体" w:hAnsi="宋体" w:eastAsia="宋体" w:cs="宋体"/>
          <w:b/>
          <w:bCs/>
          <w:color w:val="auto"/>
          <w:sz w:val="28"/>
          <w:szCs w:val="28"/>
          <w:highlight w:val="none"/>
        </w:rPr>
        <w:t>中小企业声明函</w:t>
      </w:r>
    </w:p>
    <w:p w14:paraId="2462B1C7">
      <w:pPr>
        <w:pStyle w:val="9"/>
        <w:spacing w:line="440" w:lineRule="exact"/>
        <w:ind w:firstLine="504" w:firstLineChars="200"/>
        <w:rPr>
          <w:rFonts w:hint="eastAsia" w:ascii="宋体" w:hAnsi="宋体" w:eastAsia="宋体" w:cs="宋体"/>
          <w:color w:val="auto"/>
          <w:spacing w:val="6"/>
          <w:sz w:val="24"/>
          <w:szCs w:val="24"/>
          <w:highlight w:val="none"/>
        </w:rPr>
      </w:pPr>
      <w:r>
        <w:rPr>
          <w:rFonts w:hint="eastAsia" w:ascii="宋体" w:hAnsi="宋体" w:eastAsia="宋体" w:cs="宋体"/>
          <w:color w:val="auto"/>
          <w:spacing w:val="6"/>
          <w:sz w:val="24"/>
          <w:szCs w:val="24"/>
          <w:highlight w:val="none"/>
        </w:rPr>
        <w:t>本公司（联合体）郑重声明，根据《政府采购促进中小企业发展管理办法》（财库﹝2020﹞46 号）的规定，本公司（联合体）参加（</w:t>
      </w:r>
      <w:r>
        <w:rPr>
          <w:rFonts w:hint="eastAsia" w:ascii="宋体" w:hAnsi="宋体" w:eastAsia="宋体" w:cs="宋体"/>
          <w:color w:val="auto"/>
          <w:spacing w:val="6"/>
          <w:sz w:val="24"/>
          <w:szCs w:val="24"/>
          <w:highlight w:val="none"/>
          <w:u w:val="single"/>
        </w:rPr>
        <w:t>单位名称</w:t>
      </w:r>
      <w:r>
        <w:rPr>
          <w:rFonts w:hint="eastAsia" w:ascii="宋体" w:hAnsi="宋体" w:eastAsia="宋体" w:cs="宋体"/>
          <w:color w:val="auto"/>
          <w:spacing w:val="6"/>
          <w:sz w:val="24"/>
          <w:szCs w:val="24"/>
          <w:highlight w:val="none"/>
        </w:rPr>
        <w:t>）的（</w:t>
      </w:r>
      <w:r>
        <w:rPr>
          <w:rFonts w:hint="eastAsia" w:ascii="宋体" w:hAnsi="宋体" w:eastAsia="宋体" w:cs="宋体"/>
          <w:color w:val="auto"/>
          <w:spacing w:val="6"/>
          <w:sz w:val="24"/>
          <w:szCs w:val="24"/>
          <w:highlight w:val="none"/>
          <w:u w:val="single"/>
        </w:rPr>
        <w:t>项目名称</w:t>
      </w:r>
      <w:r>
        <w:rPr>
          <w:rFonts w:hint="eastAsia" w:ascii="宋体" w:hAnsi="宋体" w:eastAsia="宋体" w:cs="宋体"/>
          <w:color w:val="auto"/>
          <w:spacing w:val="6"/>
          <w:sz w:val="24"/>
          <w:szCs w:val="24"/>
          <w:highlight w:val="none"/>
        </w:rPr>
        <w:t>）采购活动，提供的货物全部由符合政策要求的中小企业制造。相关企业（含联合体中的中小企业、签订分包意向协议的中小企业）的具体情况如下：</w:t>
      </w:r>
    </w:p>
    <w:p w14:paraId="501CF351">
      <w:pPr>
        <w:pStyle w:val="25"/>
        <w:spacing w:line="400" w:lineRule="exact"/>
        <w:ind w:firstLine="640"/>
        <w:jc w:val="both"/>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w:t>
      </w:r>
      <w:r>
        <w:rPr>
          <w:rFonts w:hint="eastAsia" w:ascii="宋体" w:hAnsi="宋体" w:eastAsia="宋体" w:cs="宋体"/>
          <w:color w:val="auto"/>
          <w:sz w:val="24"/>
          <w:szCs w:val="24"/>
          <w:highlight w:val="none"/>
          <w:u w:val="single"/>
        </w:rPr>
        <w:t xml:space="preserve">     （</w:t>
      </w:r>
      <w:r>
        <w:rPr>
          <w:rFonts w:hint="eastAsia" w:cs="宋体"/>
          <w:color w:val="auto"/>
          <w:sz w:val="24"/>
          <w:szCs w:val="24"/>
          <w:highlight w:val="none"/>
          <w:u w:val="single"/>
          <w:lang w:eastAsia="zh-CN"/>
        </w:rPr>
        <w:t>货物</w:t>
      </w:r>
      <w:r>
        <w:rPr>
          <w:rFonts w:hint="eastAsia" w:ascii="宋体" w:hAnsi="宋体" w:eastAsia="宋体" w:cs="宋体"/>
          <w:color w:val="auto"/>
          <w:sz w:val="24"/>
          <w:szCs w:val="24"/>
          <w:highlight w:val="none"/>
          <w:u w:val="single"/>
        </w:rPr>
        <w:t>名称）</w:t>
      </w:r>
      <w:r>
        <w:rPr>
          <w:rFonts w:hint="eastAsia" w:ascii="宋体" w:hAnsi="宋体" w:eastAsia="宋体" w:cs="宋体"/>
          <w:color w:val="auto"/>
          <w:sz w:val="24"/>
          <w:szCs w:val="24"/>
          <w:highlight w:val="none"/>
        </w:rPr>
        <w:t>，属于</w:t>
      </w:r>
      <w:r>
        <w:rPr>
          <w:rFonts w:hint="eastAsia" w:ascii="宋体" w:hAnsi="宋体" w:eastAsia="宋体" w:cs="宋体"/>
          <w:color w:val="auto"/>
          <w:sz w:val="24"/>
          <w:szCs w:val="24"/>
          <w:highlight w:val="none"/>
          <w:u w:val="single"/>
        </w:rPr>
        <w:t xml:space="preserve">     （釆购文件中明确的所属行业）行业</w:t>
      </w:r>
      <w:r>
        <w:rPr>
          <w:rFonts w:hint="eastAsia" w:ascii="宋体" w:hAnsi="宋体" w:eastAsia="宋体" w:cs="宋体"/>
          <w:color w:val="auto"/>
          <w:sz w:val="24"/>
          <w:szCs w:val="24"/>
          <w:highlight w:val="none"/>
        </w:rPr>
        <w:t>；制造商为</w:t>
      </w:r>
      <w:r>
        <w:rPr>
          <w:rFonts w:hint="eastAsia" w:ascii="宋体" w:hAnsi="宋体" w:eastAsia="宋体" w:cs="宋体"/>
          <w:color w:val="auto"/>
          <w:sz w:val="24"/>
          <w:szCs w:val="24"/>
          <w:highlight w:val="none"/>
          <w:u w:val="single"/>
        </w:rPr>
        <w:t>（企业名称）</w:t>
      </w:r>
      <w:r>
        <w:rPr>
          <w:rFonts w:hint="eastAsia" w:ascii="宋体" w:hAnsi="宋体" w:eastAsia="宋体" w:cs="宋体"/>
          <w:color w:val="auto"/>
          <w:sz w:val="24"/>
          <w:szCs w:val="24"/>
          <w:highlight w:val="none"/>
        </w:rPr>
        <w:t>，从业人员</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rPr>
        <w:tab/>
      </w:r>
      <w:r>
        <w:rPr>
          <w:rFonts w:hint="eastAsia" w:ascii="宋体" w:hAnsi="宋体" w:eastAsia="宋体" w:cs="宋体"/>
          <w:color w:val="auto"/>
          <w:sz w:val="24"/>
          <w:szCs w:val="24"/>
          <w:highlight w:val="none"/>
        </w:rPr>
        <w:t>人，营业收入为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万元，资产总额为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万元，属于</w:t>
      </w:r>
      <w:r>
        <w:rPr>
          <w:rFonts w:hint="eastAsia" w:ascii="宋体" w:hAnsi="宋体" w:eastAsia="宋体" w:cs="宋体"/>
          <w:color w:val="auto"/>
          <w:sz w:val="24"/>
          <w:szCs w:val="24"/>
          <w:highlight w:val="none"/>
          <w:u w:val="single"/>
        </w:rPr>
        <w:t>（中型企业、小型企业、微型企业）</w:t>
      </w:r>
      <w:r>
        <w:rPr>
          <w:rFonts w:hint="eastAsia" w:ascii="宋体" w:hAnsi="宋体" w:eastAsia="宋体" w:cs="宋体"/>
          <w:color w:val="auto"/>
          <w:sz w:val="24"/>
          <w:szCs w:val="24"/>
          <w:highlight w:val="none"/>
        </w:rPr>
        <w:t xml:space="preserve">； </w:t>
      </w:r>
    </w:p>
    <w:p w14:paraId="1586C868">
      <w:pPr>
        <w:pStyle w:val="25"/>
        <w:spacing w:line="400" w:lineRule="exact"/>
        <w:ind w:firstLine="640"/>
        <w:jc w:val="both"/>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w:t>
      </w:r>
      <w:r>
        <w:rPr>
          <w:rFonts w:hint="eastAsia" w:ascii="宋体" w:hAnsi="宋体" w:eastAsia="宋体" w:cs="宋体"/>
          <w:color w:val="auto"/>
          <w:sz w:val="24"/>
          <w:szCs w:val="24"/>
          <w:highlight w:val="none"/>
          <w:u w:val="single"/>
        </w:rPr>
        <w:t xml:space="preserve">    （</w:t>
      </w:r>
      <w:r>
        <w:rPr>
          <w:rFonts w:hint="eastAsia" w:cs="宋体"/>
          <w:color w:val="auto"/>
          <w:sz w:val="24"/>
          <w:szCs w:val="24"/>
          <w:highlight w:val="none"/>
          <w:u w:val="single"/>
          <w:lang w:eastAsia="zh-CN"/>
        </w:rPr>
        <w:t>货物</w:t>
      </w:r>
      <w:r>
        <w:rPr>
          <w:rFonts w:hint="eastAsia" w:ascii="宋体" w:hAnsi="宋体" w:eastAsia="宋体" w:cs="宋体"/>
          <w:color w:val="auto"/>
          <w:sz w:val="24"/>
          <w:szCs w:val="24"/>
          <w:highlight w:val="none"/>
          <w:u w:val="single"/>
        </w:rPr>
        <w:t>名称）</w:t>
      </w:r>
      <w:r>
        <w:rPr>
          <w:rFonts w:hint="eastAsia" w:ascii="宋体" w:hAnsi="宋体" w:eastAsia="宋体" w:cs="宋体"/>
          <w:color w:val="auto"/>
          <w:sz w:val="24"/>
          <w:szCs w:val="24"/>
          <w:highlight w:val="none"/>
        </w:rPr>
        <w:t>，属于</w:t>
      </w:r>
      <w:r>
        <w:rPr>
          <w:rFonts w:hint="eastAsia" w:ascii="宋体" w:hAnsi="宋体" w:eastAsia="宋体" w:cs="宋体"/>
          <w:color w:val="auto"/>
          <w:sz w:val="24"/>
          <w:szCs w:val="24"/>
          <w:highlight w:val="none"/>
          <w:u w:val="single"/>
        </w:rPr>
        <w:t xml:space="preserve">     （釆购文件中明确的所属行业）行业</w:t>
      </w:r>
      <w:r>
        <w:rPr>
          <w:rFonts w:hint="eastAsia" w:ascii="宋体" w:hAnsi="宋体" w:eastAsia="宋体" w:cs="宋体"/>
          <w:color w:val="auto"/>
          <w:sz w:val="24"/>
          <w:szCs w:val="24"/>
          <w:highlight w:val="none"/>
        </w:rPr>
        <w:t>；制造商为</w:t>
      </w:r>
      <w:r>
        <w:rPr>
          <w:rFonts w:hint="eastAsia" w:ascii="宋体" w:hAnsi="宋体" w:eastAsia="宋体" w:cs="宋体"/>
          <w:color w:val="auto"/>
          <w:sz w:val="24"/>
          <w:szCs w:val="24"/>
          <w:highlight w:val="none"/>
          <w:u w:val="single"/>
        </w:rPr>
        <w:t>（企业名称）</w:t>
      </w:r>
      <w:r>
        <w:rPr>
          <w:rFonts w:hint="eastAsia" w:ascii="宋体" w:hAnsi="宋体" w:eastAsia="宋体" w:cs="宋体"/>
          <w:color w:val="auto"/>
          <w:sz w:val="24"/>
          <w:szCs w:val="24"/>
          <w:highlight w:val="none"/>
        </w:rPr>
        <w:t>、从业人员</w:t>
      </w:r>
      <w:r>
        <w:rPr>
          <w:rFonts w:hint="eastAsia" w:ascii="宋体" w:hAnsi="宋体" w:eastAsia="宋体" w:cs="宋体"/>
          <w:color w:val="auto"/>
          <w:sz w:val="24"/>
          <w:szCs w:val="24"/>
          <w:highlight w:val="none"/>
          <w:u w:val="single"/>
        </w:rPr>
        <w:tab/>
      </w:r>
      <w:r>
        <w:rPr>
          <w:rFonts w:hint="eastAsia" w:ascii="宋体" w:hAnsi="宋体" w:eastAsia="宋体" w:cs="宋体"/>
          <w:color w:val="auto"/>
          <w:sz w:val="24"/>
          <w:szCs w:val="24"/>
          <w:highlight w:val="none"/>
        </w:rPr>
        <w:t>人，营业收入为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万元，资产总额为</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rPr>
        <w:t>万元，属于</w:t>
      </w:r>
      <w:r>
        <w:rPr>
          <w:rFonts w:hint="eastAsia" w:ascii="宋体" w:hAnsi="宋体" w:eastAsia="宋体" w:cs="宋体"/>
          <w:color w:val="auto"/>
          <w:sz w:val="24"/>
          <w:szCs w:val="24"/>
          <w:highlight w:val="none"/>
          <w:u w:val="single"/>
        </w:rPr>
        <w:t>（中型企业、小型 企业、微型企业）</w:t>
      </w:r>
      <w:r>
        <w:rPr>
          <w:rFonts w:hint="eastAsia" w:ascii="宋体" w:hAnsi="宋体" w:eastAsia="宋体" w:cs="宋体"/>
          <w:color w:val="auto"/>
          <w:sz w:val="24"/>
          <w:szCs w:val="24"/>
          <w:highlight w:val="none"/>
        </w:rPr>
        <w:t>；</w:t>
      </w:r>
    </w:p>
    <w:p w14:paraId="5D7C2A17">
      <w:pPr>
        <w:pStyle w:val="25"/>
        <w:spacing w:line="400" w:lineRule="exact"/>
        <w:ind w:firstLine="640"/>
        <w:jc w:val="both"/>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w:t>
      </w:r>
    </w:p>
    <w:p w14:paraId="06306153">
      <w:pPr>
        <w:pStyle w:val="25"/>
        <w:spacing w:line="400" w:lineRule="exact"/>
        <w:ind w:firstLine="640"/>
        <w:jc w:val="both"/>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以上企业，不属于大企业的分支机构，不存在控股股东为大企业的情形，也不存在与大企业的负责人为同一人的情形。</w:t>
      </w:r>
    </w:p>
    <w:p w14:paraId="6C2AAA4F">
      <w:pPr>
        <w:pStyle w:val="25"/>
        <w:spacing w:after="40" w:line="400" w:lineRule="exact"/>
        <w:ind w:firstLine="640"/>
        <w:jc w:val="both"/>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本企业对上述声明内容的真实性负责。如有虚假，将依法承担相应责任。</w:t>
      </w:r>
    </w:p>
    <w:p w14:paraId="49473774">
      <w:pPr>
        <w:widowControl/>
        <w:ind w:firstLine="504" w:firstLineChars="200"/>
        <w:jc w:val="left"/>
        <w:rPr>
          <w:rFonts w:hint="eastAsia" w:ascii="宋体" w:hAnsi="宋体" w:eastAsia="宋体" w:cs="宋体"/>
          <w:color w:val="auto"/>
          <w:spacing w:val="6"/>
          <w:sz w:val="24"/>
          <w:highlight w:val="none"/>
        </w:rPr>
      </w:pPr>
      <w:r>
        <w:rPr>
          <w:rFonts w:hint="eastAsia" w:ascii="宋体" w:hAnsi="宋体" w:eastAsia="宋体" w:cs="宋体"/>
          <w:color w:val="auto"/>
          <w:spacing w:val="6"/>
          <w:sz w:val="24"/>
          <w:highlight w:val="none"/>
        </w:rPr>
        <w:t xml:space="preserve"> </w:t>
      </w:r>
    </w:p>
    <w:p w14:paraId="14B7473F">
      <w:pPr>
        <w:widowControl/>
        <w:ind w:firstLine="5796" w:firstLineChars="2300"/>
        <w:jc w:val="left"/>
        <w:rPr>
          <w:rFonts w:hint="eastAsia" w:ascii="宋体" w:hAnsi="宋体" w:eastAsia="宋体" w:cs="宋体"/>
          <w:color w:val="auto"/>
          <w:spacing w:val="6"/>
          <w:sz w:val="24"/>
          <w:highlight w:val="none"/>
        </w:rPr>
      </w:pPr>
      <w:r>
        <w:rPr>
          <w:rFonts w:hint="eastAsia" w:ascii="宋体" w:hAnsi="宋体" w:eastAsia="宋体" w:cs="宋体"/>
          <w:color w:val="auto"/>
          <w:spacing w:val="6"/>
          <w:sz w:val="24"/>
          <w:highlight w:val="none"/>
        </w:rPr>
        <w:t xml:space="preserve">企业名称【盖公章（CA签章）】： </w:t>
      </w:r>
    </w:p>
    <w:p w14:paraId="26117804">
      <w:pPr>
        <w:widowControl/>
        <w:ind w:firstLine="5796" w:firstLineChars="2300"/>
        <w:jc w:val="left"/>
        <w:rPr>
          <w:rFonts w:hint="eastAsia" w:ascii="宋体" w:hAnsi="宋体" w:eastAsia="宋体" w:cs="宋体"/>
          <w:color w:val="auto"/>
          <w:spacing w:val="6"/>
          <w:sz w:val="24"/>
          <w:highlight w:val="none"/>
        </w:rPr>
      </w:pPr>
      <w:r>
        <w:rPr>
          <w:rFonts w:hint="eastAsia" w:ascii="宋体" w:hAnsi="宋体" w:eastAsia="宋体" w:cs="宋体"/>
          <w:color w:val="auto"/>
          <w:spacing w:val="6"/>
          <w:sz w:val="24"/>
          <w:highlight w:val="none"/>
        </w:rPr>
        <w:t>日 期：</w:t>
      </w:r>
    </w:p>
    <w:p w14:paraId="55D1B7F5">
      <w:pPr>
        <w:widowControl/>
        <w:ind w:firstLine="5796" w:firstLineChars="2300"/>
        <w:jc w:val="left"/>
        <w:rPr>
          <w:rFonts w:hint="eastAsia" w:ascii="宋体" w:hAnsi="宋体" w:eastAsia="宋体" w:cs="宋体"/>
          <w:color w:val="auto"/>
          <w:spacing w:val="6"/>
          <w:sz w:val="24"/>
          <w:highlight w:val="none"/>
        </w:rPr>
      </w:pPr>
    </w:p>
    <w:p w14:paraId="002AA81B">
      <w:pPr>
        <w:pStyle w:val="9"/>
        <w:spacing w:line="440" w:lineRule="exact"/>
        <w:rPr>
          <w:rFonts w:hint="eastAsia" w:ascii="宋体" w:hAnsi="宋体" w:eastAsia="宋体" w:cs="宋体"/>
          <w:b/>
          <w:bCs/>
          <w:color w:val="auto"/>
          <w:szCs w:val="21"/>
          <w:highlight w:val="none"/>
        </w:rPr>
      </w:pPr>
      <w:r>
        <w:rPr>
          <w:rFonts w:hint="eastAsia" w:ascii="宋体" w:hAnsi="宋体" w:eastAsia="宋体" w:cs="宋体"/>
          <w:b/>
          <w:bCs/>
          <w:color w:val="auto"/>
          <w:szCs w:val="21"/>
          <w:highlight w:val="none"/>
        </w:rPr>
        <w:t>注：1、从业人员、营业收入、资产总额填报上一年度数据，无上一年度数据的新成立企业可不填报。</w:t>
      </w:r>
    </w:p>
    <w:p w14:paraId="54E325F1">
      <w:pPr>
        <w:pStyle w:val="3"/>
        <w:ind w:firstLine="422" w:firstLineChars="200"/>
        <w:jc w:val="left"/>
        <w:rPr>
          <w:rFonts w:hint="eastAsia" w:ascii="宋体" w:hAnsi="宋体" w:eastAsia="宋体" w:cs="宋体"/>
          <w:b/>
          <w:bCs/>
          <w:color w:val="auto"/>
          <w:kern w:val="2"/>
          <w:sz w:val="21"/>
          <w:szCs w:val="21"/>
          <w:highlight w:val="none"/>
          <w:lang w:val="en-US" w:eastAsia="zh-CN" w:bidi="ar-SA"/>
        </w:rPr>
      </w:pPr>
    </w:p>
    <w:p w14:paraId="63BCD2C5">
      <w:pPr>
        <w:widowControl/>
        <w:spacing w:before="120" w:beforeLines="50" w:after="120" w:afterLines="50" w:line="400" w:lineRule="exact"/>
        <w:jc w:val="center"/>
        <w:rPr>
          <w:rFonts w:hint="eastAsia" w:ascii="宋体" w:hAnsi="宋体" w:cs="宋体"/>
          <w:b/>
          <w:bCs/>
          <w:color w:val="auto"/>
          <w:kern w:val="0"/>
          <w:sz w:val="30"/>
          <w:szCs w:val="30"/>
          <w:highlight w:val="none"/>
        </w:rPr>
      </w:pPr>
      <w:bookmarkStart w:id="22" w:name="_Toc28361_WPSOffice_Level2"/>
    </w:p>
    <w:p w14:paraId="676FFAD5">
      <w:pPr>
        <w:widowControl/>
        <w:spacing w:before="120" w:beforeLines="50" w:after="120" w:afterLines="50" w:line="400" w:lineRule="exact"/>
        <w:jc w:val="center"/>
        <w:rPr>
          <w:rFonts w:hint="eastAsia" w:ascii="宋体" w:hAnsi="宋体" w:cs="宋体"/>
          <w:b/>
          <w:bCs/>
          <w:color w:val="auto"/>
          <w:kern w:val="0"/>
          <w:sz w:val="30"/>
          <w:szCs w:val="30"/>
          <w:highlight w:val="none"/>
        </w:rPr>
      </w:pPr>
    </w:p>
    <w:p w14:paraId="49727B17">
      <w:pPr>
        <w:widowControl/>
        <w:spacing w:before="120" w:beforeLines="50" w:after="120" w:afterLines="50" w:line="400" w:lineRule="exact"/>
        <w:jc w:val="center"/>
        <w:rPr>
          <w:rFonts w:hint="eastAsia" w:ascii="宋体" w:hAnsi="宋体" w:cs="宋体"/>
          <w:b/>
          <w:bCs/>
          <w:color w:val="auto"/>
          <w:kern w:val="0"/>
          <w:sz w:val="30"/>
          <w:szCs w:val="30"/>
          <w:highlight w:val="none"/>
        </w:rPr>
      </w:pPr>
    </w:p>
    <w:p w14:paraId="668DD4DE">
      <w:pPr>
        <w:widowControl/>
        <w:spacing w:before="120" w:beforeLines="50" w:after="120" w:afterLines="50" w:line="400" w:lineRule="exact"/>
        <w:jc w:val="center"/>
        <w:rPr>
          <w:rFonts w:hint="eastAsia" w:ascii="宋体" w:hAnsi="宋体" w:cs="宋体"/>
          <w:b/>
          <w:bCs/>
          <w:color w:val="auto"/>
          <w:kern w:val="0"/>
          <w:sz w:val="30"/>
          <w:szCs w:val="30"/>
          <w:highlight w:val="none"/>
        </w:rPr>
      </w:pPr>
      <w:r>
        <w:rPr>
          <w:rFonts w:hint="eastAsia" w:ascii="宋体" w:hAnsi="宋体" w:cs="宋体"/>
          <w:b/>
          <w:bCs/>
          <w:color w:val="auto"/>
          <w:kern w:val="0"/>
          <w:sz w:val="30"/>
          <w:szCs w:val="30"/>
          <w:highlight w:val="none"/>
        </w:rPr>
        <w:t>统计上大中小微型企业划分标准</w:t>
      </w:r>
      <w:bookmarkEnd w:id="22"/>
    </w:p>
    <w:tbl>
      <w:tblPr>
        <w:tblStyle w:val="15"/>
        <w:tblW w:w="943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13"/>
        <w:gridCol w:w="1369"/>
        <w:gridCol w:w="709"/>
        <w:gridCol w:w="1125"/>
        <w:gridCol w:w="1701"/>
        <w:gridCol w:w="1426"/>
        <w:gridCol w:w="992"/>
      </w:tblGrid>
      <w:tr w14:paraId="79AD8B4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4" w:hRule="exact"/>
          <w:tblHeader/>
          <w:jc w:val="center"/>
        </w:trPr>
        <w:tc>
          <w:tcPr>
            <w:tcW w:w="2113" w:type="dxa"/>
            <w:shd w:val="clear" w:color="auto" w:fill="FFFFFF"/>
            <w:noWrap w:val="0"/>
            <w:vAlign w:val="center"/>
          </w:tcPr>
          <w:p w14:paraId="57092C08">
            <w:pPr>
              <w:widowControl/>
              <w:spacing w:line="240" w:lineRule="exact"/>
              <w:jc w:val="center"/>
              <w:rPr>
                <w:b/>
                <w:bCs/>
                <w:color w:val="auto"/>
                <w:kern w:val="0"/>
                <w:sz w:val="18"/>
                <w:szCs w:val="21"/>
                <w:highlight w:val="none"/>
              </w:rPr>
            </w:pPr>
            <w:r>
              <w:rPr>
                <w:b/>
                <w:bCs/>
                <w:color w:val="auto"/>
                <w:kern w:val="0"/>
                <w:sz w:val="18"/>
                <w:szCs w:val="21"/>
                <w:highlight w:val="none"/>
              </w:rPr>
              <w:t>行业名称</w:t>
            </w:r>
          </w:p>
        </w:tc>
        <w:tc>
          <w:tcPr>
            <w:tcW w:w="1369" w:type="dxa"/>
            <w:shd w:val="clear" w:color="auto" w:fill="FFFFFF"/>
            <w:noWrap w:val="0"/>
            <w:vAlign w:val="center"/>
          </w:tcPr>
          <w:p w14:paraId="02C93415">
            <w:pPr>
              <w:widowControl/>
              <w:jc w:val="center"/>
              <w:rPr>
                <w:b/>
                <w:bCs/>
                <w:color w:val="auto"/>
                <w:kern w:val="0"/>
                <w:sz w:val="18"/>
                <w:szCs w:val="18"/>
                <w:highlight w:val="none"/>
              </w:rPr>
            </w:pPr>
            <w:r>
              <w:rPr>
                <w:b/>
                <w:bCs/>
                <w:color w:val="auto"/>
                <w:kern w:val="0"/>
                <w:sz w:val="18"/>
                <w:szCs w:val="18"/>
                <w:highlight w:val="none"/>
              </w:rPr>
              <w:t>指标名称</w:t>
            </w:r>
          </w:p>
        </w:tc>
        <w:tc>
          <w:tcPr>
            <w:tcW w:w="709" w:type="dxa"/>
            <w:shd w:val="clear" w:color="auto" w:fill="FFFFFF"/>
            <w:noWrap w:val="0"/>
            <w:vAlign w:val="center"/>
          </w:tcPr>
          <w:p w14:paraId="08B5B75B">
            <w:pPr>
              <w:widowControl/>
              <w:jc w:val="center"/>
              <w:rPr>
                <w:rFonts w:hint="eastAsia" w:eastAsia="微软雅黑"/>
                <w:b/>
                <w:bCs/>
                <w:color w:val="auto"/>
                <w:kern w:val="0"/>
                <w:sz w:val="18"/>
                <w:szCs w:val="18"/>
                <w:highlight w:val="none"/>
                <w:lang w:eastAsia="zh-CN"/>
              </w:rPr>
            </w:pPr>
            <w:r>
              <w:rPr>
                <w:b/>
                <w:bCs/>
                <w:color w:val="auto"/>
                <w:kern w:val="0"/>
                <w:sz w:val="18"/>
                <w:szCs w:val="18"/>
                <w:highlight w:val="none"/>
              </w:rPr>
              <w:t>计量</w:t>
            </w:r>
          </w:p>
          <w:p w14:paraId="416161C8">
            <w:pPr>
              <w:widowControl/>
              <w:jc w:val="center"/>
              <w:rPr>
                <w:b/>
                <w:bCs/>
                <w:color w:val="auto"/>
                <w:kern w:val="0"/>
                <w:sz w:val="18"/>
                <w:szCs w:val="18"/>
                <w:highlight w:val="none"/>
              </w:rPr>
            </w:pPr>
            <w:r>
              <w:rPr>
                <w:b/>
                <w:bCs/>
                <w:color w:val="auto"/>
                <w:kern w:val="0"/>
                <w:sz w:val="18"/>
                <w:szCs w:val="18"/>
                <w:highlight w:val="none"/>
              </w:rPr>
              <w:t>单位</w:t>
            </w:r>
          </w:p>
        </w:tc>
        <w:tc>
          <w:tcPr>
            <w:tcW w:w="1125" w:type="dxa"/>
            <w:shd w:val="clear" w:color="auto" w:fill="FFFFFF"/>
            <w:noWrap w:val="0"/>
            <w:vAlign w:val="center"/>
          </w:tcPr>
          <w:p w14:paraId="25092B5B">
            <w:pPr>
              <w:widowControl/>
              <w:jc w:val="center"/>
              <w:rPr>
                <w:b/>
                <w:bCs/>
                <w:color w:val="auto"/>
                <w:kern w:val="0"/>
                <w:sz w:val="18"/>
                <w:szCs w:val="18"/>
                <w:highlight w:val="none"/>
              </w:rPr>
            </w:pPr>
            <w:r>
              <w:rPr>
                <w:b/>
                <w:bCs/>
                <w:color w:val="auto"/>
                <w:kern w:val="0"/>
                <w:sz w:val="18"/>
                <w:szCs w:val="18"/>
                <w:highlight w:val="none"/>
              </w:rPr>
              <w:t>大型</w:t>
            </w:r>
          </w:p>
        </w:tc>
        <w:tc>
          <w:tcPr>
            <w:tcW w:w="1701" w:type="dxa"/>
            <w:shd w:val="clear" w:color="auto" w:fill="FFFFFF"/>
            <w:noWrap w:val="0"/>
            <w:vAlign w:val="center"/>
          </w:tcPr>
          <w:p w14:paraId="2F1803CD">
            <w:pPr>
              <w:widowControl/>
              <w:jc w:val="center"/>
              <w:rPr>
                <w:b/>
                <w:bCs/>
                <w:color w:val="auto"/>
                <w:kern w:val="0"/>
                <w:sz w:val="18"/>
                <w:szCs w:val="18"/>
                <w:highlight w:val="none"/>
              </w:rPr>
            </w:pPr>
            <w:r>
              <w:rPr>
                <w:b/>
                <w:bCs/>
                <w:color w:val="auto"/>
                <w:kern w:val="0"/>
                <w:sz w:val="18"/>
                <w:szCs w:val="18"/>
                <w:highlight w:val="none"/>
              </w:rPr>
              <w:t>中型</w:t>
            </w:r>
          </w:p>
        </w:tc>
        <w:tc>
          <w:tcPr>
            <w:tcW w:w="1426" w:type="dxa"/>
            <w:shd w:val="clear" w:color="auto" w:fill="FFFFFF"/>
            <w:noWrap w:val="0"/>
            <w:vAlign w:val="center"/>
          </w:tcPr>
          <w:p w14:paraId="53A4E766">
            <w:pPr>
              <w:widowControl/>
              <w:jc w:val="center"/>
              <w:rPr>
                <w:b/>
                <w:bCs/>
                <w:color w:val="auto"/>
                <w:kern w:val="0"/>
                <w:sz w:val="18"/>
                <w:szCs w:val="18"/>
                <w:highlight w:val="none"/>
              </w:rPr>
            </w:pPr>
            <w:r>
              <w:rPr>
                <w:b/>
                <w:bCs/>
                <w:color w:val="auto"/>
                <w:kern w:val="0"/>
                <w:sz w:val="18"/>
                <w:szCs w:val="18"/>
                <w:highlight w:val="none"/>
              </w:rPr>
              <w:t>小型</w:t>
            </w:r>
          </w:p>
        </w:tc>
        <w:tc>
          <w:tcPr>
            <w:tcW w:w="992" w:type="dxa"/>
            <w:shd w:val="clear" w:color="auto" w:fill="FFFFFF"/>
            <w:noWrap w:val="0"/>
            <w:vAlign w:val="center"/>
          </w:tcPr>
          <w:p w14:paraId="2F0016A1">
            <w:pPr>
              <w:widowControl/>
              <w:jc w:val="center"/>
              <w:rPr>
                <w:b/>
                <w:bCs/>
                <w:color w:val="auto"/>
                <w:kern w:val="0"/>
                <w:sz w:val="18"/>
                <w:szCs w:val="18"/>
                <w:highlight w:val="none"/>
              </w:rPr>
            </w:pPr>
            <w:r>
              <w:rPr>
                <w:b/>
                <w:bCs/>
                <w:color w:val="auto"/>
                <w:kern w:val="0"/>
                <w:sz w:val="18"/>
                <w:szCs w:val="18"/>
                <w:highlight w:val="none"/>
              </w:rPr>
              <w:t>微型</w:t>
            </w:r>
          </w:p>
        </w:tc>
      </w:tr>
      <w:tr w14:paraId="541230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20921D3A">
            <w:pPr>
              <w:widowControl/>
              <w:spacing w:line="240" w:lineRule="exact"/>
              <w:jc w:val="left"/>
              <w:rPr>
                <w:color w:val="auto"/>
                <w:kern w:val="0"/>
                <w:sz w:val="18"/>
                <w:szCs w:val="18"/>
                <w:highlight w:val="none"/>
              </w:rPr>
            </w:pPr>
            <w:r>
              <w:rPr>
                <w:color w:val="auto"/>
                <w:kern w:val="0"/>
                <w:sz w:val="18"/>
                <w:szCs w:val="18"/>
                <w:highlight w:val="none"/>
              </w:rPr>
              <w:t>农、林、牧、渔业</w:t>
            </w:r>
          </w:p>
        </w:tc>
        <w:tc>
          <w:tcPr>
            <w:tcW w:w="1369" w:type="dxa"/>
            <w:noWrap w:val="0"/>
            <w:vAlign w:val="center"/>
          </w:tcPr>
          <w:p w14:paraId="6FF4F770">
            <w:pPr>
              <w:widowControl/>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44B76B86">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3A5ECADA">
            <w:pPr>
              <w:widowControl/>
              <w:jc w:val="center"/>
              <w:rPr>
                <w:color w:val="auto"/>
                <w:kern w:val="0"/>
                <w:sz w:val="18"/>
                <w:szCs w:val="18"/>
                <w:highlight w:val="none"/>
              </w:rPr>
            </w:pPr>
            <w:r>
              <w:rPr>
                <w:color w:val="auto"/>
                <w:kern w:val="0"/>
                <w:sz w:val="18"/>
                <w:szCs w:val="18"/>
                <w:highlight w:val="none"/>
              </w:rPr>
              <w:t>Y≥20000</w:t>
            </w:r>
          </w:p>
        </w:tc>
        <w:tc>
          <w:tcPr>
            <w:tcW w:w="1701" w:type="dxa"/>
            <w:noWrap w:val="0"/>
            <w:vAlign w:val="center"/>
          </w:tcPr>
          <w:p w14:paraId="5724D35B">
            <w:pPr>
              <w:widowControl/>
              <w:jc w:val="center"/>
              <w:rPr>
                <w:color w:val="auto"/>
                <w:kern w:val="0"/>
                <w:sz w:val="18"/>
                <w:szCs w:val="18"/>
                <w:highlight w:val="none"/>
              </w:rPr>
            </w:pPr>
            <w:r>
              <w:rPr>
                <w:color w:val="auto"/>
                <w:kern w:val="0"/>
                <w:sz w:val="18"/>
                <w:szCs w:val="18"/>
                <w:highlight w:val="none"/>
              </w:rPr>
              <w:t>500≤Y＜20000</w:t>
            </w:r>
          </w:p>
        </w:tc>
        <w:tc>
          <w:tcPr>
            <w:tcW w:w="1426" w:type="dxa"/>
            <w:noWrap w:val="0"/>
            <w:vAlign w:val="center"/>
          </w:tcPr>
          <w:p w14:paraId="149FD281">
            <w:pPr>
              <w:widowControl/>
              <w:jc w:val="center"/>
              <w:rPr>
                <w:color w:val="auto"/>
                <w:kern w:val="0"/>
                <w:sz w:val="18"/>
                <w:szCs w:val="18"/>
                <w:highlight w:val="none"/>
              </w:rPr>
            </w:pPr>
            <w:r>
              <w:rPr>
                <w:color w:val="auto"/>
                <w:kern w:val="0"/>
                <w:sz w:val="18"/>
                <w:szCs w:val="18"/>
                <w:highlight w:val="none"/>
              </w:rPr>
              <w:t>50≤Y＜500</w:t>
            </w:r>
          </w:p>
        </w:tc>
        <w:tc>
          <w:tcPr>
            <w:tcW w:w="992" w:type="dxa"/>
            <w:noWrap w:val="0"/>
            <w:vAlign w:val="center"/>
          </w:tcPr>
          <w:p w14:paraId="19219597">
            <w:pPr>
              <w:widowControl/>
              <w:jc w:val="center"/>
              <w:rPr>
                <w:color w:val="auto"/>
                <w:kern w:val="0"/>
                <w:sz w:val="18"/>
                <w:szCs w:val="18"/>
                <w:highlight w:val="none"/>
              </w:rPr>
            </w:pPr>
            <w:r>
              <w:rPr>
                <w:color w:val="auto"/>
                <w:kern w:val="0"/>
                <w:sz w:val="18"/>
                <w:szCs w:val="18"/>
                <w:highlight w:val="none"/>
              </w:rPr>
              <w:t>Y＜50</w:t>
            </w:r>
          </w:p>
        </w:tc>
      </w:tr>
      <w:tr w14:paraId="65934E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15E63EC4">
            <w:pPr>
              <w:widowControl/>
              <w:spacing w:line="240" w:lineRule="exact"/>
              <w:jc w:val="left"/>
              <w:rPr>
                <w:color w:val="auto"/>
                <w:kern w:val="0"/>
                <w:sz w:val="18"/>
                <w:szCs w:val="18"/>
                <w:highlight w:val="none"/>
              </w:rPr>
            </w:pPr>
            <w:r>
              <w:rPr>
                <w:color w:val="auto"/>
                <w:kern w:val="0"/>
                <w:sz w:val="18"/>
                <w:szCs w:val="18"/>
                <w:highlight w:val="none"/>
              </w:rPr>
              <w:t>工业 *</w:t>
            </w:r>
          </w:p>
        </w:tc>
        <w:tc>
          <w:tcPr>
            <w:tcW w:w="1369" w:type="dxa"/>
            <w:noWrap w:val="0"/>
            <w:vAlign w:val="center"/>
          </w:tcPr>
          <w:p w14:paraId="11158F59">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6E27B586">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17EB67E4">
            <w:pPr>
              <w:widowControl/>
              <w:jc w:val="center"/>
              <w:rPr>
                <w:color w:val="auto"/>
                <w:kern w:val="0"/>
                <w:sz w:val="18"/>
                <w:szCs w:val="18"/>
                <w:highlight w:val="none"/>
              </w:rPr>
            </w:pPr>
            <w:r>
              <w:rPr>
                <w:color w:val="auto"/>
                <w:kern w:val="0"/>
                <w:sz w:val="18"/>
                <w:szCs w:val="18"/>
                <w:highlight w:val="none"/>
              </w:rPr>
              <w:t>X≥1000</w:t>
            </w:r>
          </w:p>
        </w:tc>
        <w:tc>
          <w:tcPr>
            <w:tcW w:w="1701" w:type="dxa"/>
            <w:noWrap w:val="0"/>
            <w:vAlign w:val="center"/>
          </w:tcPr>
          <w:p w14:paraId="2776E434">
            <w:pPr>
              <w:widowControl/>
              <w:jc w:val="center"/>
              <w:rPr>
                <w:color w:val="auto"/>
                <w:kern w:val="0"/>
                <w:sz w:val="18"/>
                <w:szCs w:val="18"/>
                <w:highlight w:val="none"/>
              </w:rPr>
            </w:pPr>
            <w:r>
              <w:rPr>
                <w:color w:val="auto"/>
                <w:kern w:val="0"/>
                <w:sz w:val="18"/>
                <w:szCs w:val="18"/>
                <w:highlight w:val="none"/>
              </w:rPr>
              <w:t>300≤X＜1000</w:t>
            </w:r>
          </w:p>
        </w:tc>
        <w:tc>
          <w:tcPr>
            <w:tcW w:w="1426" w:type="dxa"/>
            <w:noWrap w:val="0"/>
            <w:vAlign w:val="center"/>
          </w:tcPr>
          <w:p w14:paraId="18B65BB4">
            <w:pPr>
              <w:widowControl/>
              <w:jc w:val="center"/>
              <w:rPr>
                <w:color w:val="auto"/>
                <w:kern w:val="0"/>
                <w:sz w:val="18"/>
                <w:szCs w:val="18"/>
                <w:highlight w:val="none"/>
              </w:rPr>
            </w:pPr>
            <w:r>
              <w:rPr>
                <w:color w:val="auto"/>
                <w:kern w:val="0"/>
                <w:sz w:val="18"/>
                <w:szCs w:val="18"/>
                <w:highlight w:val="none"/>
              </w:rPr>
              <w:t>20≤X＜300</w:t>
            </w:r>
          </w:p>
        </w:tc>
        <w:tc>
          <w:tcPr>
            <w:tcW w:w="992" w:type="dxa"/>
            <w:noWrap w:val="0"/>
            <w:vAlign w:val="center"/>
          </w:tcPr>
          <w:p w14:paraId="46771066">
            <w:pPr>
              <w:widowControl/>
              <w:jc w:val="center"/>
              <w:rPr>
                <w:color w:val="auto"/>
                <w:kern w:val="0"/>
                <w:sz w:val="18"/>
                <w:szCs w:val="18"/>
                <w:highlight w:val="none"/>
              </w:rPr>
            </w:pPr>
            <w:r>
              <w:rPr>
                <w:color w:val="auto"/>
                <w:kern w:val="0"/>
                <w:sz w:val="18"/>
                <w:szCs w:val="18"/>
                <w:highlight w:val="none"/>
              </w:rPr>
              <w:t>X＜20</w:t>
            </w:r>
          </w:p>
        </w:tc>
      </w:tr>
      <w:tr w14:paraId="1A7368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857D3E0">
            <w:pPr>
              <w:widowControl/>
              <w:jc w:val="left"/>
              <w:rPr>
                <w:color w:val="auto"/>
                <w:kern w:val="0"/>
                <w:sz w:val="18"/>
                <w:szCs w:val="18"/>
                <w:highlight w:val="none"/>
              </w:rPr>
            </w:pPr>
          </w:p>
        </w:tc>
        <w:tc>
          <w:tcPr>
            <w:tcW w:w="1369" w:type="dxa"/>
            <w:noWrap w:val="0"/>
            <w:vAlign w:val="center"/>
          </w:tcPr>
          <w:p w14:paraId="5B040776">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70FEB6E9">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7719214D">
            <w:pPr>
              <w:widowControl/>
              <w:jc w:val="center"/>
              <w:rPr>
                <w:color w:val="auto"/>
                <w:kern w:val="0"/>
                <w:sz w:val="18"/>
                <w:szCs w:val="18"/>
                <w:highlight w:val="none"/>
              </w:rPr>
            </w:pPr>
            <w:r>
              <w:rPr>
                <w:color w:val="auto"/>
                <w:kern w:val="0"/>
                <w:sz w:val="18"/>
                <w:szCs w:val="18"/>
                <w:highlight w:val="none"/>
              </w:rPr>
              <w:t>Y≥40000</w:t>
            </w:r>
          </w:p>
        </w:tc>
        <w:tc>
          <w:tcPr>
            <w:tcW w:w="1701" w:type="dxa"/>
            <w:noWrap w:val="0"/>
            <w:vAlign w:val="center"/>
          </w:tcPr>
          <w:p w14:paraId="305FB98E">
            <w:pPr>
              <w:widowControl/>
              <w:jc w:val="center"/>
              <w:rPr>
                <w:color w:val="auto"/>
                <w:kern w:val="0"/>
                <w:sz w:val="18"/>
                <w:szCs w:val="18"/>
                <w:highlight w:val="none"/>
              </w:rPr>
            </w:pPr>
            <w:r>
              <w:rPr>
                <w:color w:val="auto"/>
                <w:kern w:val="0"/>
                <w:sz w:val="18"/>
                <w:szCs w:val="18"/>
                <w:highlight w:val="none"/>
              </w:rPr>
              <w:t>2000≤Y＜40000</w:t>
            </w:r>
          </w:p>
        </w:tc>
        <w:tc>
          <w:tcPr>
            <w:tcW w:w="1426" w:type="dxa"/>
            <w:noWrap w:val="0"/>
            <w:vAlign w:val="center"/>
          </w:tcPr>
          <w:p w14:paraId="2437E059">
            <w:pPr>
              <w:widowControl/>
              <w:jc w:val="center"/>
              <w:rPr>
                <w:color w:val="auto"/>
                <w:kern w:val="0"/>
                <w:sz w:val="18"/>
                <w:szCs w:val="18"/>
                <w:highlight w:val="none"/>
              </w:rPr>
            </w:pPr>
            <w:r>
              <w:rPr>
                <w:color w:val="auto"/>
                <w:kern w:val="0"/>
                <w:sz w:val="18"/>
                <w:szCs w:val="18"/>
                <w:highlight w:val="none"/>
              </w:rPr>
              <w:t>300≤Y＜2000</w:t>
            </w:r>
          </w:p>
        </w:tc>
        <w:tc>
          <w:tcPr>
            <w:tcW w:w="992" w:type="dxa"/>
            <w:noWrap w:val="0"/>
            <w:vAlign w:val="center"/>
          </w:tcPr>
          <w:p w14:paraId="5DF3B7CB">
            <w:pPr>
              <w:widowControl/>
              <w:jc w:val="center"/>
              <w:rPr>
                <w:color w:val="auto"/>
                <w:kern w:val="0"/>
                <w:sz w:val="18"/>
                <w:szCs w:val="18"/>
                <w:highlight w:val="none"/>
              </w:rPr>
            </w:pPr>
            <w:r>
              <w:rPr>
                <w:color w:val="auto"/>
                <w:kern w:val="0"/>
                <w:sz w:val="18"/>
                <w:szCs w:val="18"/>
                <w:highlight w:val="none"/>
              </w:rPr>
              <w:t>Y＜300</w:t>
            </w:r>
          </w:p>
        </w:tc>
      </w:tr>
      <w:tr w14:paraId="1EA92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742F1B6A">
            <w:pPr>
              <w:widowControl/>
              <w:spacing w:line="240" w:lineRule="exact"/>
              <w:jc w:val="left"/>
              <w:rPr>
                <w:color w:val="auto"/>
                <w:kern w:val="0"/>
                <w:sz w:val="18"/>
                <w:szCs w:val="18"/>
                <w:highlight w:val="none"/>
              </w:rPr>
            </w:pPr>
            <w:r>
              <w:rPr>
                <w:color w:val="auto"/>
                <w:kern w:val="0"/>
                <w:sz w:val="18"/>
                <w:szCs w:val="18"/>
                <w:highlight w:val="none"/>
              </w:rPr>
              <w:t>建筑业</w:t>
            </w:r>
          </w:p>
        </w:tc>
        <w:tc>
          <w:tcPr>
            <w:tcW w:w="1369" w:type="dxa"/>
            <w:noWrap w:val="0"/>
            <w:vAlign w:val="center"/>
          </w:tcPr>
          <w:p w14:paraId="72B100E5">
            <w:pPr>
              <w:widowControl/>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08B89E02">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13D5318B">
            <w:pPr>
              <w:widowControl/>
              <w:jc w:val="center"/>
              <w:rPr>
                <w:color w:val="auto"/>
                <w:kern w:val="0"/>
                <w:sz w:val="18"/>
                <w:szCs w:val="18"/>
                <w:highlight w:val="none"/>
              </w:rPr>
            </w:pPr>
            <w:r>
              <w:rPr>
                <w:color w:val="auto"/>
                <w:kern w:val="0"/>
                <w:sz w:val="18"/>
                <w:szCs w:val="18"/>
                <w:highlight w:val="none"/>
              </w:rPr>
              <w:t>Y≥80000</w:t>
            </w:r>
          </w:p>
        </w:tc>
        <w:tc>
          <w:tcPr>
            <w:tcW w:w="1701" w:type="dxa"/>
            <w:noWrap w:val="0"/>
            <w:vAlign w:val="center"/>
          </w:tcPr>
          <w:p w14:paraId="48CD926F">
            <w:pPr>
              <w:widowControl/>
              <w:jc w:val="center"/>
              <w:rPr>
                <w:color w:val="auto"/>
                <w:kern w:val="0"/>
                <w:sz w:val="18"/>
                <w:szCs w:val="18"/>
                <w:highlight w:val="none"/>
              </w:rPr>
            </w:pPr>
            <w:r>
              <w:rPr>
                <w:color w:val="auto"/>
                <w:kern w:val="0"/>
                <w:sz w:val="18"/>
                <w:szCs w:val="18"/>
                <w:highlight w:val="none"/>
              </w:rPr>
              <w:t>6000≤Y＜80000</w:t>
            </w:r>
          </w:p>
        </w:tc>
        <w:tc>
          <w:tcPr>
            <w:tcW w:w="1426" w:type="dxa"/>
            <w:noWrap w:val="0"/>
            <w:vAlign w:val="center"/>
          </w:tcPr>
          <w:p w14:paraId="35F52EF1">
            <w:pPr>
              <w:widowControl/>
              <w:jc w:val="center"/>
              <w:rPr>
                <w:color w:val="auto"/>
                <w:kern w:val="0"/>
                <w:sz w:val="18"/>
                <w:szCs w:val="18"/>
                <w:highlight w:val="none"/>
              </w:rPr>
            </w:pPr>
            <w:r>
              <w:rPr>
                <w:color w:val="auto"/>
                <w:kern w:val="0"/>
                <w:sz w:val="18"/>
                <w:szCs w:val="18"/>
                <w:highlight w:val="none"/>
              </w:rPr>
              <w:t>300≤Y＜6000</w:t>
            </w:r>
          </w:p>
        </w:tc>
        <w:tc>
          <w:tcPr>
            <w:tcW w:w="992" w:type="dxa"/>
            <w:noWrap w:val="0"/>
            <w:vAlign w:val="center"/>
          </w:tcPr>
          <w:p w14:paraId="035EA0CD">
            <w:pPr>
              <w:widowControl/>
              <w:jc w:val="center"/>
              <w:rPr>
                <w:color w:val="auto"/>
                <w:kern w:val="0"/>
                <w:sz w:val="18"/>
                <w:szCs w:val="18"/>
                <w:highlight w:val="none"/>
              </w:rPr>
            </w:pPr>
            <w:r>
              <w:rPr>
                <w:color w:val="auto"/>
                <w:kern w:val="0"/>
                <w:sz w:val="18"/>
                <w:szCs w:val="18"/>
                <w:highlight w:val="none"/>
              </w:rPr>
              <w:t>Y＜300</w:t>
            </w:r>
          </w:p>
        </w:tc>
      </w:tr>
      <w:tr w14:paraId="2408F3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A29286B">
            <w:pPr>
              <w:widowControl/>
              <w:jc w:val="left"/>
              <w:rPr>
                <w:color w:val="auto"/>
                <w:kern w:val="0"/>
                <w:sz w:val="18"/>
                <w:szCs w:val="18"/>
                <w:highlight w:val="none"/>
              </w:rPr>
            </w:pPr>
          </w:p>
        </w:tc>
        <w:tc>
          <w:tcPr>
            <w:tcW w:w="1369" w:type="dxa"/>
            <w:noWrap w:val="0"/>
            <w:vAlign w:val="center"/>
          </w:tcPr>
          <w:p w14:paraId="4EC4314D">
            <w:pPr>
              <w:widowControl/>
              <w:spacing w:line="240" w:lineRule="exact"/>
              <w:jc w:val="center"/>
              <w:rPr>
                <w:color w:val="auto"/>
                <w:kern w:val="0"/>
                <w:sz w:val="18"/>
                <w:szCs w:val="18"/>
                <w:highlight w:val="none"/>
              </w:rPr>
            </w:pPr>
            <w:r>
              <w:rPr>
                <w:color w:val="auto"/>
                <w:kern w:val="0"/>
                <w:sz w:val="18"/>
                <w:szCs w:val="18"/>
                <w:highlight w:val="none"/>
              </w:rPr>
              <w:t>资产总额（Z）</w:t>
            </w:r>
          </w:p>
        </w:tc>
        <w:tc>
          <w:tcPr>
            <w:tcW w:w="709" w:type="dxa"/>
            <w:noWrap w:val="0"/>
            <w:vAlign w:val="center"/>
          </w:tcPr>
          <w:p w14:paraId="1AF7863D">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5E7EF13B">
            <w:pPr>
              <w:widowControl/>
              <w:jc w:val="center"/>
              <w:rPr>
                <w:color w:val="auto"/>
                <w:kern w:val="0"/>
                <w:sz w:val="18"/>
                <w:szCs w:val="18"/>
                <w:highlight w:val="none"/>
              </w:rPr>
            </w:pPr>
            <w:r>
              <w:rPr>
                <w:color w:val="auto"/>
                <w:kern w:val="0"/>
                <w:sz w:val="18"/>
                <w:szCs w:val="18"/>
                <w:highlight w:val="none"/>
              </w:rPr>
              <w:t>Z≥80000</w:t>
            </w:r>
          </w:p>
        </w:tc>
        <w:tc>
          <w:tcPr>
            <w:tcW w:w="1701" w:type="dxa"/>
            <w:noWrap w:val="0"/>
            <w:vAlign w:val="center"/>
          </w:tcPr>
          <w:p w14:paraId="6A26DA4E">
            <w:pPr>
              <w:widowControl/>
              <w:jc w:val="center"/>
              <w:rPr>
                <w:color w:val="auto"/>
                <w:kern w:val="0"/>
                <w:sz w:val="18"/>
                <w:szCs w:val="18"/>
                <w:highlight w:val="none"/>
              </w:rPr>
            </w:pPr>
            <w:r>
              <w:rPr>
                <w:color w:val="auto"/>
                <w:kern w:val="0"/>
                <w:sz w:val="18"/>
                <w:szCs w:val="18"/>
                <w:highlight w:val="none"/>
              </w:rPr>
              <w:t>5000≤Z＜80000</w:t>
            </w:r>
          </w:p>
        </w:tc>
        <w:tc>
          <w:tcPr>
            <w:tcW w:w="1426" w:type="dxa"/>
            <w:noWrap w:val="0"/>
            <w:vAlign w:val="center"/>
          </w:tcPr>
          <w:p w14:paraId="7CA224B3">
            <w:pPr>
              <w:widowControl/>
              <w:jc w:val="center"/>
              <w:rPr>
                <w:color w:val="auto"/>
                <w:kern w:val="0"/>
                <w:sz w:val="18"/>
                <w:szCs w:val="18"/>
                <w:highlight w:val="none"/>
              </w:rPr>
            </w:pPr>
            <w:r>
              <w:rPr>
                <w:color w:val="auto"/>
                <w:kern w:val="0"/>
                <w:sz w:val="18"/>
                <w:szCs w:val="18"/>
                <w:highlight w:val="none"/>
              </w:rPr>
              <w:t>300≤Z＜5000</w:t>
            </w:r>
          </w:p>
        </w:tc>
        <w:tc>
          <w:tcPr>
            <w:tcW w:w="992" w:type="dxa"/>
            <w:noWrap w:val="0"/>
            <w:vAlign w:val="center"/>
          </w:tcPr>
          <w:p w14:paraId="2900A318">
            <w:pPr>
              <w:widowControl/>
              <w:jc w:val="center"/>
              <w:rPr>
                <w:color w:val="auto"/>
                <w:kern w:val="0"/>
                <w:sz w:val="18"/>
                <w:szCs w:val="18"/>
                <w:highlight w:val="none"/>
              </w:rPr>
            </w:pPr>
            <w:r>
              <w:rPr>
                <w:color w:val="auto"/>
                <w:kern w:val="0"/>
                <w:sz w:val="18"/>
                <w:szCs w:val="18"/>
                <w:highlight w:val="none"/>
              </w:rPr>
              <w:t>Z＜300</w:t>
            </w:r>
          </w:p>
        </w:tc>
      </w:tr>
      <w:tr w14:paraId="4B0788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51367518">
            <w:pPr>
              <w:widowControl/>
              <w:spacing w:line="240" w:lineRule="exact"/>
              <w:jc w:val="left"/>
              <w:rPr>
                <w:color w:val="auto"/>
                <w:kern w:val="0"/>
                <w:sz w:val="18"/>
                <w:szCs w:val="18"/>
                <w:highlight w:val="none"/>
              </w:rPr>
            </w:pPr>
            <w:r>
              <w:rPr>
                <w:color w:val="auto"/>
                <w:kern w:val="0"/>
                <w:sz w:val="18"/>
                <w:szCs w:val="18"/>
                <w:highlight w:val="none"/>
              </w:rPr>
              <w:t>批发业</w:t>
            </w:r>
          </w:p>
        </w:tc>
        <w:tc>
          <w:tcPr>
            <w:tcW w:w="1369" w:type="dxa"/>
            <w:noWrap w:val="0"/>
            <w:vAlign w:val="center"/>
          </w:tcPr>
          <w:p w14:paraId="4D5D3547">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5282C115">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460FF403">
            <w:pPr>
              <w:widowControl/>
              <w:jc w:val="center"/>
              <w:rPr>
                <w:color w:val="auto"/>
                <w:kern w:val="0"/>
                <w:sz w:val="18"/>
                <w:szCs w:val="18"/>
                <w:highlight w:val="none"/>
              </w:rPr>
            </w:pPr>
            <w:r>
              <w:rPr>
                <w:color w:val="auto"/>
                <w:kern w:val="0"/>
                <w:sz w:val="18"/>
                <w:szCs w:val="18"/>
                <w:highlight w:val="none"/>
              </w:rPr>
              <w:t>X≥200</w:t>
            </w:r>
          </w:p>
        </w:tc>
        <w:tc>
          <w:tcPr>
            <w:tcW w:w="1701" w:type="dxa"/>
            <w:noWrap w:val="0"/>
            <w:vAlign w:val="center"/>
          </w:tcPr>
          <w:p w14:paraId="1148E088">
            <w:pPr>
              <w:widowControl/>
              <w:jc w:val="center"/>
              <w:rPr>
                <w:color w:val="auto"/>
                <w:kern w:val="0"/>
                <w:sz w:val="18"/>
                <w:szCs w:val="18"/>
                <w:highlight w:val="none"/>
              </w:rPr>
            </w:pPr>
            <w:r>
              <w:rPr>
                <w:color w:val="auto"/>
                <w:kern w:val="0"/>
                <w:sz w:val="18"/>
                <w:szCs w:val="18"/>
                <w:highlight w:val="none"/>
              </w:rPr>
              <w:t>20≤X＜200</w:t>
            </w:r>
          </w:p>
        </w:tc>
        <w:tc>
          <w:tcPr>
            <w:tcW w:w="1426" w:type="dxa"/>
            <w:noWrap w:val="0"/>
            <w:vAlign w:val="center"/>
          </w:tcPr>
          <w:p w14:paraId="618235CA">
            <w:pPr>
              <w:widowControl/>
              <w:jc w:val="center"/>
              <w:rPr>
                <w:color w:val="auto"/>
                <w:kern w:val="0"/>
                <w:sz w:val="18"/>
                <w:szCs w:val="18"/>
                <w:highlight w:val="none"/>
              </w:rPr>
            </w:pPr>
            <w:r>
              <w:rPr>
                <w:color w:val="auto"/>
                <w:kern w:val="0"/>
                <w:sz w:val="18"/>
                <w:szCs w:val="18"/>
                <w:highlight w:val="none"/>
              </w:rPr>
              <w:t>5≤X＜20</w:t>
            </w:r>
          </w:p>
        </w:tc>
        <w:tc>
          <w:tcPr>
            <w:tcW w:w="992" w:type="dxa"/>
            <w:noWrap w:val="0"/>
            <w:vAlign w:val="center"/>
          </w:tcPr>
          <w:p w14:paraId="21B654C2">
            <w:pPr>
              <w:widowControl/>
              <w:jc w:val="center"/>
              <w:rPr>
                <w:color w:val="auto"/>
                <w:kern w:val="0"/>
                <w:sz w:val="18"/>
                <w:szCs w:val="18"/>
                <w:highlight w:val="none"/>
              </w:rPr>
            </w:pPr>
            <w:r>
              <w:rPr>
                <w:color w:val="auto"/>
                <w:kern w:val="0"/>
                <w:sz w:val="18"/>
                <w:szCs w:val="18"/>
                <w:highlight w:val="none"/>
              </w:rPr>
              <w:t>X＜5</w:t>
            </w:r>
          </w:p>
        </w:tc>
      </w:tr>
      <w:tr w14:paraId="631BA9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2D07B7F3">
            <w:pPr>
              <w:widowControl/>
              <w:jc w:val="left"/>
              <w:rPr>
                <w:color w:val="auto"/>
                <w:kern w:val="0"/>
                <w:sz w:val="18"/>
                <w:szCs w:val="18"/>
                <w:highlight w:val="none"/>
              </w:rPr>
            </w:pPr>
          </w:p>
        </w:tc>
        <w:tc>
          <w:tcPr>
            <w:tcW w:w="1369" w:type="dxa"/>
            <w:noWrap w:val="0"/>
            <w:vAlign w:val="center"/>
          </w:tcPr>
          <w:p w14:paraId="518B2703">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0A4146F3">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2DA28DEE">
            <w:pPr>
              <w:widowControl/>
              <w:jc w:val="center"/>
              <w:rPr>
                <w:color w:val="auto"/>
                <w:kern w:val="0"/>
                <w:sz w:val="18"/>
                <w:szCs w:val="18"/>
                <w:highlight w:val="none"/>
              </w:rPr>
            </w:pPr>
            <w:r>
              <w:rPr>
                <w:color w:val="auto"/>
                <w:kern w:val="0"/>
                <w:sz w:val="18"/>
                <w:szCs w:val="18"/>
                <w:highlight w:val="none"/>
              </w:rPr>
              <w:t>Y≥40000</w:t>
            </w:r>
          </w:p>
        </w:tc>
        <w:tc>
          <w:tcPr>
            <w:tcW w:w="1701" w:type="dxa"/>
            <w:noWrap w:val="0"/>
            <w:vAlign w:val="center"/>
          </w:tcPr>
          <w:p w14:paraId="5364ED5F">
            <w:pPr>
              <w:widowControl/>
              <w:jc w:val="center"/>
              <w:rPr>
                <w:color w:val="auto"/>
                <w:kern w:val="0"/>
                <w:sz w:val="18"/>
                <w:szCs w:val="18"/>
                <w:highlight w:val="none"/>
              </w:rPr>
            </w:pPr>
            <w:r>
              <w:rPr>
                <w:color w:val="auto"/>
                <w:kern w:val="0"/>
                <w:sz w:val="18"/>
                <w:szCs w:val="18"/>
                <w:highlight w:val="none"/>
              </w:rPr>
              <w:t>5000≤Y＜40000</w:t>
            </w:r>
          </w:p>
        </w:tc>
        <w:tc>
          <w:tcPr>
            <w:tcW w:w="1426" w:type="dxa"/>
            <w:noWrap w:val="0"/>
            <w:vAlign w:val="center"/>
          </w:tcPr>
          <w:p w14:paraId="35D4BAD9">
            <w:pPr>
              <w:widowControl/>
              <w:ind w:left="-1" w:leftChars="-1" w:hanging="1"/>
              <w:jc w:val="center"/>
              <w:rPr>
                <w:color w:val="auto"/>
                <w:kern w:val="0"/>
                <w:sz w:val="18"/>
                <w:szCs w:val="18"/>
                <w:highlight w:val="none"/>
              </w:rPr>
            </w:pPr>
            <w:r>
              <w:rPr>
                <w:color w:val="auto"/>
                <w:kern w:val="0"/>
                <w:sz w:val="18"/>
                <w:szCs w:val="18"/>
                <w:highlight w:val="none"/>
              </w:rPr>
              <w:t>1000≤Y＜5000</w:t>
            </w:r>
          </w:p>
        </w:tc>
        <w:tc>
          <w:tcPr>
            <w:tcW w:w="992" w:type="dxa"/>
            <w:noWrap w:val="0"/>
            <w:vAlign w:val="center"/>
          </w:tcPr>
          <w:p w14:paraId="29B30445">
            <w:pPr>
              <w:widowControl/>
              <w:jc w:val="center"/>
              <w:rPr>
                <w:color w:val="auto"/>
                <w:kern w:val="0"/>
                <w:sz w:val="18"/>
                <w:szCs w:val="18"/>
                <w:highlight w:val="none"/>
              </w:rPr>
            </w:pPr>
            <w:r>
              <w:rPr>
                <w:color w:val="auto"/>
                <w:kern w:val="0"/>
                <w:sz w:val="18"/>
                <w:szCs w:val="18"/>
                <w:highlight w:val="none"/>
              </w:rPr>
              <w:t>Y＜1000</w:t>
            </w:r>
          </w:p>
        </w:tc>
      </w:tr>
      <w:tr w14:paraId="3F3106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66320728">
            <w:pPr>
              <w:widowControl/>
              <w:spacing w:line="240" w:lineRule="exact"/>
              <w:jc w:val="left"/>
              <w:rPr>
                <w:color w:val="auto"/>
                <w:kern w:val="0"/>
                <w:sz w:val="18"/>
                <w:szCs w:val="18"/>
                <w:highlight w:val="none"/>
              </w:rPr>
            </w:pPr>
            <w:r>
              <w:rPr>
                <w:color w:val="auto"/>
                <w:kern w:val="0"/>
                <w:sz w:val="18"/>
                <w:szCs w:val="18"/>
                <w:highlight w:val="none"/>
              </w:rPr>
              <w:t>零售业</w:t>
            </w:r>
          </w:p>
        </w:tc>
        <w:tc>
          <w:tcPr>
            <w:tcW w:w="1369" w:type="dxa"/>
            <w:noWrap w:val="0"/>
            <w:vAlign w:val="center"/>
          </w:tcPr>
          <w:p w14:paraId="7392ED31">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5C3435CE">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2EBF88E6">
            <w:pPr>
              <w:widowControl/>
              <w:jc w:val="center"/>
              <w:rPr>
                <w:color w:val="auto"/>
                <w:kern w:val="0"/>
                <w:sz w:val="18"/>
                <w:szCs w:val="18"/>
                <w:highlight w:val="none"/>
              </w:rPr>
            </w:pPr>
            <w:r>
              <w:rPr>
                <w:color w:val="auto"/>
                <w:kern w:val="0"/>
                <w:sz w:val="18"/>
                <w:szCs w:val="18"/>
                <w:highlight w:val="none"/>
              </w:rPr>
              <w:t>X≥300</w:t>
            </w:r>
          </w:p>
        </w:tc>
        <w:tc>
          <w:tcPr>
            <w:tcW w:w="1701" w:type="dxa"/>
            <w:noWrap w:val="0"/>
            <w:vAlign w:val="center"/>
          </w:tcPr>
          <w:p w14:paraId="7806C2B7">
            <w:pPr>
              <w:widowControl/>
              <w:jc w:val="center"/>
              <w:rPr>
                <w:color w:val="auto"/>
                <w:kern w:val="0"/>
                <w:sz w:val="18"/>
                <w:szCs w:val="18"/>
                <w:highlight w:val="none"/>
              </w:rPr>
            </w:pPr>
            <w:r>
              <w:rPr>
                <w:color w:val="auto"/>
                <w:kern w:val="0"/>
                <w:sz w:val="18"/>
                <w:szCs w:val="18"/>
                <w:highlight w:val="none"/>
              </w:rPr>
              <w:t>50≤X＜300</w:t>
            </w:r>
          </w:p>
        </w:tc>
        <w:tc>
          <w:tcPr>
            <w:tcW w:w="1426" w:type="dxa"/>
            <w:noWrap w:val="0"/>
            <w:vAlign w:val="center"/>
          </w:tcPr>
          <w:p w14:paraId="3600F63E">
            <w:pPr>
              <w:widowControl/>
              <w:ind w:left="-1" w:leftChars="-1" w:hanging="1"/>
              <w:jc w:val="center"/>
              <w:rPr>
                <w:color w:val="auto"/>
                <w:kern w:val="0"/>
                <w:sz w:val="18"/>
                <w:szCs w:val="18"/>
                <w:highlight w:val="none"/>
              </w:rPr>
            </w:pPr>
            <w:r>
              <w:rPr>
                <w:color w:val="auto"/>
                <w:kern w:val="0"/>
                <w:sz w:val="18"/>
                <w:szCs w:val="18"/>
                <w:highlight w:val="none"/>
              </w:rPr>
              <w:t xml:space="preserve">10≤X＜50 </w:t>
            </w:r>
          </w:p>
        </w:tc>
        <w:tc>
          <w:tcPr>
            <w:tcW w:w="992" w:type="dxa"/>
            <w:noWrap w:val="0"/>
            <w:vAlign w:val="center"/>
          </w:tcPr>
          <w:p w14:paraId="3A4A6C29">
            <w:pPr>
              <w:widowControl/>
              <w:jc w:val="center"/>
              <w:rPr>
                <w:color w:val="auto"/>
                <w:kern w:val="0"/>
                <w:sz w:val="18"/>
                <w:szCs w:val="18"/>
                <w:highlight w:val="none"/>
              </w:rPr>
            </w:pPr>
            <w:r>
              <w:rPr>
                <w:color w:val="auto"/>
                <w:kern w:val="0"/>
                <w:sz w:val="18"/>
                <w:szCs w:val="18"/>
                <w:highlight w:val="none"/>
              </w:rPr>
              <w:t>X＜10</w:t>
            </w:r>
          </w:p>
        </w:tc>
      </w:tr>
      <w:tr w14:paraId="336AD0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AE31304">
            <w:pPr>
              <w:widowControl/>
              <w:jc w:val="left"/>
              <w:rPr>
                <w:color w:val="auto"/>
                <w:kern w:val="0"/>
                <w:sz w:val="18"/>
                <w:szCs w:val="18"/>
                <w:highlight w:val="none"/>
              </w:rPr>
            </w:pPr>
          </w:p>
        </w:tc>
        <w:tc>
          <w:tcPr>
            <w:tcW w:w="1369" w:type="dxa"/>
            <w:noWrap w:val="0"/>
            <w:vAlign w:val="center"/>
          </w:tcPr>
          <w:p w14:paraId="7CA03BC7">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5D72F45D">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1061C52D">
            <w:pPr>
              <w:widowControl/>
              <w:jc w:val="center"/>
              <w:rPr>
                <w:color w:val="auto"/>
                <w:kern w:val="0"/>
                <w:sz w:val="18"/>
                <w:szCs w:val="18"/>
                <w:highlight w:val="none"/>
              </w:rPr>
            </w:pPr>
            <w:r>
              <w:rPr>
                <w:color w:val="auto"/>
                <w:kern w:val="0"/>
                <w:sz w:val="18"/>
                <w:szCs w:val="18"/>
                <w:highlight w:val="none"/>
              </w:rPr>
              <w:t>Y≥20000</w:t>
            </w:r>
          </w:p>
        </w:tc>
        <w:tc>
          <w:tcPr>
            <w:tcW w:w="1701" w:type="dxa"/>
            <w:noWrap w:val="0"/>
            <w:vAlign w:val="center"/>
          </w:tcPr>
          <w:p w14:paraId="26D90BA2">
            <w:pPr>
              <w:widowControl/>
              <w:jc w:val="center"/>
              <w:rPr>
                <w:color w:val="auto"/>
                <w:kern w:val="0"/>
                <w:sz w:val="18"/>
                <w:szCs w:val="18"/>
                <w:highlight w:val="none"/>
              </w:rPr>
            </w:pPr>
            <w:r>
              <w:rPr>
                <w:color w:val="auto"/>
                <w:kern w:val="0"/>
                <w:sz w:val="18"/>
                <w:szCs w:val="18"/>
                <w:highlight w:val="none"/>
              </w:rPr>
              <w:t>500≤Y＜20000</w:t>
            </w:r>
          </w:p>
        </w:tc>
        <w:tc>
          <w:tcPr>
            <w:tcW w:w="1426" w:type="dxa"/>
            <w:noWrap w:val="0"/>
            <w:vAlign w:val="center"/>
          </w:tcPr>
          <w:p w14:paraId="7D37479B">
            <w:pPr>
              <w:widowControl/>
              <w:ind w:left="-1" w:leftChars="-1" w:hanging="1"/>
              <w:jc w:val="center"/>
              <w:rPr>
                <w:color w:val="auto"/>
                <w:kern w:val="0"/>
                <w:sz w:val="18"/>
                <w:szCs w:val="18"/>
                <w:highlight w:val="none"/>
              </w:rPr>
            </w:pPr>
            <w:r>
              <w:rPr>
                <w:color w:val="auto"/>
                <w:kern w:val="0"/>
                <w:sz w:val="18"/>
                <w:szCs w:val="18"/>
                <w:highlight w:val="none"/>
              </w:rPr>
              <w:t>100≤Y＜500</w:t>
            </w:r>
          </w:p>
        </w:tc>
        <w:tc>
          <w:tcPr>
            <w:tcW w:w="992" w:type="dxa"/>
            <w:noWrap w:val="0"/>
            <w:vAlign w:val="center"/>
          </w:tcPr>
          <w:p w14:paraId="6FAF918A">
            <w:pPr>
              <w:widowControl/>
              <w:jc w:val="center"/>
              <w:rPr>
                <w:color w:val="auto"/>
                <w:kern w:val="0"/>
                <w:sz w:val="18"/>
                <w:szCs w:val="18"/>
                <w:highlight w:val="none"/>
              </w:rPr>
            </w:pPr>
            <w:r>
              <w:rPr>
                <w:color w:val="auto"/>
                <w:kern w:val="0"/>
                <w:sz w:val="18"/>
                <w:szCs w:val="18"/>
                <w:highlight w:val="none"/>
              </w:rPr>
              <w:t>Y＜100</w:t>
            </w:r>
          </w:p>
        </w:tc>
      </w:tr>
      <w:tr w14:paraId="2E9990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436DBF96">
            <w:pPr>
              <w:widowControl/>
              <w:spacing w:line="240" w:lineRule="exact"/>
              <w:jc w:val="left"/>
              <w:rPr>
                <w:color w:val="auto"/>
                <w:kern w:val="0"/>
                <w:sz w:val="18"/>
                <w:szCs w:val="18"/>
                <w:highlight w:val="none"/>
              </w:rPr>
            </w:pPr>
            <w:r>
              <w:rPr>
                <w:color w:val="auto"/>
                <w:kern w:val="0"/>
                <w:sz w:val="18"/>
                <w:szCs w:val="18"/>
                <w:highlight w:val="none"/>
              </w:rPr>
              <w:t>交通运输业 *</w:t>
            </w:r>
          </w:p>
        </w:tc>
        <w:tc>
          <w:tcPr>
            <w:tcW w:w="1369" w:type="dxa"/>
            <w:noWrap w:val="0"/>
            <w:vAlign w:val="center"/>
          </w:tcPr>
          <w:p w14:paraId="4B65A4B6">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061685A1">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6EE7522F">
            <w:pPr>
              <w:widowControl/>
              <w:jc w:val="center"/>
              <w:rPr>
                <w:color w:val="auto"/>
                <w:kern w:val="0"/>
                <w:sz w:val="18"/>
                <w:szCs w:val="18"/>
                <w:highlight w:val="none"/>
              </w:rPr>
            </w:pPr>
            <w:r>
              <w:rPr>
                <w:color w:val="auto"/>
                <w:kern w:val="0"/>
                <w:sz w:val="18"/>
                <w:szCs w:val="18"/>
                <w:highlight w:val="none"/>
              </w:rPr>
              <w:t>X≥1000</w:t>
            </w:r>
          </w:p>
        </w:tc>
        <w:tc>
          <w:tcPr>
            <w:tcW w:w="1701" w:type="dxa"/>
            <w:noWrap w:val="0"/>
            <w:vAlign w:val="center"/>
          </w:tcPr>
          <w:p w14:paraId="49ED7B59">
            <w:pPr>
              <w:widowControl/>
              <w:jc w:val="center"/>
              <w:rPr>
                <w:color w:val="auto"/>
                <w:kern w:val="0"/>
                <w:sz w:val="18"/>
                <w:szCs w:val="18"/>
                <w:highlight w:val="none"/>
              </w:rPr>
            </w:pPr>
            <w:r>
              <w:rPr>
                <w:color w:val="auto"/>
                <w:kern w:val="0"/>
                <w:sz w:val="18"/>
                <w:szCs w:val="18"/>
                <w:highlight w:val="none"/>
              </w:rPr>
              <w:t>300≤X＜1000</w:t>
            </w:r>
          </w:p>
        </w:tc>
        <w:tc>
          <w:tcPr>
            <w:tcW w:w="1426" w:type="dxa"/>
            <w:noWrap w:val="0"/>
            <w:vAlign w:val="center"/>
          </w:tcPr>
          <w:p w14:paraId="5D58DFDF">
            <w:pPr>
              <w:widowControl/>
              <w:jc w:val="center"/>
              <w:rPr>
                <w:color w:val="auto"/>
                <w:kern w:val="0"/>
                <w:sz w:val="18"/>
                <w:szCs w:val="18"/>
                <w:highlight w:val="none"/>
              </w:rPr>
            </w:pPr>
            <w:r>
              <w:rPr>
                <w:color w:val="auto"/>
                <w:kern w:val="0"/>
                <w:sz w:val="18"/>
                <w:szCs w:val="18"/>
                <w:highlight w:val="none"/>
              </w:rPr>
              <w:t>20≤X＜300</w:t>
            </w:r>
          </w:p>
        </w:tc>
        <w:tc>
          <w:tcPr>
            <w:tcW w:w="992" w:type="dxa"/>
            <w:noWrap w:val="0"/>
            <w:vAlign w:val="center"/>
          </w:tcPr>
          <w:p w14:paraId="353EE471">
            <w:pPr>
              <w:widowControl/>
              <w:jc w:val="center"/>
              <w:rPr>
                <w:color w:val="auto"/>
                <w:kern w:val="0"/>
                <w:sz w:val="18"/>
                <w:szCs w:val="18"/>
                <w:highlight w:val="none"/>
              </w:rPr>
            </w:pPr>
            <w:r>
              <w:rPr>
                <w:color w:val="auto"/>
                <w:kern w:val="0"/>
                <w:sz w:val="18"/>
                <w:szCs w:val="18"/>
                <w:highlight w:val="none"/>
              </w:rPr>
              <w:t>X＜20</w:t>
            </w:r>
          </w:p>
        </w:tc>
      </w:tr>
      <w:tr w14:paraId="531F3A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638B91A8">
            <w:pPr>
              <w:widowControl/>
              <w:jc w:val="left"/>
              <w:rPr>
                <w:color w:val="auto"/>
                <w:kern w:val="0"/>
                <w:sz w:val="18"/>
                <w:szCs w:val="18"/>
                <w:highlight w:val="none"/>
              </w:rPr>
            </w:pPr>
          </w:p>
        </w:tc>
        <w:tc>
          <w:tcPr>
            <w:tcW w:w="1369" w:type="dxa"/>
            <w:noWrap w:val="0"/>
            <w:vAlign w:val="center"/>
          </w:tcPr>
          <w:p w14:paraId="6A0CFD6F">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2A5C8BC7">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194C297C">
            <w:pPr>
              <w:widowControl/>
              <w:jc w:val="center"/>
              <w:rPr>
                <w:color w:val="auto"/>
                <w:kern w:val="0"/>
                <w:sz w:val="18"/>
                <w:szCs w:val="18"/>
                <w:highlight w:val="none"/>
              </w:rPr>
            </w:pPr>
            <w:r>
              <w:rPr>
                <w:color w:val="auto"/>
                <w:kern w:val="0"/>
                <w:sz w:val="18"/>
                <w:szCs w:val="18"/>
                <w:highlight w:val="none"/>
              </w:rPr>
              <w:t>Y≥30000</w:t>
            </w:r>
          </w:p>
        </w:tc>
        <w:tc>
          <w:tcPr>
            <w:tcW w:w="1701" w:type="dxa"/>
            <w:noWrap w:val="0"/>
            <w:vAlign w:val="center"/>
          </w:tcPr>
          <w:p w14:paraId="422C3D37">
            <w:pPr>
              <w:widowControl/>
              <w:jc w:val="center"/>
              <w:rPr>
                <w:color w:val="auto"/>
                <w:kern w:val="0"/>
                <w:sz w:val="18"/>
                <w:szCs w:val="18"/>
                <w:highlight w:val="none"/>
              </w:rPr>
            </w:pPr>
            <w:r>
              <w:rPr>
                <w:color w:val="auto"/>
                <w:kern w:val="0"/>
                <w:sz w:val="18"/>
                <w:szCs w:val="18"/>
                <w:highlight w:val="none"/>
              </w:rPr>
              <w:t>3000≤Y＜30000</w:t>
            </w:r>
          </w:p>
        </w:tc>
        <w:tc>
          <w:tcPr>
            <w:tcW w:w="1426" w:type="dxa"/>
            <w:noWrap w:val="0"/>
            <w:vAlign w:val="center"/>
          </w:tcPr>
          <w:p w14:paraId="184052F9">
            <w:pPr>
              <w:widowControl/>
              <w:jc w:val="center"/>
              <w:rPr>
                <w:color w:val="auto"/>
                <w:kern w:val="0"/>
                <w:sz w:val="18"/>
                <w:szCs w:val="18"/>
                <w:highlight w:val="none"/>
              </w:rPr>
            </w:pPr>
            <w:r>
              <w:rPr>
                <w:color w:val="auto"/>
                <w:kern w:val="0"/>
                <w:sz w:val="18"/>
                <w:szCs w:val="18"/>
                <w:highlight w:val="none"/>
              </w:rPr>
              <w:t>200≤Y＜3000</w:t>
            </w:r>
          </w:p>
        </w:tc>
        <w:tc>
          <w:tcPr>
            <w:tcW w:w="992" w:type="dxa"/>
            <w:noWrap w:val="0"/>
            <w:vAlign w:val="center"/>
          </w:tcPr>
          <w:p w14:paraId="2F01B8E0">
            <w:pPr>
              <w:widowControl/>
              <w:jc w:val="center"/>
              <w:rPr>
                <w:color w:val="auto"/>
                <w:kern w:val="0"/>
                <w:sz w:val="18"/>
                <w:szCs w:val="18"/>
                <w:highlight w:val="none"/>
              </w:rPr>
            </w:pPr>
            <w:r>
              <w:rPr>
                <w:color w:val="auto"/>
                <w:kern w:val="0"/>
                <w:sz w:val="18"/>
                <w:szCs w:val="18"/>
                <w:highlight w:val="none"/>
              </w:rPr>
              <w:t>Y＜200</w:t>
            </w:r>
          </w:p>
        </w:tc>
      </w:tr>
      <w:tr w14:paraId="3D0AC9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20438153">
            <w:pPr>
              <w:widowControl/>
              <w:spacing w:line="240" w:lineRule="exact"/>
              <w:jc w:val="left"/>
              <w:rPr>
                <w:color w:val="auto"/>
                <w:kern w:val="0"/>
                <w:sz w:val="18"/>
                <w:szCs w:val="18"/>
                <w:highlight w:val="none"/>
              </w:rPr>
            </w:pPr>
            <w:r>
              <w:rPr>
                <w:color w:val="auto"/>
                <w:kern w:val="0"/>
                <w:sz w:val="18"/>
                <w:szCs w:val="18"/>
                <w:highlight w:val="none"/>
              </w:rPr>
              <w:t>仓储业*</w:t>
            </w:r>
          </w:p>
        </w:tc>
        <w:tc>
          <w:tcPr>
            <w:tcW w:w="1369" w:type="dxa"/>
            <w:noWrap w:val="0"/>
            <w:vAlign w:val="center"/>
          </w:tcPr>
          <w:p w14:paraId="42B0200E">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386A36A7">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4C545DB1">
            <w:pPr>
              <w:widowControl/>
              <w:jc w:val="center"/>
              <w:rPr>
                <w:color w:val="auto"/>
                <w:kern w:val="0"/>
                <w:sz w:val="18"/>
                <w:szCs w:val="18"/>
                <w:highlight w:val="none"/>
              </w:rPr>
            </w:pPr>
            <w:r>
              <w:rPr>
                <w:color w:val="auto"/>
                <w:kern w:val="0"/>
                <w:sz w:val="18"/>
                <w:szCs w:val="18"/>
                <w:highlight w:val="none"/>
              </w:rPr>
              <w:t>X≥200</w:t>
            </w:r>
          </w:p>
        </w:tc>
        <w:tc>
          <w:tcPr>
            <w:tcW w:w="1701" w:type="dxa"/>
            <w:noWrap w:val="0"/>
            <w:vAlign w:val="center"/>
          </w:tcPr>
          <w:p w14:paraId="50447FFF">
            <w:pPr>
              <w:widowControl/>
              <w:ind w:left="-4" w:leftChars="-51" w:hanging="108" w:hangingChars="60"/>
              <w:jc w:val="center"/>
              <w:rPr>
                <w:color w:val="auto"/>
                <w:kern w:val="0"/>
                <w:sz w:val="18"/>
                <w:szCs w:val="18"/>
                <w:highlight w:val="none"/>
              </w:rPr>
            </w:pPr>
            <w:r>
              <w:rPr>
                <w:color w:val="auto"/>
                <w:kern w:val="0"/>
                <w:sz w:val="18"/>
                <w:szCs w:val="18"/>
                <w:highlight w:val="none"/>
              </w:rPr>
              <w:t>100≤X＜200</w:t>
            </w:r>
          </w:p>
        </w:tc>
        <w:tc>
          <w:tcPr>
            <w:tcW w:w="1426" w:type="dxa"/>
            <w:noWrap w:val="0"/>
            <w:vAlign w:val="center"/>
          </w:tcPr>
          <w:p w14:paraId="7358112B">
            <w:pPr>
              <w:widowControl/>
              <w:jc w:val="center"/>
              <w:rPr>
                <w:color w:val="auto"/>
                <w:kern w:val="0"/>
                <w:sz w:val="18"/>
                <w:szCs w:val="18"/>
                <w:highlight w:val="none"/>
              </w:rPr>
            </w:pPr>
            <w:r>
              <w:rPr>
                <w:color w:val="auto"/>
                <w:kern w:val="0"/>
                <w:sz w:val="18"/>
                <w:szCs w:val="18"/>
                <w:highlight w:val="none"/>
              </w:rPr>
              <w:t>20≤X＜100</w:t>
            </w:r>
          </w:p>
        </w:tc>
        <w:tc>
          <w:tcPr>
            <w:tcW w:w="992" w:type="dxa"/>
            <w:noWrap w:val="0"/>
            <w:vAlign w:val="center"/>
          </w:tcPr>
          <w:p w14:paraId="2605B3C2">
            <w:pPr>
              <w:widowControl/>
              <w:jc w:val="center"/>
              <w:rPr>
                <w:color w:val="auto"/>
                <w:kern w:val="0"/>
                <w:sz w:val="18"/>
                <w:szCs w:val="18"/>
                <w:highlight w:val="none"/>
              </w:rPr>
            </w:pPr>
            <w:r>
              <w:rPr>
                <w:color w:val="auto"/>
                <w:kern w:val="0"/>
                <w:sz w:val="18"/>
                <w:szCs w:val="18"/>
                <w:highlight w:val="none"/>
              </w:rPr>
              <w:t>X＜20</w:t>
            </w:r>
          </w:p>
        </w:tc>
      </w:tr>
      <w:tr w14:paraId="3CFADB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1B65B6BC">
            <w:pPr>
              <w:widowControl/>
              <w:jc w:val="left"/>
              <w:rPr>
                <w:color w:val="auto"/>
                <w:kern w:val="0"/>
                <w:sz w:val="18"/>
                <w:szCs w:val="18"/>
                <w:highlight w:val="none"/>
              </w:rPr>
            </w:pPr>
          </w:p>
        </w:tc>
        <w:tc>
          <w:tcPr>
            <w:tcW w:w="1369" w:type="dxa"/>
            <w:noWrap w:val="0"/>
            <w:vAlign w:val="center"/>
          </w:tcPr>
          <w:p w14:paraId="68BA6497">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54A49E37">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069AF349">
            <w:pPr>
              <w:widowControl/>
              <w:jc w:val="center"/>
              <w:rPr>
                <w:color w:val="auto"/>
                <w:kern w:val="0"/>
                <w:sz w:val="18"/>
                <w:szCs w:val="18"/>
                <w:highlight w:val="none"/>
              </w:rPr>
            </w:pPr>
            <w:r>
              <w:rPr>
                <w:color w:val="auto"/>
                <w:kern w:val="0"/>
                <w:sz w:val="18"/>
                <w:szCs w:val="18"/>
                <w:highlight w:val="none"/>
              </w:rPr>
              <w:t>Y≥30000</w:t>
            </w:r>
          </w:p>
        </w:tc>
        <w:tc>
          <w:tcPr>
            <w:tcW w:w="1701" w:type="dxa"/>
            <w:noWrap w:val="0"/>
            <w:vAlign w:val="center"/>
          </w:tcPr>
          <w:p w14:paraId="11598A9F">
            <w:pPr>
              <w:widowControl/>
              <w:jc w:val="center"/>
              <w:rPr>
                <w:color w:val="auto"/>
                <w:kern w:val="0"/>
                <w:sz w:val="18"/>
                <w:szCs w:val="18"/>
                <w:highlight w:val="none"/>
              </w:rPr>
            </w:pPr>
            <w:r>
              <w:rPr>
                <w:color w:val="auto"/>
                <w:kern w:val="0"/>
                <w:sz w:val="18"/>
                <w:szCs w:val="18"/>
                <w:highlight w:val="none"/>
              </w:rPr>
              <w:t>1000≤Y＜30000</w:t>
            </w:r>
          </w:p>
        </w:tc>
        <w:tc>
          <w:tcPr>
            <w:tcW w:w="1426" w:type="dxa"/>
            <w:noWrap w:val="0"/>
            <w:vAlign w:val="center"/>
          </w:tcPr>
          <w:p w14:paraId="2951ABA7">
            <w:pPr>
              <w:widowControl/>
              <w:jc w:val="center"/>
              <w:rPr>
                <w:color w:val="auto"/>
                <w:kern w:val="0"/>
                <w:sz w:val="18"/>
                <w:szCs w:val="18"/>
                <w:highlight w:val="none"/>
              </w:rPr>
            </w:pPr>
            <w:r>
              <w:rPr>
                <w:color w:val="auto"/>
                <w:kern w:val="0"/>
                <w:sz w:val="18"/>
                <w:szCs w:val="18"/>
                <w:highlight w:val="none"/>
              </w:rPr>
              <w:t>100≤Y＜1000</w:t>
            </w:r>
          </w:p>
        </w:tc>
        <w:tc>
          <w:tcPr>
            <w:tcW w:w="992" w:type="dxa"/>
            <w:noWrap w:val="0"/>
            <w:vAlign w:val="center"/>
          </w:tcPr>
          <w:p w14:paraId="0A912A24">
            <w:pPr>
              <w:widowControl/>
              <w:jc w:val="center"/>
              <w:rPr>
                <w:color w:val="auto"/>
                <w:kern w:val="0"/>
                <w:sz w:val="18"/>
                <w:szCs w:val="18"/>
                <w:highlight w:val="none"/>
              </w:rPr>
            </w:pPr>
            <w:r>
              <w:rPr>
                <w:color w:val="auto"/>
                <w:kern w:val="0"/>
                <w:sz w:val="18"/>
                <w:szCs w:val="18"/>
                <w:highlight w:val="none"/>
              </w:rPr>
              <w:t>Y＜100</w:t>
            </w:r>
          </w:p>
        </w:tc>
      </w:tr>
      <w:tr w14:paraId="17D68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1D0CA6AF">
            <w:pPr>
              <w:widowControl/>
              <w:spacing w:line="240" w:lineRule="exact"/>
              <w:jc w:val="left"/>
              <w:rPr>
                <w:color w:val="auto"/>
                <w:kern w:val="0"/>
                <w:sz w:val="18"/>
                <w:szCs w:val="18"/>
                <w:highlight w:val="none"/>
              </w:rPr>
            </w:pPr>
            <w:r>
              <w:rPr>
                <w:color w:val="auto"/>
                <w:kern w:val="0"/>
                <w:sz w:val="18"/>
                <w:szCs w:val="18"/>
                <w:highlight w:val="none"/>
              </w:rPr>
              <w:t>邮政业</w:t>
            </w:r>
          </w:p>
        </w:tc>
        <w:tc>
          <w:tcPr>
            <w:tcW w:w="1369" w:type="dxa"/>
            <w:noWrap w:val="0"/>
            <w:vAlign w:val="center"/>
          </w:tcPr>
          <w:p w14:paraId="6227CABF">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523A6AB6">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62F0FF2D">
            <w:pPr>
              <w:widowControl/>
              <w:jc w:val="center"/>
              <w:rPr>
                <w:color w:val="auto"/>
                <w:kern w:val="0"/>
                <w:sz w:val="18"/>
                <w:szCs w:val="18"/>
                <w:highlight w:val="none"/>
              </w:rPr>
            </w:pPr>
            <w:r>
              <w:rPr>
                <w:color w:val="auto"/>
                <w:kern w:val="0"/>
                <w:sz w:val="18"/>
                <w:szCs w:val="18"/>
                <w:highlight w:val="none"/>
              </w:rPr>
              <w:t>X≥1000</w:t>
            </w:r>
          </w:p>
        </w:tc>
        <w:tc>
          <w:tcPr>
            <w:tcW w:w="1701" w:type="dxa"/>
            <w:noWrap w:val="0"/>
            <w:vAlign w:val="center"/>
          </w:tcPr>
          <w:p w14:paraId="63DD29F0">
            <w:pPr>
              <w:widowControl/>
              <w:jc w:val="center"/>
              <w:rPr>
                <w:color w:val="auto"/>
                <w:kern w:val="0"/>
                <w:sz w:val="18"/>
                <w:szCs w:val="18"/>
                <w:highlight w:val="none"/>
              </w:rPr>
            </w:pPr>
            <w:r>
              <w:rPr>
                <w:color w:val="auto"/>
                <w:kern w:val="0"/>
                <w:sz w:val="18"/>
                <w:szCs w:val="18"/>
                <w:highlight w:val="none"/>
              </w:rPr>
              <w:t>300≤X＜1000</w:t>
            </w:r>
          </w:p>
        </w:tc>
        <w:tc>
          <w:tcPr>
            <w:tcW w:w="1426" w:type="dxa"/>
            <w:noWrap w:val="0"/>
            <w:vAlign w:val="center"/>
          </w:tcPr>
          <w:p w14:paraId="0578D23A">
            <w:pPr>
              <w:widowControl/>
              <w:jc w:val="center"/>
              <w:rPr>
                <w:color w:val="auto"/>
                <w:kern w:val="0"/>
                <w:sz w:val="18"/>
                <w:szCs w:val="18"/>
                <w:highlight w:val="none"/>
              </w:rPr>
            </w:pPr>
            <w:r>
              <w:rPr>
                <w:color w:val="auto"/>
                <w:kern w:val="0"/>
                <w:sz w:val="18"/>
                <w:szCs w:val="18"/>
                <w:highlight w:val="none"/>
              </w:rPr>
              <w:t>20≤X＜300</w:t>
            </w:r>
          </w:p>
        </w:tc>
        <w:tc>
          <w:tcPr>
            <w:tcW w:w="992" w:type="dxa"/>
            <w:noWrap w:val="0"/>
            <w:vAlign w:val="center"/>
          </w:tcPr>
          <w:p w14:paraId="67AE0E79">
            <w:pPr>
              <w:widowControl/>
              <w:jc w:val="center"/>
              <w:rPr>
                <w:color w:val="auto"/>
                <w:kern w:val="0"/>
                <w:sz w:val="18"/>
                <w:szCs w:val="18"/>
                <w:highlight w:val="none"/>
              </w:rPr>
            </w:pPr>
            <w:r>
              <w:rPr>
                <w:color w:val="auto"/>
                <w:kern w:val="0"/>
                <w:sz w:val="18"/>
                <w:szCs w:val="18"/>
                <w:highlight w:val="none"/>
              </w:rPr>
              <w:t>X＜20</w:t>
            </w:r>
          </w:p>
        </w:tc>
      </w:tr>
      <w:tr w14:paraId="5A2E1C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2018BF9A">
            <w:pPr>
              <w:widowControl/>
              <w:jc w:val="left"/>
              <w:rPr>
                <w:color w:val="auto"/>
                <w:kern w:val="0"/>
                <w:sz w:val="18"/>
                <w:szCs w:val="18"/>
                <w:highlight w:val="none"/>
              </w:rPr>
            </w:pPr>
          </w:p>
        </w:tc>
        <w:tc>
          <w:tcPr>
            <w:tcW w:w="1369" w:type="dxa"/>
            <w:noWrap w:val="0"/>
            <w:vAlign w:val="center"/>
          </w:tcPr>
          <w:p w14:paraId="25A1EE24">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71A104CF">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7E1C7033">
            <w:pPr>
              <w:widowControl/>
              <w:jc w:val="center"/>
              <w:rPr>
                <w:color w:val="auto"/>
                <w:kern w:val="0"/>
                <w:sz w:val="18"/>
                <w:szCs w:val="18"/>
                <w:highlight w:val="none"/>
              </w:rPr>
            </w:pPr>
            <w:r>
              <w:rPr>
                <w:color w:val="auto"/>
                <w:kern w:val="0"/>
                <w:sz w:val="18"/>
                <w:szCs w:val="18"/>
                <w:highlight w:val="none"/>
              </w:rPr>
              <w:t>Y≥30000</w:t>
            </w:r>
          </w:p>
        </w:tc>
        <w:tc>
          <w:tcPr>
            <w:tcW w:w="1701" w:type="dxa"/>
            <w:noWrap w:val="0"/>
            <w:vAlign w:val="center"/>
          </w:tcPr>
          <w:p w14:paraId="0A4FF3CE">
            <w:pPr>
              <w:widowControl/>
              <w:jc w:val="center"/>
              <w:rPr>
                <w:color w:val="auto"/>
                <w:kern w:val="0"/>
                <w:sz w:val="18"/>
                <w:szCs w:val="18"/>
                <w:highlight w:val="none"/>
              </w:rPr>
            </w:pPr>
            <w:r>
              <w:rPr>
                <w:color w:val="auto"/>
                <w:kern w:val="0"/>
                <w:sz w:val="18"/>
                <w:szCs w:val="18"/>
                <w:highlight w:val="none"/>
              </w:rPr>
              <w:t>2000≤Y＜30000</w:t>
            </w:r>
          </w:p>
        </w:tc>
        <w:tc>
          <w:tcPr>
            <w:tcW w:w="1426" w:type="dxa"/>
            <w:noWrap w:val="0"/>
            <w:vAlign w:val="center"/>
          </w:tcPr>
          <w:p w14:paraId="080B5329">
            <w:pPr>
              <w:widowControl/>
              <w:jc w:val="center"/>
              <w:rPr>
                <w:color w:val="auto"/>
                <w:kern w:val="0"/>
                <w:sz w:val="18"/>
                <w:szCs w:val="18"/>
                <w:highlight w:val="none"/>
              </w:rPr>
            </w:pPr>
            <w:r>
              <w:rPr>
                <w:color w:val="auto"/>
                <w:kern w:val="0"/>
                <w:sz w:val="18"/>
                <w:szCs w:val="18"/>
                <w:highlight w:val="none"/>
              </w:rPr>
              <w:t>100≤Y＜2000</w:t>
            </w:r>
          </w:p>
        </w:tc>
        <w:tc>
          <w:tcPr>
            <w:tcW w:w="992" w:type="dxa"/>
            <w:noWrap w:val="0"/>
            <w:vAlign w:val="center"/>
          </w:tcPr>
          <w:p w14:paraId="4D23E99E">
            <w:pPr>
              <w:widowControl/>
              <w:jc w:val="center"/>
              <w:rPr>
                <w:color w:val="auto"/>
                <w:kern w:val="0"/>
                <w:sz w:val="18"/>
                <w:szCs w:val="18"/>
                <w:highlight w:val="none"/>
              </w:rPr>
            </w:pPr>
            <w:r>
              <w:rPr>
                <w:color w:val="auto"/>
                <w:kern w:val="0"/>
                <w:sz w:val="18"/>
                <w:szCs w:val="18"/>
                <w:highlight w:val="none"/>
              </w:rPr>
              <w:t>Y＜100</w:t>
            </w:r>
          </w:p>
        </w:tc>
      </w:tr>
      <w:tr w14:paraId="3BE6CE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78269E67">
            <w:pPr>
              <w:widowControl/>
              <w:spacing w:line="240" w:lineRule="exact"/>
              <w:jc w:val="left"/>
              <w:rPr>
                <w:color w:val="auto"/>
                <w:kern w:val="0"/>
                <w:sz w:val="18"/>
                <w:szCs w:val="18"/>
                <w:highlight w:val="none"/>
              </w:rPr>
            </w:pPr>
            <w:r>
              <w:rPr>
                <w:color w:val="auto"/>
                <w:kern w:val="0"/>
                <w:sz w:val="18"/>
                <w:szCs w:val="18"/>
                <w:highlight w:val="none"/>
              </w:rPr>
              <w:t>住宿业</w:t>
            </w:r>
          </w:p>
        </w:tc>
        <w:tc>
          <w:tcPr>
            <w:tcW w:w="1369" w:type="dxa"/>
            <w:noWrap w:val="0"/>
            <w:vAlign w:val="center"/>
          </w:tcPr>
          <w:p w14:paraId="4D3DD9D5">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1DC0EA97">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0AFC7A80">
            <w:pPr>
              <w:widowControl/>
              <w:jc w:val="center"/>
              <w:rPr>
                <w:color w:val="auto"/>
                <w:kern w:val="0"/>
                <w:sz w:val="18"/>
                <w:szCs w:val="18"/>
                <w:highlight w:val="none"/>
              </w:rPr>
            </w:pPr>
            <w:r>
              <w:rPr>
                <w:color w:val="auto"/>
                <w:kern w:val="0"/>
                <w:sz w:val="18"/>
                <w:szCs w:val="18"/>
                <w:highlight w:val="none"/>
              </w:rPr>
              <w:t>X≥300</w:t>
            </w:r>
          </w:p>
        </w:tc>
        <w:tc>
          <w:tcPr>
            <w:tcW w:w="1701" w:type="dxa"/>
            <w:noWrap w:val="0"/>
            <w:vAlign w:val="center"/>
          </w:tcPr>
          <w:p w14:paraId="0D7DAD49">
            <w:pPr>
              <w:widowControl/>
              <w:ind w:left="-4" w:leftChars="-51" w:hanging="108" w:hangingChars="60"/>
              <w:jc w:val="center"/>
              <w:rPr>
                <w:color w:val="auto"/>
                <w:kern w:val="0"/>
                <w:sz w:val="18"/>
                <w:szCs w:val="18"/>
                <w:highlight w:val="none"/>
              </w:rPr>
            </w:pPr>
            <w:r>
              <w:rPr>
                <w:color w:val="auto"/>
                <w:kern w:val="0"/>
                <w:sz w:val="18"/>
                <w:szCs w:val="18"/>
                <w:highlight w:val="none"/>
              </w:rPr>
              <w:t>100≤X＜300</w:t>
            </w:r>
          </w:p>
        </w:tc>
        <w:tc>
          <w:tcPr>
            <w:tcW w:w="1426" w:type="dxa"/>
            <w:noWrap w:val="0"/>
            <w:vAlign w:val="center"/>
          </w:tcPr>
          <w:p w14:paraId="1838A0C5">
            <w:pPr>
              <w:widowControl/>
              <w:jc w:val="center"/>
              <w:rPr>
                <w:color w:val="auto"/>
                <w:kern w:val="0"/>
                <w:sz w:val="18"/>
                <w:szCs w:val="18"/>
                <w:highlight w:val="none"/>
              </w:rPr>
            </w:pPr>
            <w:r>
              <w:rPr>
                <w:color w:val="auto"/>
                <w:kern w:val="0"/>
                <w:sz w:val="18"/>
                <w:szCs w:val="18"/>
                <w:highlight w:val="none"/>
              </w:rPr>
              <w:t>10≤X＜100</w:t>
            </w:r>
          </w:p>
        </w:tc>
        <w:tc>
          <w:tcPr>
            <w:tcW w:w="992" w:type="dxa"/>
            <w:noWrap w:val="0"/>
            <w:vAlign w:val="center"/>
          </w:tcPr>
          <w:p w14:paraId="142DB209">
            <w:pPr>
              <w:widowControl/>
              <w:jc w:val="center"/>
              <w:rPr>
                <w:color w:val="auto"/>
                <w:kern w:val="0"/>
                <w:sz w:val="18"/>
                <w:szCs w:val="18"/>
                <w:highlight w:val="none"/>
              </w:rPr>
            </w:pPr>
            <w:r>
              <w:rPr>
                <w:color w:val="auto"/>
                <w:kern w:val="0"/>
                <w:sz w:val="18"/>
                <w:szCs w:val="18"/>
                <w:highlight w:val="none"/>
              </w:rPr>
              <w:t>X＜10</w:t>
            </w:r>
          </w:p>
        </w:tc>
      </w:tr>
      <w:tr w14:paraId="042128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4C384F7C">
            <w:pPr>
              <w:widowControl/>
              <w:jc w:val="left"/>
              <w:rPr>
                <w:color w:val="auto"/>
                <w:kern w:val="0"/>
                <w:sz w:val="18"/>
                <w:szCs w:val="18"/>
                <w:highlight w:val="none"/>
              </w:rPr>
            </w:pPr>
          </w:p>
        </w:tc>
        <w:tc>
          <w:tcPr>
            <w:tcW w:w="1369" w:type="dxa"/>
            <w:noWrap w:val="0"/>
            <w:vAlign w:val="center"/>
          </w:tcPr>
          <w:p w14:paraId="750D0165">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40D9FC59">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5F0A6AC0">
            <w:pPr>
              <w:widowControl/>
              <w:jc w:val="center"/>
              <w:rPr>
                <w:color w:val="auto"/>
                <w:kern w:val="0"/>
                <w:sz w:val="18"/>
                <w:szCs w:val="18"/>
                <w:highlight w:val="none"/>
              </w:rPr>
            </w:pPr>
            <w:r>
              <w:rPr>
                <w:color w:val="auto"/>
                <w:kern w:val="0"/>
                <w:sz w:val="18"/>
                <w:szCs w:val="18"/>
                <w:highlight w:val="none"/>
              </w:rPr>
              <w:t>Y≥10000</w:t>
            </w:r>
          </w:p>
        </w:tc>
        <w:tc>
          <w:tcPr>
            <w:tcW w:w="1701" w:type="dxa"/>
            <w:noWrap w:val="0"/>
            <w:vAlign w:val="center"/>
          </w:tcPr>
          <w:p w14:paraId="7A0AB2E1">
            <w:pPr>
              <w:widowControl/>
              <w:jc w:val="center"/>
              <w:rPr>
                <w:color w:val="auto"/>
                <w:kern w:val="0"/>
                <w:sz w:val="18"/>
                <w:szCs w:val="18"/>
                <w:highlight w:val="none"/>
              </w:rPr>
            </w:pPr>
            <w:r>
              <w:rPr>
                <w:color w:val="auto"/>
                <w:kern w:val="0"/>
                <w:sz w:val="18"/>
                <w:szCs w:val="18"/>
                <w:highlight w:val="none"/>
              </w:rPr>
              <w:t>2000≤Y＜10000</w:t>
            </w:r>
          </w:p>
        </w:tc>
        <w:tc>
          <w:tcPr>
            <w:tcW w:w="1426" w:type="dxa"/>
            <w:noWrap w:val="0"/>
            <w:vAlign w:val="center"/>
          </w:tcPr>
          <w:p w14:paraId="6456033B">
            <w:pPr>
              <w:widowControl/>
              <w:jc w:val="center"/>
              <w:rPr>
                <w:color w:val="auto"/>
                <w:kern w:val="0"/>
                <w:sz w:val="18"/>
                <w:szCs w:val="18"/>
                <w:highlight w:val="none"/>
              </w:rPr>
            </w:pPr>
            <w:r>
              <w:rPr>
                <w:color w:val="auto"/>
                <w:kern w:val="0"/>
                <w:sz w:val="18"/>
                <w:szCs w:val="18"/>
                <w:highlight w:val="none"/>
              </w:rPr>
              <w:t>100≤Y＜2000</w:t>
            </w:r>
          </w:p>
        </w:tc>
        <w:tc>
          <w:tcPr>
            <w:tcW w:w="992" w:type="dxa"/>
            <w:noWrap w:val="0"/>
            <w:vAlign w:val="center"/>
          </w:tcPr>
          <w:p w14:paraId="3B9A93A2">
            <w:pPr>
              <w:widowControl/>
              <w:jc w:val="center"/>
              <w:rPr>
                <w:color w:val="auto"/>
                <w:kern w:val="0"/>
                <w:sz w:val="18"/>
                <w:szCs w:val="18"/>
                <w:highlight w:val="none"/>
              </w:rPr>
            </w:pPr>
            <w:r>
              <w:rPr>
                <w:color w:val="auto"/>
                <w:kern w:val="0"/>
                <w:sz w:val="18"/>
                <w:szCs w:val="18"/>
                <w:highlight w:val="none"/>
              </w:rPr>
              <w:t>Y＜100</w:t>
            </w:r>
          </w:p>
        </w:tc>
      </w:tr>
      <w:tr w14:paraId="04C798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7F435BA5">
            <w:pPr>
              <w:widowControl/>
              <w:spacing w:line="240" w:lineRule="exact"/>
              <w:jc w:val="left"/>
              <w:rPr>
                <w:color w:val="auto"/>
                <w:kern w:val="0"/>
                <w:sz w:val="18"/>
                <w:szCs w:val="18"/>
                <w:highlight w:val="none"/>
              </w:rPr>
            </w:pPr>
            <w:r>
              <w:rPr>
                <w:color w:val="auto"/>
                <w:kern w:val="0"/>
                <w:sz w:val="18"/>
                <w:szCs w:val="18"/>
                <w:highlight w:val="none"/>
              </w:rPr>
              <w:t>餐饮业</w:t>
            </w:r>
          </w:p>
        </w:tc>
        <w:tc>
          <w:tcPr>
            <w:tcW w:w="1369" w:type="dxa"/>
            <w:noWrap w:val="0"/>
            <w:vAlign w:val="center"/>
          </w:tcPr>
          <w:p w14:paraId="38081D85">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7E0F16E9">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0740174C">
            <w:pPr>
              <w:widowControl/>
              <w:jc w:val="center"/>
              <w:rPr>
                <w:color w:val="auto"/>
                <w:kern w:val="0"/>
                <w:sz w:val="18"/>
                <w:szCs w:val="18"/>
                <w:highlight w:val="none"/>
              </w:rPr>
            </w:pPr>
            <w:r>
              <w:rPr>
                <w:color w:val="auto"/>
                <w:kern w:val="0"/>
                <w:sz w:val="18"/>
                <w:szCs w:val="18"/>
                <w:highlight w:val="none"/>
              </w:rPr>
              <w:t>X≥300</w:t>
            </w:r>
          </w:p>
        </w:tc>
        <w:tc>
          <w:tcPr>
            <w:tcW w:w="1701" w:type="dxa"/>
            <w:noWrap w:val="0"/>
            <w:vAlign w:val="center"/>
          </w:tcPr>
          <w:p w14:paraId="041E9934">
            <w:pPr>
              <w:widowControl/>
              <w:ind w:left="-4" w:leftChars="-51" w:hanging="108" w:hangingChars="60"/>
              <w:jc w:val="center"/>
              <w:rPr>
                <w:color w:val="auto"/>
                <w:kern w:val="0"/>
                <w:sz w:val="18"/>
                <w:szCs w:val="18"/>
                <w:highlight w:val="none"/>
              </w:rPr>
            </w:pPr>
            <w:r>
              <w:rPr>
                <w:color w:val="auto"/>
                <w:kern w:val="0"/>
                <w:sz w:val="18"/>
                <w:szCs w:val="18"/>
                <w:highlight w:val="none"/>
              </w:rPr>
              <w:t xml:space="preserve">100≤X＜300 </w:t>
            </w:r>
          </w:p>
        </w:tc>
        <w:tc>
          <w:tcPr>
            <w:tcW w:w="1426" w:type="dxa"/>
            <w:noWrap w:val="0"/>
            <w:vAlign w:val="center"/>
          </w:tcPr>
          <w:p w14:paraId="5323B8D4">
            <w:pPr>
              <w:widowControl/>
              <w:jc w:val="center"/>
              <w:rPr>
                <w:color w:val="auto"/>
                <w:kern w:val="0"/>
                <w:sz w:val="18"/>
                <w:szCs w:val="18"/>
                <w:highlight w:val="none"/>
              </w:rPr>
            </w:pPr>
            <w:r>
              <w:rPr>
                <w:color w:val="auto"/>
                <w:kern w:val="0"/>
                <w:sz w:val="18"/>
                <w:szCs w:val="18"/>
                <w:highlight w:val="none"/>
              </w:rPr>
              <w:t>10≤X＜100</w:t>
            </w:r>
          </w:p>
        </w:tc>
        <w:tc>
          <w:tcPr>
            <w:tcW w:w="992" w:type="dxa"/>
            <w:noWrap w:val="0"/>
            <w:vAlign w:val="center"/>
          </w:tcPr>
          <w:p w14:paraId="26361444">
            <w:pPr>
              <w:widowControl/>
              <w:jc w:val="center"/>
              <w:rPr>
                <w:color w:val="auto"/>
                <w:kern w:val="0"/>
                <w:sz w:val="18"/>
                <w:szCs w:val="18"/>
                <w:highlight w:val="none"/>
              </w:rPr>
            </w:pPr>
            <w:r>
              <w:rPr>
                <w:color w:val="auto"/>
                <w:kern w:val="0"/>
                <w:sz w:val="18"/>
                <w:szCs w:val="18"/>
                <w:highlight w:val="none"/>
              </w:rPr>
              <w:t>X＜10</w:t>
            </w:r>
          </w:p>
        </w:tc>
      </w:tr>
      <w:tr w14:paraId="0DB677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573F1B33">
            <w:pPr>
              <w:widowControl/>
              <w:jc w:val="left"/>
              <w:rPr>
                <w:color w:val="auto"/>
                <w:kern w:val="0"/>
                <w:sz w:val="18"/>
                <w:szCs w:val="18"/>
                <w:highlight w:val="none"/>
              </w:rPr>
            </w:pPr>
          </w:p>
        </w:tc>
        <w:tc>
          <w:tcPr>
            <w:tcW w:w="1369" w:type="dxa"/>
            <w:noWrap w:val="0"/>
            <w:vAlign w:val="center"/>
          </w:tcPr>
          <w:p w14:paraId="003F9C36">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7D7E264D">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6254C1CD">
            <w:pPr>
              <w:widowControl/>
              <w:jc w:val="center"/>
              <w:rPr>
                <w:color w:val="auto"/>
                <w:kern w:val="0"/>
                <w:sz w:val="18"/>
                <w:szCs w:val="18"/>
                <w:highlight w:val="none"/>
              </w:rPr>
            </w:pPr>
            <w:r>
              <w:rPr>
                <w:color w:val="auto"/>
                <w:kern w:val="0"/>
                <w:sz w:val="18"/>
                <w:szCs w:val="18"/>
                <w:highlight w:val="none"/>
              </w:rPr>
              <w:t>Y≥10000</w:t>
            </w:r>
          </w:p>
        </w:tc>
        <w:tc>
          <w:tcPr>
            <w:tcW w:w="1701" w:type="dxa"/>
            <w:noWrap w:val="0"/>
            <w:vAlign w:val="center"/>
          </w:tcPr>
          <w:p w14:paraId="6D5F8765">
            <w:pPr>
              <w:widowControl/>
              <w:jc w:val="center"/>
              <w:rPr>
                <w:color w:val="auto"/>
                <w:kern w:val="0"/>
                <w:sz w:val="18"/>
                <w:szCs w:val="18"/>
                <w:highlight w:val="none"/>
              </w:rPr>
            </w:pPr>
            <w:r>
              <w:rPr>
                <w:color w:val="auto"/>
                <w:kern w:val="0"/>
                <w:sz w:val="18"/>
                <w:szCs w:val="18"/>
                <w:highlight w:val="none"/>
              </w:rPr>
              <w:t>2000≤Y＜10000</w:t>
            </w:r>
          </w:p>
        </w:tc>
        <w:tc>
          <w:tcPr>
            <w:tcW w:w="1426" w:type="dxa"/>
            <w:noWrap w:val="0"/>
            <w:vAlign w:val="center"/>
          </w:tcPr>
          <w:p w14:paraId="736708DB">
            <w:pPr>
              <w:widowControl/>
              <w:jc w:val="center"/>
              <w:rPr>
                <w:color w:val="auto"/>
                <w:kern w:val="0"/>
                <w:sz w:val="18"/>
                <w:szCs w:val="18"/>
                <w:highlight w:val="none"/>
              </w:rPr>
            </w:pPr>
            <w:r>
              <w:rPr>
                <w:color w:val="auto"/>
                <w:kern w:val="0"/>
                <w:sz w:val="18"/>
                <w:szCs w:val="18"/>
                <w:highlight w:val="none"/>
              </w:rPr>
              <w:t>100≤Y＜2000</w:t>
            </w:r>
          </w:p>
        </w:tc>
        <w:tc>
          <w:tcPr>
            <w:tcW w:w="992" w:type="dxa"/>
            <w:noWrap w:val="0"/>
            <w:vAlign w:val="center"/>
          </w:tcPr>
          <w:p w14:paraId="62F8B22D">
            <w:pPr>
              <w:widowControl/>
              <w:jc w:val="center"/>
              <w:rPr>
                <w:color w:val="auto"/>
                <w:kern w:val="0"/>
                <w:sz w:val="18"/>
                <w:szCs w:val="18"/>
                <w:highlight w:val="none"/>
              </w:rPr>
            </w:pPr>
            <w:r>
              <w:rPr>
                <w:color w:val="auto"/>
                <w:kern w:val="0"/>
                <w:sz w:val="18"/>
                <w:szCs w:val="18"/>
                <w:highlight w:val="none"/>
              </w:rPr>
              <w:t>Y＜100</w:t>
            </w:r>
          </w:p>
        </w:tc>
      </w:tr>
      <w:tr w14:paraId="2C3367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restart"/>
            <w:noWrap w:val="0"/>
            <w:vAlign w:val="center"/>
          </w:tcPr>
          <w:p w14:paraId="2436061F">
            <w:pPr>
              <w:widowControl/>
              <w:spacing w:line="240" w:lineRule="exact"/>
              <w:jc w:val="left"/>
              <w:rPr>
                <w:color w:val="auto"/>
                <w:kern w:val="0"/>
                <w:sz w:val="18"/>
                <w:szCs w:val="18"/>
                <w:highlight w:val="none"/>
              </w:rPr>
            </w:pPr>
            <w:r>
              <w:rPr>
                <w:color w:val="auto"/>
                <w:kern w:val="0"/>
                <w:sz w:val="18"/>
                <w:szCs w:val="18"/>
                <w:highlight w:val="none"/>
              </w:rPr>
              <w:t>信息传输业 *</w:t>
            </w:r>
          </w:p>
        </w:tc>
        <w:tc>
          <w:tcPr>
            <w:tcW w:w="1369" w:type="dxa"/>
            <w:noWrap w:val="0"/>
            <w:vAlign w:val="center"/>
          </w:tcPr>
          <w:p w14:paraId="0B51E71A">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5E7266E2">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67A8F796">
            <w:pPr>
              <w:widowControl/>
              <w:jc w:val="center"/>
              <w:rPr>
                <w:color w:val="auto"/>
                <w:kern w:val="0"/>
                <w:sz w:val="18"/>
                <w:szCs w:val="18"/>
                <w:highlight w:val="none"/>
              </w:rPr>
            </w:pPr>
            <w:r>
              <w:rPr>
                <w:color w:val="auto"/>
                <w:kern w:val="0"/>
                <w:sz w:val="18"/>
                <w:szCs w:val="18"/>
                <w:highlight w:val="none"/>
              </w:rPr>
              <w:t>X≥2000</w:t>
            </w:r>
          </w:p>
        </w:tc>
        <w:tc>
          <w:tcPr>
            <w:tcW w:w="1701" w:type="dxa"/>
            <w:noWrap w:val="0"/>
            <w:vAlign w:val="center"/>
          </w:tcPr>
          <w:p w14:paraId="377C038D">
            <w:pPr>
              <w:widowControl/>
              <w:jc w:val="center"/>
              <w:rPr>
                <w:color w:val="auto"/>
                <w:kern w:val="0"/>
                <w:sz w:val="18"/>
                <w:szCs w:val="18"/>
                <w:highlight w:val="none"/>
              </w:rPr>
            </w:pPr>
            <w:r>
              <w:rPr>
                <w:color w:val="auto"/>
                <w:kern w:val="0"/>
                <w:sz w:val="18"/>
                <w:szCs w:val="18"/>
                <w:highlight w:val="none"/>
              </w:rPr>
              <w:t>100≤X＜2000</w:t>
            </w:r>
          </w:p>
        </w:tc>
        <w:tc>
          <w:tcPr>
            <w:tcW w:w="1426" w:type="dxa"/>
            <w:noWrap w:val="0"/>
            <w:vAlign w:val="center"/>
          </w:tcPr>
          <w:p w14:paraId="4543BD16">
            <w:pPr>
              <w:widowControl/>
              <w:jc w:val="center"/>
              <w:rPr>
                <w:color w:val="auto"/>
                <w:kern w:val="0"/>
                <w:sz w:val="18"/>
                <w:szCs w:val="18"/>
                <w:highlight w:val="none"/>
              </w:rPr>
            </w:pPr>
            <w:r>
              <w:rPr>
                <w:color w:val="auto"/>
                <w:kern w:val="0"/>
                <w:sz w:val="18"/>
                <w:szCs w:val="18"/>
                <w:highlight w:val="none"/>
              </w:rPr>
              <w:t>10≤X＜100</w:t>
            </w:r>
          </w:p>
        </w:tc>
        <w:tc>
          <w:tcPr>
            <w:tcW w:w="992" w:type="dxa"/>
            <w:noWrap w:val="0"/>
            <w:vAlign w:val="center"/>
          </w:tcPr>
          <w:p w14:paraId="1981F964">
            <w:pPr>
              <w:widowControl/>
              <w:jc w:val="center"/>
              <w:rPr>
                <w:color w:val="auto"/>
                <w:kern w:val="0"/>
                <w:sz w:val="18"/>
                <w:szCs w:val="18"/>
                <w:highlight w:val="none"/>
              </w:rPr>
            </w:pPr>
            <w:r>
              <w:rPr>
                <w:color w:val="auto"/>
                <w:kern w:val="0"/>
                <w:sz w:val="18"/>
                <w:szCs w:val="18"/>
                <w:highlight w:val="none"/>
              </w:rPr>
              <w:t>X＜10</w:t>
            </w:r>
          </w:p>
        </w:tc>
      </w:tr>
      <w:tr w14:paraId="23891D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vMerge w:val="continue"/>
            <w:noWrap w:val="0"/>
            <w:vAlign w:val="center"/>
          </w:tcPr>
          <w:p w14:paraId="3D2F0704">
            <w:pPr>
              <w:widowControl/>
              <w:jc w:val="left"/>
              <w:rPr>
                <w:color w:val="auto"/>
                <w:kern w:val="0"/>
                <w:sz w:val="18"/>
                <w:szCs w:val="18"/>
                <w:highlight w:val="none"/>
              </w:rPr>
            </w:pPr>
          </w:p>
        </w:tc>
        <w:tc>
          <w:tcPr>
            <w:tcW w:w="1369" w:type="dxa"/>
            <w:noWrap w:val="0"/>
            <w:vAlign w:val="center"/>
          </w:tcPr>
          <w:p w14:paraId="17275621">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0DEF70C7">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44195DF6">
            <w:pPr>
              <w:widowControl/>
              <w:jc w:val="center"/>
              <w:rPr>
                <w:color w:val="auto"/>
                <w:kern w:val="0"/>
                <w:sz w:val="18"/>
                <w:szCs w:val="18"/>
                <w:highlight w:val="none"/>
              </w:rPr>
            </w:pPr>
            <w:r>
              <w:rPr>
                <w:color w:val="auto"/>
                <w:kern w:val="0"/>
                <w:sz w:val="18"/>
                <w:szCs w:val="18"/>
                <w:highlight w:val="none"/>
              </w:rPr>
              <w:t>Y≥100000</w:t>
            </w:r>
          </w:p>
        </w:tc>
        <w:tc>
          <w:tcPr>
            <w:tcW w:w="1701" w:type="dxa"/>
            <w:noWrap w:val="0"/>
            <w:vAlign w:val="center"/>
          </w:tcPr>
          <w:p w14:paraId="5F6A7C32">
            <w:pPr>
              <w:widowControl/>
              <w:jc w:val="center"/>
              <w:rPr>
                <w:color w:val="auto"/>
                <w:kern w:val="0"/>
                <w:sz w:val="18"/>
                <w:szCs w:val="18"/>
                <w:highlight w:val="none"/>
              </w:rPr>
            </w:pPr>
            <w:r>
              <w:rPr>
                <w:color w:val="auto"/>
                <w:kern w:val="0"/>
                <w:sz w:val="18"/>
                <w:szCs w:val="18"/>
                <w:highlight w:val="none"/>
              </w:rPr>
              <w:t>1000≤Y＜100000</w:t>
            </w:r>
          </w:p>
        </w:tc>
        <w:tc>
          <w:tcPr>
            <w:tcW w:w="1426" w:type="dxa"/>
            <w:noWrap w:val="0"/>
            <w:vAlign w:val="center"/>
          </w:tcPr>
          <w:p w14:paraId="7B044098">
            <w:pPr>
              <w:widowControl/>
              <w:jc w:val="center"/>
              <w:rPr>
                <w:color w:val="auto"/>
                <w:kern w:val="0"/>
                <w:sz w:val="18"/>
                <w:szCs w:val="18"/>
                <w:highlight w:val="none"/>
              </w:rPr>
            </w:pPr>
            <w:r>
              <w:rPr>
                <w:color w:val="auto"/>
                <w:kern w:val="0"/>
                <w:sz w:val="18"/>
                <w:szCs w:val="18"/>
                <w:highlight w:val="none"/>
              </w:rPr>
              <w:t>100≤Y＜1000</w:t>
            </w:r>
          </w:p>
        </w:tc>
        <w:tc>
          <w:tcPr>
            <w:tcW w:w="992" w:type="dxa"/>
            <w:noWrap w:val="0"/>
            <w:vAlign w:val="center"/>
          </w:tcPr>
          <w:p w14:paraId="37341882">
            <w:pPr>
              <w:widowControl/>
              <w:jc w:val="center"/>
              <w:rPr>
                <w:color w:val="auto"/>
                <w:kern w:val="0"/>
                <w:sz w:val="18"/>
                <w:szCs w:val="18"/>
                <w:highlight w:val="none"/>
              </w:rPr>
            </w:pPr>
            <w:r>
              <w:rPr>
                <w:color w:val="auto"/>
                <w:kern w:val="0"/>
                <w:sz w:val="18"/>
                <w:szCs w:val="18"/>
                <w:highlight w:val="none"/>
              </w:rPr>
              <w:t>Y＜100</w:t>
            </w:r>
          </w:p>
        </w:tc>
      </w:tr>
      <w:tr w14:paraId="3E0BAA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12E5A609">
            <w:pPr>
              <w:widowControl/>
              <w:spacing w:line="240" w:lineRule="exact"/>
              <w:jc w:val="left"/>
              <w:rPr>
                <w:color w:val="auto"/>
                <w:spacing w:val="-12"/>
                <w:kern w:val="0"/>
                <w:sz w:val="18"/>
                <w:szCs w:val="18"/>
                <w:highlight w:val="none"/>
              </w:rPr>
            </w:pPr>
            <w:r>
              <w:rPr>
                <w:color w:val="auto"/>
                <w:spacing w:val="-12"/>
                <w:kern w:val="0"/>
                <w:sz w:val="18"/>
                <w:szCs w:val="18"/>
                <w:highlight w:val="none"/>
              </w:rPr>
              <w:t>软件和信息技术服</w:t>
            </w:r>
            <w:r>
              <w:rPr>
                <w:color w:val="auto"/>
                <w:kern w:val="0"/>
                <w:sz w:val="18"/>
                <w:szCs w:val="18"/>
                <w:highlight w:val="none"/>
              </w:rPr>
              <w:t>务业</w:t>
            </w:r>
          </w:p>
        </w:tc>
        <w:tc>
          <w:tcPr>
            <w:tcW w:w="1369" w:type="dxa"/>
            <w:noWrap w:val="0"/>
            <w:vAlign w:val="center"/>
          </w:tcPr>
          <w:p w14:paraId="77A438B6">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552D9B99">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2872A8F9">
            <w:pPr>
              <w:widowControl/>
              <w:jc w:val="center"/>
              <w:rPr>
                <w:color w:val="auto"/>
                <w:kern w:val="0"/>
                <w:sz w:val="18"/>
                <w:szCs w:val="18"/>
                <w:highlight w:val="none"/>
              </w:rPr>
            </w:pPr>
            <w:r>
              <w:rPr>
                <w:color w:val="auto"/>
                <w:kern w:val="0"/>
                <w:sz w:val="18"/>
                <w:szCs w:val="18"/>
                <w:highlight w:val="none"/>
              </w:rPr>
              <w:t>X≥300</w:t>
            </w:r>
          </w:p>
        </w:tc>
        <w:tc>
          <w:tcPr>
            <w:tcW w:w="1701" w:type="dxa"/>
            <w:noWrap w:val="0"/>
            <w:vAlign w:val="center"/>
          </w:tcPr>
          <w:p w14:paraId="1CA02BA4">
            <w:pPr>
              <w:widowControl/>
              <w:ind w:left="-4" w:leftChars="-51" w:hanging="108" w:hangingChars="60"/>
              <w:jc w:val="center"/>
              <w:rPr>
                <w:color w:val="auto"/>
                <w:kern w:val="0"/>
                <w:sz w:val="18"/>
                <w:szCs w:val="18"/>
                <w:highlight w:val="none"/>
              </w:rPr>
            </w:pPr>
            <w:r>
              <w:rPr>
                <w:color w:val="auto"/>
                <w:kern w:val="0"/>
                <w:sz w:val="18"/>
                <w:szCs w:val="18"/>
                <w:highlight w:val="none"/>
              </w:rPr>
              <w:t xml:space="preserve">100≤X＜300 </w:t>
            </w:r>
          </w:p>
        </w:tc>
        <w:tc>
          <w:tcPr>
            <w:tcW w:w="1426" w:type="dxa"/>
            <w:noWrap w:val="0"/>
            <w:vAlign w:val="center"/>
          </w:tcPr>
          <w:p w14:paraId="5293549C">
            <w:pPr>
              <w:widowControl/>
              <w:jc w:val="center"/>
              <w:rPr>
                <w:color w:val="auto"/>
                <w:kern w:val="0"/>
                <w:sz w:val="18"/>
                <w:szCs w:val="18"/>
                <w:highlight w:val="none"/>
              </w:rPr>
            </w:pPr>
            <w:r>
              <w:rPr>
                <w:color w:val="auto"/>
                <w:kern w:val="0"/>
                <w:sz w:val="18"/>
                <w:szCs w:val="18"/>
                <w:highlight w:val="none"/>
              </w:rPr>
              <w:t>10≤X＜100</w:t>
            </w:r>
          </w:p>
        </w:tc>
        <w:tc>
          <w:tcPr>
            <w:tcW w:w="992" w:type="dxa"/>
            <w:noWrap w:val="0"/>
            <w:vAlign w:val="center"/>
          </w:tcPr>
          <w:p w14:paraId="3ACB538F">
            <w:pPr>
              <w:widowControl/>
              <w:jc w:val="center"/>
              <w:rPr>
                <w:color w:val="auto"/>
                <w:kern w:val="0"/>
                <w:sz w:val="18"/>
                <w:szCs w:val="18"/>
                <w:highlight w:val="none"/>
              </w:rPr>
            </w:pPr>
            <w:r>
              <w:rPr>
                <w:color w:val="auto"/>
                <w:kern w:val="0"/>
                <w:sz w:val="18"/>
                <w:szCs w:val="18"/>
                <w:highlight w:val="none"/>
              </w:rPr>
              <w:t>X＜10</w:t>
            </w:r>
          </w:p>
        </w:tc>
      </w:tr>
      <w:tr w14:paraId="180C3A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0202DE4F">
            <w:pPr>
              <w:widowControl/>
              <w:jc w:val="left"/>
              <w:rPr>
                <w:color w:val="auto"/>
                <w:spacing w:val="-12"/>
                <w:kern w:val="0"/>
                <w:sz w:val="18"/>
                <w:szCs w:val="18"/>
                <w:highlight w:val="none"/>
              </w:rPr>
            </w:pPr>
          </w:p>
        </w:tc>
        <w:tc>
          <w:tcPr>
            <w:tcW w:w="1369" w:type="dxa"/>
            <w:noWrap w:val="0"/>
            <w:vAlign w:val="center"/>
          </w:tcPr>
          <w:p w14:paraId="00489E1D">
            <w:pPr>
              <w:widowControl/>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686805DF">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1A5DBE0E">
            <w:pPr>
              <w:widowControl/>
              <w:jc w:val="center"/>
              <w:rPr>
                <w:color w:val="auto"/>
                <w:kern w:val="0"/>
                <w:sz w:val="18"/>
                <w:szCs w:val="18"/>
                <w:highlight w:val="none"/>
              </w:rPr>
            </w:pPr>
            <w:r>
              <w:rPr>
                <w:color w:val="auto"/>
                <w:kern w:val="0"/>
                <w:sz w:val="18"/>
                <w:szCs w:val="18"/>
                <w:highlight w:val="none"/>
              </w:rPr>
              <w:t>Y≥10000</w:t>
            </w:r>
          </w:p>
        </w:tc>
        <w:tc>
          <w:tcPr>
            <w:tcW w:w="1701" w:type="dxa"/>
            <w:noWrap w:val="0"/>
            <w:vAlign w:val="center"/>
          </w:tcPr>
          <w:p w14:paraId="06348860">
            <w:pPr>
              <w:widowControl/>
              <w:jc w:val="center"/>
              <w:rPr>
                <w:color w:val="auto"/>
                <w:kern w:val="0"/>
                <w:sz w:val="18"/>
                <w:szCs w:val="18"/>
                <w:highlight w:val="none"/>
              </w:rPr>
            </w:pPr>
            <w:r>
              <w:rPr>
                <w:color w:val="auto"/>
                <w:kern w:val="0"/>
                <w:sz w:val="18"/>
                <w:szCs w:val="18"/>
                <w:highlight w:val="none"/>
              </w:rPr>
              <w:t>1000≤Y＜10000</w:t>
            </w:r>
          </w:p>
        </w:tc>
        <w:tc>
          <w:tcPr>
            <w:tcW w:w="1426" w:type="dxa"/>
            <w:noWrap w:val="0"/>
            <w:vAlign w:val="center"/>
          </w:tcPr>
          <w:p w14:paraId="4CF5A935">
            <w:pPr>
              <w:widowControl/>
              <w:jc w:val="center"/>
              <w:rPr>
                <w:color w:val="auto"/>
                <w:kern w:val="0"/>
                <w:sz w:val="18"/>
                <w:szCs w:val="18"/>
                <w:highlight w:val="none"/>
              </w:rPr>
            </w:pPr>
            <w:r>
              <w:rPr>
                <w:color w:val="auto"/>
                <w:kern w:val="0"/>
                <w:sz w:val="18"/>
                <w:szCs w:val="18"/>
                <w:highlight w:val="none"/>
              </w:rPr>
              <w:t>50≤Y＜1000</w:t>
            </w:r>
          </w:p>
        </w:tc>
        <w:tc>
          <w:tcPr>
            <w:tcW w:w="992" w:type="dxa"/>
            <w:noWrap w:val="0"/>
            <w:vAlign w:val="center"/>
          </w:tcPr>
          <w:p w14:paraId="3CC98FA9">
            <w:pPr>
              <w:widowControl/>
              <w:jc w:val="center"/>
              <w:rPr>
                <w:color w:val="auto"/>
                <w:kern w:val="0"/>
                <w:sz w:val="18"/>
                <w:szCs w:val="18"/>
                <w:highlight w:val="none"/>
              </w:rPr>
            </w:pPr>
            <w:r>
              <w:rPr>
                <w:color w:val="auto"/>
                <w:kern w:val="0"/>
                <w:sz w:val="18"/>
                <w:szCs w:val="18"/>
                <w:highlight w:val="none"/>
              </w:rPr>
              <w:t>Y＜50</w:t>
            </w:r>
          </w:p>
        </w:tc>
      </w:tr>
      <w:tr w14:paraId="2421C3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33A82DD9">
            <w:pPr>
              <w:widowControl/>
              <w:spacing w:line="240" w:lineRule="exact"/>
              <w:jc w:val="left"/>
              <w:rPr>
                <w:color w:val="auto"/>
                <w:kern w:val="0"/>
                <w:sz w:val="18"/>
                <w:szCs w:val="18"/>
                <w:highlight w:val="none"/>
              </w:rPr>
            </w:pPr>
            <w:r>
              <w:rPr>
                <w:color w:val="auto"/>
                <w:kern w:val="0"/>
                <w:sz w:val="18"/>
                <w:szCs w:val="18"/>
                <w:highlight w:val="none"/>
              </w:rPr>
              <w:t>房地产开发经营</w:t>
            </w:r>
          </w:p>
        </w:tc>
        <w:tc>
          <w:tcPr>
            <w:tcW w:w="1369" w:type="dxa"/>
            <w:noWrap w:val="0"/>
            <w:vAlign w:val="center"/>
          </w:tcPr>
          <w:p w14:paraId="257A4D96">
            <w:pPr>
              <w:widowControl/>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1562361B">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7DD2E9C2">
            <w:pPr>
              <w:widowControl/>
              <w:jc w:val="center"/>
              <w:rPr>
                <w:color w:val="auto"/>
                <w:kern w:val="0"/>
                <w:sz w:val="18"/>
                <w:szCs w:val="18"/>
                <w:highlight w:val="none"/>
              </w:rPr>
            </w:pPr>
            <w:r>
              <w:rPr>
                <w:color w:val="auto"/>
                <w:kern w:val="0"/>
                <w:sz w:val="18"/>
                <w:szCs w:val="18"/>
                <w:highlight w:val="none"/>
              </w:rPr>
              <w:t>Y≥200000</w:t>
            </w:r>
          </w:p>
        </w:tc>
        <w:tc>
          <w:tcPr>
            <w:tcW w:w="1701" w:type="dxa"/>
            <w:noWrap w:val="0"/>
            <w:vAlign w:val="center"/>
          </w:tcPr>
          <w:p w14:paraId="1263BFD6">
            <w:pPr>
              <w:widowControl/>
              <w:jc w:val="center"/>
              <w:rPr>
                <w:color w:val="auto"/>
                <w:kern w:val="0"/>
                <w:sz w:val="18"/>
                <w:szCs w:val="18"/>
                <w:highlight w:val="none"/>
              </w:rPr>
            </w:pPr>
            <w:r>
              <w:rPr>
                <w:color w:val="auto"/>
                <w:kern w:val="0"/>
                <w:sz w:val="18"/>
                <w:szCs w:val="18"/>
                <w:highlight w:val="none"/>
              </w:rPr>
              <w:t>1000≤Y＜200000</w:t>
            </w:r>
          </w:p>
        </w:tc>
        <w:tc>
          <w:tcPr>
            <w:tcW w:w="1426" w:type="dxa"/>
            <w:noWrap w:val="0"/>
            <w:vAlign w:val="center"/>
          </w:tcPr>
          <w:p w14:paraId="64A029C8">
            <w:pPr>
              <w:widowControl/>
              <w:jc w:val="center"/>
              <w:rPr>
                <w:color w:val="auto"/>
                <w:kern w:val="0"/>
                <w:sz w:val="18"/>
                <w:szCs w:val="18"/>
                <w:highlight w:val="none"/>
              </w:rPr>
            </w:pPr>
            <w:r>
              <w:rPr>
                <w:color w:val="auto"/>
                <w:kern w:val="0"/>
                <w:sz w:val="18"/>
                <w:szCs w:val="18"/>
                <w:highlight w:val="none"/>
              </w:rPr>
              <w:t>100≤Y＜1000</w:t>
            </w:r>
          </w:p>
        </w:tc>
        <w:tc>
          <w:tcPr>
            <w:tcW w:w="992" w:type="dxa"/>
            <w:noWrap w:val="0"/>
            <w:vAlign w:val="center"/>
          </w:tcPr>
          <w:p w14:paraId="5ED00E49">
            <w:pPr>
              <w:widowControl/>
              <w:jc w:val="center"/>
              <w:rPr>
                <w:color w:val="auto"/>
                <w:kern w:val="0"/>
                <w:sz w:val="18"/>
                <w:szCs w:val="18"/>
                <w:highlight w:val="none"/>
              </w:rPr>
            </w:pPr>
            <w:r>
              <w:rPr>
                <w:color w:val="auto"/>
                <w:kern w:val="0"/>
                <w:sz w:val="18"/>
                <w:szCs w:val="18"/>
                <w:highlight w:val="none"/>
              </w:rPr>
              <w:t>Y＜100</w:t>
            </w:r>
          </w:p>
        </w:tc>
      </w:tr>
      <w:tr w14:paraId="48BFF3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0703025E">
            <w:pPr>
              <w:widowControl/>
              <w:jc w:val="left"/>
              <w:rPr>
                <w:color w:val="auto"/>
                <w:kern w:val="0"/>
                <w:sz w:val="18"/>
                <w:szCs w:val="18"/>
                <w:highlight w:val="none"/>
              </w:rPr>
            </w:pPr>
          </w:p>
        </w:tc>
        <w:tc>
          <w:tcPr>
            <w:tcW w:w="1369" w:type="dxa"/>
            <w:noWrap w:val="0"/>
            <w:vAlign w:val="center"/>
          </w:tcPr>
          <w:p w14:paraId="1B50EE69">
            <w:pPr>
              <w:widowControl/>
              <w:spacing w:line="240" w:lineRule="exact"/>
              <w:jc w:val="center"/>
              <w:rPr>
                <w:color w:val="auto"/>
                <w:kern w:val="0"/>
                <w:sz w:val="18"/>
                <w:szCs w:val="18"/>
                <w:highlight w:val="none"/>
              </w:rPr>
            </w:pPr>
            <w:r>
              <w:rPr>
                <w:color w:val="auto"/>
                <w:kern w:val="0"/>
                <w:sz w:val="18"/>
                <w:szCs w:val="18"/>
                <w:highlight w:val="none"/>
              </w:rPr>
              <w:t>资产总额（Z）</w:t>
            </w:r>
          </w:p>
        </w:tc>
        <w:tc>
          <w:tcPr>
            <w:tcW w:w="709" w:type="dxa"/>
            <w:noWrap w:val="0"/>
            <w:vAlign w:val="center"/>
          </w:tcPr>
          <w:p w14:paraId="674E4ABC">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72E91BC5">
            <w:pPr>
              <w:widowControl/>
              <w:jc w:val="center"/>
              <w:rPr>
                <w:color w:val="auto"/>
                <w:kern w:val="0"/>
                <w:sz w:val="18"/>
                <w:szCs w:val="18"/>
                <w:highlight w:val="none"/>
              </w:rPr>
            </w:pPr>
            <w:r>
              <w:rPr>
                <w:color w:val="auto"/>
                <w:kern w:val="0"/>
                <w:sz w:val="18"/>
                <w:szCs w:val="18"/>
                <w:highlight w:val="none"/>
              </w:rPr>
              <w:t>Z≥10000</w:t>
            </w:r>
          </w:p>
        </w:tc>
        <w:tc>
          <w:tcPr>
            <w:tcW w:w="1701" w:type="dxa"/>
            <w:noWrap w:val="0"/>
            <w:vAlign w:val="center"/>
          </w:tcPr>
          <w:p w14:paraId="3CD9B07C">
            <w:pPr>
              <w:widowControl/>
              <w:jc w:val="center"/>
              <w:rPr>
                <w:color w:val="auto"/>
                <w:kern w:val="0"/>
                <w:sz w:val="18"/>
                <w:szCs w:val="18"/>
                <w:highlight w:val="none"/>
              </w:rPr>
            </w:pPr>
            <w:r>
              <w:rPr>
                <w:color w:val="auto"/>
                <w:kern w:val="0"/>
                <w:sz w:val="18"/>
                <w:szCs w:val="18"/>
                <w:highlight w:val="none"/>
              </w:rPr>
              <w:t>5000≤Z＜10000</w:t>
            </w:r>
          </w:p>
        </w:tc>
        <w:tc>
          <w:tcPr>
            <w:tcW w:w="1426" w:type="dxa"/>
            <w:noWrap w:val="0"/>
            <w:vAlign w:val="center"/>
          </w:tcPr>
          <w:p w14:paraId="0F762D41">
            <w:pPr>
              <w:widowControl/>
              <w:jc w:val="center"/>
              <w:rPr>
                <w:color w:val="auto"/>
                <w:kern w:val="0"/>
                <w:sz w:val="18"/>
                <w:szCs w:val="18"/>
                <w:highlight w:val="none"/>
              </w:rPr>
            </w:pPr>
            <w:r>
              <w:rPr>
                <w:color w:val="auto"/>
                <w:kern w:val="0"/>
                <w:sz w:val="18"/>
                <w:szCs w:val="18"/>
                <w:highlight w:val="none"/>
              </w:rPr>
              <w:t>2000≤Z＜5000</w:t>
            </w:r>
          </w:p>
        </w:tc>
        <w:tc>
          <w:tcPr>
            <w:tcW w:w="992" w:type="dxa"/>
            <w:noWrap w:val="0"/>
            <w:vAlign w:val="center"/>
          </w:tcPr>
          <w:p w14:paraId="36D04A90">
            <w:pPr>
              <w:widowControl/>
              <w:jc w:val="center"/>
              <w:rPr>
                <w:color w:val="auto"/>
                <w:kern w:val="0"/>
                <w:sz w:val="18"/>
                <w:szCs w:val="18"/>
                <w:highlight w:val="none"/>
              </w:rPr>
            </w:pPr>
            <w:r>
              <w:rPr>
                <w:color w:val="auto"/>
                <w:kern w:val="0"/>
                <w:sz w:val="18"/>
                <w:szCs w:val="18"/>
                <w:highlight w:val="none"/>
              </w:rPr>
              <w:t>Z＜2000</w:t>
            </w:r>
          </w:p>
        </w:tc>
      </w:tr>
      <w:tr w14:paraId="11E8EB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125F2F3B">
            <w:pPr>
              <w:widowControl/>
              <w:spacing w:line="240" w:lineRule="exact"/>
              <w:jc w:val="left"/>
              <w:rPr>
                <w:color w:val="auto"/>
                <w:kern w:val="0"/>
                <w:sz w:val="18"/>
                <w:szCs w:val="18"/>
                <w:highlight w:val="none"/>
              </w:rPr>
            </w:pPr>
            <w:r>
              <w:rPr>
                <w:color w:val="auto"/>
                <w:kern w:val="0"/>
                <w:sz w:val="18"/>
                <w:szCs w:val="18"/>
                <w:highlight w:val="none"/>
              </w:rPr>
              <w:t>物业管理</w:t>
            </w:r>
          </w:p>
        </w:tc>
        <w:tc>
          <w:tcPr>
            <w:tcW w:w="1369" w:type="dxa"/>
            <w:noWrap w:val="0"/>
            <w:vAlign w:val="center"/>
          </w:tcPr>
          <w:p w14:paraId="30061F01">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6BD9375F">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4C8DAB8A">
            <w:pPr>
              <w:widowControl/>
              <w:jc w:val="center"/>
              <w:rPr>
                <w:color w:val="auto"/>
                <w:kern w:val="0"/>
                <w:sz w:val="18"/>
                <w:szCs w:val="18"/>
                <w:highlight w:val="none"/>
              </w:rPr>
            </w:pPr>
            <w:r>
              <w:rPr>
                <w:color w:val="auto"/>
                <w:kern w:val="0"/>
                <w:sz w:val="18"/>
                <w:szCs w:val="18"/>
                <w:highlight w:val="none"/>
              </w:rPr>
              <w:t>X≥1000</w:t>
            </w:r>
          </w:p>
        </w:tc>
        <w:tc>
          <w:tcPr>
            <w:tcW w:w="1701" w:type="dxa"/>
            <w:noWrap w:val="0"/>
            <w:vAlign w:val="center"/>
          </w:tcPr>
          <w:p w14:paraId="4225C6B9">
            <w:pPr>
              <w:widowControl/>
              <w:jc w:val="center"/>
              <w:rPr>
                <w:color w:val="auto"/>
                <w:kern w:val="0"/>
                <w:sz w:val="18"/>
                <w:szCs w:val="18"/>
                <w:highlight w:val="none"/>
              </w:rPr>
            </w:pPr>
            <w:r>
              <w:rPr>
                <w:color w:val="auto"/>
                <w:kern w:val="0"/>
                <w:sz w:val="18"/>
                <w:szCs w:val="18"/>
                <w:highlight w:val="none"/>
              </w:rPr>
              <w:t>300≤X＜1000</w:t>
            </w:r>
          </w:p>
        </w:tc>
        <w:tc>
          <w:tcPr>
            <w:tcW w:w="1426" w:type="dxa"/>
            <w:noWrap w:val="0"/>
            <w:vAlign w:val="center"/>
          </w:tcPr>
          <w:p w14:paraId="68F0BE5B">
            <w:pPr>
              <w:widowControl/>
              <w:jc w:val="center"/>
              <w:rPr>
                <w:color w:val="auto"/>
                <w:kern w:val="0"/>
                <w:sz w:val="18"/>
                <w:szCs w:val="18"/>
                <w:highlight w:val="none"/>
              </w:rPr>
            </w:pPr>
            <w:r>
              <w:rPr>
                <w:color w:val="auto"/>
                <w:kern w:val="0"/>
                <w:sz w:val="18"/>
                <w:szCs w:val="18"/>
                <w:highlight w:val="none"/>
              </w:rPr>
              <w:t>100≤X＜300</w:t>
            </w:r>
          </w:p>
        </w:tc>
        <w:tc>
          <w:tcPr>
            <w:tcW w:w="992" w:type="dxa"/>
            <w:noWrap w:val="0"/>
            <w:vAlign w:val="center"/>
          </w:tcPr>
          <w:p w14:paraId="61519F45">
            <w:pPr>
              <w:widowControl/>
              <w:jc w:val="center"/>
              <w:rPr>
                <w:color w:val="auto"/>
                <w:kern w:val="0"/>
                <w:sz w:val="18"/>
                <w:szCs w:val="18"/>
                <w:highlight w:val="none"/>
              </w:rPr>
            </w:pPr>
            <w:r>
              <w:rPr>
                <w:color w:val="auto"/>
                <w:kern w:val="0"/>
                <w:sz w:val="18"/>
                <w:szCs w:val="18"/>
                <w:highlight w:val="none"/>
              </w:rPr>
              <w:t>X＜100</w:t>
            </w:r>
          </w:p>
        </w:tc>
      </w:tr>
      <w:tr w14:paraId="308D5B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57307283">
            <w:pPr>
              <w:widowControl/>
              <w:jc w:val="left"/>
              <w:rPr>
                <w:color w:val="auto"/>
                <w:kern w:val="0"/>
                <w:sz w:val="18"/>
                <w:szCs w:val="18"/>
                <w:highlight w:val="none"/>
              </w:rPr>
            </w:pPr>
          </w:p>
        </w:tc>
        <w:tc>
          <w:tcPr>
            <w:tcW w:w="1369" w:type="dxa"/>
            <w:noWrap w:val="0"/>
            <w:vAlign w:val="center"/>
          </w:tcPr>
          <w:p w14:paraId="7E45F431">
            <w:pPr>
              <w:widowControl/>
              <w:spacing w:line="240" w:lineRule="exact"/>
              <w:jc w:val="center"/>
              <w:rPr>
                <w:color w:val="auto"/>
                <w:kern w:val="0"/>
                <w:sz w:val="18"/>
                <w:szCs w:val="18"/>
                <w:highlight w:val="none"/>
              </w:rPr>
            </w:pPr>
            <w:r>
              <w:rPr>
                <w:color w:val="auto"/>
                <w:kern w:val="0"/>
                <w:sz w:val="18"/>
                <w:szCs w:val="18"/>
                <w:highlight w:val="none"/>
              </w:rPr>
              <w:t>营业收入（Y）</w:t>
            </w:r>
          </w:p>
        </w:tc>
        <w:tc>
          <w:tcPr>
            <w:tcW w:w="709" w:type="dxa"/>
            <w:noWrap w:val="0"/>
            <w:vAlign w:val="center"/>
          </w:tcPr>
          <w:p w14:paraId="1B86750D">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3D2CB0B4">
            <w:pPr>
              <w:widowControl/>
              <w:jc w:val="center"/>
              <w:rPr>
                <w:color w:val="auto"/>
                <w:kern w:val="0"/>
                <w:sz w:val="18"/>
                <w:szCs w:val="18"/>
                <w:highlight w:val="none"/>
              </w:rPr>
            </w:pPr>
            <w:r>
              <w:rPr>
                <w:color w:val="auto"/>
                <w:kern w:val="0"/>
                <w:sz w:val="18"/>
                <w:szCs w:val="18"/>
                <w:highlight w:val="none"/>
              </w:rPr>
              <w:t>Y≥5000</w:t>
            </w:r>
          </w:p>
        </w:tc>
        <w:tc>
          <w:tcPr>
            <w:tcW w:w="1701" w:type="dxa"/>
            <w:noWrap w:val="0"/>
            <w:vAlign w:val="center"/>
          </w:tcPr>
          <w:p w14:paraId="110D5444">
            <w:pPr>
              <w:widowControl/>
              <w:ind w:left="-4" w:leftChars="-51" w:hanging="108" w:hangingChars="60"/>
              <w:jc w:val="center"/>
              <w:rPr>
                <w:color w:val="auto"/>
                <w:kern w:val="0"/>
                <w:sz w:val="18"/>
                <w:szCs w:val="18"/>
                <w:highlight w:val="none"/>
              </w:rPr>
            </w:pPr>
            <w:r>
              <w:rPr>
                <w:color w:val="auto"/>
                <w:kern w:val="0"/>
                <w:sz w:val="18"/>
                <w:szCs w:val="18"/>
                <w:highlight w:val="none"/>
              </w:rPr>
              <w:t>1000≤Y＜5000</w:t>
            </w:r>
          </w:p>
        </w:tc>
        <w:tc>
          <w:tcPr>
            <w:tcW w:w="1426" w:type="dxa"/>
            <w:noWrap w:val="0"/>
            <w:vAlign w:val="center"/>
          </w:tcPr>
          <w:p w14:paraId="4F6F7BAD">
            <w:pPr>
              <w:widowControl/>
              <w:jc w:val="center"/>
              <w:rPr>
                <w:color w:val="auto"/>
                <w:kern w:val="0"/>
                <w:sz w:val="18"/>
                <w:szCs w:val="18"/>
                <w:highlight w:val="none"/>
              </w:rPr>
            </w:pPr>
            <w:r>
              <w:rPr>
                <w:color w:val="auto"/>
                <w:kern w:val="0"/>
                <w:sz w:val="18"/>
                <w:szCs w:val="18"/>
                <w:highlight w:val="none"/>
              </w:rPr>
              <w:t>500≤Y＜1000</w:t>
            </w:r>
          </w:p>
        </w:tc>
        <w:tc>
          <w:tcPr>
            <w:tcW w:w="992" w:type="dxa"/>
            <w:noWrap w:val="0"/>
            <w:vAlign w:val="center"/>
          </w:tcPr>
          <w:p w14:paraId="2B95F28D">
            <w:pPr>
              <w:widowControl/>
              <w:jc w:val="center"/>
              <w:rPr>
                <w:color w:val="auto"/>
                <w:kern w:val="0"/>
                <w:sz w:val="18"/>
                <w:szCs w:val="18"/>
                <w:highlight w:val="none"/>
              </w:rPr>
            </w:pPr>
            <w:r>
              <w:rPr>
                <w:color w:val="auto"/>
                <w:kern w:val="0"/>
                <w:sz w:val="18"/>
                <w:szCs w:val="18"/>
                <w:highlight w:val="none"/>
              </w:rPr>
              <w:t>Y＜500</w:t>
            </w:r>
          </w:p>
        </w:tc>
      </w:tr>
      <w:tr w14:paraId="66478A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restart"/>
            <w:noWrap w:val="0"/>
            <w:vAlign w:val="center"/>
          </w:tcPr>
          <w:p w14:paraId="02841A45">
            <w:pPr>
              <w:widowControl/>
              <w:spacing w:line="240" w:lineRule="exact"/>
              <w:jc w:val="left"/>
              <w:rPr>
                <w:color w:val="auto"/>
                <w:kern w:val="0"/>
                <w:sz w:val="18"/>
                <w:szCs w:val="18"/>
                <w:highlight w:val="none"/>
              </w:rPr>
            </w:pPr>
            <w:r>
              <w:rPr>
                <w:color w:val="auto"/>
                <w:kern w:val="0"/>
                <w:sz w:val="18"/>
                <w:szCs w:val="18"/>
                <w:highlight w:val="none"/>
              </w:rPr>
              <w:t>租赁和商务服务业</w:t>
            </w:r>
          </w:p>
        </w:tc>
        <w:tc>
          <w:tcPr>
            <w:tcW w:w="1369" w:type="dxa"/>
            <w:noWrap w:val="0"/>
            <w:vAlign w:val="center"/>
          </w:tcPr>
          <w:p w14:paraId="0E556A05">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4C908254">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19801737">
            <w:pPr>
              <w:widowControl/>
              <w:jc w:val="center"/>
              <w:rPr>
                <w:color w:val="auto"/>
                <w:kern w:val="0"/>
                <w:sz w:val="18"/>
                <w:szCs w:val="18"/>
                <w:highlight w:val="none"/>
              </w:rPr>
            </w:pPr>
            <w:r>
              <w:rPr>
                <w:color w:val="auto"/>
                <w:kern w:val="0"/>
                <w:sz w:val="18"/>
                <w:szCs w:val="18"/>
                <w:highlight w:val="none"/>
              </w:rPr>
              <w:t>X≥300</w:t>
            </w:r>
          </w:p>
        </w:tc>
        <w:tc>
          <w:tcPr>
            <w:tcW w:w="1701" w:type="dxa"/>
            <w:noWrap w:val="0"/>
            <w:vAlign w:val="center"/>
          </w:tcPr>
          <w:p w14:paraId="6CF9CD5E">
            <w:pPr>
              <w:widowControl/>
              <w:ind w:left="-4" w:leftChars="-51" w:hanging="108" w:hangingChars="60"/>
              <w:jc w:val="center"/>
              <w:rPr>
                <w:color w:val="auto"/>
                <w:kern w:val="0"/>
                <w:sz w:val="18"/>
                <w:szCs w:val="18"/>
                <w:highlight w:val="none"/>
              </w:rPr>
            </w:pPr>
            <w:r>
              <w:rPr>
                <w:color w:val="auto"/>
                <w:kern w:val="0"/>
                <w:sz w:val="18"/>
                <w:szCs w:val="18"/>
                <w:highlight w:val="none"/>
              </w:rPr>
              <w:t>100≤X＜300</w:t>
            </w:r>
          </w:p>
        </w:tc>
        <w:tc>
          <w:tcPr>
            <w:tcW w:w="1426" w:type="dxa"/>
            <w:noWrap w:val="0"/>
            <w:vAlign w:val="center"/>
          </w:tcPr>
          <w:p w14:paraId="16C51CB0">
            <w:pPr>
              <w:widowControl/>
              <w:jc w:val="center"/>
              <w:rPr>
                <w:color w:val="auto"/>
                <w:kern w:val="0"/>
                <w:sz w:val="18"/>
                <w:szCs w:val="18"/>
                <w:highlight w:val="none"/>
              </w:rPr>
            </w:pPr>
            <w:r>
              <w:rPr>
                <w:color w:val="auto"/>
                <w:kern w:val="0"/>
                <w:sz w:val="18"/>
                <w:szCs w:val="18"/>
                <w:highlight w:val="none"/>
              </w:rPr>
              <w:t>10≤X＜100</w:t>
            </w:r>
          </w:p>
        </w:tc>
        <w:tc>
          <w:tcPr>
            <w:tcW w:w="992" w:type="dxa"/>
            <w:noWrap w:val="0"/>
            <w:vAlign w:val="center"/>
          </w:tcPr>
          <w:p w14:paraId="186D93FF">
            <w:pPr>
              <w:widowControl/>
              <w:jc w:val="center"/>
              <w:rPr>
                <w:color w:val="auto"/>
                <w:kern w:val="0"/>
                <w:sz w:val="18"/>
                <w:szCs w:val="18"/>
                <w:highlight w:val="none"/>
              </w:rPr>
            </w:pPr>
            <w:r>
              <w:rPr>
                <w:color w:val="auto"/>
                <w:kern w:val="0"/>
                <w:sz w:val="18"/>
                <w:szCs w:val="18"/>
                <w:highlight w:val="none"/>
              </w:rPr>
              <w:t>X＜10</w:t>
            </w:r>
          </w:p>
        </w:tc>
      </w:tr>
      <w:tr w14:paraId="2151E6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exact"/>
          <w:jc w:val="center"/>
        </w:trPr>
        <w:tc>
          <w:tcPr>
            <w:tcW w:w="2113" w:type="dxa"/>
            <w:vMerge w:val="continue"/>
            <w:noWrap w:val="0"/>
            <w:vAlign w:val="center"/>
          </w:tcPr>
          <w:p w14:paraId="2192966D">
            <w:pPr>
              <w:widowControl/>
              <w:jc w:val="left"/>
              <w:rPr>
                <w:color w:val="auto"/>
                <w:kern w:val="0"/>
                <w:sz w:val="18"/>
                <w:szCs w:val="18"/>
                <w:highlight w:val="none"/>
              </w:rPr>
            </w:pPr>
          </w:p>
        </w:tc>
        <w:tc>
          <w:tcPr>
            <w:tcW w:w="1369" w:type="dxa"/>
            <w:noWrap w:val="0"/>
            <w:vAlign w:val="center"/>
          </w:tcPr>
          <w:p w14:paraId="252E1B7B">
            <w:pPr>
              <w:widowControl/>
              <w:spacing w:line="240" w:lineRule="exact"/>
              <w:jc w:val="center"/>
              <w:rPr>
                <w:color w:val="auto"/>
                <w:kern w:val="0"/>
                <w:sz w:val="18"/>
                <w:szCs w:val="18"/>
                <w:highlight w:val="none"/>
              </w:rPr>
            </w:pPr>
            <w:r>
              <w:rPr>
                <w:color w:val="auto"/>
                <w:kern w:val="0"/>
                <w:sz w:val="18"/>
                <w:szCs w:val="18"/>
                <w:highlight w:val="none"/>
              </w:rPr>
              <w:t>资产总额（Z）</w:t>
            </w:r>
          </w:p>
        </w:tc>
        <w:tc>
          <w:tcPr>
            <w:tcW w:w="709" w:type="dxa"/>
            <w:noWrap w:val="0"/>
            <w:vAlign w:val="center"/>
          </w:tcPr>
          <w:p w14:paraId="0125290E">
            <w:pPr>
              <w:widowControl/>
              <w:jc w:val="center"/>
              <w:rPr>
                <w:color w:val="auto"/>
                <w:kern w:val="0"/>
                <w:sz w:val="18"/>
                <w:szCs w:val="18"/>
                <w:highlight w:val="none"/>
              </w:rPr>
            </w:pPr>
            <w:r>
              <w:rPr>
                <w:color w:val="auto"/>
                <w:kern w:val="0"/>
                <w:sz w:val="18"/>
                <w:szCs w:val="18"/>
                <w:highlight w:val="none"/>
              </w:rPr>
              <w:t>万元</w:t>
            </w:r>
          </w:p>
        </w:tc>
        <w:tc>
          <w:tcPr>
            <w:tcW w:w="1125" w:type="dxa"/>
            <w:noWrap w:val="0"/>
            <w:vAlign w:val="center"/>
          </w:tcPr>
          <w:p w14:paraId="0CA321DA">
            <w:pPr>
              <w:widowControl/>
              <w:jc w:val="center"/>
              <w:rPr>
                <w:color w:val="auto"/>
                <w:kern w:val="0"/>
                <w:sz w:val="18"/>
                <w:szCs w:val="18"/>
                <w:highlight w:val="none"/>
              </w:rPr>
            </w:pPr>
            <w:r>
              <w:rPr>
                <w:color w:val="auto"/>
                <w:kern w:val="0"/>
                <w:sz w:val="18"/>
                <w:szCs w:val="18"/>
                <w:highlight w:val="none"/>
              </w:rPr>
              <w:t>Z≥120000</w:t>
            </w:r>
          </w:p>
        </w:tc>
        <w:tc>
          <w:tcPr>
            <w:tcW w:w="1701" w:type="dxa"/>
            <w:noWrap w:val="0"/>
            <w:vAlign w:val="center"/>
          </w:tcPr>
          <w:p w14:paraId="4CAEA6B6">
            <w:pPr>
              <w:widowControl/>
              <w:jc w:val="center"/>
              <w:rPr>
                <w:color w:val="auto"/>
                <w:kern w:val="0"/>
                <w:sz w:val="18"/>
                <w:szCs w:val="18"/>
                <w:highlight w:val="none"/>
              </w:rPr>
            </w:pPr>
            <w:r>
              <w:rPr>
                <w:color w:val="auto"/>
                <w:kern w:val="0"/>
                <w:sz w:val="18"/>
                <w:szCs w:val="18"/>
                <w:highlight w:val="none"/>
              </w:rPr>
              <w:t>8000≤Z＜120000</w:t>
            </w:r>
          </w:p>
        </w:tc>
        <w:tc>
          <w:tcPr>
            <w:tcW w:w="1426" w:type="dxa"/>
            <w:noWrap w:val="0"/>
            <w:vAlign w:val="center"/>
          </w:tcPr>
          <w:p w14:paraId="73146479">
            <w:pPr>
              <w:widowControl/>
              <w:jc w:val="center"/>
              <w:rPr>
                <w:color w:val="auto"/>
                <w:kern w:val="0"/>
                <w:sz w:val="18"/>
                <w:szCs w:val="18"/>
                <w:highlight w:val="none"/>
              </w:rPr>
            </w:pPr>
            <w:r>
              <w:rPr>
                <w:color w:val="auto"/>
                <w:kern w:val="0"/>
                <w:sz w:val="18"/>
                <w:szCs w:val="18"/>
                <w:highlight w:val="none"/>
              </w:rPr>
              <w:t>100≤Z＜8000</w:t>
            </w:r>
          </w:p>
        </w:tc>
        <w:tc>
          <w:tcPr>
            <w:tcW w:w="992" w:type="dxa"/>
            <w:noWrap w:val="0"/>
            <w:vAlign w:val="center"/>
          </w:tcPr>
          <w:p w14:paraId="0280A9A2">
            <w:pPr>
              <w:widowControl/>
              <w:jc w:val="center"/>
              <w:rPr>
                <w:color w:val="auto"/>
                <w:kern w:val="0"/>
                <w:sz w:val="18"/>
                <w:szCs w:val="18"/>
                <w:highlight w:val="none"/>
              </w:rPr>
            </w:pPr>
            <w:r>
              <w:rPr>
                <w:color w:val="auto"/>
                <w:kern w:val="0"/>
                <w:sz w:val="18"/>
                <w:szCs w:val="18"/>
                <w:highlight w:val="none"/>
              </w:rPr>
              <w:t>Z＜100</w:t>
            </w:r>
          </w:p>
        </w:tc>
      </w:tr>
      <w:tr w14:paraId="303D9F5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7" w:hRule="exact"/>
          <w:jc w:val="center"/>
        </w:trPr>
        <w:tc>
          <w:tcPr>
            <w:tcW w:w="2113" w:type="dxa"/>
            <w:noWrap w:val="0"/>
            <w:vAlign w:val="center"/>
          </w:tcPr>
          <w:p w14:paraId="57D51EAC">
            <w:pPr>
              <w:widowControl/>
              <w:spacing w:line="240" w:lineRule="exact"/>
              <w:jc w:val="left"/>
              <w:rPr>
                <w:color w:val="auto"/>
                <w:kern w:val="0"/>
                <w:sz w:val="18"/>
                <w:szCs w:val="18"/>
                <w:highlight w:val="none"/>
              </w:rPr>
            </w:pPr>
            <w:r>
              <w:rPr>
                <w:color w:val="auto"/>
                <w:kern w:val="0"/>
                <w:sz w:val="18"/>
                <w:szCs w:val="18"/>
                <w:highlight w:val="none"/>
              </w:rPr>
              <w:t>其他未列明行业 *</w:t>
            </w:r>
          </w:p>
        </w:tc>
        <w:tc>
          <w:tcPr>
            <w:tcW w:w="1369" w:type="dxa"/>
            <w:noWrap w:val="0"/>
            <w:vAlign w:val="center"/>
          </w:tcPr>
          <w:p w14:paraId="24359A4C">
            <w:pPr>
              <w:widowControl/>
              <w:jc w:val="center"/>
              <w:rPr>
                <w:color w:val="auto"/>
                <w:kern w:val="0"/>
                <w:sz w:val="18"/>
                <w:szCs w:val="18"/>
                <w:highlight w:val="none"/>
              </w:rPr>
            </w:pPr>
            <w:r>
              <w:rPr>
                <w:color w:val="auto"/>
                <w:kern w:val="0"/>
                <w:sz w:val="18"/>
                <w:szCs w:val="18"/>
                <w:highlight w:val="none"/>
              </w:rPr>
              <w:t>从业人员（X）</w:t>
            </w:r>
          </w:p>
        </w:tc>
        <w:tc>
          <w:tcPr>
            <w:tcW w:w="709" w:type="dxa"/>
            <w:noWrap w:val="0"/>
            <w:vAlign w:val="center"/>
          </w:tcPr>
          <w:p w14:paraId="0B767109">
            <w:pPr>
              <w:widowControl/>
              <w:jc w:val="center"/>
              <w:rPr>
                <w:color w:val="auto"/>
                <w:kern w:val="0"/>
                <w:sz w:val="18"/>
                <w:szCs w:val="18"/>
                <w:highlight w:val="none"/>
              </w:rPr>
            </w:pPr>
            <w:r>
              <w:rPr>
                <w:color w:val="auto"/>
                <w:kern w:val="0"/>
                <w:sz w:val="18"/>
                <w:szCs w:val="18"/>
                <w:highlight w:val="none"/>
              </w:rPr>
              <w:t>人</w:t>
            </w:r>
          </w:p>
        </w:tc>
        <w:tc>
          <w:tcPr>
            <w:tcW w:w="1125" w:type="dxa"/>
            <w:noWrap w:val="0"/>
            <w:vAlign w:val="center"/>
          </w:tcPr>
          <w:p w14:paraId="776D2E2F">
            <w:pPr>
              <w:widowControl/>
              <w:jc w:val="center"/>
              <w:rPr>
                <w:color w:val="auto"/>
                <w:kern w:val="0"/>
                <w:sz w:val="18"/>
                <w:szCs w:val="18"/>
                <w:highlight w:val="none"/>
              </w:rPr>
            </w:pPr>
            <w:r>
              <w:rPr>
                <w:color w:val="auto"/>
                <w:kern w:val="0"/>
                <w:sz w:val="18"/>
                <w:szCs w:val="18"/>
                <w:highlight w:val="none"/>
              </w:rPr>
              <w:t>X≥300</w:t>
            </w:r>
          </w:p>
        </w:tc>
        <w:tc>
          <w:tcPr>
            <w:tcW w:w="1701" w:type="dxa"/>
            <w:noWrap w:val="0"/>
            <w:vAlign w:val="center"/>
          </w:tcPr>
          <w:p w14:paraId="4D3781C1">
            <w:pPr>
              <w:widowControl/>
              <w:ind w:left="-4" w:leftChars="-51" w:hanging="108" w:hangingChars="60"/>
              <w:jc w:val="center"/>
              <w:rPr>
                <w:color w:val="auto"/>
                <w:kern w:val="0"/>
                <w:sz w:val="18"/>
                <w:szCs w:val="18"/>
                <w:highlight w:val="none"/>
              </w:rPr>
            </w:pPr>
            <w:r>
              <w:rPr>
                <w:color w:val="auto"/>
                <w:kern w:val="0"/>
                <w:sz w:val="18"/>
                <w:szCs w:val="18"/>
                <w:highlight w:val="none"/>
              </w:rPr>
              <w:t>100≤X＜300</w:t>
            </w:r>
          </w:p>
        </w:tc>
        <w:tc>
          <w:tcPr>
            <w:tcW w:w="1426" w:type="dxa"/>
            <w:noWrap w:val="0"/>
            <w:vAlign w:val="center"/>
          </w:tcPr>
          <w:p w14:paraId="10643464">
            <w:pPr>
              <w:widowControl/>
              <w:jc w:val="center"/>
              <w:rPr>
                <w:color w:val="auto"/>
                <w:kern w:val="0"/>
                <w:sz w:val="18"/>
                <w:szCs w:val="18"/>
                <w:highlight w:val="none"/>
              </w:rPr>
            </w:pPr>
            <w:r>
              <w:rPr>
                <w:color w:val="auto"/>
                <w:kern w:val="0"/>
                <w:sz w:val="18"/>
                <w:szCs w:val="18"/>
                <w:highlight w:val="none"/>
              </w:rPr>
              <w:t>10≤X＜100</w:t>
            </w:r>
          </w:p>
        </w:tc>
        <w:tc>
          <w:tcPr>
            <w:tcW w:w="992" w:type="dxa"/>
            <w:noWrap w:val="0"/>
            <w:vAlign w:val="center"/>
          </w:tcPr>
          <w:p w14:paraId="4BB372FA">
            <w:pPr>
              <w:widowControl/>
              <w:jc w:val="center"/>
              <w:rPr>
                <w:color w:val="auto"/>
                <w:kern w:val="0"/>
                <w:sz w:val="18"/>
                <w:szCs w:val="18"/>
                <w:highlight w:val="none"/>
              </w:rPr>
            </w:pPr>
            <w:r>
              <w:rPr>
                <w:color w:val="auto"/>
                <w:kern w:val="0"/>
                <w:sz w:val="18"/>
                <w:szCs w:val="18"/>
                <w:highlight w:val="none"/>
              </w:rPr>
              <w:t>X＜10</w:t>
            </w:r>
          </w:p>
        </w:tc>
      </w:tr>
    </w:tbl>
    <w:p w14:paraId="500006A5">
      <w:pPr>
        <w:pStyle w:val="9"/>
        <w:adjustRightInd w:val="0"/>
        <w:spacing w:line="380" w:lineRule="exact"/>
        <w:ind w:firstLine="452" w:firstLineChars="200"/>
        <w:contextualSpacing/>
        <w:rPr>
          <w:rFonts w:hint="eastAsia" w:hAnsi="宋体" w:cs="宋体"/>
          <w:color w:val="auto"/>
          <w:spacing w:val="8"/>
          <w:szCs w:val="21"/>
          <w:highlight w:val="none"/>
        </w:rPr>
      </w:pPr>
      <w:r>
        <w:rPr>
          <w:rFonts w:hint="eastAsia" w:hAnsi="宋体" w:cs="宋体"/>
          <w:color w:val="auto"/>
          <w:spacing w:val="8"/>
          <w:szCs w:val="21"/>
          <w:highlight w:val="none"/>
        </w:rPr>
        <w:t>1.大型、中型和小型企业须同时满足所列指标的下限，否则下划一档；微型企业只须满足所列指标中的一项即可。</w:t>
      </w:r>
    </w:p>
    <w:p w14:paraId="17F0400E">
      <w:pPr>
        <w:pStyle w:val="9"/>
        <w:adjustRightInd w:val="0"/>
        <w:spacing w:line="380" w:lineRule="exact"/>
        <w:ind w:firstLine="452" w:firstLineChars="200"/>
        <w:contextualSpacing/>
        <w:rPr>
          <w:rFonts w:hint="eastAsia" w:hAnsi="宋体" w:cs="宋体"/>
          <w:color w:val="auto"/>
          <w:spacing w:val="8"/>
          <w:szCs w:val="21"/>
          <w:highlight w:val="none"/>
        </w:rPr>
      </w:pPr>
      <w:r>
        <w:rPr>
          <w:rFonts w:hint="eastAsia" w:hAnsi="宋体" w:cs="宋体"/>
          <w:color w:val="auto"/>
          <w:spacing w:val="8"/>
          <w:szCs w:val="21"/>
          <w:highlight w:val="none"/>
        </w:rPr>
        <w:t>2.附表中各行业的范围以《国民经济行业分类》（GB/T4754-2017）为准。带*的项为行业组合类别，其中，工业包括采矿业，制造业，电力、热力、燃气及水生产和供应业；交通运输业包括道路运输业，水上运输业，航空运输业，管道运输业，多式联运和运输代理业、装卸搬运，不包括铁路运输业；仓储业包括通用仓储，低温仓储，危险品仓储，谷物、棉花等农产品仓储，中药材仓储和其他仓储业;信息传输业包括电信、广播电视和卫星传输服务，互联网和相关服务；其他未列明行业包括科学研究和技术服务业，水利、环境和公共设施管理业，居民服务、修理和其他服务业，社会工作，文化、体育和娱乐业，以及房地产中介服务，其他房地产业等，不包括自有房地产经营活动。</w:t>
      </w:r>
    </w:p>
    <w:p w14:paraId="01B0969D">
      <w:pPr>
        <w:pStyle w:val="9"/>
        <w:spacing w:line="380" w:lineRule="exact"/>
        <w:ind w:firstLine="452" w:firstLineChars="200"/>
        <w:rPr>
          <w:rFonts w:hAnsi="宋体"/>
          <w:color w:val="auto"/>
          <w:szCs w:val="21"/>
          <w:highlight w:val="none"/>
        </w:rPr>
      </w:pPr>
      <w:r>
        <w:rPr>
          <w:rFonts w:hint="eastAsia" w:hAnsi="宋体"/>
          <w:color w:val="auto"/>
          <w:spacing w:val="8"/>
          <w:szCs w:val="21"/>
          <w:highlight w:val="none"/>
        </w:rPr>
        <w:t>3.</w:t>
      </w:r>
      <w:r>
        <w:rPr>
          <w:rFonts w:hint="eastAsia" w:hAnsi="宋体" w:cs="宋体"/>
          <w:color w:val="auto"/>
          <w:spacing w:val="8"/>
          <w:szCs w:val="21"/>
          <w:highlight w:val="none"/>
        </w:rPr>
        <w:t>企业划分指标以现行统计制度为准。（</w:t>
      </w:r>
      <w:r>
        <w:rPr>
          <w:rFonts w:hint="eastAsia" w:hAnsi="宋体"/>
          <w:color w:val="auto"/>
          <w:spacing w:val="8"/>
          <w:szCs w:val="21"/>
          <w:highlight w:val="none"/>
        </w:rPr>
        <w:t>1</w:t>
      </w:r>
      <w:r>
        <w:rPr>
          <w:rFonts w:hint="eastAsia" w:hAnsi="宋体" w:cs="宋体"/>
          <w:color w:val="auto"/>
          <w:spacing w:val="8"/>
          <w:szCs w:val="21"/>
          <w:highlight w:val="none"/>
        </w:rPr>
        <w:t>）从业人员，是指期末从业人员数，没有期末从业人员数的，采用全年平均人员数代替。（</w:t>
      </w:r>
      <w:r>
        <w:rPr>
          <w:rFonts w:hint="eastAsia" w:hAnsi="宋体"/>
          <w:color w:val="auto"/>
          <w:spacing w:val="8"/>
          <w:szCs w:val="21"/>
          <w:highlight w:val="none"/>
        </w:rPr>
        <w:t>2</w:t>
      </w:r>
      <w:r>
        <w:rPr>
          <w:rFonts w:hint="eastAsia" w:hAnsi="宋体" w:cs="宋体"/>
          <w:color w:val="auto"/>
          <w:spacing w:val="8"/>
          <w:szCs w:val="21"/>
          <w:highlight w:val="none"/>
        </w:rPr>
        <w:t>）营业收入，工业、建筑业、限额以上批发和零售业、限额以上住宿和餐饮业以及其他设置主营业务收入指标的行业，采用主营业务收入；限额以下批发与零售业企业采用商品销售额代替；限额以下住宿与餐饮业企业采用营业额代替；农、林、牧、渔业企业采用营业总收入代替；其他未设置主营业务收入的行业，采用营业收入指标。（</w:t>
      </w:r>
      <w:r>
        <w:rPr>
          <w:rFonts w:hint="eastAsia" w:hAnsi="宋体"/>
          <w:color w:val="auto"/>
          <w:spacing w:val="8"/>
          <w:szCs w:val="21"/>
          <w:highlight w:val="none"/>
        </w:rPr>
        <w:t>3</w:t>
      </w:r>
      <w:r>
        <w:rPr>
          <w:rFonts w:hint="eastAsia" w:hAnsi="宋体" w:cs="宋体"/>
          <w:color w:val="auto"/>
          <w:spacing w:val="8"/>
          <w:szCs w:val="21"/>
          <w:highlight w:val="none"/>
        </w:rPr>
        <w:t>）资产总额，采用资产总计代替。</w:t>
      </w:r>
    </w:p>
    <w:p w14:paraId="7940BC81">
      <w:pPr>
        <w:pStyle w:val="9"/>
        <w:spacing w:line="500" w:lineRule="exact"/>
        <w:rPr>
          <w:rFonts w:hint="eastAsia" w:hAnsi="宋体"/>
          <w:b/>
          <w:color w:val="auto"/>
          <w:sz w:val="28"/>
          <w:szCs w:val="28"/>
          <w:highlight w:val="none"/>
        </w:rPr>
      </w:pPr>
    </w:p>
    <w:p w14:paraId="59D31A52">
      <w:pPr>
        <w:pStyle w:val="3"/>
        <w:rPr>
          <w:rFonts w:hint="eastAsia"/>
          <w:lang w:val="en-US" w:eastAsia="zh-CN"/>
        </w:rPr>
      </w:pPr>
    </w:p>
    <w:p w14:paraId="28734AE4">
      <w:pPr>
        <w:rPr>
          <w:rFonts w:hint="eastAsia" w:ascii="宋体" w:hAnsi="宋体" w:eastAsia="宋体" w:cs="宋体"/>
          <w:b/>
          <w:color w:val="auto"/>
          <w:sz w:val="32"/>
          <w:szCs w:val="32"/>
          <w:highlight w:val="none"/>
          <w:lang w:val="en-US" w:eastAsia="zh-CN"/>
        </w:rPr>
      </w:pPr>
      <w:r>
        <w:rPr>
          <w:rFonts w:hint="eastAsia" w:ascii="宋体" w:hAnsi="宋体" w:eastAsia="宋体" w:cs="宋体"/>
          <w:b/>
          <w:color w:val="auto"/>
          <w:sz w:val="32"/>
          <w:szCs w:val="32"/>
          <w:highlight w:val="none"/>
          <w:lang w:val="en-US" w:eastAsia="zh-CN"/>
        </w:rPr>
        <w:br w:type="page"/>
      </w:r>
    </w:p>
    <w:p w14:paraId="32D236B0">
      <w:pPr>
        <w:pStyle w:val="9"/>
        <w:spacing w:line="400" w:lineRule="exact"/>
        <w:ind w:firstLine="482" w:firstLineChars="150"/>
        <w:rPr>
          <w:rFonts w:hint="eastAsia" w:ascii="宋体" w:hAnsi="宋体" w:eastAsia="宋体" w:cs="宋体"/>
          <w:b/>
          <w:color w:val="auto"/>
          <w:sz w:val="32"/>
          <w:szCs w:val="32"/>
          <w:highlight w:val="none"/>
          <w:lang w:val="en-US" w:eastAsia="zh-CN"/>
        </w:rPr>
      </w:pPr>
      <w:r>
        <w:rPr>
          <w:rFonts w:hint="eastAsia" w:ascii="宋体" w:hAnsi="宋体" w:eastAsia="宋体" w:cs="宋体"/>
          <w:b/>
          <w:color w:val="auto"/>
          <w:sz w:val="32"/>
          <w:szCs w:val="32"/>
          <w:highlight w:val="none"/>
          <w:lang w:val="en-US" w:eastAsia="zh-CN"/>
        </w:rPr>
        <w:t>②监狱企业的证明文件【属于监狱企业的，以提供由省级以上监狱管理局、戒毒管理局（含新疆生产建设兵团）出具的属于监狱企业的证明文件为准, 否则不予享受优惠政策】；</w:t>
      </w:r>
    </w:p>
    <w:p w14:paraId="43F68D38">
      <w:pPr>
        <w:pStyle w:val="3"/>
        <w:rPr>
          <w:rFonts w:hint="eastAsia"/>
          <w:lang w:val="en-US" w:eastAsia="zh-CN"/>
        </w:rPr>
      </w:pPr>
    </w:p>
    <w:p w14:paraId="7C365981">
      <w:pPr>
        <w:pStyle w:val="9"/>
        <w:spacing w:line="400" w:lineRule="exact"/>
        <w:ind w:firstLine="482" w:firstLineChars="150"/>
        <w:rPr>
          <w:rFonts w:hint="eastAsia" w:ascii="宋体" w:hAnsi="宋体" w:eastAsia="宋体" w:cs="宋体"/>
          <w:b/>
          <w:color w:val="auto"/>
          <w:sz w:val="32"/>
          <w:szCs w:val="32"/>
          <w:highlight w:val="none"/>
          <w:lang w:val="en-US" w:eastAsia="zh-CN"/>
        </w:rPr>
      </w:pPr>
      <w:r>
        <w:rPr>
          <w:rFonts w:hint="eastAsia" w:ascii="宋体" w:hAnsi="宋体" w:eastAsia="宋体" w:cs="宋体"/>
          <w:b/>
          <w:color w:val="auto"/>
          <w:sz w:val="32"/>
          <w:szCs w:val="32"/>
          <w:highlight w:val="none"/>
          <w:lang w:val="en-US" w:eastAsia="zh-CN"/>
        </w:rPr>
        <w:t>③残疾人福利性单位声明函（如投标人为残疾人福利性单位的，采购人或者其委托的采购代理机构应当随中标、成交结果同时公告企业《残疾人福利性单位声明函》，接受社会监督）。</w:t>
      </w:r>
    </w:p>
    <w:p w14:paraId="28843B4C">
      <w:pPr>
        <w:pStyle w:val="9"/>
        <w:spacing w:line="400" w:lineRule="exact"/>
        <w:ind w:firstLine="482" w:firstLineChars="150"/>
        <w:rPr>
          <w:rFonts w:hint="eastAsia" w:ascii="宋体" w:hAnsi="宋体" w:eastAsia="宋体" w:cs="宋体"/>
          <w:b/>
          <w:color w:val="auto"/>
          <w:sz w:val="32"/>
          <w:szCs w:val="32"/>
          <w:highlight w:val="none"/>
          <w:lang w:val="en-US" w:eastAsia="zh-CN"/>
        </w:rPr>
      </w:pPr>
    </w:p>
    <w:p w14:paraId="112393B7">
      <w:pPr>
        <w:pStyle w:val="9"/>
        <w:spacing w:line="400" w:lineRule="exact"/>
        <w:ind w:firstLine="470" w:firstLineChars="150"/>
        <w:rPr>
          <w:rFonts w:hint="eastAsia" w:asciiTheme="majorEastAsia" w:hAnsiTheme="majorEastAsia" w:eastAsiaTheme="majorEastAsia" w:cstheme="majorEastAsia"/>
          <w:b/>
          <w:color w:val="auto"/>
          <w:spacing w:val="6"/>
          <w:sz w:val="30"/>
          <w:szCs w:val="30"/>
          <w:highlight w:val="none"/>
        </w:rPr>
      </w:pPr>
      <w:r>
        <w:rPr>
          <w:rFonts w:hint="eastAsia" w:asciiTheme="majorEastAsia" w:hAnsiTheme="majorEastAsia" w:eastAsiaTheme="majorEastAsia" w:cstheme="majorEastAsia"/>
          <w:b/>
          <w:color w:val="auto"/>
          <w:spacing w:val="6"/>
          <w:sz w:val="30"/>
          <w:szCs w:val="30"/>
          <w:highlight w:val="none"/>
        </w:rPr>
        <w:t>附件</w:t>
      </w:r>
    </w:p>
    <w:p w14:paraId="79E15235">
      <w:pPr>
        <w:spacing w:line="588" w:lineRule="exact"/>
        <w:jc w:val="center"/>
        <w:rPr>
          <w:rFonts w:hint="eastAsia" w:asciiTheme="majorEastAsia" w:hAnsiTheme="majorEastAsia" w:eastAsiaTheme="majorEastAsia" w:cstheme="majorEastAsia"/>
          <w:b/>
          <w:color w:val="auto"/>
          <w:spacing w:val="6"/>
          <w:sz w:val="32"/>
          <w:szCs w:val="32"/>
          <w:highlight w:val="none"/>
        </w:rPr>
      </w:pPr>
      <w:r>
        <w:rPr>
          <w:rFonts w:hint="eastAsia" w:asciiTheme="majorEastAsia" w:hAnsiTheme="majorEastAsia" w:eastAsiaTheme="majorEastAsia" w:cstheme="majorEastAsia"/>
          <w:b/>
          <w:color w:val="auto"/>
          <w:spacing w:val="6"/>
          <w:sz w:val="32"/>
          <w:szCs w:val="32"/>
          <w:highlight w:val="none"/>
        </w:rPr>
        <w:t>残疾人福利性单位声明函</w:t>
      </w:r>
    </w:p>
    <w:p w14:paraId="002E22D7">
      <w:pPr>
        <w:spacing w:line="588" w:lineRule="exact"/>
        <w:ind w:firstLine="464" w:firstLineChars="200"/>
        <w:rPr>
          <w:rFonts w:hint="eastAsia" w:asciiTheme="majorEastAsia" w:hAnsiTheme="majorEastAsia" w:eastAsiaTheme="majorEastAsia" w:cstheme="majorEastAsia"/>
          <w:color w:val="auto"/>
          <w:spacing w:val="6"/>
          <w:szCs w:val="21"/>
          <w:highlight w:val="none"/>
        </w:rPr>
      </w:pPr>
      <w:r>
        <w:rPr>
          <w:rFonts w:hint="eastAsia" w:asciiTheme="majorEastAsia" w:hAnsiTheme="majorEastAsia" w:eastAsiaTheme="majorEastAsia" w:cstheme="majorEastAsia"/>
          <w:color w:val="auto"/>
          <w:spacing w:val="6"/>
          <w:szCs w:val="21"/>
          <w:highlight w:val="none"/>
        </w:rPr>
        <w:t>本单位郑重声明，根据《财政部 民政部 中国残疾人联合会关于促进残疾人就业政府采购政策的通知》（财库</w:t>
      </w:r>
      <w:r>
        <w:rPr>
          <w:rFonts w:hint="eastAsia" w:asciiTheme="majorEastAsia" w:hAnsiTheme="majorEastAsia" w:eastAsiaTheme="majorEastAsia" w:cstheme="majorEastAsia"/>
          <w:color w:val="auto"/>
          <w:szCs w:val="21"/>
          <w:highlight w:val="none"/>
        </w:rPr>
        <w:t>〔2017〕 141</w:t>
      </w:r>
      <w:r>
        <w:rPr>
          <w:rFonts w:hint="eastAsia" w:asciiTheme="majorEastAsia" w:hAnsiTheme="majorEastAsia" w:eastAsiaTheme="majorEastAsia" w:cstheme="majorEastAsia"/>
          <w:color w:val="auto"/>
          <w:spacing w:val="6"/>
          <w:szCs w:val="21"/>
          <w:highlight w:val="none"/>
        </w:rPr>
        <w:t>号）的规定，本单位为符合条件的残疾人福利性单位，且本单位参加______单位的______项目采购活动提供本单位制造的货物（由本单位承担工程/提供服务），或者提供其他残疾人福利性单位制造的货物（不包括使用非残疾人福利性单位注册商标的货物）。</w:t>
      </w:r>
    </w:p>
    <w:p w14:paraId="32E79008">
      <w:pPr>
        <w:spacing w:line="588" w:lineRule="exact"/>
        <w:ind w:firstLine="464" w:firstLineChars="200"/>
        <w:rPr>
          <w:rFonts w:hint="eastAsia" w:asciiTheme="majorEastAsia" w:hAnsiTheme="majorEastAsia" w:eastAsiaTheme="majorEastAsia" w:cstheme="majorEastAsia"/>
          <w:color w:val="auto"/>
          <w:spacing w:val="6"/>
          <w:szCs w:val="21"/>
          <w:highlight w:val="none"/>
        </w:rPr>
      </w:pPr>
      <w:r>
        <w:rPr>
          <w:rFonts w:hint="eastAsia" w:asciiTheme="majorEastAsia" w:hAnsiTheme="majorEastAsia" w:eastAsiaTheme="majorEastAsia" w:cstheme="majorEastAsia"/>
          <w:color w:val="auto"/>
          <w:spacing w:val="6"/>
          <w:szCs w:val="21"/>
          <w:highlight w:val="none"/>
        </w:rPr>
        <w:t>本单位对上述声明的真实性负责。如有虚假，将依法承担相应责任。</w:t>
      </w:r>
    </w:p>
    <w:p w14:paraId="6CD6EC37">
      <w:pPr>
        <w:tabs>
          <w:tab w:val="left" w:pos="4860"/>
        </w:tabs>
        <w:spacing w:line="588" w:lineRule="exact"/>
        <w:ind w:right="1560" w:firstLine="464" w:firstLineChars="200"/>
        <w:jc w:val="right"/>
        <w:rPr>
          <w:rFonts w:hint="eastAsia" w:asciiTheme="majorEastAsia" w:hAnsiTheme="majorEastAsia" w:eastAsiaTheme="majorEastAsia" w:cstheme="majorEastAsia"/>
          <w:color w:val="auto"/>
          <w:spacing w:val="6"/>
          <w:szCs w:val="21"/>
          <w:highlight w:val="none"/>
        </w:rPr>
      </w:pPr>
      <w:r>
        <w:rPr>
          <w:rFonts w:hint="eastAsia" w:asciiTheme="majorEastAsia" w:hAnsiTheme="majorEastAsia" w:eastAsiaTheme="majorEastAsia" w:cstheme="majorEastAsia"/>
          <w:color w:val="auto"/>
          <w:spacing w:val="6"/>
          <w:szCs w:val="21"/>
          <w:highlight w:val="none"/>
        </w:rPr>
        <w:t>单位名称【盖公章（CA签章）】：</w:t>
      </w:r>
    </w:p>
    <w:p w14:paraId="0E90A75F">
      <w:pPr>
        <w:tabs>
          <w:tab w:val="left" w:pos="4860"/>
        </w:tabs>
        <w:spacing w:line="588" w:lineRule="exact"/>
        <w:ind w:right="1560" w:firstLine="464" w:firstLineChars="200"/>
        <w:jc w:val="center"/>
        <w:rPr>
          <w:rFonts w:hint="eastAsia" w:asciiTheme="majorEastAsia" w:hAnsiTheme="majorEastAsia" w:eastAsiaTheme="majorEastAsia" w:cstheme="majorEastAsia"/>
          <w:color w:val="auto"/>
          <w:spacing w:val="6"/>
          <w:szCs w:val="21"/>
          <w:highlight w:val="none"/>
        </w:rPr>
      </w:pPr>
      <w:r>
        <w:rPr>
          <w:rFonts w:hint="eastAsia" w:asciiTheme="majorEastAsia" w:hAnsiTheme="majorEastAsia" w:eastAsiaTheme="majorEastAsia" w:cstheme="majorEastAsia"/>
          <w:color w:val="auto"/>
          <w:spacing w:val="6"/>
          <w:szCs w:val="21"/>
          <w:highlight w:val="none"/>
          <w:lang w:val="en-US" w:eastAsia="zh-CN"/>
        </w:rPr>
        <w:t xml:space="preserve">              </w:t>
      </w:r>
      <w:r>
        <w:rPr>
          <w:rFonts w:hint="eastAsia" w:asciiTheme="majorEastAsia" w:hAnsiTheme="majorEastAsia" w:eastAsiaTheme="majorEastAsia" w:cstheme="majorEastAsia"/>
          <w:color w:val="auto"/>
          <w:spacing w:val="6"/>
          <w:szCs w:val="21"/>
          <w:highlight w:val="none"/>
        </w:rPr>
        <w:t>日  期：</w:t>
      </w:r>
    </w:p>
    <w:p w14:paraId="3C3BA710">
      <w:pPr>
        <w:rPr>
          <w:rFonts w:hint="eastAsia" w:ascii="宋体" w:hAnsi="宋体" w:eastAsia="宋体" w:cs="宋体"/>
          <w:b/>
          <w:bCs/>
          <w:color w:val="auto"/>
          <w:sz w:val="32"/>
          <w:szCs w:val="20"/>
          <w:highlight w:val="none"/>
          <w:lang w:val="en-US" w:eastAsia="zh-CN"/>
        </w:rPr>
      </w:pPr>
    </w:p>
    <w:p w14:paraId="5FA6A9D9">
      <w:pPr>
        <w:rPr>
          <w:rFonts w:hint="eastAsia" w:ascii="宋体" w:hAnsi="宋体" w:eastAsia="宋体" w:cs="宋体"/>
          <w:b/>
          <w:bCs/>
          <w:color w:val="auto"/>
          <w:sz w:val="30"/>
          <w:szCs w:val="30"/>
          <w:highlight w:val="none"/>
        </w:rPr>
      </w:pPr>
      <w:r>
        <w:rPr>
          <w:rFonts w:hint="eastAsia" w:ascii="宋体" w:hAnsi="宋体" w:eastAsia="宋体" w:cs="宋体"/>
          <w:b/>
          <w:bCs/>
          <w:color w:val="auto"/>
          <w:sz w:val="30"/>
          <w:szCs w:val="30"/>
          <w:highlight w:val="none"/>
        </w:rPr>
        <w:br w:type="page"/>
      </w:r>
    </w:p>
    <w:p w14:paraId="7DD5B7D1">
      <w:pPr>
        <w:rPr>
          <w:rFonts w:hint="eastAsia" w:ascii="宋体" w:hAnsi="宋体" w:eastAsia="宋体" w:cs="宋体"/>
          <w:b/>
          <w:bCs/>
          <w:color w:val="auto"/>
          <w:sz w:val="30"/>
          <w:szCs w:val="30"/>
          <w:highlight w:val="none"/>
        </w:rPr>
      </w:pPr>
      <w:r>
        <w:rPr>
          <w:rFonts w:hint="eastAsia" w:ascii="宋体" w:hAnsi="宋体" w:eastAsia="宋体" w:cs="宋体"/>
          <w:b/>
          <w:bCs/>
          <w:color w:val="auto"/>
          <w:sz w:val="30"/>
          <w:szCs w:val="30"/>
          <w:highlight w:val="none"/>
        </w:rPr>
        <w:t>投标文件封面格式：</w:t>
      </w:r>
    </w:p>
    <w:p w14:paraId="21A58511">
      <w:pPr>
        <w:adjustRightInd w:val="0"/>
        <w:snapToGrid w:val="0"/>
        <w:rPr>
          <w:rFonts w:hint="eastAsia" w:ascii="宋体" w:hAnsi="宋体" w:eastAsia="宋体" w:cs="宋体"/>
          <w:b/>
          <w:color w:val="auto"/>
          <w:sz w:val="44"/>
          <w:szCs w:val="44"/>
          <w:highlight w:val="none"/>
        </w:rPr>
      </w:pPr>
    </w:p>
    <w:p w14:paraId="5F0C439E">
      <w:pPr>
        <w:rPr>
          <w:rFonts w:hint="eastAsia" w:ascii="宋体" w:hAnsi="宋体" w:eastAsia="宋体" w:cs="宋体"/>
          <w:color w:val="auto"/>
          <w:highlight w:val="none"/>
        </w:rPr>
      </w:pPr>
    </w:p>
    <w:p w14:paraId="648A5019">
      <w:pPr>
        <w:adjustRightInd w:val="0"/>
        <w:snapToGrid w:val="0"/>
        <w:jc w:val="center"/>
        <w:rPr>
          <w:rFonts w:hint="eastAsia" w:ascii="宋体" w:hAnsi="宋体" w:eastAsia="宋体" w:cs="宋体"/>
          <w:b/>
          <w:color w:val="auto"/>
          <w:sz w:val="44"/>
          <w:szCs w:val="44"/>
          <w:highlight w:val="none"/>
        </w:rPr>
      </w:pPr>
      <w:r>
        <w:rPr>
          <w:rFonts w:hint="eastAsia" w:ascii="宋体" w:hAnsi="宋体" w:eastAsia="宋体" w:cs="宋体"/>
          <w:bCs/>
          <w:color w:val="auto"/>
          <w:sz w:val="72"/>
          <w:szCs w:val="72"/>
          <w:highlight w:val="none"/>
        </w:rPr>
        <w:t>投标文件</w:t>
      </w:r>
    </w:p>
    <w:p w14:paraId="70892F05">
      <w:pPr>
        <w:adjustRightInd w:val="0"/>
        <w:snapToGrid w:val="0"/>
        <w:rPr>
          <w:rFonts w:hint="eastAsia" w:ascii="宋体" w:hAnsi="宋体" w:eastAsia="宋体" w:cs="宋体"/>
          <w:b/>
          <w:color w:val="auto"/>
          <w:sz w:val="44"/>
          <w:szCs w:val="44"/>
          <w:highlight w:val="none"/>
        </w:rPr>
      </w:pPr>
    </w:p>
    <w:p w14:paraId="77416103">
      <w:pPr>
        <w:pStyle w:val="6"/>
        <w:rPr>
          <w:rFonts w:hint="eastAsia"/>
        </w:rPr>
      </w:pPr>
    </w:p>
    <w:p w14:paraId="1ACC20D5">
      <w:pPr>
        <w:pStyle w:val="24"/>
        <w:ind w:firstLine="883"/>
        <w:rPr>
          <w:rFonts w:hint="eastAsia" w:ascii="宋体" w:hAnsi="宋体" w:eastAsia="宋体" w:cs="宋体"/>
          <w:b/>
          <w:color w:val="auto"/>
          <w:sz w:val="44"/>
          <w:szCs w:val="44"/>
          <w:highlight w:val="none"/>
        </w:rPr>
      </w:pPr>
    </w:p>
    <w:p w14:paraId="2E0537ED">
      <w:pPr>
        <w:pStyle w:val="24"/>
        <w:jc w:val="both"/>
        <w:rPr>
          <w:rFonts w:hint="eastAsia" w:ascii="宋体" w:hAnsi="宋体" w:cs="宋体"/>
          <w:b/>
          <w:color w:val="auto"/>
          <w:sz w:val="44"/>
          <w:szCs w:val="44"/>
          <w:highlight w:val="none"/>
          <w:lang w:eastAsia="zh-CN"/>
        </w:rPr>
      </w:pPr>
      <w:r>
        <w:rPr>
          <w:rFonts w:hint="eastAsia" w:ascii="宋体" w:hAnsi="宋体" w:cs="宋体"/>
          <w:b/>
          <w:color w:val="auto"/>
          <w:sz w:val="44"/>
          <w:szCs w:val="44"/>
          <w:highlight w:val="none"/>
          <w:lang w:eastAsia="zh-CN"/>
        </w:rPr>
        <w:t>（商务、技术性响应及其他相应部分）</w:t>
      </w:r>
    </w:p>
    <w:p w14:paraId="4CD720B8">
      <w:pPr>
        <w:pStyle w:val="24"/>
        <w:ind w:firstLine="2650" w:firstLineChars="600"/>
        <w:jc w:val="both"/>
        <w:rPr>
          <w:rFonts w:hint="default" w:ascii="宋体" w:hAnsi="宋体" w:cs="宋体"/>
          <w:b/>
          <w:color w:val="auto"/>
          <w:sz w:val="44"/>
          <w:szCs w:val="44"/>
          <w:highlight w:val="none"/>
          <w:lang w:val="en-US" w:eastAsia="zh-CN"/>
        </w:rPr>
      </w:pPr>
      <w:r>
        <w:rPr>
          <w:rFonts w:hint="eastAsia" w:ascii="宋体" w:hAnsi="宋体" w:cs="宋体"/>
          <w:b/>
          <w:color w:val="auto"/>
          <w:sz w:val="44"/>
          <w:szCs w:val="44"/>
          <w:highlight w:val="none"/>
          <w:lang w:val="en-US" w:eastAsia="zh-CN"/>
        </w:rPr>
        <w:t xml:space="preserve">       </w:t>
      </w:r>
      <w:r>
        <w:rPr>
          <w:rFonts w:hint="eastAsia" w:ascii="宋体" w:hAnsi="宋体" w:cs="宋体"/>
          <w:b/>
          <w:color w:val="auto"/>
          <w:sz w:val="44"/>
          <w:szCs w:val="44"/>
          <w:highlight w:val="none"/>
          <w:u w:val="single"/>
          <w:lang w:val="en-US" w:eastAsia="zh-CN"/>
        </w:rPr>
        <w:t xml:space="preserve">    </w:t>
      </w:r>
      <w:r>
        <w:rPr>
          <w:rFonts w:hint="eastAsia" w:ascii="宋体" w:hAnsi="宋体" w:cs="宋体"/>
          <w:b/>
          <w:color w:val="auto"/>
          <w:sz w:val="44"/>
          <w:szCs w:val="44"/>
          <w:highlight w:val="none"/>
          <w:lang w:val="en-US" w:eastAsia="zh-CN"/>
        </w:rPr>
        <w:t>分标</w:t>
      </w:r>
    </w:p>
    <w:p w14:paraId="4BC0B368">
      <w:pPr>
        <w:pStyle w:val="24"/>
        <w:ind w:firstLine="2650" w:firstLineChars="600"/>
        <w:jc w:val="both"/>
        <w:rPr>
          <w:rFonts w:hint="eastAsia" w:ascii="宋体" w:hAnsi="宋体" w:cs="宋体"/>
          <w:b/>
          <w:color w:val="auto"/>
          <w:sz w:val="44"/>
          <w:szCs w:val="44"/>
          <w:highlight w:val="none"/>
          <w:lang w:eastAsia="zh-CN"/>
        </w:rPr>
      </w:pPr>
    </w:p>
    <w:p w14:paraId="7D9DEEEB">
      <w:pPr>
        <w:spacing w:line="600" w:lineRule="exact"/>
        <w:ind w:firstLine="750" w:firstLineChars="250"/>
        <w:rPr>
          <w:rFonts w:hint="eastAsia" w:ascii="宋体" w:hAnsi="宋体" w:eastAsia="宋体" w:cs="宋体"/>
          <w:bCs/>
          <w:color w:val="auto"/>
          <w:sz w:val="30"/>
          <w:szCs w:val="30"/>
          <w:highlight w:val="none"/>
          <w:lang w:eastAsia="zh-CN"/>
        </w:rPr>
      </w:pPr>
      <w:r>
        <w:rPr>
          <w:rFonts w:hint="eastAsia" w:ascii="宋体" w:hAnsi="宋体" w:eastAsia="宋体" w:cs="宋体"/>
          <w:bCs/>
          <w:color w:val="auto"/>
          <w:sz w:val="30"/>
          <w:szCs w:val="30"/>
          <w:highlight w:val="none"/>
        </w:rPr>
        <w:t>项目名称：</w:t>
      </w:r>
      <w:r>
        <w:rPr>
          <w:rFonts w:hint="eastAsia" w:ascii="宋体" w:hAnsi="宋体" w:eastAsia="宋体" w:cs="宋体"/>
          <w:bCs/>
          <w:color w:val="auto"/>
          <w:sz w:val="30"/>
          <w:szCs w:val="30"/>
          <w:highlight w:val="none"/>
          <w:u w:val="single"/>
          <w:lang w:eastAsia="zh-CN"/>
        </w:rPr>
        <w:t>灌阳县洞井民族小学教学仪器设备采购</w:t>
      </w:r>
    </w:p>
    <w:p w14:paraId="7C4C3B5D">
      <w:pPr>
        <w:spacing w:line="600" w:lineRule="exact"/>
        <w:ind w:firstLine="750" w:firstLineChars="250"/>
        <w:rPr>
          <w:rFonts w:hint="eastAsia" w:ascii="宋体" w:hAnsi="宋体" w:eastAsia="宋体" w:cs="宋体"/>
          <w:bCs/>
          <w:color w:val="000000" w:themeColor="text1"/>
          <w:sz w:val="30"/>
          <w:szCs w:val="30"/>
          <w:highlight w:val="none"/>
          <w:u w:val="single"/>
          <w14:textFill>
            <w14:solidFill>
              <w14:schemeClr w14:val="tx1"/>
            </w14:solidFill>
          </w14:textFill>
        </w:rPr>
      </w:pPr>
      <w:r>
        <w:rPr>
          <w:rFonts w:hint="eastAsia" w:ascii="宋体" w:hAnsi="宋体" w:eastAsia="宋体" w:cs="宋体"/>
          <w:bCs/>
          <w:color w:val="auto"/>
          <w:sz w:val="30"/>
          <w:szCs w:val="30"/>
          <w:highlight w:val="none"/>
        </w:rPr>
        <w:t>项目编号：</w:t>
      </w:r>
      <w:r>
        <w:rPr>
          <w:rFonts w:hint="eastAsia" w:ascii="宋体" w:hAnsi="宋体" w:eastAsia="宋体" w:cs="宋体"/>
          <w:bCs/>
          <w:color w:val="000000" w:themeColor="text1"/>
          <w:sz w:val="30"/>
          <w:szCs w:val="30"/>
          <w:highlight w:val="none"/>
          <w:u w:val="single"/>
          <w:lang w:eastAsia="zh-CN"/>
          <w14:textFill>
            <w14:solidFill>
              <w14:schemeClr w14:val="tx1"/>
            </w14:solidFill>
          </w14:textFill>
        </w:rPr>
        <w:t>GLZC2024-G1-270182-GXGX</w:t>
      </w:r>
      <w:r>
        <w:rPr>
          <w:rFonts w:hint="eastAsia" w:ascii="宋体" w:hAnsi="宋体" w:eastAsia="宋体" w:cs="宋体"/>
          <w:bCs/>
          <w:color w:val="000000" w:themeColor="text1"/>
          <w:sz w:val="30"/>
          <w:szCs w:val="30"/>
          <w:highlight w:val="none"/>
          <w:u w:val="single"/>
          <w14:textFill>
            <w14:solidFill>
              <w14:schemeClr w14:val="tx1"/>
            </w14:solidFill>
          </w14:textFill>
        </w:rPr>
        <w:t xml:space="preserve"> </w:t>
      </w:r>
    </w:p>
    <w:p w14:paraId="72B397BC">
      <w:pPr>
        <w:snapToGrid w:val="0"/>
        <w:spacing w:before="120" w:beforeLines="50" w:after="50"/>
        <w:ind w:firstLine="1260" w:firstLineChars="450"/>
        <w:rPr>
          <w:rFonts w:hint="eastAsia" w:ascii="宋体" w:hAnsi="宋体" w:eastAsia="宋体" w:cs="宋体"/>
          <w:bCs/>
          <w:color w:val="auto"/>
          <w:sz w:val="28"/>
          <w:szCs w:val="28"/>
          <w:highlight w:val="none"/>
        </w:rPr>
      </w:pPr>
    </w:p>
    <w:p w14:paraId="5B6487BB">
      <w:pPr>
        <w:pStyle w:val="24"/>
        <w:ind w:firstLine="420"/>
        <w:rPr>
          <w:rFonts w:hint="eastAsia" w:ascii="宋体" w:hAnsi="宋体" w:eastAsia="宋体" w:cs="宋体"/>
          <w:color w:val="auto"/>
          <w:highlight w:val="none"/>
        </w:rPr>
      </w:pPr>
    </w:p>
    <w:p w14:paraId="52B49347">
      <w:pPr>
        <w:jc w:val="left"/>
        <w:rPr>
          <w:rFonts w:hint="eastAsia" w:ascii="宋体" w:hAnsi="宋体" w:eastAsia="宋体" w:cs="宋体"/>
          <w:b/>
          <w:color w:val="auto"/>
          <w:sz w:val="32"/>
          <w:szCs w:val="32"/>
          <w:highlight w:val="none"/>
        </w:rPr>
      </w:pPr>
    </w:p>
    <w:p w14:paraId="62D9FCFA">
      <w:pPr>
        <w:pStyle w:val="7"/>
        <w:spacing w:line="500" w:lineRule="exact"/>
        <w:ind w:firstLine="240" w:firstLineChars="100"/>
        <w:jc w:val="both"/>
        <w:rPr>
          <w:rFonts w:hint="eastAsia" w:ascii="宋体" w:hAnsi="宋体" w:eastAsia="宋体" w:cs="宋体"/>
          <w:bCs/>
          <w:color w:val="auto"/>
          <w:sz w:val="24"/>
          <w:szCs w:val="24"/>
          <w:highlight w:val="none"/>
          <w:u w:val="single"/>
          <w:lang w:eastAsia="zh-CN"/>
        </w:rPr>
      </w:pPr>
      <w:r>
        <w:rPr>
          <w:rFonts w:hint="eastAsia" w:ascii="宋体" w:hAnsi="宋体" w:eastAsia="宋体" w:cs="宋体"/>
          <w:bCs/>
          <w:color w:val="auto"/>
          <w:sz w:val="24"/>
          <w:szCs w:val="24"/>
          <w:highlight w:val="none"/>
        </w:rPr>
        <w:t>采购代理机构：</w:t>
      </w:r>
      <w:r>
        <w:rPr>
          <w:rFonts w:hint="eastAsia" w:ascii="宋体" w:hAnsi="宋体" w:cs="宋体"/>
          <w:bCs/>
          <w:color w:val="auto"/>
          <w:sz w:val="24"/>
          <w:szCs w:val="24"/>
          <w:highlight w:val="none"/>
          <w:u w:val="single"/>
          <w:lang w:eastAsia="zh-CN"/>
        </w:rPr>
        <w:t>广西国兴项目管理有限公司</w:t>
      </w:r>
    </w:p>
    <w:p w14:paraId="5DAE4092">
      <w:pPr>
        <w:pStyle w:val="7"/>
        <w:spacing w:line="500" w:lineRule="exact"/>
        <w:ind w:firstLine="240" w:firstLineChars="1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投标人名称[公章(CA签章)，自然人除外]：</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u w:val="single"/>
          <w:lang w:val="en-US" w:eastAsia="zh-CN"/>
        </w:rPr>
        <w:t>.</w:t>
      </w:r>
      <w:r>
        <w:rPr>
          <w:rFonts w:hint="eastAsia" w:ascii="宋体" w:hAnsi="宋体" w:eastAsia="宋体" w:cs="宋体"/>
          <w:bCs/>
          <w:color w:val="auto"/>
          <w:sz w:val="24"/>
          <w:szCs w:val="24"/>
          <w:highlight w:val="none"/>
          <w:u w:val="single"/>
        </w:rPr>
        <w:t xml:space="preserve">   </w:t>
      </w:r>
    </w:p>
    <w:p w14:paraId="2330B7FB">
      <w:pPr>
        <w:pStyle w:val="9"/>
        <w:spacing w:line="500" w:lineRule="exact"/>
        <w:ind w:firstLine="720" w:firstLineChars="300"/>
        <w:rPr>
          <w:rFonts w:hint="eastAsia" w:ascii="宋体" w:hAnsi="宋体" w:eastAsia="宋体" w:cs="宋体"/>
          <w:color w:val="auto"/>
          <w:sz w:val="24"/>
          <w:szCs w:val="24"/>
          <w:highlight w:val="none"/>
          <w:u w:val="single"/>
        </w:rPr>
      </w:pPr>
      <w:r>
        <w:rPr>
          <w:rFonts w:hint="eastAsia" w:ascii="宋体" w:hAnsi="宋体" w:eastAsia="宋体" w:cs="宋体"/>
          <w:color w:val="auto"/>
          <w:sz w:val="24"/>
          <w:szCs w:val="24"/>
          <w:highlight w:val="none"/>
        </w:rPr>
        <w:t>法定代表人、负责人、自然人或相应的委托代理人签字</w:t>
      </w:r>
      <w:r>
        <w:rPr>
          <w:rFonts w:hint="eastAsia" w:ascii="宋体" w:hAnsi="宋体" w:eastAsia="宋体" w:cs="宋体"/>
          <w:color w:val="auto"/>
          <w:sz w:val="24"/>
          <w:szCs w:val="24"/>
          <w:highlight w:val="none"/>
          <w:lang w:eastAsia="zh-CN"/>
        </w:rPr>
        <w:t>（</w:t>
      </w:r>
      <w:r>
        <w:rPr>
          <w:rFonts w:hint="eastAsia" w:ascii="宋体" w:hAnsi="宋体" w:eastAsia="宋体" w:cs="宋体"/>
          <w:color w:val="auto"/>
          <w:sz w:val="24"/>
          <w:szCs w:val="24"/>
          <w:highlight w:val="none"/>
        </w:rPr>
        <w:t>或个人CA签章)：</w:t>
      </w:r>
      <w:r>
        <w:rPr>
          <w:rFonts w:hint="eastAsia" w:ascii="宋体" w:hAnsi="宋体" w:eastAsia="宋体" w:cs="宋体"/>
          <w:color w:val="auto"/>
          <w:sz w:val="24"/>
          <w:szCs w:val="24"/>
          <w:highlight w:val="none"/>
          <w:u w:val="single"/>
        </w:rPr>
        <w:t xml:space="preserve">       </w:t>
      </w:r>
      <w:r>
        <w:rPr>
          <w:rFonts w:hint="eastAsia" w:ascii="宋体" w:hAnsi="宋体" w:eastAsia="宋体" w:cs="宋体"/>
          <w:color w:val="auto"/>
          <w:sz w:val="24"/>
          <w:szCs w:val="24"/>
          <w:highlight w:val="none"/>
          <w:u w:val="single"/>
          <w:lang w:val="en-US" w:eastAsia="zh-CN"/>
        </w:rPr>
        <w:t>.</w:t>
      </w:r>
      <w:r>
        <w:rPr>
          <w:rFonts w:hint="eastAsia" w:ascii="宋体" w:hAnsi="宋体" w:eastAsia="宋体" w:cs="宋体"/>
          <w:color w:val="auto"/>
          <w:sz w:val="24"/>
          <w:szCs w:val="24"/>
          <w:highlight w:val="none"/>
          <w:u w:val="single"/>
        </w:rPr>
        <w:t xml:space="preserve">      </w:t>
      </w:r>
    </w:p>
    <w:p w14:paraId="65C96CBE">
      <w:pPr>
        <w:pStyle w:val="7"/>
        <w:spacing w:line="500" w:lineRule="exact"/>
        <w:ind w:firstLine="240" w:firstLineChars="100"/>
        <w:rPr>
          <w:rFonts w:hint="eastAsia" w:ascii="宋体" w:hAnsi="宋体" w:eastAsia="宋体" w:cs="宋体"/>
          <w:bCs/>
          <w:color w:val="auto"/>
          <w:sz w:val="24"/>
          <w:szCs w:val="24"/>
          <w:highlight w:val="none"/>
          <w:u w:val="single"/>
        </w:rPr>
      </w:pPr>
      <w:r>
        <w:rPr>
          <w:rFonts w:hint="eastAsia" w:ascii="宋体" w:hAnsi="宋体" w:eastAsia="宋体" w:cs="宋体"/>
          <w:bCs/>
          <w:color w:val="auto"/>
          <w:sz w:val="24"/>
          <w:szCs w:val="24"/>
          <w:highlight w:val="none"/>
        </w:rPr>
        <w:t>联系电话：</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u w:val="single"/>
          <w:lang w:val="en-US" w:eastAsia="zh-CN"/>
        </w:rPr>
        <w:t>.</w:t>
      </w:r>
      <w:r>
        <w:rPr>
          <w:rFonts w:hint="eastAsia" w:ascii="宋体" w:hAnsi="宋体" w:eastAsia="宋体" w:cs="宋体"/>
          <w:bCs/>
          <w:color w:val="auto"/>
          <w:sz w:val="24"/>
          <w:szCs w:val="24"/>
          <w:highlight w:val="none"/>
          <w:u w:val="single"/>
        </w:rPr>
        <w:t xml:space="preserve">                      </w:t>
      </w:r>
    </w:p>
    <w:p w14:paraId="7EB91FD1">
      <w:pPr>
        <w:pStyle w:val="7"/>
        <w:spacing w:line="500" w:lineRule="exact"/>
        <w:ind w:firstLine="240" w:firstLineChars="100"/>
        <w:rPr>
          <w:rFonts w:hint="eastAsia" w:ascii="宋体" w:hAnsi="宋体" w:eastAsia="宋体" w:cs="宋体"/>
          <w:bCs/>
          <w:color w:val="auto"/>
          <w:sz w:val="24"/>
          <w:szCs w:val="24"/>
          <w:highlight w:val="none"/>
        </w:rPr>
      </w:pPr>
      <w:r>
        <w:rPr>
          <w:rFonts w:hint="eastAsia" w:ascii="宋体" w:hAnsi="宋体" w:eastAsia="宋体" w:cs="宋体"/>
          <w:bCs/>
          <w:color w:val="auto"/>
          <w:sz w:val="24"/>
          <w:szCs w:val="24"/>
          <w:highlight w:val="none"/>
        </w:rPr>
        <w:t>投标日期：</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rPr>
        <w:t>年</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rPr>
        <w:t>月</w:t>
      </w:r>
      <w:r>
        <w:rPr>
          <w:rFonts w:hint="eastAsia" w:ascii="宋体" w:hAnsi="宋体" w:eastAsia="宋体" w:cs="宋体"/>
          <w:bCs/>
          <w:color w:val="auto"/>
          <w:sz w:val="24"/>
          <w:szCs w:val="24"/>
          <w:highlight w:val="none"/>
          <w:u w:val="single"/>
        </w:rPr>
        <w:t xml:space="preserve">           </w:t>
      </w:r>
      <w:r>
        <w:rPr>
          <w:rFonts w:hint="eastAsia" w:ascii="宋体" w:hAnsi="宋体" w:eastAsia="宋体" w:cs="宋体"/>
          <w:bCs/>
          <w:color w:val="auto"/>
          <w:sz w:val="24"/>
          <w:szCs w:val="24"/>
          <w:highlight w:val="none"/>
        </w:rPr>
        <w:t>日</w:t>
      </w:r>
    </w:p>
    <w:p w14:paraId="05620F1C">
      <w:pPr>
        <w:rPr>
          <w:rFonts w:hint="eastAsia" w:ascii="宋体" w:hAnsi="宋体" w:eastAsia="宋体" w:cs="宋体"/>
          <w:color w:val="auto"/>
          <w:highlight w:val="none"/>
        </w:rPr>
      </w:pPr>
    </w:p>
    <w:p w14:paraId="42E108BB">
      <w:pPr>
        <w:pStyle w:val="24"/>
        <w:rPr>
          <w:rFonts w:hint="eastAsia" w:ascii="宋体" w:hAnsi="宋体" w:eastAsia="宋体"/>
          <w:color w:val="auto"/>
          <w:sz w:val="32"/>
          <w:highlight w:val="none"/>
        </w:rPr>
      </w:pPr>
    </w:p>
    <w:p w14:paraId="4D353FC8">
      <w:pPr>
        <w:rPr>
          <w:rFonts w:hint="eastAsia" w:ascii="宋体" w:hAnsi="宋体" w:eastAsia="宋体"/>
          <w:color w:val="auto"/>
          <w:sz w:val="32"/>
          <w:highlight w:val="none"/>
        </w:rPr>
      </w:pPr>
      <w:r>
        <w:rPr>
          <w:rFonts w:hint="eastAsia" w:ascii="宋体" w:hAnsi="宋体" w:eastAsia="宋体"/>
          <w:color w:val="auto"/>
          <w:sz w:val="32"/>
          <w:highlight w:val="none"/>
        </w:rPr>
        <w:br w:type="page"/>
      </w:r>
    </w:p>
    <w:p w14:paraId="379BB187">
      <w:pPr>
        <w:pStyle w:val="24"/>
        <w:rPr>
          <w:rFonts w:hint="eastAsia" w:ascii="Times New Roman" w:hAnsi="Times New Roman"/>
          <w:color w:val="auto"/>
          <w:highlight w:val="none"/>
        </w:rPr>
      </w:pPr>
      <w:r>
        <w:rPr>
          <w:rFonts w:hint="eastAsia" w:ascii="宋体" w:hAnsi="宋体" w:eastAsia="宋体"/>
          <w:color w:val="auto"/>
          <w:sz w:val="32"/>
          <w:highlight w:val="none"/>
        </w:rPr>
        <w:t>根据</w:t>
      </w:r>
      <w:r>
        <w:rPr>
          <w:rFonts w:hint="eastAsia" w:ascii="宋体" w:hAnsi="宋体"/>
          <w:color w:val="auto"/>
          <w:sz w:val="32"/>
          <w:highlight w:val="none"/>
          <w:lang w:eastAsia="zh-CN"/>
        </w:rPr>
        <w:t>招标</w:t>
      </w:r>
      <w:r>
        <w:rPr>
          <w:rFonts w:hint="eastAsia" w:ascii="宋体" w:hAnsi="宋体" w:eastAsia="宋体"/>
          <w:color w:val="auto"/>
          <w:sz w:val="32"/>
          <w:highlight w:val="none"/>
        </w:rPr>
        <w:t>文件规定及</w:t>
      </w:r>
      <w:r>
        <w:rPr>
          <w:rFonts w:hint="eastAsia" w:ascii="宋体" w:hAnsi="宋体"/>
          <w:color w:val="auto"/>
          <w:sz w:val="32"/>
          <w:highlight w:val="none"/>
          <w:lang w:eastAsia="zh-CN"/>
        </w:rPr>
        <w:t>投标人</w:t>
      </w:r>
      <w:r>
        <w:rPr>
          <w:rFonts w:hint="eastAsia" w:ascii="宋体" w:hAnsi="宋体" w:eastAsia="宋体"/>
          <w:color w:val="auto"/>
          <w:sz w:val="32"/>
          <w:highlight w:val="none"/>
        </w:rPr>
        <w:t>提供的材料自行编写目录</w:t>
      </w:r>
    </w:p>
    <w:p w14:paraId="123D746F">
      <w:pPr>
        <w:tabs>
          <w:tab w:val="left" w:pos="1305"/>
        </w:tabs>
        <w:spacing w:line="520" w:lineRule="exact"/>
        <w:ind w:firstLine="471" w:firstLineChars="147"/>
        <w:outlineLvl w:val="9"/>
        <w:rPr>
          <w:rFonts w:hint="eastAsia" w:ascii="宋体" w:hAnsi="宋体"/>
          <w:b/>
          <w:color w:val="auto"/>
          <w:sz w:val="32"/>
          <w:szCs w:val="32"/>
          <w:highlight w:val="none"/>
        </w:rPr>
      </w:pPr>
    </w:p>
    <w:p w14:paraId="6CD6447D">
      <w:pPr>
        <w:tabs>
          <w:tab w:val="left" w:pos="1305"/>
        </w:tabs>
        <w:spacing w:line="520" w:lineRule="exact"/>
        <w:ind w:firstLine="471" w:firstLineChars="147"/>
        <w:outlineLvl w:val="9"/>
        <w:rPr>
          <w:rFonts w:hint="eastAsia" w:ascii="宋体" w:hAnsi="宋体"/>
          <w:b/>
          <w:color w:val="auto"/>
          <w:sz w:val="32"/>
          <w:szCs w:val="32"/>
          <w:highlight w:val="none"/>
        </w:rPr>
      </w:pPr>
    </w:p>
    <w:p w14:paraId="51E52525">
      <w:pPr>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br w:type="page"/>
      </w:r>
    </w:p>
    <w:p w14:paraId="7C162B98">
      <w:pPr>
        <w:keepNext w:val="0"/>
        <w:keepLines w:val="0"/>
        <w:pageBreakBefore w:val="0"/>
        <w:widowControl/>
        <w:kinsoku/>
        <w:wordWrap/>
        <w:overflowPunct/>
        <w:topLinePunct w:val="0"/>
        <w:autoSpaceDE/>
        <w:autoSpaceDN/>
        <w:bidi w:val="0"/>
        <w:adjustRightInd w:val="0"/>
        <w:snapToGrid w:val="0"/>
        <w:spacing w:line="240" w:lineRule="auto"/>
        <w:jc w:val="center"/>
        <w:textAlignment w:val="auto"/>
        <w:outlineLvl w:val="9"/>
        <w:rPr>
          <w:rFonts w:hint="eastAsia" w:ascii="宋体" w:hAnsi="宋体" w:eastAsia="宋体" w:cs="宋体"/>
          <w:b/>
          <w:color w:val="auto"/>
          <w:sz w:val="36"/>
          <w:szCs w:val="36"/>
          <w:highlight w:val="none"/>
        </w:rPr>
      </w:pPr>
      <w:r>
        <w:rPr>
          <w:rFonts w:hint="eastAsia" w:ascii="宋体" w:hAnsi="宋体" w:eastAsia="宋体" w:cs="宋体"/>
          <w:b/>
          <w:color w:val="auto"/>
          <w:sz w:val="36"/>
          <w:szCs w:val="36"/>
          <w:highlight w:val="none"/>
        </w:rPr>
        <w:t>商务、技术性响应及其他有效证明材料（格式）</w:t>
      </w:r>
    </w:p>
    <w:p w14:paraId="07961E2D">
      <w:pPr>
        <w:keepNext w:val="0"/>
        <w:keepLines w:val="0"/>
        <w:pageBreakBefore w:val="0"/>
        <w:kinsoku/>
        <w:overflowPunct/>
        <w:topLinePunct w:val="0"/>
        <w:autoSpaceDE/>
        <w:autoSpaceDN/>
        <w:bidi w:val="0"/>
        <w:spacing w:line="320" w:lineRule="exact"/>
        <w:textAlignment w:val="auto"/>
        <w:outlineLvl w:val="9"/>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1.投标报价表</w:t>
      </w:r>
    </w:p>
    <w:p w14:paraId="14DCA853">
      <w:pPr>
        <w:keepNext w:val="0"/>
        <w:keepLines w:val="0"/>
        <w:pageBreakBefore w:val="0"/>
        <w:kinsoku/>
        <w:overflowPunct/>
        <w:topLinePunct w:val="0"/>
        <w:autoSpaceDE/>
        <w:autoSpaceDN/>
        <w:bidi w:val="0"/>
        <w:spacing w:line="320" w:lineRule="exact"/>
        <w:jc w:val="left"/>
        <w:textAlignment w:val="auto"/>
        <w:rPr>
          <w:rFonts w:hint="eastAsia" w:ascii="宋体" w:hAnsi="宋体" w:eastAsia="宋体" w:cs="宋体"/>
          <w:b/>
          <w:color w:val="auto"/>
          <w:sz w:val="24"/>
          <w:highlight w:val="none"/>
        </w:rPr>
      </w:pPr>
      <w:r>
        <w:rPr>
          <w:rFonts w:hint="eastAsia" w:ascii="宋体" w:hAnsi="宋体" w:eastAsia="宋体" w:cs="宋体"/>
          <w:b/>
          <w:color w:val="auto"/>
          <w:sz w:val="24"/>
          <w:highlight w:val="none"/>
        </w:rPr>
        <w:t>附件：</w:t>
      </w:r>
    </w:p>
    <w:p w14:paraId="21D9EC65">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 w:val="32"/>
          <w:highlight w:val="none"/>
          <w:lang w:eastAsia="zh-CN"/>
        </w:rPr>
      </w:pPr>
      <w:r>
        <w:rPr>
          <w:rFonts w:hint="eastAsia" w:ascii="宋体" w:hAnsi="宋体" w:eastAsia="宋体" w:cs="宋体"/>
          <w:b/>
          <w:color w:val="auto"/>
          <w:sz w:val="32"/>
          <w:szCs w:val="32"/>
          <w:highlight w:val="none"/>
        </w:rPr>
        <w:t>投标报价表（格式）</w:t>
      </w:r>
      <w:r>
        <w:rPr>
          <w:rFonts w:hint="eastAsia" w:ascii="宋体" w:hAnsi="宋体" w:eastAsia="宋体" w:cs="宋体"/>
          <w:b/>
          <w:color w:val="auto"/>
          <w:sz w:val="32"/>
          <w:szCs w:val="32"/>
          <w:highlight w:val="none"/>
          <w:lang w:eastAsia="zh-CN"/>
        </w:rPr>
        <w:t>（适用于标项一</w:t>
      </w:r>
      <w:r>
        <w:rPr>
          <w:rFonts w:hint="eastAsia" w:ascii="宋体" w:hAnsi="宋体" w:eastAsia="宋体" w:cs="宋体"/>
          <w:b/>
          <w:color w:val="auto"/>
          <w:sz w:val="32"/>
          <w:szCs w:val="32"/>
          <w:highlight w:val="none"/>
          <w:lang w:val="en-US" w:eastAsia="zh-CN"/>
        </w:rPr>
        <w:t>A分标</w:t>
      </w:r>
      <w:r>
        <w:rPr>
          <w:rFonts w:hint="eastAsia" w:ascii="宋体" w:hAnsi="宋体" w:eastAsia="宋体" w:cs="宋体"/>
          <w:b/>
          <w:color w:val="auto"/>
          <w:sz w:val="32"/>
          <w:szCs w:val="32"/>
          <w:highlight w:val="none"/>
          <w:lang w:eastAsia="zh-CN"/>
        </w:rPr>
        <w:t>）</w:t>
      </w:r>
    </w:p>
    <w:p w14:paraId="19469DF6">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color w:val="auto"/>
          <w:highlight w:val="none"/>
          <w:lang w:eastAsia="zh-CN"/>
        </w:rPr>
      </w:pPr>
      <w:r>
        <w:rPr>
          <w:rFonts w:hint="eastAsia" w:ascii="宋体" w:hAnsi="宋体" w:eastAsia="宋体" w:cs="宋体"/>
          <w:color w:val="auto"/>
          <w:szCs w:val="21"/>
          <w:highlight w:val="none"/>
        </w:rPr>
        <w:t>致：</w:t>
      </w:r>
      <w:r>
        <w:rPr>
          <w:rFonts w:hint="eastAsia" w:ascii="宋体" w:hAnsi="宋体" w:eastAsia="宋体" w:cs="宋体"/>
          <w:color w:val="auto"/>
          <w:highlight w:val="none"/>
          <w:u w:val="single"/>
          <w:lang w:eastAsia="zh-CN"/>
        </w:rPr>
        <w:t>广西国兴项目管理有限公司</w:t>
      </w:r>
    </w:p>
    <w:p w14:paraId="23EB25CC">
      <w:pPr>
        <w:pStyle w:val="9"/>
        <w:keepNext w:val="0"/>
        <w:keepLines w:val="0"/>
        <w:pageBreakBefore w:val="0"/>
        <w:widowControl w:val="0"/>
        <w:kinsoku/>
        <w:wordWrap/>
        <w:overflowPunct/>
        <w:topLinePunct w:val="0"/>
        <w:autoSpaceDE/>
        <w:autoSpaceDN/>
        <w:bidi w:val="0"/>
        <w:adjustRightInd/>
        <w:snapToGrid/>
        <w:spacing w:line="320" w:lineRule="exact"/>
        <w:ind w:firstLine="420"/>
        <w:textAlignment w:val="auto"/>
        <w:rPr>
          <w:rFonts w:hint="eastAsia" w:ascii="宋体" w:hAnsi="宋体" w:eastAsia="宋体" w:cs="宋体"/>
          <w:color w:val="auto"/>
          <w:highlight w:val="none"/>
        </w:rPr>
      </w:pPr>
      <w:r>
        <w:rPr>
          <w:rFonts w:hint="eastAsia" w:ascii="宋体" w:hAnsi="宋体" w:eastAsia="宋体" w:cs="宋体"/>
          <w:color w:val="auto"/>
          <w:highlight w:val="none"/>
        </w:rPr>
        <w:t>根据贵方</w:t>
      </w:r>
      <w:r>
        <w:rPr>
          <w:rFonts w:hint="eastAsia" w:hAnsi="宋体" w:cs="宋体"/>
          <w:color w:val="auto"/>
          <w:highlight w:val="none"/>
          <w:u w:val="single"/>
          <w:lang w:eastAsia="zh-CN"/>
        </w:rPr>
        <w:t>灌阳县洞井民族小学教学仪器设备采购</w:t>
      </w:r>
      <w:r>
        <w:rPr>
          <w:rFonts w:hint="eastAsia" w:ascii="宋体" w:hAnsi="宋体" w:eastAsia="宋体" w:cs="宋体"/>
          <w:color w:val="auto"/>
          <w:highlight w:val="none"/>
        </w:rPr>
        <w:t>项目招标文件，项目编号</w:t>
      </w:r>
      <w:r>
        <w:rPr>
          <w:rFonts w:hint="eastAsia" w:ascii="宋体" w:hAnsi="宋体" w:eastAsia="宋体" w:cs="宋体"/>
          <w:color w:val="auto"/>
          <w:szCs w:val="21"/>
          <w:highlight w:val="none"/>
          <w:u w:val="single"/>
        </w:rPr>
        <w:t xml:space="preserve"> GLZC2024-G1-270182-GXGX </w:t>
      </w:r>
      <w:r>
        <w:rPr>
          <w:rFonts w:hint="eastAsia" w:ascii="宋体" w:hAnsi="宋体" w:eastAsia="宋体" w:cs="宋体"/>
          <w:color w:val="auto"/>
          <w:szCs w:val="21"/>
          <w:highlight w:val="none"/>
        </w:rPr>
        <w:t>，签字代表</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（姓名）经正式授权并代表投标人</w:t>
      </w:r>
      <w:r>
        <w:rPr>
          <w:rFonts w:hint="eastAsia" w:ascii="宋体" w:hAnsi="宋体" w:eastAsia="宋体" w:cs="宋体"/>
          <w:color w:val="auto"/>
          <w:highlight w:val="none"/>
          <w:u w:val="single"/>
        </w:rPr>
        <w:t>（投标单位名称）</w:t>
      </w:r>
      <w:r>
        <w:rPr>
          <w:rFonts w:hint="eastAsia" w:ascii="宋体" w:hAnsi="宋体" w:eastAsia="宋体" w:cs="宋体"/>
          <w:color w:val="auto"/>
          <w:highlight w:val="none"/>
        </w:rPr>
        <w:t>，提交电子投标文件，并做出如下报价：</w:t>
      </w:r>
    </w:p>
    <w:p w14:paraId="78953286">
      <w:pPr>
        <w:pStyle w:val="9"/>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color w:val="auto"/>
          <w:highlight w:val="none"/>
          <w:lang w:eastAsia="zh-CN"/>
        </w:rPr>
      </w:pPr>
      <w:r>
        <w:rPr>
          <w:rFonts w:hint="eastAsia" w:ascii="宋体" w:hAnsi="宋体" w:eastAsia="宋体" w:cs="宋体"/>
          <w:b/>
          <w:bCs/>
          <w:color w:val="auto"/>
          <w:highlight w:val="none"/>
          <w:u w:val="single"/>
        </w:rPr>
        <w:t>标项</w:t>
      </w:r>
      <w:r>
        <w:rPr>
          <w:rFonts w:hint="eastAsia" w:hAnsi="宋体" w:cs="宋体"/>
          <w:b/>
          <w:bCs/>
          <w:color w:val="auto"/>
          <w:highlight w:val="none"/>
          <w:u w:val="single"/>
          <w:lang w:eastAsia="zh-CN"/>
        </w:rPr>
        <w:t>一</w:t>
      </w:r>
      <w:r>
        <w:rPr>
          <w:rFonts w:hint="eastAsia" w:ascii="宋体" w:hAnsi="宋体" w:eastAsia="宋体" w:cs="宋体"/>
          <w:b/>
          <w:bCs/>
          <w:color w:val="auto"/>
          <w:highlight w:val="none"/>
          <w:u w:val="single"/>
        </w:rPr>
        <w:t>（</w:t>
      </w:r>
      <w:r>
        <w:rPr>
          <w:rFonts w:hint="eastAsia" w:hAnsi="宋体" w:cs="宋体"/>
          <w:b/>
          <w:bCs/>
          <w:color w:val="auto"/>
          <w:highlight w:val="none"/>
          <w:u w:val="single"/>
          <w:lang w:val="en-US" w:eastAsia="zh-CN"/>
        </w:rPr>
        <w:t>A</w:t>
      </w:r>
      <w:r>
        <w:rPr>
          <w:rFonts w:hint="eastAsia" w:ascii="宋体" w:hAnsi="宋体" w:eastAsia="宋体" w:cs="宋体"/>
          <w:b/>
          <w:bCs/>
          <w:color w:val="auto"/>
          <w:highlight w:val="none"/>
          <w:u w:val="single"/>
        </w:rPr>
        <w:t>分标）</w:t>
      </w:r>
      <w:r>
        <w:rPr>
          <w:rFonts w:hint="eastAsia" w:hAnsi="宋体" w:cs="宋体"/>
          <w:b/>
          <w:bCs/>
          <w:color w:val="auto"/>
          <w:highlight w:val="none"/>
          <w:u w:val="single"/>
          <w:lang w:eastAsia="zh-CN"/>
        </w:rPr>
        <w:t>标项名称：灌阳县洞井民族小学教学仪器设备采购</w:t>
      </w:r>
      <w:r>
        <w:rPr>
          <w:rFonts w:hint="eastAsia" w:ascii="宋体" w:hAnsi="宋体" w:eastAsia="宋体" w:cs="宋体"/>
          <w:color w:val="auto"/>
          <w:highlight w:val="none"/>
          <w:u w:val="single"/>
        </w:rPr>
        <w:t xml:space="preserve">  </w:t>
      </w:r>
    </w:p>
    <w:tbl>
      <w:tblPr>
        <w:tblStyle w:val="15"/>
        <w:tblW w:w="1009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6"/>
        <w:gridCol w:w="715"/>
        <w:gridCol w:w="1383"/>
        <w:gridCol w:w="1034"/>
        <w:gridCol w:w="1366"/>
        <w:gridCol w:w="634"/>
        <w:gridCol w:w="500"/>
        <w:gridCol w:w="950"/>
        <w:gridCol w:w="1316"/>
        <w:gridCol w:w="1646"/>
      </w:tblGrid>
      <w:tr w14:paraId="25027EE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46" w:hRule="atLeast"/>
          <w:jc w:val="center"/>
        </w:trPr>
        <w:tc>
          <w:tcPr>
            <w:tcW w:w="546" w:type="dxa"/>
            <w:tcBorders>
              <w:top w:val="single" w:color="auto" w:sz="4" w:space="0"/>
              <w:left w:val="single" w:color="auto" w:sz="4" w:space="0"/>
              <w:bottom w:val="single" w:color="auto" w:sz="4" w:space="0"/>
              <w:right w:val="single" w:color="auto" w:sz="4" w:space="0"/>
            </w:tcBorders>
            <w:noWrap w:val="0"/>
            <w:vAlign w:val="center"/>
          </w:tcPr>
          <w:p w14:paraId="3D1ADECA">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项号</w:t>
            </w:r>
          </w:p>
        </w:tc>
        <w:tc>
          <w:tcPr>
            <w:tcW w:w="715" w:type="dxa"/>
            <w:tcBorders>
              <w:top w:val="single" w:color="auto" w:sz="4" w:space="0"/>
              <w:left w:val="single" w:color="auto" w:sz="4" w:space="0"/>
              <w:bottom w:val="single" w:color="auto" w:sz="4" w:space="0"/>
              <w:right w:val="single" w:color="auto" w:sz="4" w:space="0"/>
            </w:tcBorders>
            <w:noWrap w:val="0"/>
            <w:vAlign w:val="center"/>
          </w:tcPr>
          <w:p w14:paraId="023F82F7">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货物名称</w:t>
            </w:r>
          </w:p>
        </w:tc>
        <w:tc>
          <w:tcPr>
            <w:tcW w:w="1383" w:type="dxa"/>
            <w:tcBorders>
              <w:top w:val="single" w:color="auto" w:sz="4" w:space="0"/>
              <w:left w:val="single" w:color="auto" w:sz="4" w:space="0"/>
              <w:bottom w:val="single" w:color="auto" w:sz="4" w:space="0"/>
              <w:right w:val="single" w:color="auto" w:sz="4" w:space="0"/>
            </w:tcBorders>
            <w:noWrap w:val="0"/>
            <w:vAlign w:val="center"/>
          </w:tcPr>
          <w:p w14:paraId="48D1E85D">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生产厂家</w:t>
            </w:r>
          </w:p>
        </w:tc>
        <w:tc>
          <w:tcPr>
            <w:tcW w:w="1034" w:type="dxa"/>
            <w:tcBorders>
              <w:top w:val="single" w:color="auto" w:sz="4" w:space="0"/>
              <w:left w:val="single" w:color="auto" w:sz="4" w:space="0"/>
              <w:bottom w:val="single" w:color="auto" w:sz="4" w:space="0"/>
              <w:right w:val="single" w:color="auto" w:sz="4" w:space="0"/>
            </w:tcBorders>
            <w:noWrap w:val="0"/>
            <w:vAlign w:val="center"/>
          </w:tcPr>
          <w:p w14:paraId="20582F07">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品牌</w:t>
            </w:r>
          </w:p>
        </w:tc>
        <w:tc>
          <w:tcPr>
            <w:tcW w:w="1366" w:type="dxa"/>
            <w:tcBorders>
              <w:top w:val="single" w:color="auto" w:sz="4" w:space="0"/>
              <w:left w:val="single" w:color="auto" w:sz="4" w:space="0"/>
              <w:bottom w:val="single" w:color="auto" w:sz="4" w:space="0"/>
              <w:right w:val="single" w:color="auto" w:sz="4" w:space="0"/>
            </w:tcBorders>
            <w:noWrap w:val="0"/>
            <w:vAlign w:val="center"/>
          </w:tcPr>
          <w:p w14:paraId="510867FF">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规格型号</w:t>
            </w:r>
          </w:p>
        </w:tc>
        <w:tc>
          <w:tcPr>
            <w:tcW w:w="634" w:type="dxa"/>
            <w:tcBorders>
              <w:top w:val="single" w:color="auto" w:sz="4" w:space="0"/>
              <w:left w:val="single" w:color="auto" w:sz="4" w:space="0"/>
              <w:bottom w:val="single" w:color="auto" w:sz="4" w:space="0"/>
              <w:right w:val="single" w:color="auto" w:sz="4" w:space="0"/>
            </w:tcBorders>
            <w:noWrap w:val="0"/>
            <w:vAlign w:val="center"/>
          </w:tcPr>
          <w:p w14:paraId="17124014">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数量</w:t>
            </w:r>
          </w:p>
          <w:p w14:paraId="4F842A75">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①</w:t>
            </w:r>
          </w:p>
        </w:tc>
        <w:tc>
          <w:tcPr>
            <w:tcW w:w="500" w:type="dxa"/>
            <w:tcBorders>
              <w:top w:val="single" w:color="auto" w:sz="4" w:space="0"/>
              <w:left w:val="single" w:color="auto" w:sz="4" w:space="0"/>
              <w:bottom w:val="single" w:color="auto" w:sz="4" w:space="0"/>
              <w:right w:val="single" w:color="auto" w:sz="4" w:space="0"/>
            </w:tcBorders>
            <w:noWrap w:val="0"/>
            <w:vAlign w:val="center"/>
          </w:tcPr>
          <w:p w14:paraId="79AF4876">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单位</w:t>
            </w:r>
          </w:p>
        </w:tc>
        <w:tc>
          <w:tcPr>
            <w:tcW w:w="950" w:type="dxa"/>
            <w:tcBorders>
              <w:top w:val="single" w:color="auto" w:sz="4" w:space="0"/>
              <w:left w:val="single" w:color="auto" w:sz="4" w:space="0"/>
              <w:bottom w:val="single" w:color="auto" w:sz="4" w:space="0"/>
              <w:right w:val="single" w:color="auto" w:sz="4" w:space="0"/>
            </w:tcBorders>
            <w:noWrap w:val="0"/>
            <w:vAlign w:val="center"/>
          </w:tcPr>
          <w:p w14:paraId="7BEA51AC">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单价（元）</w:t>
            </w:r>
          </w:p>
          <w:p w14:paraId="4D21B725">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②</w:t>
            </w:r>
          </w:p>
        </w:tc>
        <w:tc>
          <w:tcPr>
            <w:tcW w:w="1316" w:type="dxa"/>
            <w:tcBorders>
              <w:top w:val="single" w:color="auto" w:sz="4" w:space="0"/>
              <w:left w:val="single" w:color="auto" w:sz="4" w:space="0"/>
              <w:bottom w:val="single" w:color="auto" w:sz="4" w:space="0"/>
            </w:tcBorders>
            <w:noWrap w:val="0"/>
            <w:vAlign w:val="center"/>
          </w:tcPr>
          <w:p w14:paraId="34B8F307">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单项合计</w:t>
            </w:r>
          </w:p>
          <w:p w14:paraId="37EC43DE">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③=①×②</w:t>
            </w:r>
          </w:p>
        </w:tc>
        <w:tc>
          <w:tcPr>
            <w:tcW w:w="1646" w:type="dxa"/>
            <w:tcBorders>
              <w:top w:val="single" w:color="auto" w:sz="4" w:space="0"/>
              <w:left w:val="single" w:color="auto" w:sz="4" w:space="0"/>
              <w:bottom w:val="single" w:color="auto" w:sz="4" w:space="0"/>
            </w:tcBorders>
            <w:noWrap w:val="0"/>
            <w:vAlign w:val="top"/>
          </w:tcPr>
          <w:p w14:paraId="27529B06">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备注【大型/中型/小型/微型（按实际填写）】</w:t>
            </w:r>
          </w:p>
        </w:tc>
      </w:tr>
      <w:tr w14:paraId="7E4D4017">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1"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383E9F00">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（一）</w:t>
            </w:r>
          </w:p>
        </w:tc>
      </w:tr>
      <w:tr w14:paraId="79AFB54A">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546" w:type="dxa"/>
            <w:tcBorders>
              <w:top w:val="single" w:color="auto" w:sz="4" w:space="0"/>
              <w:left w:val="single" w:color="auto" w:sz="4" w:space="0"/>
              <w:bottom w:val="single" w:color="auto" w:sz="4" w:space="0"/>
              <w:right w:val="single" w:color="auto" w:sz="4" w:space="0"/>
            </w:tcBorders>
            <w:noWrap w:val="0"/>
            <w:vAlign w:val="center"/>
          </w:tcPr>
          <w:p w14:paraId="3C13830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715" w:type="dxa"/>
            <w:tcBorders>
              <w:top w:val="single" w:color="auto" w:sz="4" w:space="0"/>
              <w:left w:val="single" w:color="auto" w:sz="4" w:space="0"/>
              <w:bottom w:val="single" w:color="auto" w:sz="4" w:space="0"/>
              <w:right w:val="single" w:color="auto" w:sz="4" w:space="0"/>
            </w:tcBorders>
            <w:noWrap w:val="0"/>
            <w:vAlign w:val="center"/>
          </w:tcPr>
          <w:p w14:paraId="13F56FEA">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83" w:type="dxa"/>
            <w:tcBorders>
              <w:top w:val="single" w:color="auto" w:sz="4" w:space="0"/>
              <w:left w:val="single" w:color="auto" w:sz="4" w:space="0"/>
              <w:bottom w:val="single" w:color="auto" w:sz="4" w:space="0"/>
              <w:right w:val="single" w:color="auto" w:sz="4" w:space="0"/>
            </w:tcBorders>
            <w:noWrap w:val="0"/>
            <w:vAlign w:val="center"/>
          </w:tcPr>
          <w:p w14:paraId="607AE1A9">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034" w:type="dxa"/>
            <w:tcBorders>
              <w:top w:val="single" w:color="auto" w:sz="4" w:space="0"/>
              <w:left w:val="single" w:color="auto" w:sz="4" w:space="0"/>
              <w:bottom w:val="single" w:color="auto" w:sz="4" w:space="0"/>
              <w:right w:val="single" w:color="auto" w:sz="4" w:space="0"/>
            </w:tcBorders>
            <w:noWrap w:val="0"/>
            <w:vAlign w:val="center"/>
          </w:tcPr>
          <w:p w14:paraId="1D942B93">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66" w:type="dxa"/>
            <w:tcBorders>
              <w:top w:val="single" w:color="auto" w:sz="4" w:space="0"/>
              <w:left w:val="single" w:color="auto" w:sz="4" w:space="0"/>
              <w:bottom w:val="single" w:color="auto" w:sz="4" w:space="0"/>
              <w:right w:val="single" w:color="auto" w:sz="4" w:space="0"/>
            </w:tcBorders>
            <w:noWrap w:val="0"/>
            <w:vAlign w:val="center"/>
          </w:tcPr>
          <w:p w14:paraId="1C101228">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634" w:type="dxa"/>
            <w:tcBorders>
              <w:top w:val="single" w:color="auto" w:sz="4" w:space="0"/>
              <w:left w:val="single" w:color="auto" w:sz="4" w:space="0"/>
              <w:bottom w:val="single" w:color="auto" w:sz="4" w:space="0"/>
              <w:right w:val="single" w:color="auto" w:sz="4" w:space="0"/>
            </w:tcBorders>
            <w:noWrap w:val="0"/>
            <w:vAlign w:val="center"/>
          </w:tcPr>
          <w:p w14:paraId="5B5FB3C9">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500" w:type="dxa"/>
            <w:tcBorders>
              <w:top w:val="single" w:color="auto" w:sz="4" w:space="0"/>
              <w:left w:val="single" w:color="auto" w:sz="4" w:space="0"/>
              <w:bottom w:val="single" w:color="auto" w:sz="4" w:space="0"/>
              <w:right w:val="single" w:color="auto" w:sz="4" w:space="0"/>
            </w:tcBorders>
            <w:noWrap w:val="0"/>
            <w:vAlign w:val="center"/>
          </w:tcPr>
          <w:p w14:paraId="5E90679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0B428FA8">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316" w:type="dxa"/>
            <w:tcBorders>
              <w:top w:val="single" w:color="auto" w:sz="4" w:space="0"/>
              <w:left w:val="single" w:color="auto" w:sz="4" w:space="0"/>
              <w:bottom w:val="single" w:color="auto" w:sz="4" w:space="0"/>
            </w:tcBorders>
            <w:noWrap w:val="0"/>
            <w:vAlign w:val="center"/>
          </w:tcPr>
          <w:p w14:paraId="6F82C9A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646" w:type="dxa"/>
            <w:tcBorders>
              <w:top w:val="single" w:color="auto" w:sz="4" w:space="0"/>
              <w:left w:val="single" w:color="auto" w:sz="4" w:space="0"/>
              <w:bottom w:val="single" w:color="auto" w:sz="4" w:space="0"/>
            </w:tcBorders>
            <w:noWrap w:val="0"/>
            <w:vAlign w:val="top"/>
          </w:tcPr>
          <w:p w14:paraId="7813B4FC">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r>
      <w:tr w14:paraId="079DE9F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546" w:type="dxa"/>
            <w:tcBorders>
              <w:top w:val="single" w:color="auto" w:sz="4" w:space="0"/>
              <w:left w:val="single" w:color="auto" w:sz="4" w:space="0"/>
              <w:right w:val="single" w:color="auto" w:sz="4" w:space="0"/>
            </w:tcBorders>
            <w:noWrap w:val="0"/>
            <w:vAlign w:val="center"/>
          </w:tcPr>
          <w:p w14:paraId="07A923A9">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715" w:type="dxa"/>
            <w:tcBorders>
              <w:top w:val="single" w:color="auto" w:sz="4" w:space="0"/>
              <w:left w:val="single" w:color="auto" w:sz="4" w:space="0"/>
              <w:bottom w:val="single" w:color="auto" w:sz="4" w:space="0"/>
              <w:right w:val="single" w:color="auto" w:sz="4" w:space="0"/>
            </w:tcBorders>
            <w:noWrap w:val="0"/>
            <w:vAlign w:val="center"/>
          </w:tcPr>
          <w:p w14:paraId="5F6F52B7">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83" w:type="dxa"/>
            <w:tcBorders>
              <w:top w:val="single" w:color="auto" w:sz="4" w:space="0"/>
              <w:left w:val="single" w:color="auto" w:sz="4" w:space="0"/>
              <w:bottom w:val="single" w:color="auto" w:sz="4" w:space="0"/>
              <w:right w:val="single" w:color="auto" w:sz="4" w:space="0"/>
            </w:tcBorders>
            <w:noWrap w:val="0"/>
            <w:vAlign w:val="center"/>
          </w:tcPr>
          <w:p w14:paraId="74DD94DC">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034" w:type="dxa"/>
            <w:tcBorders>
              <w:top w:val="single" w:color="auto" w:sz="4" w:space="0"/>
              <w:left w:val="single" w:color="auto" w:sz="4" w:space="0"/>
              <w:bottom w:val="single" w:color="auto" w:sz="4" w:space="0"/>
              <w:right w:val="single" w:color="auto" w:sz="4" w:space="0"/>
            </w:tcBorders>
            <w:noWrap w:val="0"/>
            <w:vAlign w:val="center"/>
          </w:tcPr>
          <w:p w14:paraId="2248A388">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66" w:type="dxa"/>
            <w:tcBorders>
              <w:top w:val="single" w:color="auto" w:sz="4" w:space="0"/>
              <w:left w:val="single" w:color="auto" w:sz="4" w:space="0"/>
              <w:bottom w:val="single" w:color="auto" w:sz="4" w:space="0"/>
              <w:right w:val="single" w:color="auto" w:sz="4" w:space="0"/>
            </w:tcBorders>
            <w:noWrap w:val="0"/>
            <w:vAlign w:val="center"/>
          </w:tcPr>
          <w:p w14:paraId="652D1CC5">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634" w:type="dxa"/>
            <w:tcBorders>
              <w:top w:val="single" w:color="auto" w:sz="4" w:space="0"/>
              <w:left w:val="single" w:color="auto" w:sz="4" w:space="0"/>
              <w:bottom w:val="single" w:color="auto" w:sz="4" w:space="0"/>
              <w:right w:val="single" w:color="auto" w:sz="4" w:space="0"/>
            </w:tcBorders>
            <w:noWrap w:val="0"/>
            <w:vAlign w:val="center"/>
          </w:tcPr>
          <w:p w14:paraId="6B05EF2B">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500" w:type="dxa"/>
            <w:tcBorders>
              <w:top w:val="single" w:color="auto" w:sz="4" w:space="0"/>
              <w:left w:val="single" w:color="auto" w:sz="4" w:space="0"/>
              <w:bottom w:val="single" w:color="auto" w:sz="4" w:space="0"/>
              <w:right w:val="single" w:color="auto" w:sz="4" w:space="0"/>
            </w:tcBorders>
            <w:noWrap w:val="0"/>
            <w:vAlign w:val="center"/>
          </w:tcPr>
          <w:p w14:paraId="63E31956">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2A6FE829">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316" w:type="dxa"/>
            <w:tcBorders>
              <w:top w:val="single" w:color="auto" w:sz="4" w:space="0"/>
              <w:left w:val="single" w:color="auto" w:sz="4" w:space="0"/>
              <w:bottom w:val="single" w:color="auto" w:sz="4" w:space="0"/>
            </w:tcBorders>
            <w:noWrap w:val="0"/>
            <w:vAlign w:val="center"/>
          </w:tcPr>
          <w:p w14:paraId="5C612F63">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646" w:type="dxa"/>
            <w:tcBorders>
              <w:top w:val="single" w:color="auto" w:sz="4" w:space="0"/>
              <w:left w:val="single" w:color="auto" w:sz="4" w:space="0"/>
              <w:bottom w:val="single" w:color="auto" w:sz="4" w:space="0"/>
            </w:tcBorders>
            <w:noWrap w:val="0"/>
            <w:vAlign w:val="top"/>
          </w:tcPr>
          <w:p w14:paraId="7A64D70B">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r>
      <w:tr w14:paraId="333B77C4">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546" w:type="dxa"/>
            <w:tcBorders>
              <w:top w:val="single" w:color="auto" w:sz="4" w:space="0"/>
              <w:left w:val="single" w:color="auto" w:sz="4" w:space="0"/>
              <w:right w:val="single" w:color="auto" w:sz="4" w:space="0"/>
            </w:tcBorders>
            <w:noWrap w:val="0"/>
            <w:vAlign w:val="center"/>
          </w:tcPr>
          <w:p w14:paraId="5854E285">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715" w:type="dxa"/>
            <w:tcBorders>
              <w:top w:val="single" w:color="auto" w:sz="4" w:space="0"/>
              <w:left w:val="single" w:color="auto" w:sz="4" w:space="0"/>
              <w:bottom w:val="single" w:color="auto" w:sz="4" w:space="0"/>
              <w:right w:val="single" w:color="auto" w:sz="4" w:space="0"/>
            </w:tcBorders>
            <w:noWrap w:val="0"/>
            <w:vAlign w:val="center"/>
          </w:tcPr>
          <w:p w14:paraId="0394B00A">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83" w:type="dxa"/>
            <w:tcBorders>
              <w:top w:val="single" w:color="auto" w:sz="4" w:space="0"/>
              <w:left w:val="single" w:color="auto" w:sz="4" w:space="0"/>
              <w:bottom w:val="single" w:color="auto" w:sz="4" w:space="0"/>
              <w:right w:val="single" w:color="auto" w:sz="4" w:space="0"/>
            </w:tcBorders>
            <w:noWrap w:val="0"/>
            <w:vAlign w:val="center"/>
          </w:tcPr>
          <w:p w14:paraId="1EEF0997">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034" w:type="dxa"/>
            <w:tcBorders>
              <w:top w:val="single" w:color="auto" w:sz="4" w:space="0"/>
              <w:left w:val="single" w:color="auto" w:sz="4" w:space="0"/>
              <w:bottom w:val="single" w:color="auto" w:sz="4" w:space="0"/>
              <w:right w:val="single" w:color="auto" w:sz="4" w:space="0"/>
            </w:tcBorders>
            <w:noWrap w:val="0"/>
            <w:vAlign w:val="center"/>
          </w:tcPr>
          <w:p w14:paraId="0BEFDC79">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66" w:type="dxa"/>
            <w:tcBorders>
              <w:top w:val="single" w:color="auto" w:sz="4" w:space="0"/>
              <w:left w:val="single" w:color="auto" w:sz="4" w:space="0"/>
              <w:bottom w:val="single" w:color="auto" w:sz="4" w:space="0"/>
              <w:right w:val="single" w:color="auto" w:sz="4" w:space="0"/>
            </w:tcBorders>
            <w:noWrap w:val="0"/>
            <w:vAlign w:val="center"/>
          </w:tcPr>
          <w:p w14:paraId="39BE5837">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634" w:type="dxa"/>
            <w:tcBorders>
              <w:top w:val="single" w:color="auto" w:sz="4" w:space="0"/>
              <w:left w:val="single" w:color="auto" w:sz="4" w:space="0"/>
              <w:bottom w:val="single" w:color="auto" w:sz="4" w:space="0"/>
              <w:right w:val="single" w:color="auto" w:sz="4" w:space="0"/>
            </w:tcBorders>
            <w:noWrap w:val="0"/>
            <w:vAlign w:val="center"/>
          </w:tcPr>
          <w:p w14:paraId="643694C5">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500" w:type="dxa"/>
            <w:tcBorders>
              <w:top w:val="single" w:color="auto" w:sz="4" w:space="0"/>
              <w:left w:val="single" w:color="auto" w:sz="4" w:space="0"/>
              <w:bottom w:val="single" w:color="auto" w:sz="4" w:space="0"/>
              <w:right w:val="single" w:color="auto" w:sz="4" w:space="0"/>
            </w:tcBorders>
            <w:noWrap w:val="0"/>
            <w:vAlign w:val="center"/>
          </w:tcPr>
          <w:p w14:paraId="23D80B82">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25FB40B2">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316" w:type="dxa"/>
            <w:tcBorders>
              <w:top w:val="single" w:color="auto" w:sz="4" w:space="0"/>
              <w:left w:val="single" w:color="auto" w:sz="4" w:space="0"/>
              <w:bottom w:val="single" w:color="auto" w:sz="4" w:space="0"/>
            </w:tcBorders>
            <w:noWrap w:val="0"/>
            <w:vAlign w:val="center"/>
          </w:tcPr>
          <w:p w14:paraId="2D6AB002">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646" w:type="dxa"/>
            <w:tcBorders>
              <w:top w:val="single" w:color="auto" w:sz="4" w:space="0"/>
              <w:left w:val="single" w:color="auto" w:sz="4" w:space="0"/>
              <w:bottom w:val="single" w:color="auto" w:sz="4" w:space="0"/>
            </w:tcBorders>
            <w:noWrap w:val="0"/>
            <w:vAlign w:val="top"/>
          </w:tcPr>
          <w:p w14:paraId="152B47D8">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r>
      <w:tr w14:paraId="3EFFCCDC">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7128" w:type="dxa"/>
            <w:gridSpan w:val="8"/>
            <w:tcBorders>
              <w:top w:val="single" w:color="auto" w:sz="4" w:space="0"/>
              <w:left w:val="single" w:color="auto" w:sz="4" w:space="0"/>
              <w:right w:val="single" w:color="auto" w:sz="4" w:space="0"/>
            </w:tcBorders>
            <w:noWrap w:val="0"/>
            <w:vAlign w:val="center"/>
          </w:tcPr>
          <w:p w14:paraId="6080B63F">
            <w:pPr>
              <w:keepNext w:val="0"/>
              <w:keepLines w:val="0"/>
              <w:pageBreakBefore w:val="0"/>
              <w:kinsoku/>
              <w:wordWrap w:val="0"/>
              <w:overflowPunct/>
              <w:topLinePunct w:val="0"/>
              <w:autoSpaceDE/>
              <w:autoSpaceDN/>
              <w:bidi w:val="0"/>
              <w:spacing w:line="320" w:lineRule="exact"/>
              <w:jc w:val="right"/>
              <w:textAlignment w:val="auto"/>
              <w:rPr>
                <w:rFonts w:hint="eastAsia" w:ascii="宋体" w:hAnsi="宋体" w:eastAsia="宋体" w:cs="宋体"/>
                <w:b/>
                <w:bCs/>
                <w:color w:val="auto"/>
                <w:highlight w:val="none"/>
              </w:rPr>
            </w:pPr>
            <w:r>
              <w:rPr>
                <w:rFonts w:hint="eastAsia" w:ascii="宋体" w:hAnsi="宋体" w:eastAsia="宋体" w:cs="宋体"/>
                <w:b/>
                <w:bCs/>
                <w:color w:val="auto"/>
                <w:highlight w:val="none"/>
              </w:rPr>
              <w:t xml:space="preserve">合 计  </w:t>
            </w:r>
          </w:p>
        </w:tc>
        <w:tc>
          <w:tcPr>
            <w:tcW w:w="2962" w:type="dxa"/>
            <w:gridSpan w:val="2"/>
            <w:tcBorders>
              <w:top w:val="single" w:color="auto" w:sz="4" w:space="0"/>
              <w:left w:val="single" w:color="auto" w:sz="4" w:space="0"/>
              <w:bottom w:val="single" w:color="auto" w:sz="4" w:space="0"/>
            </w:tcBorders>
            <w:noWrap w:val="0"/>
            <w:vAlign w:val="center"/>
          </w:tcPr>
          <w:p w14:paraId="7489ADEC">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r>
      <w:tr w14:paraId="08FEDE4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632B786D">
            <w:pPr>
              <w:keepNext w:val="0"/>
              <w:keepLines w:val="0"/>
              <w:pageBreakBefore w:val="0"/>
              <w:kinsoku/>
              <w:overflowPunct/>
              <w:topLinePunct w:val="0"/>
              <w:autoSpaceDE/>
              <w:autoSpaceDN/>
              <w:bidi w:val="0"/>
              <w:spacing w:line="320" w:lineRule="exact"/>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投标总报价</w:t>
            </w:r>
            <w:r>
              <w:rPr>
                <w:rFonts w:hint="eastAsia" w:ascii="宋体" w:hAnsi="宋体" w:eastAsia="宋体" w:cs="宋体"/>
                <w:color w:val="auto"/>
                <w:spacing w:val="-6"/>
                <w:highlight w:val="none"/>
                <w:lang w:eastAsia="zh-CN"/>
              </w:rPr>
              <w:t>为</w:t>
            </w:r>
            <w:r>
              <w:rPr>
                <w:rFonts w:hint="eastAsia" w:ascii="宋体" w:hAnsi="宋体" w:eastAsia="宋体" w:cs="宋体"/>
                <w:color w:val="auto"/>
                <w:spacing w:val="-6"/>
                <w:highlight w:val="none"/>
              </w:rPr>
              <w:t>人民币（大写）：</w:t>
            </w:r>
            <w:r>
              <w:rPr>
                <w:rFonts w:hint="eastAsia" w:ascii="宋体" w:hAnsi="宋体" w:eastAsia="宋体" w:cs="宋体"/>
                <w:color w:val="auto"/>
                <w:spacing w:val="-6"/>
                <w:highlight w:val="none"/>
                <w:u w:val="single"/>
              </w:rPr>
              <w:t xml:space="preserve">                  元（￥                      ）</w:t>
            </w:r>
          </w:p>
        </w:tc>
      </w:tr>
      <w:tr w14:paraId="7678122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3DC5EA85">
            <w:pPr>
              <w:keepNext w:val="0"/>
              <w:keepLines w:val="0"/>
              <w:pageBreakBefore w:val="0"/>
              <w:kinsoku/>
              <w:overflowPunct/>
              <w:topLinePunct w:val="0"/>
              <w:autoSpaceDE/>
              <w:autoSpaceDN/>
              <w:bidi w:val="0"/>
              <w:spacing w:line="320" w:lineRule="exact"/>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本项目投标有效期为投标截止时间之日起90天。</w:t>
            </w:r>
          </w:p>
        </w:tc>
      </w:tr>
      <w:tr w14:paraId="7C5B45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42B06C41">
            <w:pPr>
              <w:keepNext w:val="0"/>
              <w:keepLines w:val="0"/>
              <w:pageBreakBefore w:val="0"/>
              <w:kinsoku/>
              <w:overflowPunct/>
              <w:topLinePunct w:val="0"/>
              <w:autoSpaceDE/>
              <w:autoSpaceDN/>
              <w:bidi w:val="0"/>
              <w:spacing w:line="320" w:lineRule="exact"/>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免费保修期:</w:t>
            </w:r>
          </w:p>
        </w:tc>
      </w:tr>
      <w:tr w14:paraId="2D54F41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678E7D53">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其中：</w:t>
            </w:r>
          </w:p>
          <w:p w14:paraId="7D04ECCE">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属于财政部《节能产品政府采购品目清单》内产品的总金额为人民币（大写）：</w:t>
            </w:r>
            <w:r>
              <w:rPr>
                <w:rFonts w:hint="eastAsia" w:ascii="宋体" w:hAnsi="宋体" w:eastAsia="宋体" w:cs="宋体"/>
                <w:color w:val="auto"/>
                <w:spacing w:val="-6"/>
                <w:highlight w:val="none"/>
                <w:u w:val="single"/>
              </w:rPr>
              <w:t xml:space="preserve">      </w:t>
            </w:r>
            <w:r>
              <w:rPr>
                <w:rFonts w:hint="eastAsia" w:ascii="宋体" w:hAnsi="宋体" w:eastAsia="宋体" w:cs="宋体"/>
                <w:color w:val="auto"/>
                <w:spacing w:val="-6"/>
                <w:highlight w:val="none"/>
                <w:u w:val="none"/>
              </w:rPr>
              <w:t>元</w:t>
            </w:r>
            <w:r>
              <w:rPr>
                <w:rFonts w:hint="eastAsia" w:ascii="宋体" w:hAnsi="宋体" w:eastAsia="宋体" w:cs="宋体"/>
                <w:color w:val="auto"/>
                <w:spacing w:val="-6"/>
                <w:highlight w:val="none"/>
              </w:rPr>
              <w:t xml:space="preserve"> （￥    ）； </w:t>
            </w:r>
          </w:p>
          <w:p w14:paraId="29DF58F3">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属于财政部《环境标志产品政府采购品目清单》内产品的总金额为人民币（大写）：</w:t>
            </w:r>
            <w:r>
              <w:rPr>
                <w:rFonts w:hint="eastAsia" w:ascii="宋体" w:hAnsi="宋体" w:eastAsia="宋体" w:cs="宋体"/>
                <w:color w:val="auto"/>
                <w:spacing w:val="-6"/>
                <w:highlight w:val="none"/>
                <w:u w:val="single"/>
              </w:rPr>
              <w:t xml:space="preserve">     </w:t>
            </w:r>
            <w:r>
              <w:rPr>
                <w:rFonts w:hint="eastAsia" w:ascii="宋体" w:hAnsi="宋体" w:eastAsia="宋体" w:cs="宋体"/>
                <w:color w:val="auto"/>
                <w:spacing w:val="-6"/>
                <w:highlight w:val="none"/>
              </w:rPr>
              <w:t>元 （￥    ）。</w:t>
            </w:r>
          </w:p>
          <w:p w14:paraId="3AD0E57A">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备注：若不属于财政部《节能产品政府采购品目清单》及《环境标志产品政府采购品目清单》内产品的，则该处填写“无”字样。</w:t>
            </w:r>
          </w:p>
        </w:tc>
      </w:tr>
      <w:tr w14:paraId="734B944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977"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4B6A28CB">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说明：投标报价应包括本次招标采购范围内货物价款、货物随配标准附件、包装、运输、装卸、保险、税金、货到位以及安装、安装所需辅材、调试、检验、售后服务、培训、保修及其他所有成本费用的总和，投标人应综合考虑在报价中。</w:t>
            </w:r>
          </w:p>
        </w:tc>
      </w:tr>
    </w:tbl>
    <w:p w14:paraId="483673CC">
      <w:pPr>
        <w:pStyle w:val="9"/>
        <w:keepNext w:val="0"/>
        <w:keepLines w:val="0"/>
        <w:pageBreakBefore w:val="0"/>
        <w:kinsoku/>
        <w:overflowPunct/>
        <w:topLinePunct w:val="0"/>
        <w:autoSpaceDE/>
        <w:autoSpaceDN/>
        <w:bidi w:val="0"/>
        <w:spacing w:line="320" w:lineRule="exact"/>
        <w:ind w:firstLine="210" w:firstLineChars="100"/>
        <w:textAlignment w:val="auto"/>
        <w:rPr>
          <w:rFonts w:hint="eastAsia" w:ascii="宋体" w:hAnsi="宋体" w:eastAsia="宋体" w:cs="宋体"/>
          <w:color w:val="auto"/>
          <w:highlight w:val="none"/>
        </w:rPr>
      </w:pPr>
      <w:r>
        <w:rPr>
          <w:rFonts w:hint="eastAsia" w:ascii="宋体" w:hAnsi="宋体" w:eastAsia="宋体" w:cs="宋体"/>
          <w:color w:val="auto"/>
          <w:highlight w:val="none"/>
        </w:rPr>
        <w:t>与本投标有关的正式通讯地址为：</w:t>
      </w:r>
    </w:p>
    <w:p w14:paraId="1CDFB7B6">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u w:val="single"/>
        </w:rPr>
      </w:pPr>
      <w:r>
        <w:rPr>
          <w:rFonts w:hint="eastAsia" w:ascii="宋体" w:hAnsi="宋体" w:eastAsia="宋体" w:cs="宋体"/>
          <w:color w:val="auto"/>
          <w:highlight w:val="none"/>
        </w:rPr>
        <w:t>地址：</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 xml:space="preserve"> 邮编：</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 xml:space="preserve">  电话、传真：</w:t>
      </w:r>
      <w:r>
        <w:rPr>
          <w:rFonts w:hint="eastAsia" w:ascii="宋体" w:hAnsi="宋体" w:eastAsia="宋体" w:cs="宋体"/>
          <w:color w:val="auto"/>
          <w:highlight w:val="none"/>
          <w:u w:val="single"/>
        </w:rPr>
        <w:t xml:space="preserve">            .</w:t>
      </w:r>
    </w:p>
    <w:p w14:paraId="05149E6B">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开户名称：</w:t>
      </w:r>
      <w:r>
        <w:rPr>
          <w:rFonts w:hint="eastAsia" w:ascii="宋体" w:hAnsi="宋体" w:eastAsia="宋体" w:cs="宋体"/>
          <w:color w:val="auto"/>
          <w:highlight w:val="none"/>
          <w:u w:val="single"/>
        </w:rPr>
        <w:t xml:space="preserve">                               .         </w:t>
      </w:r>
    </w:p>
    <w:p w14:paraId="7461BFEA">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开户银行：</w:t>
      </w:r>
      <w:r>
        <w:rPr>
          <w:rFonts w:hint="eastAsia" w:ascii="宋体" w:hAnsi="宋体" w:eastAsia="宋体" w:cs="宋体"/>
          <w:color w:val="auto"/>
          <w:highlight w:val="none"/>
          <w:u w:val="single"/>
        </w:rPr>
        <w:t xml:space="preserve">                               .　       </w:t>
      </w:r>
    </w:p>
    <w:p w14:paraId="5B185960">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账号：</w:t>
      </w:r>
      <w:r>
        <w:rPr>
          <w:rFonts w:hint="eastAsia" w:ascii="宋体" w:hAnsi="宋体" w:eastAsia="宋体" w:cs="宋体"/>
          <w:color w:val="auto"/>
          <w:highlight w:val="none"/>
          <w:u w:val="single"/>
        </w:rPr>
        <w:t xml:space="preserve">                                   .　　　   </w:t>
      </w:r>
    </w:p>
    <w:p w14:paraId="616D5A65">
      <w:pPr>
        <w:pStyle w:val="9"/>
        <w:keepNext w:val="0"/>
        <w:keepLines w:val="0"/>
        <w:pageBreakBefore w:val="0"/>
        <w:widowControl w:val="0"/>
        <w:kinsoku/>
        <w:wordWrap/>
        <w:overflowPunct/>
        <w:topLinePunct w:val="0"/>
        <w:autoSpaceDE/>
        <w:autoSpaceDN/>
        <w:bidi w:val="0"/>
        <w:adjustRightInd w:val="0"/>
        <w:snapToGrid w:val="0"/>
        <w:spacing w:line="340" w:lineRule="exact"/>
        <w:ind w:firstLine="198"/>
        <w:textAlignment w:val="auto"/>
        <w:rPr>
          <w:rFonts w:hint="eastAsia" w:ascii="宋体" w:hAnsi="宋体" w:eastAsia="宋体" w:cs="宋体"/>
          <w:color w:val="auto"/>
          <w:highlight w:val="none"/>
        </w:rPr>
      </w:pPr>
      <w:r>
        <w:rPr>
          <w:rFonts w:hint="eastAsia" w:ascii="宋体" w:hAnsi="宋体" w:eastAsia="宋体" w:cs="宋体"/>
          <w:color w:val="auto"/>
          <w:highlight w:val="none"/>
        </w:rPr>
        <w:t>投标人公章【（</w:t>
      </w:r>
      <w:r>
        <w:rPr>
          <w:rFonts w:hint="eastAsia" w:ascii="宋体" w:hAnsi="宋体" w:eastAsia="宋体" w:cs="宋体"/>
          <w:color w:val="auto"/>
          <w:szCs w:val="21"/>
          <w:highlight w:val="none"/>
        </w:rPr>
        <w:t>CA签章</w:t>
      </w:r>
      <w:r>
        <w:rPr>
          <w:rFonts w:hint="eastAsia" w:ascii="宋体" w:hAnsi="宋体" w:eastAsia="宋体" w:cs="宋体"/>
          <w:color w:val="auto"/>
          <w:highlight w:val="none"/>
        </w:rPr>
        <w:t>），自然人除外】：</w:t>
      </w:r>
      <w:r>
        <w:rPr>
          <w:rFonts w:hint="eastAsia" w:ascii="宋体" w:hAnsi="宋体" w:eastAsia="宋体" w:cs="宋体"/>
          <w:color w:val="auto"/>
          <w:highlight w:val="none"/>
          <w:u w:val="single"/>
        </w:rPr>
        <w:t xml:space="preserve">                     .    </w:t>
      </w:r>
    </w:p>
    <w:p w14:paraId="1F7F29BF">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法定代表人或负责人或自然人或相应的委托代理人签字（或个人CA签章）：</w:t>
      </w:r>
      <w:r>
        <w:rPr>
          <w:rFonts w:hint="eastAsia" w:ascii="宋体" w:hAnsi="宋体" w:eastAsia="宋体" w:cs="宋体"/>
          <w:color w:val="auto"/>
          <w:highlight w:val="none"/>
          <w:u w:val="single"/>
        </w:rPr>
        <w:t xml:space="preserve">               .</w:t>
      </w:r>
    </w:p>
    <w:p w14:paraId="168672DD">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投标日期：</w:t>
      </w:r>
      <w:r>
        <w:rPr>
          <w:rFonts w:hint="eastAsia" w:ascii="宋体" w:hAnsi="宋体" w:eastAsia="宋体" w:cs="宋体"/>
          <w:color w:val="auto"/>
          <w:highlight w:val="none"/>
          <w:u w:val="single"/>
        </w:rPr>
        <w:t xml:space="preserve">              .                </w:t>
      </w:r>
    </w:p>
    <w:p w14:paraId="3720EACC">
      <w:pPr>
        <w:keepNext w:val="0"/>
        <w:keepLines w:val="0"/>
        <w:pageBreakBefore w:val="0"/>
        <w:tabs>
          <w:tab w:val="left" w:pos="1305"/>
        </w:tabs>
        <w:kinsoku/>
        <w:overflowPunct/>
        <w:topLinePunct w:val="0"/>
        <w:autoSpaceDE/>
        <w:autoSpaceDN/>
        <w:bidi w:val="0"/>
        <w:spacing w:line="320" w:lineRule="exact"/>
        <w:ind w:firstLine="215" w:firstLineChars="98"/>
        <w:textAlignment w:val="auto"/>
        <w:rPr>
          <w:rFonts w:hint="eastAsia" w:ascii="宋体" w:hAnsi="宋体" w:eastAsia="宋体" w:cs="宋体"/>
          <w:bCs/>
          <w:color w:val="auto"/>
          <w:szCs w:val="21"/>
          <w:highlight w:val="none"/>
        </w:rPr>
      </w:pPr>
    </w:p>
    <w:p w14:paraId="60F397E3">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注：（1）各投标人必须就“货物采购需求”中</w:t>
      </w:r>
      <w:r>
        <w:rPr>
          <w:rFonts w:hint="eastAsia" w:ascii="宋体" w:hAnsi="宋体" w:eastAsia="宋体" w:cs="宋体"/>
          <w:color w:val="auto"/>
          <w:kern w:val="2"/>
          <w:sz w:val="21"/>
          <w:szCs w:val="21"/>
          <w:highlight w:val="none"/>
          <w:lang w:eastAsia="zh-CN"/>
        </w:rPr>
        <w:t>所投</w:t>
      </w:r>
      <w:r>
        <w:rPr>
          <w:rFonts w:hint="eastAsia" w:ascii="宋体" w:hAnsi="宋体" w:eastAsia="宋体" w:cs="宋体"/>
          <w:color w:val="auto"/>
          <w:kern w:val="2"/>
          <w:sz w:val="21"/>
          <w:szCs w:val="21"/>
          <w:highlight w:val="none"/>
        </w:rPr>
        <w:t>所有货物和服务内容作完整唯一报价，否则，其投标将被拒绝。投标文件只允许有一个报价。</w:t>
      </w:r>
    </w:p>
    <w:p w14:paraId="2F31E518">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（2）投标人应根据所投货物如实填写投标报价表的各项内容。</w:t>
      </w:r>
    </w:p>
    <w:p w14:paraId="6BF3C095">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rPr>
        <w:t>（3）投标报价表须加盖投标人公章（CA签章，自然人除外）并由法定代表人或负责人或自然人或相应的委托代理人签字（或个人CA签章）；当本表由多页构成时，需逐页加盖投标人公章（CA签章，自然人签字或个人CA签章）。</w:t>
      </w:r>
      <w:r>
        <w:rPr>
          <w:rFonts w:hint="eastAsia" w:ascii="宋体" w:hAnsi="宋体" w:eastAsia="宋体" w:cs="宋体"/>
          <w:color w:val="auto"/>
          <w:kern w:val="2"/>
          <w:sz w:val="21"/>
          <w:szCs w:val="21"/>
          <w:highlight w:val="none"/>
          <w:lang w:val="en-US" w:eastAsia="zh-CN"/>
        </w:rPr>
        <w:t xml:space="preserve">   </w:t>
      </w:r>
    </w:p>
    <w:p w14:paraId="56EEB5F8">
      <w:pPr>
        <w:widowControl w:val="0"/>
        <w:tabs>
          <w:tab w:val="left" w:pos="4214"/>
        </w:tabs>
        <w:spacing w:after="0" w:line="360" w:lineRule="exact"/>
        <w:ind w:firstLine="420" w:firstLineChars="200"/>
        <w:jc w:val="both"/>
        <w:rPr>
          <w:rFonts w:hint="default"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b/>
          <w:bCs/>
          <w:color w:val="auto"/>
          <w:kern w:val="2"/>
          <w:sz w:val="21"/>
          <w:szCs w:val="21"/>
          <w:highlight w:val="none"/>
          <w:lang w:val="en-US" w:eastAsia="zh-CN"/>
        </w:rPr>
        <w:t>备注一栏填写产品生产厂家企业类型：大型、中型、小型、微型，并如实提供相应的中小企业声明函。（投标货物中，属于中小企业生产的产品占投标报价的比例不低于30%，其中小微企业生产的产品占中小企业生产的产品的投标报价比例不低于60%。）</w:t>
      </w:r>
    </w:p>
    <w:p w14:paraId="2463F67B">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w:t>
      </w:r>
      <w:r>
        <w:rPr>
          <w:rFonts w:hint="eastAsia" w:ascii="宋体" w:hAnsi="宋体" w:eastAsia="宋体" w:cs="宋体"/>
          <w:color w:val="auto"/>
          <w:kern w:val="2"/>
          <w:sz w:val="21"/>
          <w:szCs w:val="21"/>
          <w:highlight w:val="none"/>
          <w:lang w:val="en-US" w:eastAsia="zh-CN"/>
        </w:rPr>
        <w:t>5</w:t>
      </w:r>
      <w:r>
        <w:rPr>
          <w:rFonts w:hint="eastAsia" w:ascii="宋体" w:hAnsi="宋体" w:eastAsia="宋体" w:cs="宋体"/>
          <w:color w:val="auto"/>
          <w:kern w:val="2"/>
          <w:sz w:val="21"/>
          <w:szCs w:val="21"/>
          <w:highlight w:val="none"/>
        </w:rPr>
        <w:t>）如投标的全部或部分产品属于《节能产品政府采购清单》或《环境标志产品政府采购清单》目录范围的，投标人应在本表备注栏内写明各分项货物属于节能（或环境标志）产品,同时以提供节能产品认证证书原件的扫描件或环境标志产品认证证书原件的扫描件，以便评标委员会作为优先采购或评分的依据。</w:t>
      </w:r>
    </w:p>
    <w:p w14:paraId="3EE1D9CC">
      <w:pPr>
        <w:pStyle w:val="23"/>
        <w:rPr>
          <w:rFonts w:hint="eastAsia" w:ascii="宋体" w:hAnsi="宋体" w:eastAsia="宋体" w:cs="宋体"/>
          <w:color w:val="auto"/>
          <w:highlight w:val="none"/>
        </w:rPr>
      </w:pPr>
    </w:p>
    <w:p w14:paraId="52C70C4F">
      <w:pPr>
        <w:pStyle w:val="9"/>
        <w:spacing w:line="400" w:lineRule="exact"/>
        <w:ind w:left="420" w:firstLine="643"/>
        <w:rPr>
          <w:rFonts w:hint="eastAsia" w:ascii="宋体" w:hAnsi="宋体" w:eastAsia="宋体" w:cs="宋体"/>
          <w:b/>
          <w:color w:val="auto"/>
          <w:sz w:val="32"/>
          <w:szCs w:val="32"/>
          <w:highlight w:val="none"/>
        </w:rPr>
      </w:pPr>
    </w:p>
    <w:p w14:paraId="75054A95">
      <w:pPr>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br w:type="page"/>
      </w:r>
    </w:p>
    <w:p w14:paraId="2C866F3E">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 w:val="32"/>
          <w:highlight w:val="none"/>
          <w:lang w:eastAsia="zh-CN"/>
        </w:rPr>
      </w:pPr>
      <w:r>
        <w:rPr>
          <w:rFonts w:hint="eastAsia" w:ascii="宋体" w:hAnsi="宋体" w:eastAsia="宋体" w:cs="宋体"/>
          <w:b/>
          <w:color w:val="auto"/>
          <w:sz w:val="32"/>
          <w:szCs w:val="32"/>
          <w:highlight w:val="none"/>
        </w:rPr>
        <w:t>投标报价表（格式）</w:t>
      </w:r>
      <w:r>
        <w:rPr>
          <w:rFonts w:hint="eastAsia" w:ascii="宋体" w:hAnsi="宋体" w:eastAsia="宋体" w:cs="宋体"/>
          <w:b/>
          <w:color w:val="auto"/>
          <w:sz w:val="32"/>
          <w:szCs w:val="32"/>
          <w:highlight w:val="none"/>
          <w:lang w:eastAsia="zh-CN"/>
        </w:rPr>
        <w:t>（适用于标项二</w:t>
      </w:r>
      <w:r>
        <w:rPr>
          <w:rFonts w:hint="eastAsia" w:ascii="宋体" w:hAnsi="宋体" w:eastAsia="宋体" w:cs="宋体"/>
          <w:b/>
          <w:color w:val="auto"/>
          <w:sz w:val="32"/>
          <w:szCs w:val="32"/>
          <w:highlight w:val="none"/>
          <w:lang w:val="en-US" w:eastAsia="zh-CN"/>
        </w:rPr>
        <w:t>B分标</w:t>
      </w:r>
      <w:r>
        <w:rPr>
          <w:rFonts w:hint="eastAsia" w:ascii="宋体" w:hAnsi="宋体" w:eastAsia="宋体" w:cs="宋体"/>
          <w:b/>
          <w:color w:val="auto"/>
          <w:sz w:val="32"/>
          <w:szCs w:val="32"/>
          <w:highlight w:val="none"/>
          <w:lang w:eastAsia="zh-CN"/>
        </w:rPr>
        <w:t>）</w:t>
      </w:r>
    </w:p>
    <w:p w14:paraId="61FBFE6E">
      <w:pPr>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color w:val="auto"/>
          <w:highlight w:val="none"/>
          <w:lang w:eastAsia="zh-CN"/>
        </w:rPr>
      </w:pPr>
      <w:r>
        <w:rPr>
          <w:rFonts w:hint="eastAsia" w:ascii="宋体" w:hAnsi="宋体" w:eastAsia="宋体" w:cs="宋体"/>
          <w:color w:val="auto"/>
          <w:szCs w:val="21"/>
          <w:highlight w:val="none"/>
        </w:rPr>
        <w:t>致：</w:t>
      </w:r>
      <w:r>
        <w:rPr>
          <w:rFonts w:hint="eastAsia" w:ascii="宋体" w:hAnsi="宋体" w:eastAsia="宋体" w:cs="宋体"/>
          <w:color w:val="auto"/>
          <w:highlight w:val="none"/>
          <w:u w:val="single"/>
          <w:lang w:eastAsia="zh-CN"/>
        </w:rPr>
        <w:t>广西国兴项目管理有限公司</w:t>
      </w:r>
    </w:p>
    <w:p w14:paraId="341A5207">
      <w:pPr>
        <w:pStyle w:val="9"/>
        <w:keepNext w:val="0"/>
        <w:keepLines w:val="0"/>
        <w:pageBreakBefore w:val="0"/>
        <w:widowControl w:val="0"/>
        <w:kinsoku/>
        <w:wordWrap/>
        <w:overflowPunct/>
        <w:topLinePunct w:val="0"/>
        <w:autoSpaceDE/>
        <w:autoSpaceDN/>
        <w:bidi w:val="0"/>
        <w:adjustRightInd/>
        <w:snapToGrid/>
        <w:spacing w:line="320" w:lineRule="exact"/>
        <w:ind w:firstLine="420"/>
        <w:textAlignment w:val="auto"/>
        <w:rPr>
          <w:rFonts w:hint="eastAsia" w:ascii="宋体" w:hAnsi="宋体" w:eastAsia="宋体" w:cs="宋体"/>
          <w:color w:val="auto"/>
          <w:highlight w:val="none"/>
        </w:rPr>
      </w:pPr>
      <w:r>
        <w:rPr>
          <w:rFonts w:hint="eastAsia" w:ascii="宋体" w:hAnsi="宋体" w:eastAsia="宋体" w:cs="宋体"/>
          <w:color w:val="auto"/>
          <w:highlight w:val="none"/>
        </w:rPr>
        <w:t>根据贵方</w:t>
      </w:r>
      <w:r>
        <w:rPr>
          <w:rFonts w:hint="eastAsia" w:hAnsi="宋体" w:cs="宋体"/>
          <w:color w:val="auto"/>
          <w:highlight w:val="none"/>
          <w:u w:val="single"/>
          <w:lang w:eastAsia="zh-CN"/>
        </w:rPr>
        <w:t>灌阳县洞井民族小学教学仪器设备采购</w:t>
      </w:r>
      <w:r>
        <w:rPr>
          <w:rFonts w:hint="eastAsia" w:ascii="宋体" w:hAnsi="宋体" w:eastAsia="宋体" w:cs="宋体"/>
          <w:color w:val="auto"/>
          <w:highlight w:val="none"/>
        </w:rPr>
        <w:t>项目招标文件，项目编号</w:t>
      </w:r>
      <w:r>
        <w:rPr>
          <w:rFonts w:hint="eastAsia" w:ascii="宋体" w:hAnsi="宋体" w:eastAsia="宋体" w:cs="宋体"/>
          <w:color w:val="auto"/>
          <w:szCs w:val="21"/>
          <w:highlight w:val="none"/>
          <w:u w:val="single"/>
        </w:rPr>
        <w:t xml:space="preserve"> GLZC2024-G1-270182-GXGX </w:t>
      </w:r>
      <w:r>
        <w:rPr>
          <w:rFonts w:hint="eastAsia" w:ascii="宋体" w:hAnsi="宋体" w:eastAsia="宋体" w:cs="宋体"/>
          <w:color w:val="auto"/>
          <w:szCs w:val="21"/>
          <w:highlight w:val="none"/>
        </w:rPr>
        <w:t>，签字代表</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（姓名）经正式授权并代表投标人</w:t>
      </w:r>
      <w:r>
        <w:rPr>
          <w:rFonts w:hint="eastAsia" w:ascii="宋体" w:hAnsi="宋体" w:eastAsia="宋体" w:cs="宋体"/>
          <w:color w:val="auto"/>
          <w:highlight w:val="none"/>
          <w:u w:val="single"/>
        </w:rPr>
        <w:t>（投标单位名称）</w:t>
      </w:r>
      <w:r>
        <w:rPr>
          <w:rFonts w:hint="eastAsia" w:ascii="宋体" w:hAnsi="宋体" w:eastAsia="宋体" w:cs="宋体"/>
          <w:color w:val="auto"/>
          <w:highlight w:val="none"/>
        </w:rPr>
        <w:t>，提交电子投标文件，并做出如下报价：</w:t>
      </w:r>
    </w:p>
    <w:p w14:paraId="0A984208">
      <w:pPr>
        <w:pStyle w:val="9"/>
        <w:keepNext w:val="0"/>
        <w:keepLines w:val="0"/>
        <w:pageBreakBefore w:val="0"/>
        <w:widowControl w:val="0"/>
        <w:kinsoku/>
        <w:wordWrap/>
        <w:overflowPunct/>
        <w:topLinePunct w:val="0"/>
        <w:autoSpaceDE/>
        <w:autoSpaceDN/>
        <w:bidi w:val="0"/>
        <w:adjustRightInd/>
        <w:snapToGrid/>
        <w:spacing w:line="320" w:lineRule="exact"/>
        <w:textAlignment w:val="auto"/>
        <w:rPr>
          <w:rFonts w:hint="eastAsia" w:ascii="宋体" w:hAnsi="宋体" w:eastAsia="宋体" w:cs="宋体"/>
          <w:color w:val="auto"/>
          <w:highlight w:val="none"/>
          <w:lang w:eastAsia="zh-CN"/>
        </w:rPr>
      </w:pPr>
      <w:r>
        <w:rPr>
          <w:rFonts w:hint="eastAsia" w:ascii="宋体" w:hAnsi="宋体" w:eastAsia="宋体" w:cs="宋体"/>
          <w:b/>
          <w:bCs/>
          <w:color w:val="auto"/>
          <w:highlight w:val="none"/>
          <w:u w:val="single"/>
        </w:rPr>
        <w:t>标项</w:t>
      </w:r>
      <w:r>
        <w:rPr>
          <w:rFonts w:hint="eastAsia" w:ascii="宋体" w:hAnsi="宋体" w:eastAsia="宋体" w:cs="宋体"/>
          <w:b/>
          <w:bCs/>
          <w:color w:val="auto"/>
          <w:highlight w:val="none"/>
          <w:u w:val="single"/>
          <w:lang w:eastAsia="zh-CN"/>
        </w:rPr>
        <w:t>二</w:t>
      </w:r>
      <w:r>
        <w:rPr>
          <w:rFonts w:hint="eastAsia" w:ascii="宋体" w:hAnsi="宋体" w:eastAsia="宋体" w:cs="宋体"/>
          <w:b/>
          <w:bCs/>
          <w:color w:val="auto"/>
          <w:highlight w:val="none"/>
          <w:u w:val="single"/>
        </w:rPr>
        <w:t xml:space="preserve">（ </w:t>
      </w:r>
      <w:r>
        <w:rPr>
          <w:rFonts w:hint="eastAsia" w:ascii="宋体" w:hAnsi="宋体" w:eastAsia="宋体" w:cs="宋体"/>
          <w:b/>
          <w:bCs/>
          <w:color w:val="auto"/>
          <w:highlight w:val="none"/>
          <w:u w:val="single"/>
          <w:lang w:val="en-US" w:eastAsia="zh-CN"/>
        </w:rPr>
        <w:t>B</w:t>
      </w:r>
      <w:r>
        <w:rPr>
          <w:rFonts w:hint="eastAsia" w:ascii="宋体" w:hAnsi="宋体" w:eastAsia="宋体" w:cs="宋体"/>
          <w:b/>
          <w:bCs/>
          <w:color w:val="auto"/>
          <w:highlight w:val="none"/>
          <w:u w:val="single"/>
        </w:rPr>
        <w:t>分标）</w:t>
      </w:r>
      <w:r>
        <w:rPr>
          <w:rFonts w:hint="eastAsia" w:hAnsi="宋体" w:cs="宋体"/>
          <w:b/>
          <w:bCs/>
          <w:color w:val="auto"/>
          <w:highlight w:val="none"/>
          <w:u w:val="single"/>
          <w:lang w:eastAsia="zh-CN"/>
        </w:rPr>
        <w:t>标项名称：灌阳县洞井民族小学设备采购</w:t>
      </w:r>
      <w:r>
        <w:rPr>
          <w:rFonts w:hint="eastAsia" w:ascii="宋体" w:hAnsi="宋体" w:eastAsia="宋体" w:cs="宋体"/>
          <w:color w:val="auto"/>
          <w:highlight w:val="none"/>
          <w:u w:val="single"/>
        </w:rPr>
        <w:t xml:space="preserve">  </w:t>
      </w:r>
    </w:p>
    <w:tbl>
      <w:tblPr>
        <w:tblStyle w:val="15"/>
        <w:tblW w:w="10090" w:type="dxa"/>
        <w:jc w:val="center"/>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108" w:type="dxa"/>
          <w:bottom w:w="0" w:type="dxa"/>
          <w:right w:w="108" w:type="dxa"/>
        </w:tblCellMar>
      </w:tblPr>
      <w:tblGrid>
        <w:gridCol w:w="546"/>
        <w:gridCol w:w="715"/>
        <w:gridCol w:w="1383"/>
        <w:gridCol w:w="1034"/>
        <w:gridCol w:w="1366"/>
        <w:gridCol w:w="634"/>
        <w:gridCol w:w="500"/>
        <w:gridCol w:w="950"/>
        <w:gridCol w:w="1316"/>
        <w:gridCol w:w="1646"/>
      </w:tblGrid>
      <w:tr w14:paraId="544A24D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846" w:hRule="atLeast"/>
          <w:jc w:val="center"/>
        </w:trPr>
        <w:tc>
          <w:tcPr>
            <w:tcW w:w="546" w:type="dxa"/>
            <w:tcBorders>
              <w:top w:val="single" w:color="auto" w:sz="4" w:space="0"/>
              <w:left w:val="single" w:color="auto" w:sz="4" w:space="0"/>
              <w:bottom w:val="single" w:color="auto" w:sz="4" w:space="0"/>
              <w:right w:val="single" w:color="auto" w:sz="4" w:space="0"/>
            </w:tcBorders>
            <w:noWrap w:val="0"/>
            <w:vAlign w:val="center"/>
          </w:tcPr>
          <w:p w14:paraId="368BCAC7">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项号</w:t>
            </w:r>
          </w:p>
        </w:tc>
        <w:tc>
          <w:tcPr>
            <w:tcW w:w="715" w:type="dxa"/>
            <w:tcBorders>
              <w:top w:val="single" w:color="auto" w:sz="4" w:space="0"/>
              <w:left w:val="single" w:color="auto" w:sz="4" w:space="0"/>
              <w:bottom w:val="single" w:color="auto" w:sz="4" w:space="0"/>
              <w:right w:val="single" w:color="auto" w:sz="4" w:space="0"/>
            </w:tcBorders>
            <w:noWrap w:val="0"/>
            <w:vAlign w:val="center"/>
          </w:tcPr>
          <w:p w14:paraId="0AB70160">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货物名称</w:t>
            </w:r>
          </w:p>
        </w:tc>
        <w:tc>
          <w:tcPr>
            <w:tcW w:w="1383" w:type="dxa"/>
            <w:tcBorders>
              <w:top w:val="single" w:color="auto" w:sz="4" w:space="0"/>
              <w:left w:val="single" w:color="auto" w:sz="4" w:space="0"/>
              <w:bottom w:val="single" w:color="auto" w:sz="4" w:space="0"/>
              <w:right w:val="single" w:color="auto" w:sz="4" w:space="0"/>
            </w:tcBorders>
            <w:noWrap w:val="0"/>
            <w:vAlign w:val="center"/>
          </w:tcPr>
          <w:p w14:paraId="676AFA46">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生产厂家</w:t>
            </w:r>
          </w:p>
        </w:tc>
        <w:tc>
          <w:tcPr>
            <w:tcW w:w="1034" w:type="dxa"/>
            <w:tcBorders>
              <w:top w:val="single" w:color="auto" w:sz="4" w:space="0"/>
              <w:left w:val="single" w:color="auto" w:sz="4" w:space="0"/>
              <w:bottom w:val="single" w:color="auto" w:sz="4" w:space="0"/>
              <w:right w:val="single" w:color="auto" w:sz="4" w:space="0"/>
            </w:tcBorders>
            <w:noWrap w:val="0"/>
            <w:vAlign w:val="center"/>
          </w:tcPr>
          <w:p w14:paraId="0B332551">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品牌</w:t>
            </w:r>
          </w:p>
        </w:tc>
        <w:tc>
          <w:tcPr>
            <w:tcW w:w="1366" w:type="dxa"/>
            <w:tcBorders>
              <w:top w:val="single" w:color="auto" w:sz="4" w:space="0"/>
              <w:left w:val="single" w:color="auto" w:sz="4" w:space="0"/>
              <w:bottom w:val="single" w:color="auto" w:sz="4" w:space="0"/>
              <w:right w:val="single" w:color="auto" w:sz="4" w:space="0"/>
            </w:tcBorders>
            <w:noWrap w:val="0"/>
            <w:vAlign w:val="center"/>
          </w:tcPr>
          <w:p w14:paraId="0E17E90B">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规格型号</w:t>
            </w:r>
          </w:p>
        </w:tc>
        <w:tc>
          <w:tcPr>
            <w:tcW w:w="634" w:type="dxa"/>
            <w:tcBorders>
              <w:top w:val="single" w:color="auto" w:sz="4" w:space="0"/>
              <w:left w:val="single" w:color="auto" w:sz="4" w:space="0"/>
              <w:bottom w:val="single" w:color="auto" w:sz="4" w:space="0"/>
              <w:right w:val="single" w:color="auto" w:sz="4" w:space="0"/>
            </w:tcBorders>
            <w:noWrap w:val="0"/>
            <w:vAlign w:val="center"/>
          </w:tcPr>
          <w:p w14:paraId="7BC0577C">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数量</w:t>
            </w:r>
          </w:p>
          <w:p w14:paraId="03B24011">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①</w:t>
            </w:r>
          </w:p>
        </w:tc>
        <w:tc>
          <w:tcPr>
            <w:tcW w:w="500" w:type="dxa"/>
            <w:tcBorders>
              <w:top w:val="single" w:color="auto" w:sz="4" w:space="0"/>
              <w:left w:val="single" w:color="auto" w:sz="4" w:space="0"/>
              <w:bottom w:val="single" w:color="auto" w:sz="4" w:space="0"/>
              <w:right w:val="single" w:color="auto" w:sz="4" w:space="0"/>
            </w:tcBorders>
            <w:noWrap w:val="0"/>
            <w:vAlign w:val="center"/>
          </w:tcPr>
          <w:p w14:paraId="4881D37E">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单位</w:t>
            </w:r>
          </w:p>
        </w:tc>
        <w:tc>
          <w:tcPr>
            <w:tcW w:w="950" w:type="dxa"/>
            <w:tcBorders>
              <w:top w:val="single" w:color="auto" w:sz="4" w:space="0"/>
              <w:left w:val="single" w:color="auto" w:sz="4" w:space="0"/>
              <w:bottom w:val="single" w:color="auto" w:sz="4" w:space="0"/>
              <w:right w:val="single" w:color="auto" w:sz="4" w:space="0"/>
            </w:tcBorders>
            <w:noWrap w:val="0"/>
            <w:vAlign w:val="center"/>
          </w:tcPr>
          <w:p w14:paraId="166043AC">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单价（元）</w:t>
            </w:r>
          </w:p>
          <w:p w14:paraId="29CABC26">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②</w:t>
            </w:r>
          </w:p>
        </w:tc>
        <w:tc>
          <w:tcPr>
            <w:tcW w:w="1316" w:type="dxa"/>
            <w:tcBorders>
              <w:top w:val="single" w:color="auto" w:sz="4" w:space="0"/>
              <w:left w:val="single" w:color="auto" w:sz="4" w:space="0"/>
              <w:bottom w:val="single" w:color="auto" w:sz="4" w:space="0"/>
            </w:tcBorders>
            <w:noWrap w:val="0"/>
            <w:vAlign w:val="center"/>
          </w:tcPr>
          <w:p w14:paraId="7CC00EDA">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单项合计</w:t>
            </w:r>
          </w:p>
          <w:p w14:paraId="1B28B1A7">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③=①×②</w:t>
            </w:r>
          </w:p>
        </w:tc>
        <w:tc>
          <w:tcPr>
            <w:tcW w:w="1646" w:type="dxa"/>
            <w:tcBorders>
              <w:top w:val="single" w:color="auto" w:sz="4" w:space="0"/>
              <w:left w:val="single" w:color="auto" w:sz="4" w:space="0"/>
              <w:bottom w:val="single" w:color="auto" w:sz="4" w:space="0"/>
            </w:tcBorders>
            <w:noWrap w:val="0"/>
            <w:vAlign w:val="top"/>
          </w:tcPr>
          <w:p w14:paraId="7EAB49A9">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21"/>
                <w:szCs w:val="21"/>
                <w:highlight w:val="none"/>
              </w:rPr>
            </w:pPr>
            <w:r>
              <w:rPr>
                <w:rFonts w:hint="eastAsia" w:ascii="宋体" w:hAnsi="宋体" w:eastAsia="宋体" w:cs="宋体"/>
                <w:color w:val="auto"/>
                <w:sz w:val="21"/>
                <w:szCs w:val="21"/>
                <w:highlight w:val="none"/>
              </w:rPr>
              <w:t>备注【大型/中型/小型/微型（按实际填写）】</w:t>
            </w:r>
          </w:p>
        </w:tc>
      </w:tr>
      <w:tr w14:paraId="13732D8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511"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1D59EE82">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lang w:eastAsia="zh-CN"/>
              </w:rPr>
            </w:pPr>
            <w:r>
              <w:rPr>
                <w:rFonts w:hint="eastAsia" w:ascii="宋体" w:hAnsi="宋体" w:eastAsia="宋体" w:cs="宋体"/>
                <w:color w:val="auto"/>
                <w:highlight w:val="none"/>
                <w:lang w:eastAsia="zh-CN"/>
              </w:rPr>
              <w:t>（一）</w:t>
            </w:r>
          </w:p>
        </w:tc>
      </w:tr>
      <w:tr w14:paraId="5D11F573">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546" w:type="dxa"/>
            <w:tcBorders>
              <w:top w:val="single" w:color="auto" w:sz="4" w:space="0"/>
              <w:left w:val="single" w:color="auto" w:sz="4" w:space="0"/>
              <w:bottom w:val="single" w:color="auto" w:sz="4" w:space="0"/>
              <w:right w:val="single" w:color="auto" w:sz="4" w:space="0"/>
            </w:tcBorders>
            <w:noWrap w:val="0"/>
            <w:vAlign w:val="center"/>
          </w:tcPr>
          <w:p w14:paraId="242090A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1</w:t>
            </w:r>
          </w:p>
        </w:tc>
        <w:tc>
          <w:tcPr>
            <w:tcW w:w="715" w:type="dxa"/>
            <w:tcBorders>
              <w:top w:val="single" w:color="auto" w:sz="4" w:space="0"/>
              <w:left w:val="single" w:color="auto" w:sz="4" w:space="0"/>
              <w:bottom w:val="single" w:color="auto" w:sz="4" w:space="0"/>
              <w:right w:val="single" w:color="auto" w:sz="4" w:space="0"/>
            </w:tcBorders>
            <w:noWrap w:val="0"/>
            <w:vAlign w:val="center"/>
          </w:tcPr>
          <w:p w14:paraId="64BF1A52">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83" w:type="dxa"/>
            <w:tcBorders>
              <w:top w:val="single" w:color="auto" w:sz="4" w:space="0"/>
              <w:left w:val="single" w:color="auto" w:sz="4" w:space="0"/>
              <w:bottom w:val="single" w:color="auto" w:sz="4" w:space="0"/>
              <w:right w:val="single" w:color="auto" w:sz="4" w:space="0"/>
            </w:tcBorders>
            <w:noWrap w:val="0"/>
            <w:vAlign w:val="center"/>
          </w:tcPr>
          <w:p w14:paraId="7899A325">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034" w:type="dxa"/>
            <w:tcBorders>
              <w:top w:val="single" w:color="auto" w:sz="4" w:space="0"/>
              <w:left w:val="single" w:color="auto" w:sz="4" w:space="0"/>
              <w:bottom w:val="single" w:color="auto" w:sz="4" w:space="0"/>
              <w:right w:val="single" w:color="auto" w:sz="4" w:space="0"/>
            </w:tcBorders>
            <w:noWrap w:val="0"/>
            <w:vAlign w:val="center"/>
          </w:tcPr>
          <w:p w14:paraId="3AB7FB23">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66" w:type="dxa"/>
            <w:tcBorders>
              <w:top w:val="single" w:color="auto" w:sz="4" w:space="0"/>
              <w:left w:val="single" w:color="auto" w:sz="4" w:space="0"/>
              <w:bottom w:val="single" w:color="auto" w:sz="4" w:space="0"/>
              <w:right w:val="single" w:color="auto" w:sz="4" w:space="0"/>
            </w:tcBorders>
            <w:noWrap w:val="0"/>
            <w:vAlign w:val="center"/>
          </w:tcPr>
          <w:p w14:paraId="0DFE451A">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634" w:type="dxa"/>
            <w:tcBorders>
              <w:top w:val="single" w:color="auto" w:sz="4" w:space="0"/>
              <w:left w:val="single" w:color="auto" w:sz="4" w:space="0"/>
              <w:bottom w:val="single" w:color="auto" w:sz="4" w:space="0"/>
              <w:right w:val="single" w:color="auto" w:sz="4" w:space="0"/>
            </w:tcBorders>
            <w:noWrap w:val="0"/>
            <w:vAlign w:val="center"/>
          </w:tcPr>
          <w:p w14:paraId="2071D087">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500" w:type="dxa"/>
            <w:tcBorders>
              <w:top w:val="single" w:color="auto" w:sz="4" w:space="0"/>
              <w:left w:val="single" w:color="auto" w:sz="4" w:space="0"/>
              <w:bottom w:val="single" w:color="auto" w:sz="4" w:space="0"/>
              <w:right w:val="single" w:color="auto" w:sz="4" w:space="0"/>
            </w:tcBorders>
            <w:noWrap w:val="0"/>
            <w:vAlign w:val="center"/>
          </w:tcPr>
          <w:p w14:paraId="265B17C0">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799F7BE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316" w:type="dxa"/>
            <w:tcBorders>
              <w:top w:val="single" w:color="auto" w:sz="4" w:space="0"/>
              <w:left w:val="single" w:color="auto" w:sz="4" w:space="0"/>
              <w:bottom w:val="single" w:color="auto" w:sz="4" w:space="0"/>
            </w:tcBorders>
            <w:noWrap w:val="0"/>
            <w:vAlign w:val="center"/>
          </w:tcPr>
          <w:p w14:paraId="53FCAFB7">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646" w:type="dxa"/>
            <w:tcBorders>
              <w:top w:val="single" w:color="auto" w:sz="4" w:space="0"/>
              <w:left w:val="single" w:color="auto" w:sz="4" w:space="0"/>
              <w:bottom w:val="single" w:color="auto" w:sz="4" w:space="0"/>
            </w:tcBorders>
            <w:noWrap w:val="0"/>
            <w:vAlign w:val="top"/>
          </w:tcPr>
          <w:p w14:paraId="092F872B">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r>
      <w:tr w14:paraId="6E0DF5F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546" w:type="dxa"/>
            <w:tcBorders>
              <w:top w:val="single" w:color="auto" w:sz="4" w:space="0"/>
              <w:left w:val="single" w:color="auto" w:sz="4" w:space="0"/>
              <w:right w:val="single" w:color="auto" w:sz="4" w:space="0"/>
            </w:tcBorders>
            <w:noWrap w:val="0"/>
            <w:vAlign w:val="center"/>
          </w:tcPr>
          <w:p w14:paraId="6A7B4D1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2</w:t>
            </w:r>
          </w:p>
        </w:tc>
        <w:tc>
          <w:tcPr>
            <w:tcW w:w="715" w:type="dxa"/>
            <w:tcBorders>
              <w:top w:val="single" w:color="auto" w:sz="4" w:space="0"/>
              <w:left w:val="single" w:color="auto" w:sz="4" w:space="0"/>
              <w:bottom w:val="single" w:color="auto" w:sz="4" w:space="0"/>
              <w:right w:val="single" w:color="auto" w:sz="4" w:space="0"/>
            </w:tcBorders>
            <w:noWrap w:val="0"/>
            <w:vAlign w:val="center"/>
          </w:tcPr>
          <w:p w14:paraId="4C928CAF">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83" w:type="dxa"/>
            <w:tcBorders>
              <w:top w:val="single" w:color="auto" w:sz="4" w:space="0"/>
              <w:left w:val="single" w:color="auto" w:sz="4" w:space="0"/>
              <w:bottom w:val="single" w:color="auto" w:sz="4" w:space="0"/>
              <w:right w:val="single" w:color="auto" w:sz="4" w:space="0"/>
            </w:tcBorders>
            <w:noWrap w:val="0"/>
            <w:vAlign w:val="center"/>
          </w:tcPr>
          <w:p w14:paraId="0ABCF06D">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034" w:type="dxa"/>
            <w:tcBorders>
              <w:top w:val="single" w:color="auto" w:sz="4" w:space="0"/>
              <w:left w:val="single" w:color="auto" w:sz="4" w:space="0"/>
              <w:bottom w:val="single" w:color="auto" w:sz="4" w:space="0"/>
              <w:right w:val="single" w:color="auto" w:sz="4" w:space="0"/>
            </w:tcBorders>
            <w:noWrap w:val="0"/>
            <w:vAlign w:val="center"/>
          </w:tcPr>
          <w:p w14:paraId="5FADC88F">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66" w:type="dxa"/>
            <w:tcBorders>
              <w:top w:val="single" w:color="auto" w:sz="4" w:space="0"/>
              <w:left w:val="single" w:color="auto" w:sz="4" w:space="0"/>
              <w:bottom w:val="single" w:color="auto" w:sz="4" w:space="0"/>
              <w:right w:val="single" w:color="auto" w:sz="4" w:space="0"/>
            </w:tcBorders>
            <w:noWrap w:val="0"/>
            <w:vAlign w:val="center"/>
          </w:tcPr>
          <w:p w14:paraId="05B99C65">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634" w:type="dxa"/>
            <w:tcBorders>
              <w:top w:val="single" w:color="auto" w:sz="4" w:space="0"/>
              <w:left w:val="single" w:color="auto" w:sz="4" w:space="0"/>
              <w:bottom w:val="single" w:color="auto" w:sz="4" w:space="0"/>
              <w:right w:val="single" w:color="auto" w:sz="4" w:space="0"/>
            </w:tcBorders>
            <w:noWrap w:val="0"/>
            <w:vAlign w:val="center"/>
          </w:tcPr>
          <w:p w14:paraId="51D813A7">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500" w:type="dxa"/>
            <w:tcBorders>
              <w:top w:val="single" w:color="auto" w:sz="4" w:space="0"/>
              <w:left w:val="single" w:color="auto" w:sz="4" w:space="0"/>
              <w:bottom w:val="single" w:color="auto" w:sz="4" w:space="0"/>
              <w:right w:val="single" w:color="auto" w:sz="4" w:space="0"/>
            </w:tcBorders>
            <w:noWrap w:val="0"/>
            <w:vAlign w:val="center"/>
          </w:tcPr>
          <w:p w14:paraId="0A7C00CF">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77D649E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316" w:type="dxa"/>
            <w:tcBorders>
              <w:top w:val="single" w:color="auto" w:sz="4" w:space="0"/>
              <w:left w:val="single" w:color="auto" w:sz="4" w:space="0"/>
              <w:bottom w:val="single" w:color="auto" w:sz="4" w:space="0"/>
            </w:tcBorders>
            <w:noWrap w:val="0"/>
            <w:vAlign w:val="center"/>
          </w:tcPr>
          <w:p w14:paraId="152BD9C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646" w:type="dxa"/>
            <w:tcBorders>
              <w:top w:val="single" w:color="auto" w:sz="4" w:space="0"/>
              <w:left w:val="single" w:color="auto" w:sz="4" w:space="0"/>
              <w:bottom w:val="single" w:color="auto" w:sz="4" w:space="0"/>
            </w:tcBorders>
            <w:noWrap w:val="0"/>
            <w:vAlign w:val="top"/>
          </w:tcPr>
          <w:p w14:paraId="7D8BA0E5">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r>
      <w:tr w14:paraId="6CC0B13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546" w:type="dxa"/>
            <w:tcBorders>
              <w:top w:val="single" w:color="auto" w:sz="4" w:space="0"/>
              <w:left w:val="single" w:color="auto" w:sz="4" w:space="0"/>
              <w:right w:val="single" w:color="auto" w:sz="4" w:space="0"/>
            </w:tcBorders>
            <w:noWrap w:val="0"/>
            <w:vAlign w:val="center"/>
          </w:tcPr>
          <w:p w14:paraId="19D62BC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r>
              <w:rPr>
                <w:rFonts w:hint="eastAsia" w:ascii="宋体" w:hAnsi="宋体" w:eastAsia="宋体" w:cs="宋体"/>
                <w:color w:val="auto"/>
                <w:szCs w:val="21"/>
                <w:highlight w:val="none"/>
              </w:rPr>
              <w:t>…</w:t>
            </w:r>
          </w:p>
        </w:tc>
        <w:tc>
          <w:tcPr>
            <w:tcW w:w="715" w:type="dxa"/>
            <w:tcBorders>
              <w:top w:val="single" w:color="auto" w:sz="4" w:space="0"/>
              <w:left w:val="single" w:color="auto" w:sz="4" w:space="0"/>
              <w:bottom w:val="single" w:color="auto" w:sz="4" w:space="0"/>
              <w:right w:val="single" w:color="auto" w:sz="4" w:space="0"/>
            </w:tcBorders>
            <w:noWrap w:val="0"/>
            <w:vAlign w:val="center"/>
          </w:tcPr>
          <w:p w14:paraId="575785A5">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83" w:type="dxa"/>
            <w:tcBorders>
              <w:top w:val="single" w:color="auto" w:sz="4" w:space="0"/>
              <w:left w:val="single" w:color="auto" w:sz="4" w:space="0"/>
              <w:bottom w:val="single" w:color="auto" w:sz="4" w:space="0"/>
              <w:right w:val="single" w:color="auto" w:sz="4" w:space="0"/>
            </w:tcBorders>
            <w:noWrap w:val="0"/>
            <w:vAlign w:val="center"/>
          </w:tcPr>
          <w:p w14:paraId="53A26B0D">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034" w:type="dxa"/>
            <w:tcBorders>
              <w:top w:val="single" w:color="auto" w:sz="4" w:space="0"/>
              <w:left w:val="single" w:color="auto" w:sz="4" w:space="0"/>
              <w:bottom w:val="single" w:color="auto" w:sz="4" w:space="0"/>
              <w:right w:val="single" w:color="auto" w:sz="4" w:space="0"/>
            </w:tcBorders>
            <w:noWrap w:val="0"/>
            <w:vAlign w:val="center"/>
          </w:tcPr>
          <w:p w14:paraId="774EFECB">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1366" w:type="dxa"/>
            <w:tcBorders>
              <w:top w:val="single" w:color="auto" w:sz="4" w:space="0"/>
              <w:left w:val="single" w:color="auto" w:sz="4" w:space="0"/>
              <w:bottom w:val="single" w:color="auto" w:sz="4" w:space="0"/>
              <w:right w:val="single" w:color="auto" w:sz="4" w:space="0"/>
            </w:tcBorders>
            <w:noWrap w:val="0"/>
            <w:vAlign w:val="center"/>
          </w:tcPr>
          <w:p w14:paraId="5AB4B1F5">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highlight w:val="none"/>
              </w:rPr>
            </w:pPr>
          </w:p>
        </w:tc>
        <w:tc>
          <w:tcPr>
            <w:tcW w:w="634" w:type="dxa"/>
            <w:tcBorders>
              <w:top w:val="single" w:color="auto" w:sz="4" w:space="0"/>
              <w:left w:val="single" w:color="auto" w:sz="4" w:space="0"/>
              <w:bottom w:val="single" w:color="auto" w:sz="4" w:space="0"/>
              <w:right w:val="single" w:color="auto" w:sz="4" w:space="0"/>
            </w:tcBorders>
            <w:noWrap w:val="0"/>
            <w:vAlign w:val="center"/>
          </w:tcPr>
          <w:p w14:paraId="66F9164D">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500" w:type="dxa"/>
            <w:tcBorders>
              <w:top w:val="single" w:color="auto" w:sz="4" w:space="0"/>
              <w:left w:val="single" w:color="auto" w:sz="4" w:space="0"/>
              <w:bottom w:val="single" w:color="auto" w:sz="4" w:space="0"/>
              <w:right w:val="single" w:color="auto" w:sz="4" w:space="0"/>
            </w:tcBorders>
            <w:noWrap w:val="0"/>
            <w:vAlign w:val="center"/>
          </w:tcPr>
          <w:p w14:paraId="5BED9E0E">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color w:val="auto"/>
                <w:szCs w:val="21"/>
                <w:highlight w:val="none"/>
              </w:rPr>
            </w:pPr>
          </w:p>
        </w:tc>
        <w:tc>
          <w:tcPr>
            <w:tcW w:w="950" w:type="dxa"/>
            <w:tcBorders>
              <w:top w:val="single" w:color="auto" w:sz="4" w:space="0"/>
              <w:left w:val="single" w:color="auto" w:sz="4" w:space="0"/>
              <w:bottom w:val="single" w:color="auto" w:sz="4" w:space="0"/>
              <w:right w:val="single" w:color="auto" w:sz="4" w:space="0"/>
            </w:tcBorders>
            <w:noWrap w:val="0"/>
            <w:vAlign w:val="center"/>
          </w:tcPr>
          <w:p w14:paraId="088B9E5C">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316" w:type="dxa"/>
            <w:tcBorders>
              <w:top w:val="single" w:color="auto" w:sz="4" w:space="0"/>
              <w:left w:val="single" w:color="auto" w:sz="4" w:space="0"/>
              <w:bottom w:val="single" w:color="auto" w:sz="4" w:space="0"/>
            </w:tcBorders>
            <w:noWrap w:val="0"/>
            <w:vAlign w:val="center"/>
          </w:tcPr>
          <w:p w14:paraId="3A110E6B">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c>
          <w:tcPr>
            <w:tcW w:w="1646" w:type="dxa"/>
            <w:tcBorders>
              <w:top w:val="single" w:color="auto" w:sz="4" w:space="0"/>
              <w:left w:val="single" w:color="auto" w:sz="4" w:space="0"/>
              <w:bottom w:val="single" w:color="auto" w:sz="4" w:space="0"/>
            </w:tcBorders>
            <w:noWrap w:val="0"/>
            <w:vAlign w:val="top"/>
          </w:tcPr>
          <w:p w14:paraId="21E4815D">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r>
      <w:tr w14:paraId="6FB31F9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7128" w:type="dxa"/>
            <w:gridSpan w:val="8"/>
            <w:tcBorders>
              <w:top w:val="single" w:color="auto" w:sz="4" w:space="0"/>
              <w:left w:val="single" w:color="auto" w:sz="4" w:space="0"/>
              <w:right w:val="single" w:color="auto" w:sz="4" w:space="0"/>
            </w:tcBorders>
            <w:noWrap w:val="0"/>
            <w:vAlign w:val="center"/>
          </w:tcPr>
          <w:p w14:paraId="10BAA133">
            <w:pPr>
              <w:keepNext w:val="0"/>
              <w:keepLines w:val="0"/>
              <w:pageBreakBefore w:val="0"/>
              <w:kinsoku/>
              <w:wordWrap w:val="0"/>
              <w:overflowPunct/>
              <w:topLinePunct w:val="0"/>
              <w:autoSpaceDE/>
              <w:autoSpaceDN/>
              <w:bidi w:val="0"/>
              <w:spacing w:line="320" w:lineRule="exact"/>
              <w:jc w:val="right"/>
              <w:textAlignment w:val="auto"/>
              <w:rPr>
                <w:rFonts w:hint="eastAsia" w:ascii="宋体" w:hAnsi="宋体" w:eastAsia="宋体" w:cs="宋体"/>
                <w:b/>
                <w:bCs/>
                <w:color w:val="auto"/>
                <w:highlight w:val="none"/>
              </w:rPr>
            </w:pPr>
            <w:r>
              <w:rPr>
                <w:rFonts w:hint="eastAsia" w:ascii="宋体" w:hAnsi="宋体" w:eastAsia="宋体" w:cs="宋体"/>
                <w:b/>
                <w:bCs/>
                <w:color w:val="auto"/>
                <w:highlight w:val="none"/>
              </w:rPr>
              <w:t xml:space="preserve">合 计  </w:t>
            </w:r>
          </w:p>
        </w:tc>
        <w:tc>
          <w:tcPr>
            <w:tcW w:w="2962" w:type="dxa"/>
            <w:gridSpan w:val="2"/>
            <w:tcBorders>
              <w:top w:val="single" w:color="auto" w:sz="4" w:space="0"/>
              <w:left w:val="single" w:color="auto" w:sz="4" w:space="0"/>
              <w:bottom w:val="single" w:color="auto" w:sz="4" w:space="0"/>
            </w:tcBorders>
            <w:noWrap w:val="0"/>
            <w:vAlign w:val="center"/>
          </w:tcPr>
          <w:p w14:paraId="16CD1164">
            <w:pPr>
              <w:keepNext w:val="0"/>
              <w:keepLines w:val="0"/>
              <w:pageBreakBefore w:val="0"/>
              <w:kinsoku/>
              <w:overflowPunct/>
              <w:topLinePunct w:val="0"/>
              <w:autoSpaceDE/>
              <w:autoSpaceDN/>
              <w:bidi w:val="0"/>
              <w:spacing w:line="320" w:lineRule="exact"/>
              <w:jc w:val="center"/>
              <w:textAlignment w:val="auto"/>
              <w:rPr>
                <w:rFonts w:hint="eastAsia" w:ascii="宋体" w:hAnsi="宋体" w:eastAsia="宋体" w:cs="宋体"/>
                <w:b/>
                <w:bCs/>
                <w:color w:val="auto"/>
                <w:highlight w:val="none"/>
              </w:rPr>
            </w:pPr>
          </w:p>
        </w:tc>
      </w:tr>
      <w:tr w14:paraId="0F10913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69864934">
            <w:pPr>
              <w:keepNext w:val="0"/>
              <w:keepLines w:val="0"/>
              <w:pageBreakBefore w:val="0"/>
              <w:kinsoku/>
              <w:overflowPunct/>
              <w:topLinePunct w:val="0"/>
              <w:autoSpaceDE/>
              <w:autoSpaceDN/>
              <w:bidi w:val="0"/>
              <w:spacing w:line="320" w:lineRule="exact"/>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投标总报价</w:t>
            </w:r>
            <w:r>
              <w:rPr>
                <w:rFonts w:hint="eastAsia" w:ascii="宋体" w:hAnsi="宋体" w:eastAsia="宋体" w:cs="宋体"/>
                <w:color w:val="auto"/>
                <w:spacing w:val="-6"/>
                <w:highlight w:val="none"/>
                <w:lang w:eastAsia="zh-CN"/>
              </w:rPr>
              <w:t>为</w:t>
            </w:r>
            <w:r>
              <w:rPr>
                <w:rFonts w:hint="eastAsia" w:ascii="宋体" w:hAnsi="宋体" w:eastAsia="宋体" w:cs="宋体"/>
                <w:color w:val="auto"/>
                <w:spacing w:val="-6"/>
                <w:highlight w:val="none"/>
              </w:rPr>
              <w:t>人民币（大写）：</w:t>
            </w:r>
            <w:r>
              <w:rPr>
                <w:rFonts w:hint="eastAsia" w:ascii="宋体" w:hAnsi="宋体" w:eastAsia="宋体" w:cs="宋体"/>
                <w:color w:val="auto"/>
                <w:spacing w:val="-6"/>
                <w:highlight w:val="none"/>
                <w:u w:val="single"/>
              </w:rPr>
              <w:t xml:space="preserve">                  元（￥                      ）</w:t>
            </w:r>
          </w:p>
        </w:tc>
      </w:tr>
      <w:tr w14:paraId="2B67C7D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18F3F234">
            <w:pPr>
              <w:keepNext w:val="0"/>
              <w:keepLines w:val="0"/>
              <w:pageBreakBefore w:val="0"/>
              <w:kinsoku/>
              <w:overflowPunct/>
              <w:topLinePunct w:val="0"/>
              <w:autoSpaceDE/>
              <w:autoSpaceDN/>
              <w:bidi w:val="0"/>
              <w:spacing w:line="320" w:lineRule="exact"/>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本项目投标有效期为投标截止时间之日起90天。</w:t>
            </w:r>
          </w:p>
        </w:tc>
      </w:tr>
      <w:tr w14:paraId="49554D2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79F4BDF4">
            <w:pPr>
              <w:keepNext w:val="0"/>
              <w:keepLines w:val="0"/>
              <w:pageBreakBefore w:val="0"/>
              <w:kinsoku/>
              <w:overflowPunct/>
              <w:topLinePunct w:val="0"/>
              <w:autoSpaceDE/>
              <w:autoSpaceDN/>
              <w:bidi w:val="0"/>
              <w:spacing w:line="320" w:lineRule="exact"/>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免费保修期:</w:t>
            </w:r>
          </w:p>
        </w:tc>
      </w:tr>
      <w:tr w14:paraId="05993A9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190"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1940F53C">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其中：</w:t>
            </w:r>
          </w:p>
          <w:p w14:paraId="1573DD1D">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属于财政部《节能产品政府采购品目清单》内产品的总金额为人民币（大写）：</w:t>
            </w:r>
            <w:r>
              <w:rPr>
                <w:rFonts w:hint="eastAsia" w:ascii="宋体" w:hAnsi="宋体" w:eastAsia="宋体" w:cs="宋体"/>
                <w:color w:val="auto"/>
                <w:spacing w:val="-6"/>
                <w:highlight w:val="none"/>
                <w:u w:val="single"/>
              </w:rPr>
              <w:t xml:space="preserve">      </w:t>
            </w:r>
            <w:r>
              <w:rPr>
                <w:rFonts w:hint="eastAsia" w:ascii="宋体" w:hAnsi="宋体" w:eastAsia="宋体" w:cs="宋体"/>
                <w:color w:val="auto"/>
                <w:spacing w:val="-6"/>
                <w:highlight w:val="none"/>
                <w:u w:val="none"/>
              </w:rPr>
              <w:t>元</w:t>
            </w:r>
            <w:r>
              <w:rPr>
                <w:rFonts w:hint="eastAsia" w:ascii="宋体" w:hAnsi="宋体" w:eastAsia="宋体" w:cs="宋体"/>
                <w:color w:val="auto"/>
                <w:spacing w:val="-6"/>
                <w:highlight w:val="none"/>
              </w:rPr>
              <w:t xml:space="preserve"> （￥    ）； </w:t>
            </w:r>
          </w:p>
          <w:p w14:paraId="7AF37B2F">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属于财政部《环境标志产品政府采购品目清单》内产品的总金额为人民币（大写）：</w:t>
            </w:r>
            <w:r>
              <w:rPr>
                <w:rFonts w:hint="eastAsia" w:ascii="宋体" w:hAnsi="宋体" w:eastAsia="宋体" w:cs="宋体"/>
                <w:color w:val="auto"/>
                <w:spacing w:val="-6"/>
                <w:highlight w:val="none"/>
                <w:u w:val="single"/>
              </w:rPr>
              <w:t xml:space="preserve">     </w:t>
            </w:r>
            <w:r>
              <w:rPr>
                <w:rFonts w:hint="eastAsia" w:ascii="宋体" w:hAnsi="宋体" w:eastAsia="宋体" w:cs="宋体"/>
                <w:color w:val="auto"/>
                <w:spacing w:val="-6"/>
                <w:highlight w:val="none"/>
              </w:rPr>
              <w:t>元 （￥    ）。</w:t>
            </w:r>
          </w:p>
          <w:p w14:paraId="51D215DD">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备注：若不属于财政部《节能产品政府采购品目清单》及《环境标志产品政府采购品目清单》内产品的，则该处填写“无”字样。</w:t>
            </w:r>
          </w:p>
        </w:tc>
      </w:tr>
      <w:tr w14:paraId="47DE761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108" w:type="dxa"/>
            <w:bottom w:w="0" w:type="dxa"/>
            <w:right w:w="108" w:type="dxa"/>
          </w:tblCellMar>
        </w:tblPrEx>
        <w:trPr>
          <w:cantSplit/>
          <w:trHeight w:val="977" w:hRule="atLeast"/>
          <w:jc w:val="center"/>
        </w:trPr>
        <w:tc>
          <w:tcPr>
            <w:tcW w:w="10090" w:type="dxa"/>
            <w:gridSpan w:val="10"/>
            <w:tcBorders>
              <w:top w:val="single" w:color="auto" w:sz="4" w:space="0"/>
              <w:left w:val="single" w:color="auto" w:sz="4" w:space="0"/>
              <w:bottom w:val="single" w:color="auto" w:sz="4" w:space="0"/>
            </w:tcBorders>
            <w:noWrap w:val="0"/>
            <w:vAlign w:val="center"/>
          </w:tcPr>
          <w:p w14:paraId="3179E7C5">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hint="eastAsia" w:ascii="宋体" w:hAnsi="宋体" w:eastAsia="宋体" w:cs="宋体"/>
                <w:color w:val="auto"/>
                <w:spacing w:val="-6"/>
                <w:highlight w:val="none"/>
              </w:rPr>
            </w:pPr>
            <w:r>
              <w:rPr>
                <w:rFonts w:hint="eastAsia" w:ascii="宋体" w:hAnsi="宋体" w:eastAsia="宋体" w:cs="宋体"/>
                <w:color w:val="auto"/>
                <w:spacing w:val="-6"/>
                <w:highlight w:val="none"/>
              </w:rPr>
              <w:t>说明：投标报价应包括本次招标采购范围内货物价款、货物随配标准附件、包装、运输、装卸、保险、税金、货到位以及安装、安装所需辅材、调试、检验、售后服务、培训、保修及其他所有成本费用的总和，投标人应综合考虑在报价中。</w:t>
            </w:r>
          </w:p>
        </w:tc>
      </w:tr>
    </w:tbl>
    <w:p w14:paraId="7103A858">
      <w:pPr>
        <w:pStyle w:val="9"/>
        <w:keepNext w:val="0"/>
        <w:keepLines w:val="0"/>
        <w:pageBreakBefore w:val="0"/>
        <w:kinsoku/>
        <w:overflowPunct/>
        <w:topLinePunct w:val="0"/>
        <w:autoSpaceDE/>
        <w:autoSpaceDN/>
        <w:bidi w:val="0"/>
        <w:spacing w:line="320" w:lineRule="exact"/>
        <w:ind w:firstLine="210" w:firstLineChars="100"/>
        <w:textAlignment w:val="auto"/>
        <w:rPr>
          <w:rFonts w:hint="eastAsia" w:ascii="宋体" w:hAnsi="宋体" w:eastAsia="宋体" w:cs="宋体"/>
          <w:color w:val="auto"/>
          <w:highlight w:val="none"/>
        </w:rPr>
      </w:pPr>
      <w:r>
        <w:rPr>
          <w:rFonts w:hint="eastAsia" w:ascii="宋体" w:hAnsi="宋体" w:eastAsia="宋体" w:cs="宋体"/>
          <w:color w:val="auto"/>
          <w:highlight w:val="none"/>
        </w:rPr>
        <w:t>与本投标有关的正式通讯地址为：</w:t>
      </w:r>
    </w:p>
    <w:p w14:paraId="0BA05B87">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u w:val="single"/>
        </w:rPr>
      </w:pPr>
      <w:r>
        <w:rPr>
          <w:rFonts w:hint="eastAsia" w:ascii="宋体" w:hAnsi="宋体" w:eastAsia="宋体" w:cs="宋体"/>
          <w:color w:val="auto"/>
          <w:highlight w:val="none"/>
        </w:rPr>
        <w:t>地址：</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 xml:space="preserve"> 邮编：</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rPr>
        <w:t xml:space="preserve">  电话、传真：</w:t>
      </w:r>
      <w:r>
        <w:rPr>
          <w:rFonts w:hint="eastAsia" w:ascii="宋体" w:hAnsi="宋体" w:eastAsia="宋体" w:cs="宋体"/>
          <w:color w:val="auto"/>
          <w:highlight w:val="none"/>
          <w:u w:val="single"/>
        </w:rPr>
        <w:t xml:space="preserve">            .</w:t>
      </w:r>
    </w:p>
    <w:p w14:paraId="0892E01D">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开户名称：</w:t>
      </w:r>
      <w:r>
        <w:rPr>
          <w:rFonts w:hint="eastAsia" w:ascii="宋体" w:hAnsi="宋体" w:eastAsia="宋体" w:cs="宋体"/>
          <w:color w:val="auto"/>
          <w:highlight w:val="none"/>
          <w:u w:val="single"/>
        </w:rPr>
        <w:t xml:space="preserve">                               .         </w:t>
      </w:r>
    </w:p>
    <w:p w14:paraId="22EFBDEA">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开户银行：</w:t>
      </w:r>
      <w:r>
        <w:rPr>
          <w:rFonts w:hint="eastAsia" w:ascii="宋体" w:hAnsi="宋体" w:eastAsia="宋体" w:cs="宋体"/>
          <w:color w:val="auto"/>
          <w:highlight w:val="none"/>
          <w:u w:val="single"/>
        </w:rPr>
        <w:t xml:space="preserve">                               .　       </w:t>
      </w:r>
    </w:p>
    <w:p w14:paraId="277AEA4C">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账号：</w:t>
      </w:r>
      <w:r>
        <w:rPr>
          <w:rFonts w:hint="eastAsia" w:ascii="宋体" w:hAnsi="宋体" w:eastAsia="宋体" w:cs="宋体"/>
          <w:color w:val="auto"/>
          <w:highlight w:val="none"/>
          <w:u w:val="single"/>
        </w:rPr>
        <w:t xml:space="preserve">                                   .　　　   </w:t>
      </w:r>
    </w:p>
    <w:p w14:paraId="671C51BC">
      <w:pPr>
        <w:pStyle w:val="9"/>
        <w:keepNext w:val="0"/>
        <w:keepLines w:val="0"/>
        <w:pageBreakBefore w:val="0"/>
        <w:widowControl w:val="0"/>
        <w:kinsoku/>
        <w:wordWrap/>
        <w:overflowPunct/>
        <w:topLinePunct w:val="0"/>
        <w:autoSpaceDE/>
        <w:autoSpaceDN/>
        <w:bidi w:val="0"/>
        <w:adjustRightInd w:val="0"/>
        <w:snapToGrid w:val="0"/>
        <w:spacing w:line="340" w:lineRule="exact"/>
        <w:ind w:firstLine="198"/>
        <w:textAlignment w:val="auto"/>
        <w:rPr>
          <w:rFonts w:hint="eastAsia" w:ascii="宋体" w:hAnsi="宋体" w:eastAsia="宋体" w:cs="宋体"/>
          <w:color w:val="auto"/>
          <w:highlight w:val="none"/>
        </w:rPr>
      </w:pPr>
      <w:r>
        <w:rPr>
          <w:rFonts w:hint="eastAsia" w:ascii="宋体" w:hAnsi="宋体" w:eastAsia="宋体" w:cs="宋体"/>
          <w:color w:val="auto"/>
          <w:highlight w:val="none"/>
        </w:rPr>
        <w:t>投标人公章【（</w:t>
      </w:r>
      <w:r>
        <w:rPr>
          <w:rFonts w:hint="eastAsia" w:ascii="宋体" w:hAnsi="宋体" w:eastAsia="宋体" w:cs="宋体"/>
          <w:color w:val="auto"/>
          <w:szCs w:val="21"/>
          <w:highlight w:val="none"/>
        </w:rPr>
        <w:t>CA签章</w:t>
      </w:r>
      <w:r>
        <w:rPr>
          <w:rFonts w:hint="eastAsia" w:ascii="宋体" w:hAnsi="宋体" w:eastAsia="宋体" w:cs="宋体"/>
          <w:color w:val="auto"/>
          <w:highlight w:val="none"/>
        </w:rPr>
        <w:t>），自然人除外】：</w:t>
      </w:r>
      <w:r>
        <w:rPr>
          <w:rFonts w:hint="eastAsia" w:ascii="宋体" w:hAnsi="宋体" w:eastAsia="宋体" w:cs="宋体"/>
          <w:color w:val="auto"/>
          <w:highlight w:val="none"/>
          <w:u w:val="single"/>
        </w:rPr>
        <w:t xml:space="preserve">                     .    </w:t>
      </w:r>
    </w:p>
    <w:p w14:paraId="210F7D92">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法定代表人或负责人或自然人或相应的委托代理人签字（或个人CA签章）：</w:t>
      </w:r>
      <w:r>
        <w:rPr>
          <w:rFonts w:hint="eastAsia" w:ascii="宋体" w:hAnsi="宋体" w:eastAsia="宋体" w:cs="宋体"/>
          <w:color w:val="auto"/>
          <w:highlight w:val="none"/>
          <w:u w:val="single"/>
        </w:rPr>
        <w:t xml:space="preserve">               .</w:t>
      </w:r>
    </w:p>
    <w:p w14:paraId="219D4D68">
      <w:pPr>
        <w:pStyle w:val="9"/>
        <w:keepNext w:val="0"/>
        <w:keepLines w:val="0"/>
        <w:pageBreakBefore w:val="0"/>
        <w:kinsoku/>
        <w:overflowPunct/>
        <w:topLinePunct w:val="0"/>
        <w:autoSpaceDE/>
        <w:autoSpaceDN/>
        <w:bidi w:val="0"/>
        <w:spacing w:line="320" w:lineRule="exact"/>
        <w:ind w:firstLine="200"/>
        <w:textAlignment w:val="auto"/>
        <w:rPr>
          <w:rFonts w:hint="eastAsia" w:ascii="宋体" w:hAnsi="宋体" w:eastAsia="宋体" w:cs="宋体"/>
          <w:color w:val="auto"/>
          <w:highlight w:val="none"/>
        </w:rPr>
      </w:pPr>
      <w:r>
        <w:rPr>
          <w:rFonts w:hint="eastAsia" w:ascii="宋体" w:hAnsi="宋体" w:eastAsia="宋体" w:cs="宋体"/>
          <w:color w:val="auto"/>
          <w:highlight w:val="none"/>
        </w:rPr>
        <w:t>投标日期：</w:t>
      </w:r>
      <w:r>
        <w:rPr>
          <w:rFonts w:hint="eastAsia" w:ascii="宋体" w:hAnsi="宋体" w:eastAsia="宋体" w:cs="宋体"/>
          <w:color w:val="auto"/>
          <w:highlight w:val="none"/>
          <w:u w:val="single"/>
        </w:rPr>
        <w:t xml:space="preserve">              .                </w:t>
      </w:r>
    </w:p>
    <w:p w14:paraId="6161325B">
      <w:pPr>
        <w:keepNext w:val="0"/>
        <w:keepLines w:val="0"/>
        <w:pageBreakBefore w:val="0"/>
        <w:tabs>
          <w:tab w:val="left" w:pos="1305"/>
        </w:tabs>
        <w:kinsoku/>
        <w:overflowPunct/>
        <w:topLinePunct w:val="0"/>
        <w:autoSpaceDE/>
        <w:autoSpaceDN/>
        <w:bidi w:val="0"/>
        <w:spacing w:line="320" w:lineRule="exact"/>
        <w:ind w:firstLine="215" w:firstLineChars="98"/>
        <w:textAlignment w:val="auto"/>
        <w:rPr>
          <w:rFonts w:hint="eastAsia" w:ascii="宋体" w:hAnsi="宋体" w:eastAsia="宋体" w:cs="宋体"/>
          <w:bCs/>
          <w:color w:val="auto"/>
          <w:szCs w:val="21"/>
          <w:highlight w:val="none"/>
        </w:rPr>
      </w:pPr>
    </w:p>
    <w:p w14:paraId="050B52DA">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注：（1）各投标人必须就“货物采购需求”中</w:t>
      </w:r>
      <w:r>
        <w:rPr>
          <w:rFonts w:hint="eastAsia" w:ascii="宋体" w:hAnsi="宋体" w:eastAsia="宋体" w:cs="宋体"/>
          <w:color w:val="auto"/>
          <w:kern w:val="2"/>
          <w:sz w:val="21"/>
          <w:szCs w:val="21"/>
          <w:highlight w:val="none"/>
          <w:lang w:eastAsia="zh-CN"/>
        </w:rPr>
        <w:t>所投</w:t>
      </w:r>
      <w:r>
        <w:rPr>
          <w:rFonts w:hint="eastAsia" w:ascii="宋体" w:hAnsi="宋体" w:eastAsia="宋体" w:cs="宋体"/>
          <w:color w:val="auto"/>
          <w:kern w:val="2"/>
          <w:sz w:val="21"/>
          <w:szCs w:val="21"/>
          <w:highlight w:val="none"/>
        </w:rPr>
        <w:t>所有货物和服务内容作完整唯一报价，否则，其投标将被拒绝。投标文件只允许有一个报价。</w:t>
      </w:r>
    </w:p>
    <w:p w14:paraId="256DA13B">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（2）投标人应根据所投货物如实填写投标报价表的各项内容。</w:t>
      </w:r>
    </w:p>
    <w:p w14:paraId="27B4EF2F">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lang w:val="en-US" w:eastAsia="zh-CN"/>
        </w:rPr>
      </w:pPr>
      <w:r>
        <w:rPr>
          <w:rFonts w:hint="eastAsia" w:ascii="宋体" w:hAnsi="宋体" w:eastAsia="宋体" w:cs="宋体"/>
          <w:color w:val="auto"/>
          <w:kern w:val="2"/>
          <w:sz w:val="21"/>
          <w:szCs w:val="21"/>
          <w:highlight w:val="none"/>
        </w:rPr>
        <w:t>（3）投标报价表须加盖投标人公章（CA签章，自然人除外）并由法定代表人或负责人或自然人或相应的委托代理人签字（或个人CA签章）；当本表由多页构成时，需逐页加盖投标人公章（CA签章，自然人签字或个人CA签章）。</w:t>
      </w:r>
      <w:r>
        <w:rPr>
          <w:rFonts w:hint="eastAsia" w:ascii="宋体" w:hAnsi="宋体" w:eastAsia="宋体" w:cs="宋体"/>
          <w:color w:val="auto"/>
          <w:kern w:val="2"/>
          <w:sz w:val="21"/>
          <w:szCs w:val="21"/>
          <w:highlight w:val="none"/>
          <w:lang w:val="en-US" w:eastAsia="zh-CN"/>
        </w:rPr>
        <w:t xml:space="preserve">   </w:t>
      </w:r>
    </w:p>
    <w:p w14:paraId="5BA0518D">
      <w:pPr>
        <w:widowControl w:val="0"/>
        <w:tabs>
          <w:tab w:val="left" w:pos="4214"/>
        </w:tabs>
        <w:spacing w:after="0" w:line="360" w:lineRule="exact"/>
        <w:ind w:firstLine="420" w:firstLineChars="200"/>
        <w:jc w:val="both"/>
        <w:rPr>
          <w:rFonts w:hint="default" w:ascii="宋体" w:hAnsi="宋体" w:eastAsia="宋体" w:cs="宋体"/>
          <w:b/>
          <w:bCs/>
          <w:color w:val="auto"/>
          <w:kern w:val="2"/>
          <w:sz w:val="21"/>
          <w:szCs w:val="21"/>
          <w:highlight w:val="none"/>
          <w:lang w:val="en-US" w:eastAsia="zh-CN"/>
        </w:rPr>
      </w:pPr>
      <w:r>
        <w:rPr>
          <w:rFonts w:hint="eastAsia" w:ascii="宋体" w:hAnsi="宋体" w:eastAsia="宋体" w:cs="宋体"/>
          <w:color w:val="auto"/>
          <w:kern w:val="2"/>
          <w:sz w:val="21"/>
          <w:szCs w:val="21"/>
          <w:highlight w:val="none"/>
          <w:lang w:val="en-US" w:eastAsia="zh-CN"/>
        </w:rPr>
        <w:t>（4）</w:t>
      </w:r>
      <w:r>
        <w:rPr>
          <w:rFonts w:hint="eastAsia" w:ascii="宋体" w:hAnsi="宋体" w:eastAsia="宋体" w:cs="宋体"/>
          <w:b/>
          <w:bCs/>
          <w:color w:val="auto"/>
          <w:kern w:val="2"/>
          <w:sz w:val="21"/>
          <w:szCs w:val="21"/>
          <w:highlight w:val="none"/>
          <w:lang w:val="en-US" w:eastAsia="zh-CN"/>
        </w:rPr>
        <w:t>备注一栏填写产品生产厂家企业类型：大型、中型、小型、微型，并如实提供相应的中小企业声明函。（投标货物中，属于中小企业生产的产品占投标报价的比例不低于50%，其中小微企业生产的产品占中小企业生产的产品的投标报价比例不低于75%。）</w:t>
      </w:r>
    </w:p>
    <w:p w14:paraId="5C739198">
      <w:pPr>
        <w:widowControl w:val="0"/>
        <w:tabs>
          <w:tab w:val="left" w:pos="4214"/>
        </w:tabs>
        <w:spacing w:after="0" w:line="360" w:lineRule="exact"/>
        <w:ind w:firstLine="420" w:firstLineChars="200"/>
        <w:jc w:val="both"/>
        <w:rPr>
          <w:rFonts w:hint="eastAsia" w:ascii="宋体" w:hAnsi="宋体" w:eastAsia="宋体" w:cs="宋体"/>
          <w:color w:val="auto"/>
          <w:kern w:val="2"/>
          <w:sz w:val="21"/>
          <w:szCs w:val="21"/>
          <w:highlight w:val="none"/>
        </w:rPr>
      </w:pPr>
      <w:r>
        <w:rPr>
          <w:rFonts w:hint="eastAsia" w:ascii="宋体" w:hAnsi="宋体" w:eastAsia="宋体" w:cs="宋体"/>
          <w:color w:val="auto"/>
          <w:kern w:val="2"/>
          <w:sz w:val="21"/>
          <w:szCs w:val="21"/>
          <w:highlight w:val="none"/>
        </w:rPr>
        <w:t>（</w:t>
      </w:r>
      <w:r>
        <w:rPr>
          <w:rFonts w:hint="eastAsia" w:ascii="宋体" w:hAnsi="宋体" w:eastAsia="宋体" w:cs="宋体"/>
          <w:color w:val="auto"/>
          <w:kern w:val="2"/>
          <w:sz w:val="21"/>
          <w:szCs w:val="21"/>
          <w:highlight w:val="none"/>
          <w:lang w:val="en-US" w:eastAsia="zh-CN"/>
        </w:rPr>
        <w:t>5</w:t>
      </w:r>
      <w:r>
        <w:rPr>
          <w:rFonts w:hint="eastAsia" w:ascii="宋体" w:hAnsi="宋体" w:eastAsia="宋体" w:cs="宋体"/>
          <w:color w:val="auto"/>
          <w:kern w:val="2"/>
          <w:sz w:val="21"/>
          <w:szCs w:val="21"/>
          <w:highlight w:val="none"/>
        </w:rPr>
        <w:t>）如投标的全部或部分产品属于《节能产品政府采购清单》或《环境标志产品政府采购清单》目录范围的，投标人应在本表备注栏内写明各分项货物属于节能（或环境标志）产品,同时以提供节能产品认证证书原件的扫描件或环境标志产品认证证书原件的扫描件，以便评标委员会作为优先采购或评分的依据。</w:t>
      </w:r>
    </w:p>
    <w:p w14:paraId="61E615B5">
      <w:pPr>
        <w:rPr>
          <w:rFonts w:hint="eastAsia" w:ascii="宋体" w:hAnsi="宋体" w:eastAsia="宋体" w:cs="宋体"/>
          <w:b/>
          <w:color w:val="auto"/>
          <w:sz w:val="32"/>
          <w:szCs w:val="32"/>
          <w:highlight w:val="none"/>
        </w:rPr>
      </w:pPr>
    </w:p>
    <w:p w14:paraId="7598759E">
      <w:pPr>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br w:type="page"/>
      </w:r>
    </w:p>
    <w:p w14:paraId="0B2720D4">
      <w:pPr>
        <w:pStyle w:val="9"/>
        <w:spacing w:line="400" w:lineRule="exact"/>
        <w:ind w:left="420" w:firstLine="643"/>
        <w:rPr>
          <w:rFonts w:hint="eastAsia" w:ascii="宋体" w:hAnsi="宋体" w:eastAsia="宋体" w:cs="宋体"/>
          <w:b/>
          <w:color w:val="auto"/>
          <w:sz w:val="32"/>
          <w:szCs w:val="32"/>
          <w:highlight w:val="none"/>
        </w:rPr>
      </w:pPr>
      <w:r>
        <w:rPr>
          <w:rFonts w:hint="eastAsia" w:ascii="宋体" w:hAnsi="宋体" w:eastAsia="宋体" w:cs="宋体"/>
          <w:b/>
          <w:color w:val="auto"/>
          <w:sz w:val="32"/>
          <w:szCs w:val="32"/>
          <w:highlight w:val="none"/>
        </w:rPr>
        <w:t>2.</w:t>
      </w:r>
      <w:r>
        <w:rPr>
          <w:rFonts w:hint="eastAsia" w:ascii="宋体" w:hAnsi="宋体" w:eastAsia="宋体" w:cs="宋体"/>
          <w:color w:val="auto"/>
          <w:highlight w:val="none"/>
        </w:rPr>
        <w:t xml:space="preserve"> </w:t>
      </w:r>
      <w:r>
        <w:rPr>
          <w:rFonts w:hint="eastAsia" w:ascii="宋体" w:hAnsi="宋体" w:eastAsia="宋体" w:cs="宋体"/>
          <w:b/>
          <w:color w:val="auto"/>
          <w:sz w:val="32"/>
          <w:szCs w:val="32"/>
          <w:highlight w:val="none"/>
        </w:rPr>
        <w:t>技术规格响应偏离表（必须提供）</w:t>
      </w:r>
    </w:p>
    <w:p w14:paraId="54F4C2FA">
      <w:pPr>
        <w:pStyle w:val="9"/>
        <w:ind w:firstLine="354" w:firstLineChars="147"/>
        <w:rPr>
          <w:rFonts w:hint="eastAsia" w:ascii="宋体" w:hAnsi="宋体" w:eastAsia="宋体" w:cs="宋体"/>
          <w:b/>
          <w:color w:val="auto"/>
          <w:sz w:val="24"/>
          <w:szCs w:val="24"/>
          <w:highlight w:val="none"/>
        </w:rPr>
      </w:pPr>
    </w:p>
    <w:p w14:paraId="3C93E8B5">
      <w:pPr>
        <w:pStyle w:val="9"/>
        <w:ind w:firstLine="354" w:firstLineChars="147"/>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附件：            </w:t>
      </w:r>
    </w:p>
    <w:p w14:paraId="3A2CB699">
      <w:pPr>
        <w:pStyle w:val="9"/>
        <w:ind w:firstLine="472" w:firstLineChars="147"/>
        <w:jc w:val="center"/>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rPr>
        <w:t>技术规格响应偏离表（格式）</w:t>
      </w:r>
    </w:p>
    <w:p w14:paraId="18F68D99">
      <w:pPr>
        <w:pStyle w:val="9"/>
        <w:keepNext w:val="0"/>
        <w:keepLines w:val="0"/>
        <w:pageBreakBefore w:val="0"/>
        <w:widowControl w:val="0"/>
        <w:kinsoku/>
        <w:wordWrap/>
        <w:overflowPunct/>
        <w:topLinePunct w:val="0"/>
        <w:autoSpaceDE/>
        <w:autoSpaceDN/>
        <w:bidi w:val="0"/>
        <w:adjustRightInd/>
        <w:snapToGrid/>
        <w:spacing w:line="320" w:lineRule="exact"/>
        <w:ind w:firstLine="422" w:firstLineChars="200"/>
        <w:textAlignment w:val="auto"/>
        <w:rPr>
          <w:rFonts w:hint="eastAsia" w:ascii="宋体" w:hAnsi="宋体" w:eastAsia="宋体" w:cs="宋体"/>
          <w:color w:val="auto"/>
          <w:highlight w:val="none"/>
          <w:lang w:eastAsia="zh-CN"/>
        </w:rPr>
      </w:pPr>
      <w:r>
        <w:rPr>
          <w:rFonts w:hint="eastAsia" w:ascii="宋体" w:hAnsi="宋体" w:eastAsia="宋体" w:cs="宋体"/>
          <w:b/>
          <w:bCs/>
          <w:color w:val="auto"/>
          <w:highlight w:val="none"/>
          <w:u w:val="single"/>
        </w:rPr>
        <w:t>标项  （   分标）</w:t>
      </w:r>
      <w:r>
        <w:rPr>
          <w:rFonts w:hint="eastAsia" w:hAnsi="宋体" w:cs="宋体"/>
          <w:b/>
          <w:bCs/>
          <w:color w:val="auto"/>
          <w:highlight w:val="none"/>
          <w:u w:val="single"/>
          <w:lang w:eastAsia="zh-CN"/>
        </w:rPr>
        <w:t>标项名称</w:t>
      </w:r>
      <w:r>
        <w:rPr>
          <w:rFonts w:hint="eastAsia" w:ascii="宋体" w:hAnsi="宋体" w:eastAsia="宋体" w:cs="宋体"/>
          <w:color w:val="auto"/>
          <w:highlight w:val="none"/>
          <w:u w:val="single"/>
        </w:rPr>
        <w:t xml:space="preserve">  </w:t>
      </w:r>
    </w:p>
    <w:tbl>
      <w:tblPr>
        <w:tblStyle w:val="15"/>
        <w:tblW w:w="9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766"/>
        <w:gridCol w:w="3022"/>
        <w:gridCol w:w="2264"/>
        <w:gridCol w:w="1822"/>
      </w:tblGrid>
      <w:tr w14:paraId="008C7A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654" w:type="dxa"/>
            <w:noWrap w:val="0"/>
            <w:vAlign w:val="center"/>
          </w:tcPr>
          <w:p w14:paraId="4B6F2898">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项号</w:t>
            </w:r>
          </w:p>
        </w:tc>
        <w:tc>
          <w:tcPr>
            <w:tcW w:w="1766" w:type="dxa"/>
            <w:noWrap w:val="0"/>
            <w:vAlign w:val="center"/>
          </w:tcPr>
          <w:p w14:paraId="3E605470">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货物名称</w:t>
            </w:r>
          </w:p>
        </w:tc>
        <w:tc>
          <w:tcPr>
            <w:tcW w:w="3022" w:type="dxa"/>
            <w:noWrap w:val="0"/>
            <w:vAlign w:val="center"/>
          </w:tcPr>
          <w:p w14:paraId="2326A749">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招标采购需求</w:t>
            </w:r>
          </w:p>
        </w:tc>
        <w:tc>
          <w:tcPr>
            <w:tcW w:w="2264" w:type="dxa"/>
            <w:noWrap w:val="0"/>
            <w:vAlign w:val="center"/>
          </w:tcPr>
          <w:p w14:paraId="389A0EE1">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投标文件的响应情况</w:t>
            </w:r>
          </w:p>
        </w:tc>
        <w:tc>
          <w:tcPr>
            <w:tcW w:w="1822" w:type="dxa"/>
            <w:noWrap w:val="0"/>
            <w:vAlign w:val="center"/>
          </w:tcPr>
          <w:p w14:paraId="6C9ABCE0">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偏离情况说明</w:t>
            </w:r>
          </w:p>
        </w:tc>
      </w:tr>
      <w:tr w14:paraId="384946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5" w:hRule="atLeast"/>
          <w:jc w:val="center"/>
        </w:trPr>
        <w:tc>
          <w:tcPr>
            <w:tcW w:w="9528" w:type="dxa"/>
            <w:gridSpan w:val="5"/>
            <w:noWrap w:val="0"/>
            <w:vAlign w:val="center"/>
          </w:tcPr>
          <w:p w14:paraId="3914D197">
            <w:pPr>
              <w:pStyle w:val="9"/>
              <w:spacing w:line="360" w:lineRule="exact"/>
              <w:jc w:val="center"/>
              <w:rPr>
                <w:rFonts w:hint="eastAsia" w:ascii="宋体" w:hAnsi="宋体" w:eastAsia="宋体" w:cs="宋体"/>
                <w:color w:val="auto"/>
                <w:szCs w:val="24"/>
                <w:highlight w:val="none"/>
                <w:lang w:eastAsia="zh-CN"/>
              </w:rPr>
            </w:pPr>
            <w:r>
              <w:rPr>
                <w:rFonts w:hint="eastAsia" w:hAnsi="宋体" w:cs="宋体"/>
                <w:color w:val="auto"/>
                <w:szCs w:val="24"/>
                <w:highlight w:val="none"/>
                <w:lang w:eastAsia="zh-CN"/>
              </w:rPr>
              <w:t>（一）</w:t>
            </w:r>
          </w:p>
        </w:tc>
      </w:tr>
      <w:tr w14:paraId="7A07D69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654" w:type="dxa"/>
            <w:noWrap w:val="0"/>
            <w:vAlign w:val="center"/>
          </w:tcPr>
          <w:p w14:paraId="706158D7">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1</w:t>
            </w:r>
          </w:p>
        </w:tc>
        <w:tc>
          <w:tcPr>
            <w:tcW w:w="1766" w:type="dxa"/>
            <w:noWrap w:val="0"/>
            <w:vAlign w:val="center"/>
          </w:tcPr>
          <w:p w14:paraId="7DCFDAEA">
            <w:pPr>
              <w:pStyle w:val="9"/>
              <w:spacing w:line="360" w:lineRule="exact"/>
              <w:jc w:val="center"/>
              <w:rPr>
                <w:rFonts w:hint="eastAsia" w:ascii="宋体" w:hAnsi="宋体" w:eastAsia="宋体" w:cs="宋体"/>
                <w:color w:val="auto"/>
                <w:szCs w:val="24"/>
                <w:highlight w:val="none"/>
              </w:rPr>
            </w:pPr>
          </w:p>
        </w:tc>
        <w:tc>
          <w:tcPr>
            <w:tcW w:w="3022" w:type="dxa"/>
            <w:noWrap w:val="0"/>
            <w:vAlign w:val="center"/>
          </w:tcPr>
          <w:p w14:paraId="4A7091EF">
            <w:pPr>
              <w:pStyle w:val="9"/>
              <w:spacing w:line="360" w:lineRule="exact"/>
              <w:jc w:val="center"/>
              <w:rPr>
                <w:rFonts w:hint="eastAsia" w:ascii="宋体" w:hAnsi="宋体" w:eastAsia="宋体" w:cs="宋体"/>
                <w:color w:val="auto"/>
                <w:szCs w:val="24"/>
                <w:highlight w:val="none"/>
              </w:rPr>
            </w:pPr>
          </w:p>
        </w:tc>
        <w:tc>
          <w:tcPr>
            <w:tcW w:w="2264" w:type="dxa"/>
            <w:noWrap w:val="0"/>
            <w:vAlign w:val="center"/>
          </w:tcPr>
          <w:p w14:paraId="307C21B8">
            <w:pPr>
              <w:pStyle w:val="9"/>
              <w:spacing w:line="360" w:lineRule="exact"/>
              <w:jc w:val="center"/>
              <w:rPr>
                <w:rFonts w:hint="eastAsia" w:ascii="宋体" w:hAnsi="宋体" w:eastAsia="宋体" w:cs="宋体"/>
                <w:color w:val="auto"/>
                <w:szCs w:val="24"/>
                <w:highlight w:val="none"/>
              </w:rPr>
            </w:pPr>
          </w:p>
        </w:tc>
        <w:tc>
          <w:tcPr>
            <w:tcW w:w="1822" w:type="dxa"/>
            <w:noWrap w:val="0"/>
            <w:vAlign w:val="center"/>
          </w:tcPr>
          <w:p w14:paraId="2A5412D9">
            <w:pPr>
              <w:pStyle w:val="9"/>
              <w:spacing w:line="360" w:lineRule="exact"/>
              <w:jc w:val="center"/>
              <w:rPr>
                <w:rFonts w:hint="eastAsia" w:ascii="宋体" w:hAnsi="宋体" w:eastAsia="宋体" w:cs="宋体"/>
                <w:color w:val="auto"/>
                <w:szCs w:val="24"/>
                <w:highlight w:val="none"/>
              </w:rPr>
            </w:pPr>
          </w:p>
        </w:tc>
      </w:tr>
      <w:tr w14:paraId="7BB005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654" w:type="dxa"/>
            <w:noWrap w:val="0"/>
            <w:vAlign w:val="center"/>
          </w:tcPr>
          <w:p w14:paraId="3EF63C47">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2</w:t>
            </w:r>
          </w:p>
        </w:tc>
        <w:tc>
          <w:tcPr>
            <w:tcW w:w="1766" w:type="dxa"/>
            <w:noWrap w:val="0"/>
            <w:vAlign w:val="center"/>
          </w:tcPr>
          <w:p w14:paraId="540728E0">
            <w:pPr>
              <w:pStyle w:val="9"/>
              <w:spacing w:line="360" w:lineRule="exact"/>
              <w:jc w:val="center"/>
              <w:rPr>
                <w:rFonts w:hint="eastAsia" w:ascii="宋体" w:hAnsi="宋体" w:eastAsia="宋体" w:cs="宋体"/>
                <w:color w:val="auto"/>
                <w:szCs w:val="24"/>
                <w:highlight w:val="none"/>
              </w:rPr>
            </w:pPr>
          </w:p>
        </w:tc>
        <w:tc>
          <w:tcPr>
            <w:tcW w:w="3022" w:type="dxa"/>
            <w:noWrap w:val="0"/>
            <w:vAlign w:val="center"/>
          </w:tcPr>
          <w:p w14:paraId="7CB5EC94">
            <w:pPr>
              <w:pStyle w:val="9"/>
              <w:spacing w:line="360" w:lineRule="exact"/>
              <w:jc w:val="center"/>
              <w:rPr>
                <w:rFonts w:hint="eastAsia" w:ascii="宋体" w:hAnsi="宋体" w:eastAsia="宋体" w:cs="宋体"/>
                <w:color w:val="auto"/>
                <w:szCs w:val="24"/>
                <w:highlight w:val="none"/>
              </w:rPr>
            </w:pPr>
          </w:p>
        </w:tc>
        <w:tc>
          <w:tcPr>
            <w:tcW w:w="2264" w:type="dxa"/>
            <w:noWrap w:val="0"/>
            <w:vAlign w:val="center"/>
          </w:tcPr>
          <w:p w14:paraId="05D1B9D7">
            <w:pPr>
              <w:pStyle w:val="9"/>
              <w:spacing w:line="360" w:lineRule="exact"/>
              <w:jc w:val="center"/>
              <w:rPr>
                <w:rFonts w:hint="eastAsia" w:ascii="宋体" w:hAnsi="宋体" w:eastAsia="宋体" w:cs="宋体"/>
                <w:color w:val="auto"/>
                <w:szCs w:val="24"/>
                <w:highlight w:val="none"/>
              </w:rPr>
            </w:pPr>
          </w:p>
        </w:tc>
        <w:tc>
          <w:tcPr>
            <w:tcW w:w="1822" w:type="dxa"/>
            <w:noWrap w:val="0"/>
            <w:vAlign w:val="center"/>
          </w:tcPr>
          <w:p w14:paraId="1776267E">
            <w:pPr>
              <w:pStyle w:val="9"/>
              <w:spacing w:line="360" w:lineRule="exact"/>
              <w:jc w:val="center"/>
              <w:rPr>
                <w:rFonts w:hint="eastAsia" w:ascii="宋体" w:hAnsi="宋体" w:eastAsia="宋体" w:cs="宋体"/>
                <w:color w:val="auto"/>
                <w:szCs w:val="24"/>
                <w:highlight w:val="none"/>
              </w:rPr>
            </w:pPr>
          </w:p>
        </w:tc>
      </w:tr>
      <w:tr w14:paraId="69C9E9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654" w:type="dxa"/>
            <w:noWrap w:val="0"/>
            <w:vAlign w:val="center"/>
          </w:tcPr>
          <w:p w14:paraId="2BFED1A1">
            <w:pPr>
              <w:pStyle w:val="9"/>
              <w:spacing w:line="360" w:lineRule="exact"/>
              <w:jc w:val="center"/>
              <w:rPr>
                <w:rFonts w:hint="eastAsia" w:ascii="宋体" w:hAnsi="宋体" w:eastAsia="宋体" w:cs="宋体"/>
                <w:color w:val="auto"/>
                <w:szCs w:val="24"/>
                <w:highlight w:val="none"/>
                <w:lang w:eastAsia="zh-CN"/>
              </w:rPr>
            </w:pPr>
            <w:r>
              <w:rPr>
                <w:rFonts w:hint="eastAsia" w:ascii="宋体" w:hAnsi="宋体" w:eastAsia="宋体" w:cs="宋体"/>
                <w:color w:val="auto"/>
                <w:szCs w:val="24"/>
                <w:highlight w:val="none"/>
                <w:lang w:val="en-US" w:eastAsia="zh-CN"/>
              </w:rPr>
              <w:t>3</w:t>
            </w:r>
          </w:p>
        </w:tc>
        <w:tc>
          <w:tcPr>
            <w:tcW w:w="1766" w:type="dxa"/>
            <w:noWrap w:val="0"/>
            <w:vAlign w:val="center"/>
          </w:tcPr>
          <w:p w14:paraId="24C16247">
            <w:pPr>
              <w:pStyle w:val="9"/>
              <w:spacing w:line="360" w:lineRule="exact"/>
              <w:jc w:val="center"/>
              <w:rPr>
                <w:rFonts w:hint="eastAsia" w:ascii="宋体" w:hAnsi="宋体" w:eastAsia="宋体" w:cs="宋体"/>
                <w:color w:val="auto"/>
                <w:szCs w:val="24"/>
                <w:highlight w:val="none"/>
              </w:rPr>
            </w:pPr>
          </w:p>
        </w:tc>
        <w:tc>
          <w:tcPr>
            <w:tcW w:w="3022" w:type="dxa"/>
            <w:noWrap w:val="0"/>
            <w:vAlign w:val="center"/>
          </w:tcPr>
          <w:p w14:paraId="1F7331CC">
            <w:pPr>
              <w:pStyle w:val="9"/>
              <w:spacing w:line="360" w:lineRule="exact"/>
              <w:jc w:val="center"/>
              <w:rPr>
                <w:rFonts w:hint="eastAsia" w:ascii="宋体" w:hAnsi="宋体" w:eastAsia="宋体" w:cs="宋体"/>
                <w:color w:val="auto"/>
                <w:szCs w:val="24"/>
                <w:highlight w:val="none"/>
              </w:rPr>
            </w:pPr>
          </w:p>
        </w:tc>
        <w:tc>
          <w:tcPr>
            <w:tcW w:w="2264" w:type="dxa"/>
            <w:noWrap w:val="0"/>
            <w:vAlign w:val="center"/>
          </w:tcPr>
          <w:p w14:paraId="005A10F8">
            <w:pPr>
              <w:pStyle w:val="9"/>
              <w:spacing w:line="360" w:lineRule="exact"/>
              <w:jc w:val="center"/>
              <w:rPr>
                <w:rFonts w:hint="eastAsia" w:ascii="宋体" w:hAnsi="宋体" w:eastAsia="宋体" w:cs="宋体"/>
                <w:color w:val="auto"/>
                <w:szCs w:val="24"/>
                <w:highlight w:val="none"/>
              </w:rPr>
            </w:pPr>
          </w:p>
        </w:tc>
        <w:tc>
          <w:tcPr>
            <w:tcW w:w="1822" w:type="dxa"/>
            <w:noWrap w:val="0"/>
            <w:vAlign w:val="center"/>
          </w:tcPr>
          <w:p w14:paraId="47B1F040">
            <w:pPr>
              <w:pStyle w:val="9"/>
              <w:spacing w:line="360" w:lineRule="exact"/>
              <w:jc w:val="center"/>
              <w:rPr>
                <w:rFonts w:hint="eastAsia" w:ascii="宋体" w:hAnsi="宋体" w:eastAsia="宋体" w:cs="宋体"/>
                <w:color w:val="auto"/>
                <w:szCs w:val="24"/>
                <w:highlight w:val="none"/>
              </w:rPr>
            </w:pPr>
          </w:p>
        </w:tc>
      </w:tr>
      <w:tr w14:paraId="47DFB3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7" w:hRule="atLeast"/>
          <w:jc w:val="center"/>
        </w:trPr>
        <w:tc>
          <w:tcPr>
            <w:tcW w:w="654" w:type="dxa"/>
            <w:noWrap w:val="0"/>
            <w:vAlign w:val="center"/>
          </w:tcPr>
          <w:p w14:paraId="2B7FBEF7">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w:t>
            </w:r>
          </w:p>
        </w:tc>
        <w:tc>
          <w:tcPr>
            <w:tcW w:w="1766" w:type="dxa"/>
            <w:noWrap w:val="0"/>
            <w:vAlign w:val="center"/>
          </w:tcPr>
          <w:p w14:paraId="7A54D5D3">
            <w:pPr>
              <w:pStyle w:val="9"/>
              <w:spacing w:line="360" w:lineRule="exact"/>
              <w:jc w:val="center"/>
              <w:rPr>
                <w:rFonts w:hint="eastAsia" w:ascii="宋体" w:hAnsi="宋体" w:eastAsia="宋体" w:cs="宋体"/>
                <w:color w:val="auto"/>
                <w:szCs w:val="24"/>
                <w:highlight w:val="none"/>
              </w:rPr>
            </w:pPr>
          </w:p>
        </w:tc>
        <w:tc>
          <w:tcPr>
            <w:tcW w:w="3022" w:type="dxa"/>
            <w:noWrap w:val="0"/>
            <w:vAlign w:val="center"/>
          </w:tcPr>
          <w:p w14:paraId="5443C6E8">
            <w:pPr>
              <w:pStyle w:val="9"/>
              <w:spacing w:line="360" w:lineRule="exact"/>
              <w:jc w:val="center"/>
              <w:rPr>
                <w:rFonts w:hint="eastAsia" w:ascii="宋体" w:hAnsi="宋体" w:eastAsia="宋体" w:cs="宋体"/>
                <w:color w:val="auto"/>
                <w:szCs w:val="24"/>
                <w:highlight w:val="none"/>
              </w:rPr>
            </w:pPr>
          </w:p>
        </w:tc>
        <w:tc>
          <w:tcPr>
            <w:tcW w:w="2264" w:type="dxa"/>
            <w:noWrap w:val="0"/>
            <w:vAlign w:val="center"/>
          </w:tcPr>
          <w:p w14:paraId="56190247">
            <w:pPr>
              <w:pStyle w:val="9"/>
              <w:spacing w:line="360" w:lineRule="exact"/>
              <w:jc w:val="center"/>
              <w:rPr>
                <w:rFonts w:hint="eastAsia" w:ascii="宋体" w:hAnsi="宋体" w:eastAsia="宋体" w:cs="宋体"/>
                <w:color w:val="auto"/>
                <w:szCs w:val="24"/>
                <w:highlight w:val="none"/>
              </w:rPr>
            </w:pPr>
          </w:p>
        </w:tc>
        <w:tc>
          <w:tcPr>
            <w:tcW w:w="1822" w:type="dxa"/>
            <w:noWrap w:val="0"/>
            <w:vAlign w:val="center"/>
          </w:tcPr>
          <w:p w14:paraId="2C76E427">
            <w:pPr>
              <w:pStyle w:val="9"/>
              <w:spacing w:line="360" w:lineRule="exact"/>
              <w:jc w:val="center"/>
              <w:rPr>
                <w:rFonts w:hint="eastAsia" w:ascii="宋体" w:hAnsi="宋体" w:eastAsia="宋体" w:cs="宋体"/>
                <w:color w:val="auto"/>
                <w:szCs w:val="24"/>
                <w:highlight w:val="none"/>
              </w:rPr>
            </w:pPr>
          </w:p>
        </w:tc>
      </w:tr>
    </w:tbl>
    <w:p w14:paraId="31D63C56">
      <w:pPr>
        <w:pStyle w:val="9"/>
        <w:rPr>
          <w:rFonts w:hint="eastAsia" w:ascii="宋体" w:hAnsi="宋体" w:eastAsia="宋体" w:cs="宋体"/>
          <w:color w:val="auto"/>
          <w:highlight w:val="none"/>
        </w:rPr>
      </w:pPr>
    </w:p>
    <w:p w14:paraId="42E5C20B">
      <w:pPr>
        <w:pStyle w:val="9"/>
        <w:spacing w:line="300" w:lineRule="exact"/>
        <w:ind w:firstLine="3465" w:firstLineChars="1650"/>
        <w:rPr>
          <w:rFonts w:hint="eastAsia" w:ascii="宋体" w:hAnsi="宋体" w:eastAsia="宋体" w:cs="宋体"/>
          <w:color w:val="auto"/>
          <w:highlight w:val="none"/>
        </w:rPr>
      </w:pPr>
    </w:p>
    <w:p w14:paraId="3B4CFFA8">
      <w:pPr>
        <w:pStyle w:val="9"/>
        <w:spacing w:line="300" w:lineRule="exact"/>
        <w:ind w:firstLine="525" w:firstLineChars="250"/>
        <w:rPr>
          <w:rFonts w:hint="eastAsia" w:ascii="宋体" w:hAnsi="宋体" w:eastAsia="宋体" w:cs="宋体"/>
          <w:color w:val="auto"/>
          <w:highlight w:val="none"/>
        </w:rPr>
      </w:pPr>
    </w:p>
    <w:p w14:paraId="2C95B3FB">
      <w:pPr>
        <w:pStyle w:val="9"/>
        <w:spacing w:line="300" w:lineRule="exact"/>
        <w:ind w:firstLine="525" w:firstLineChars="250"/>
        <w:rPr>
          <w:rFonts w:hint="eastAsia" w:ascii="宋体" w:hAnsi="宋体" w:eastAsia="宋体" w:cs="宋体"/>
          <w:color w:val="auto"/>
          <w:highlight w:val="none"/>
          <w:u w:val="single"/>
        </w:rPr>
      </w:pPr>
      <w:r>
        <w:rPr>
          <w:rFonts w:hint="eastAsia" w:ascii="宋体" w:hAnsi="宋体" w:eastAsia="宋体" w:cs="宋体"/>
          <w:color w:val="auto"/>
          <w:highlight w:val="none"/>
        </w:rPr>
        <w:t>投标人公章（CA签章，自然人签字或个人CA签章）：</w:t>
      </w:r>
      <w:r>
        <w:rPr>
          <w:rFonts w:hint="eastAsia" w:ascii="宋体" w:hAnsi="宋体" w:eastAsia="宋体" w:cs="宋体"/>
          <w:color w:val="auto"/>
          <w:highlight w:val="none"/>
          <w:u w:val="single"/>
        </w:rPr>
        <w:t xml:space="preserve">                          .                </w:t>
      </w:r>
    </w:p>
    <w:p w14:paraId="5AF7630E">
      <w:pPr>
        <w:pStyle w:val="9"/>
        <w:spacing w:line="300" w:lineRule="exact"/>
        <w:ind w:firstLine="3990" w:firstLineChars="1900"/>
        <w:rPr>
          <w:rFonts w:hint="eastAsia" w:ascii="宋体" w:hAnsi="宋体" w:eastAsia="宋体" w:cs="宋体"/>
          <w:bCs/>
          <w:color w:val="auto"/>
          <w:szCs w:val="21"/>
          <w:highlight w:val="none"/>
        </w:rPr>
      </w:pPr>
    </w:p>
    <w:p w14:paraId="6B02DCEC">
      <w:pPr>
        <w:pStyle w:val="9"/>
        <w:spacing w:line="300" w:lineRule="exact"/>
        <w:ind w:firstLine="3990" w:firstLineChars="1900"/>
        <w:rPr>
          <w:rFonts w:hint="eastAsia" w:ascii="宋体" w:hAnsi="宋体" w:eastAsia="宋体" w:cs="宋体"/>
          <w:bCs/>
          <w:color w:val="auto"/>
          <w:szCs w:val="21"/>
          <w:highlight w:val="none"/>
          <w:u w:val="single"/>
        </w:rPr>
      </w:pPr>
      <w:r>
        <w:rPr>
          <w:rFonts w:hint="eastAsia" w:ascii="宋体" w:hAnsi="宋体" w:eastAsia="宋体" w:cs="宋体"/>
          <w:bCs/>
          <w:color w:val="auto"/>
          <w:szCs w:val="21"/>
          <w:highlight w:val="none"/>
        </w:rPr>
        <w:t>日期：</w:t>
      </w:r>
      <w:r>
        <w:rPr>
          <w:rFonts w:hint="eastAsia" w:ascii="宋体" w:hAnsi="宋体" w:eastAsia="宋体" w:cs="宋体"/>
          <w:bCs/>
          <w:color w:val="auto"/>
          <w:szCs w:val="21"/>
          <w:highlight w:val="none"/>
          <w:u w:val="single"/>
        </w:rPr>
        <w:t xml:space="preserve">                      .</w:t>
      </w:r>
    </w:p>
    <w:p w14:paraId="6F02E2AC">
      <w:pPr>
        <w:pStyle w:val="9"/>
        <w:spacing w:line="300" w:lineRule="exact"/>
        <w:ind w:left="3735" w:leftChars="1650" w:hanging="105" w:hangingChars="50"/>
        <w:rPr>
          <w:rFonts w:hint="eastAsia" w:ascii="宋体" w:hAnsi="宋体" w:eastAsia="宋体" w:cs="宋体"/>
          <w:color w:val="auto"/>
          <w:szCs w:val="21"/>
          <w:highlight w:val="none"/>
          <w:u w:val="single"/>
        </w:rPr>
      </w:pPr>
    </w:p>
    <w:p w14:paraId="510C1EEA">
      <w:pPr>
        <w:widowControl/>
        <w:spacing w:line="300" w:lineRule="exact"/>
        <w:jc w:val="left"/>
        <w:rPr>
          <w:rFonts w:hint="eastAsia" w:ascii="宋体" w:hAnsi="宋体" w:eastAsia="宋体" w:cs="宋体"/>
          <w:color w:val="auto"/>
          <w:highlight w:val="none"/>
        </w:rPr>
      </w:pPr>
    </w:p>
    <w:p w14:paraId="7276F6EE">
      <w:pPr>
        <w:pStyle w:val="9"/>
        <w:spacing w:line="300" w:lineRule="exact"/>
        <w:rPr>
          <w:rFonts w:hint="eastAsia" w:ascii="宋体" w:hAnsi="宋体" w:eastAsia="宋体" w:cs="宋体"/>
          <w:b/>
          <w:bCs w:val="0"/>
          <w:color w:val="auto"/>
          <w:szCs w:val="21"/>
          <w:highlight w:val="none"/>
        </w:rPr>
      </w:pPr>
      <w:r>
        <w:rPr>
          <w:rFonts w:hint="eastAsia" w:ascii="宋体" w:hAnsi="宋体" w:eastAsia="宋体" w:cs="宋体"/>
          <w:b/>
          <w:bCs w:val="0"/>
          <w:color w:val="auto"/>
          <w:szCs w:val="21"/>
          <w:highlight w:val="none"/>
        </w:rPr>
        <w:t>注：（1）投标人应对照</w:t>
      </w:r>
      <w:r>
        <w:rPr>
          <w:rFonts w:hint="eastAsia" w:hAnsi="宋体" w:cs="宋体"/>
          <w:b/>
          <w:bCs w:val="0"/>
          <w:color w:val="auto"/>
          <w:szCs w:val="21"/>
          <w:highlight w:val="none"/>
          <w:lang w:eastAsia="zh-CN"/>
        </w:rPr>
        <w:t>第三章</w:t>
      </w:r>
      <w:r>
        <w:rPr>
          <w:rFonts w:hint="eastAsia" w:ascii="宋体" w:hAnsi="宋体" w:eastAsia="宋体" w:cs="宋体"/>
          <w:b/>
          <w:bCs w:val="0"/>
          <w:color w:val="auto"/>
          <w:szCs w:val="21"/>
          <w:highlight w:val="none"/>
        </w:rPr>
        <w:t>“货物采购需求”注明所投产品技术参数的内容进行</w:t>
      </w:r>
      <w:r>
        <w:rPr>
          <w:rFonts w:hint="eastAsia" w:ascii="宋体" w:hAnsi="宋体" w:eastAsia="宋体" w:cs="宋体"/>
          <w:b/>
          <w:bCs w:val="0"/>
          <w:color w:val="auto"/>
          <w:highlight w:val="none"/>
        </w:rPr>
        <w:t>逐条响应，并在“</w:t>
      </w:r>
      <w:r>
        <w:rPr>
          <w:rFonts w:hint="eastAsia" w:ascii="宋体" w:hAnsi="宋体" w:eastAsia="宋体" w:cs="宋体"/>
          <w:b/>
          <w:bCs w:val="0"/>
          <w:color w:val="auto"/>
          <w:szCs w:val="24"/>
          <w:highlight w:val="none"/>
        </w:rPr>
        <w:t>偏离情况说明</w:t>
      </w:r>
      <w:r>
        <w:rPr>
          <w:rFonts w:hint="eastAsia" w:ascii="宋体" w:hAnsi="宋体" w:eastAsia="宋体" w:cs="宋体"/>
          <w:b/>
          <w:bCs w:val="0"/>
          <w:color w:val="auto"/>
          <w:highlight w:val="none"/>
        </w:rPr>
        <w:t>” 栏注明“正偏离”、“负偏离”或“无偏离”</w:t>
      </w:r>
      <w:r>
        <w:rPr>
          <w:rFonts w:hint="eastAsia" w:ascii="宋体" w:hAnsi="宋体" w:eastAsia="宋体" w:cs="宋体"/>
          <w:b/>
          <w:bCs w:val="0"/>
          <w:color w:val="auto"/>
          <w:szCs w:val="21"/>
          <w:highlight w:val="none"/>
        </w:rPr>
        <w:t>；当出现“正偏离”情况时应填写偏离情况说明及提供相应有效的证明材料，否则，不予认可。</w:t>
      </w:r>
    </w:p>
    <w:p w14:paraId="649601A3">
      <w:pPr>
        <w:spacing w:line="300" w:lineRule="exact"/>
        <w:ind w:firstLine="221" w:firstLineChars="100"/>
        <w:rPr>
          <w:rFonts w:hint="eastAsia" w:ascii="宋体" w:hAnsi="宋体" w:eastAsia="宋体" w:cs="宋体"/>
          <w:b/>
          <w:bCs w:val="0"/>
          <w:color w:val="auto"/>
          <w:highlight w:val="none"/>
        </w:rPr>
      </w:pPr>
      <w:r>
        <w:rPr>
          <w:rFonts w:hint="eastAsia" w:ascii="宋体" w:hAnsi="宋体" w:eastAsia="宋体" w:cs="宋体"/>
          <w:b/>
          <w:bCs w:val="0"/>
          <w:color w:val="auto"/>
          <w:szCs w:val="21"/>
          <w:highlight w:val="none"/>
        </w:rPr>
        <w:t>（2）技术规格响应偏离表须加盖</w:t>
      </w:r>
      <w:r>
        <w:rPr>
          <w:rFonts w:hint="eastAsia" w:ascii="宋体" w:hAnsi="宋体" w:eastAsia="宋体" w:cs="宋体"/>
          <w:b/>
          <w:bCs w:val="0"/>
          <w:color w:val="auto"/>
          <w:highlight w:val="none"/>
        </w:rPr>
        <w:t>投标人公章（CA签章，自然人签字或个人CA签章）；当本表由多页构成时，需逐页加盖投标人公章（CA签章，自然人签字或个人CA签章）。</w:t>
      </w:r>
    </w:p>
    <w:p w14:paraId="7EC235D7">
      <w:pPr>
        <w:pStyle w:val="23"/>
        <w:ind w:firstLine="480"/>
        <w:rPr>
          <w:rFonts w:hint="eastAsia" w:ascii="宋体" w:hAnsi="宋体" w:eastAsia="宋体" w:cs="宋体"/>
          <w:color w:val="auto"/>
          <w:highlight w:val="none"/>
        </w:rPr>
      </w:pPr>
    </w:p>
    <w:p w14:paraId="2A5FC448">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3613D3B5">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0CEF9D13">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3D80D418">
      <w:pPr>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rPr>
        <w:br w:type="page"/>
      </w:r>
    </w:p>
    <w:p w14:paraId="7C987866">
      <w:pPr>
        <w:snapToGrid w:val="0"/>
        <w:spacing w:line="400" w:lineRule="exact"/>
        <w:ind w:firstLine="643" w:firstLineChars="200"/>
        <w:outlineLvl w:val="4"/>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rPr>
        <w:t>3.</w:t>
      </w:r>
      <w:r>
        <w:rPr>
          <w:rFonts w:hint="eastAsia" w:ascii="宋体" w:hAnsi="宋体" w:eastAsia="宋体" w:cs="宋体"/>
          <w:color w:val="auto"/>
          <w:highlight w:val="none"/>
        </w:rPr>
        <w:t xml:space="preserve"> </w:t>
      </w:r>
      <w:r>
        <w:rPr>
          <w:rFonts w:hint="eastAsia" w:ascii="宋体" w:hAnsi="宋体" w:eastAsia="宋体" w:cs="宋体"/>
          <w:b/>
          <w:bCs/>
          <w:color w:val="auto"/>
          <w:sz w:val="32"/>
          <w:szCs w:val="20"/>
          <w:highlight w:val="none"/>
        </w:rPr>
        <w:t>商务响应偏离表（必须提供）</w:t>
      </w:r>
    </w:p>
    <w:p w14:paraId="30118A5A">
      <w:pPr>
        <w:pStyle w:val="9"/>
        <w:ind w:firstLine="354" w:firstLineChars="147"/>
        <w:rPr>
          <w:rFonts w:hint="eastAsia" w:ascii="宋体" w:hAnsi="宋体" w:eastAsia="宋体" w:cs="宋体"/>
          <w:b/>
          <w:color w:val="auto"/>
          <w:sz w:val="24"/>
          <w:szCs w:val="24"/>
          <w:highlight w:val="none"/>
        </w:rPr>
      </w:pPr>
    </w:p>
    <w:p w14:paraId="0B803F5E">
      <w:pPr>
        <w:pStyle w:val="9"/>
        <w:ind w:firstLine="354" w:firstLineChars="147"/>
        <w:rPr>
          <w:rFonts w:hint="eastAsia" w:ascii="宋体" w:hAnsi="宋体" w:eastAsia="宋体" w:cs="宋体"/>
          <w:b/>
          <w:color w:val="auto"/>
          <w:sz w:val="24"/>
          <w:szCs w:val="24"/>
          <w:highlight w:val="none"/>
        </w:rPr>
      </w:pPr>
      <w:r>
        <w:rPr>
          <w:rFonts w:hint="eastAsia" w:ascii="宋体" w:hAnsi="宋体" w:eastAsia="宋体" w:cs="宋体"/>
          <w:b/>
          <w:color w:val="auto"/>
          <w:sz w:val="24"/>
          <w:szCs w:val="24"/>
          <w:highlight w:val="none"/>
        </w:rPr>
        <w:t xml:space="preserve">附件：            </w:t>
      </w:r>
    </w:p>
    <w:p w14:paraId="678F063A">
      <w:pPr>
        <w:pStyle w:val="9"/>
        <w:ind w:firstLine="472" w:firstLineChars="147"/>
        <w:jc w:val="center"/>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rPr>
        <w:t>商务响应偏离表（格式）</w:t>
      </w:r>
    </w:p>
    <w:p w14:paraId="6BF1DA71">
      <w:pPr>
        <w:pStyle w:val="9"/>
        <w:keepNext w:val="0"/>
        <w:keepLines w:val="0"/>
        <w:pageBreakBefore w:val="0"/>
        <w:widowControl w:val="0"/>
        <w:kinsoku/>
        <w:wordWrap/>
        <w:overflowPunct/>
        <w:topLinePunct w:val="0"/>
        <w:autoSpaceDE/>
        <w:autoSpaceDN/>
        <w:bidi w:val="0"/>
        <w:adjustRightInd/>
        <w:snapToGrid/>
        <w:spacing w:line="320" w:lineRule="exact"/>
        <w:ind w:firstLine="422" w:firstLineChars="200"/>
        <w:textAlignment w:val="auto"/>
        <w:rPr>
          <w:rFonts w:hint="eastAsia" w:ascii="宋体" w:hAnsi="宋体" w:eastAsia="宋体" w:cs="宋体"/>
          <w:color w:val="auto"/>
          <w:highlight w:val="none"/>
          <w:lang w:eastAsia="zh-CN"/>
        </w:rPr>
      </w:pPr>
      <w:r>
        <w:rPr>
          <w:rFonts w:hint="eastAsia" w:ascii="宋体" w:hAnsi="宋体" w:eastAsia="宋体" w:cs="宋体"/>
          <w:b/>
          <w:bCs/>
          <w:color w:val="auto"/>
          <w:highlight w:val="none"/>
          <w:u w:val="single"/>
        </w:rPr>
        <w:t>标项  （   分标）</w:t>
      </w:r>
      <w:r>
        <w:rPr>
          <w:rFonts w:hint="eastAsia" w:hAnsi="宋体" w:cs="宋体"/>
          <w:b/>
          <w:bCs/>
          <w:color w:val="auto"/>
          <w:highlight w:val="none"/>
          <w:u w:val="single"/>
          <w:lang w:eastAsia="zh-CN"/>
        </w:rPr>
        <w:t>标项名称</w:t>
      </w:r>
      <w:r>
        <w:rPr>
          <w:rFonts w:hint="eastAsia" w:ascii="宋体" w:hAnsi="宋体" w:eastAsia="宋体" w:cs="宋体"/>
          <w:color w:val="auto"/>
          <w:highlight w:val="none"/>
          <w:u w:val="single"/>
        </w:rPr>
        <w:t xml:space="preserve">  </w:t>
      </w:r>
    </w:p>
    <w:tbl>
      <w:tblPr>
        <w:tblStyle w:val="15"/>
        <w:tblW w:w="95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54"/>
        <w:gridCol w:w="1766"/>
        <w:gridCol w:w="3022"/>
        <w:gridCol w:w="2264"/>
        <w:gridCol w:w="1822"/>
      </w:tblGrid>
      <w:tr w14:paraId="0547EA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1" w:hRule="atLeast"/>
          <w:jc w:val="center"/>
        </w:trPr>
        <w:tc>
          <w:tcPr>
            <w:tcW w:w="654" w:type="dxa"/>
            <w:noWrap w:val="0"/>
            <w:vAlign w:val="center"/>
          </w:tcPr>
          <w:p w14:paraId="53279EC9">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项号</w:t>
            </w:r>
          </w:p>
        </w:tc>
        <w:tc>
          <w:tcPr>
            <w:tcW w:w="1766" w:type="dxa"/>
            <w:noWrap w:val="0"/>
            <w:vAlign w:val="center"/>
          </w:tcPr>
          <w:p w14:paraId="127B5279">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条款名称</w:t>
            </w:r>
          </w:p>
        </w:tc>
        <w:tc>
          <w:tcPr>
            <w:tcW w:w="3022" w:type="dxa"/>
            <w:noWrap w:val="0"/>
            <w:vAlign w:val="center"/>
          </w:tcPr>
          <w:p w14:paraId="6B39658C">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招标采购要求</w:t>
            </w:r>
          </w:p>
        </w:tc>
        <w:tc>
          <w:tcPr>
            <w:tcW w:w="2264" w:type="dxa"/>
            <w:noWrap w:val="0"/>
            <w:vAlign w:val="center"/>
          </w:tcPr>
          <w:p w14:paraId="6535BC39">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投标文件的响应情况</w:t>
            </w:r>
          </w:p>
        </w:tc>
        <w:tc>
          <w:tcPr>
            <w:tcW w:w="1822" w:type="dxa"/>
            <w:noWrap w:val="0"/>
            <w:vAlign w:val="center"/>
          </w:tcPr>
          <w:p w14:paraId="671AC3B2">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偏离情况说明</w:t>
            </w:r>
          </w:p>
        </w:tc>
      </w:tr>
      <w:tr w14:paraId="03A973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49" w:hRule="atLeast"/>
          <w:jc w:val="center"/>
        </w:trPr>
        <w:tc>
          <w:tcPr>
            <w:tcW w:w="654" w:type="dxa"/>
            <w:noWrap w:val="0"/>
            <w:vAlign w:val="center"/>
          </w:tcPr>
          <w:p w14:paraId="76E91209">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1</w:t>
            </w:r>
          </w:p>
        </w:tc>
        <w:tc>
          <w:tcPr>
            <w:tcW w:w="1766" w:type="dxa"/>
            <w:noWrap w:val="0"/>
            <w:vAlign w:val="center"/>
          </w:tcPr>
          <w:p w14:paraId="775199C3">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val="0"/>
                <w:bCs w:val="0"/>
                <w:color w:val="auto"/>
                <w:highlight w:val="none"/>
              </w:rPr>
            </w:pPr>
            <w:r>
              <w:rPr>
                <w:rFonts w:hint="eastAsia" w:ascii="宋体" w:hAnsi="宋体" w:eastAsia="宋体" w:cs="宋体"/>
                <w:b w:val="0"/>
                <w:bCs w:val="0"/>
                <w:color w:val="auto"/>
                <w:sz w:val="21"/>
                <w:szCs w:val="21"/>
                <w:highlight w:val="none"/>
              </w:rPr>
              <w:t>售后服务要求</w:t>
            </w:r>
          </w:p>
        </w:tc>
        <w:tc>
          <w:tcPr>
            <w:tcW w:w="3022" w:type="dxa"/>
            <w:noWrap w:val="0"/>
            <w:vAlign w:val="top"/>
          </w:tcPr>
          <w:p w14:paraId="35DCEECC">
            <w:pPr>
              <w:pStyle w:val="9"/>
              <w:spacing w:line="360" w:lineRule="exact"/>
              <w:rPr>
                <w:rFonts w:hint="eastAsia" w:ascii="宋体" w:hAnsi="宋体" w:eastAsia="宋体" w:cs="宋体"/>
                <w:color w:val="auto"/>
                <w:szCs w:val="24"/>
                <w:highlight w:val="none"/>
              </w:rPr>
            </w:pPr>
          </w:p>
        </w:tc>
        <w:tc>
          <w:tcPr>
            <w:tcW w:w="2264" w:type="dxa"/>
            <w:noWrap w:val="0"/>
            <w:vAlign w:val="top"/>
          </w:tcPr>
          <w:p w14:paraId="152A6152">
            <w:pPr>
              <w:pStyle w:val="9"/>
              <w:spacing w:line="360" w:lineRule="exact"/>
              <w:rPr>
                <w:rFonts w:hint="eastAsia" w:ascii="宋体" w:hAnsi="宋体" w:eastAsia="宋体" w:cs="宋体"/>
                <w:color w:val="auto"/>
                <w:szCs w:val="24"/>
                <w:highlight w:val="none"/>
              </w:rPr>
            </w:pPr>
          </w:p>
        </w:tc>
        <w:tc>
          <w:tcPr>
            <w:tcW w:w="1822" w:type="dxa"/>
            <w:noWrap w:val="0"/>
            <w:vAlign w:val="top"/>
          </w:tcPr>
          <w:p w14:paraId="081DD5C2">
            <w:pPr>
              <w:pStyle w:val="9"/>
              <w:spacing w:line="360" w:lineRule="exact"/>
              <w:rPr>
                <w:rFonts w:hint="eastAsia" w:ascii="宋体" w:hAnsi="宋体" w:eastAsia="宋体" w:cs="宋体"/>
                <w:color w:val="auto"/>
                <w:szCs w:val="24"/>
                <w:highlight w:val="none"/>
              </w:rPr>
            </w:pPr>
          </w:p>
        </w:tc>
      </w:tr>
      <w:tr w14:paraId="0E3E7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88" w:hRule="atLeast"/>
          <w:jc w:val="center"/>
        </w:trPr>
        <w:tc>
          <w:tcPr>
            <w:tcW w:w="654" w:type="dxa"/>
            <w:noWrap w:val="0"/>
            <w:vAlign w:val="center"/>
          </w:tcPr>
          <w:p w14:paraId="488E0EE3">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2</w:t>
            </w:r>
          </w:p>
        </w:tc>
        <w:tc>
          <w:tcPr>
            <w:tcW w:w="1766" w:type="dxa"/>
            <w:noWrap w:val="0"/>
            <w:vAlign w:val="center"/>
          </w:tcPr>
          <w:p w14:paraId="044C6D6E">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val="0"/>
                <w:bCs w:val="0"/>
                <w:color w:val="auto"/>
                <w:highlight w:val="none"/>
              </w:rPr>
            </w:pPr>
            <w:r>
              <w:rPr>
                <w:rFonts w:hint="eastAsia" w:ascii="宋体" w:hAnsi="宋体" w:eastAsia="宋体" w:cs="宋体"/>
                <w:b w:val="0"/>
                <w:bCs w:val="0"/>
                <w:color w:val="auto"/>
                <w:sz w:val="21"/>
                <w:szCs w:val="21"/>
                <w:highlight w:val="none"/>
              </w:rPr>
              <w:t>交货时间及地点</w:t>
            </w:r>
          </w:p>
        </w:tc>
        <w:tc>
          <w:tcPr>
            <w:tcW w:w="3022" w:type="dxa"/>
            <w:noWrap w:val="0"/>
            <w:vAlign w:val="top"/>
          </w:tcPr>
          <w:p w14:paraId="276D25F6">
            <w:pPr>
              <w:pStyle w:val="9"/>
              <w:spacing w:line="360" w:lineRule="exact"/>
              <w:rPr>
                <w:rFonts w:hint="eastAsia" w:ascii="宋体" w:hAnsi="宋体" w:eastAsia="宋体" w:cs="宋体"/>
                <w:color w:val="auto"/>
                <w:szCs w:val="24"/>
                <w:highlight w:val="none"/>
              </w:rPr>
            </w:pPr>
          </w:p>
        </w:tc>
        <w:tc>
          <w:tcPr>
            <w:tcW w:w="2264" w:type="dxa"/>
            <w:noWrap w:val="0"/>
            <w:vAlign w:val="top"/>
          </w:tcPr>
          <w:p w14:paraId="73F776A5">
            <w:pPr>
              <w:pStyle w:val="9"/>
              <w:spacing w:line="360" w:lineRule="exact"/>
              <w:rPr>
                <w:rFonts w:hint="eastAsia" w:ascii="宋体" w:hAnsi="宋体" w:eastAsia="宋体" w:cs="宋体"/>
                <w:color w:val="auto"/>
                <w:szCs w:val="24"/>
                <w:highlight w:val="none"/>
              </w:rPr>
            </w:pPr>
          </w:p>
        </w:tc>
        <w:tc>
          <w:tcPr>
            <w:tcW w:w="1822" w:type="dxa"/>
            <w:noWrap w:val="0"/>
            <w:vAlign w:val="top"/>
          </w:tcPr>
          <w:p w14:paraId="14E6257C">
            <w:pPr>
              <w:pStyle w:val="9"/>
              <w:spacing w:line="360" w:lineRule="exact"/>
              <w:rPr>
                <w:rFonts w:hint="eastAsia" w:ascii="宋体" w:hAnsi="宋体" w:eastAsia="宋体" w:cs="宋体"/>
                <w:color w:val="auto"/>
                <w:szCs w:val="24"/>
                <w:highlight w:val="none"/>
              </w:rPr>
            </w:pPr>
          </w:p>
        </w:tc>
      </w:tr>
      <w:tr w14:paraId="7B4BCE8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654" w:type="dxa"/>
            <w:noWrap w:val="0"/>
            <w:vAlign w:val="center"/>
          </w:tcPr>
          <w:p w14:paraId="42473123">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3</w:t>
            </w:r>
          </w:p>
        </w:tc>
        <w:tc>
          <w:tcPr>
            <w:tcW w:w="1766" w:type="dxa"/>
            <w:noWrap w:val="0"/>
            <w:vAlign w:val="center"/>
          </w:tcPr>
          <w:p w14:paraId="6B3E5EEF">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sz w:val="21"/>
                <w:szCs w:val="21"/>
                <w:highlight w:val="none"/>
              </w:rPr>
              <w:t>付款方式</w:t>
            </w:r>
          </w:p>
        </w:tc>
        <w:tc>
          <w:tcPr>
            <w:tcW w:w="3022" w:type="dxa"/>
            <w:noWrap w:val="0"/>
            <w:vAlign w:val="top"/>
          </w:tcPr>
          <w:p w14:paraId="4B70A8CC">
            <w:pPr>
              <w:pStyle w:val="9"/>
              <w:spacing w:line="360" w:lineRule="exact"/>
              <w:rPr>
                <w:rFonts w:hint="eastAsia" w:ascii="宋体" w:hAnsi="宋体" w:eastAsia="宋体" w:cs="宋体"/>
                <w:color w:val="auto"/>
                <w:szCs w:val="24"/>
                <w:highlight w:val="none"/>
              </w:rPr>
            </w:pPr>
          </w:p>
        </w:tc>
        <w:tc>
          <w:tcPr>
            <w:tcW w:w="2264" w:type="dxa"/>
            <w:noWrap w:val="0"/>
            <w:vAlign w:val="top"/>
          </w:tcPr>
          <w:p w14:paraId="55A5D0E0">
            <w:pPr>
              <w:pStyle w:val="9"/>
              <w:spacing w:line="360" w:lineRule="exact"/>
              <w:rPr>
                <w:rFonts w:hint="eastAsia" w:ascii="宋体" w:hAnsi="宋体" w:eastAsia="宋体" w:cs="宋体"/>
                <w:color w:val="auto"/>
                <w:szCs w:val="24"/>
                <w:highlight w:val="none"/>
              </w:rPr>
            </w:pPr>
          </w:p>
        </w:tc>
        <w:tc>
          <w:tcPr>
            <w:tcW w:w="1822" w:type="dxa"/>
            <w:noWrap w:val="0"/>
            <w:vAlign w:val="top"/>
          </w:tcPr>
          <w:p w14:paraId="33035DF8">
            <w:pPr>
              <w:pStyle w:val="9"/>
              <w:spacing w:line="360" w:lineRule="exact"/>
              <w:rPr>
                <w:rFonts w:hint="eastAsia" w:ascii="宋体" w:hAnsi="宋体" w:eastAsia="宋体" w:cs="宋体"/>
                <w:color w:val="auto"/>
                <w:szCs w:val="24"/>
                <w:highlight w:val="none"/>
              </w:rPr>
            </w:pPr>
          </w:p>
        </w:tc>
      </w:tr>
      <w:tr w14:paraId="43D509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54" w:type="dxa"/>
            <w:noWrap w:val="0"/>
            <w:vAlign w:val="center"/>
          </w:tcPr>
          <w:p w14:paraId="6D0C7B3C">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4</w:t>
            </w:r>
          </w:p>
        </w:tc>
        <w:tc>
          <w:tcPr>
            <w:tcW w:w="1766" w:type="dxa"/>
            <w:noWrap w:val="0"/>
            <w:vAlign w:val="center"/>
          </w:tcPr>
          <w:p w14:paraId="7C6911D9">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sz w:val="21"/>
                <w:szCs w:val="21"/>
                <w:highlight w:val="none"/>
              </w:rPr>
              <w:t>验收</w:t>
            </w:r>
            <w:r>
              <w:rPr>
                <w:rFonts w:hint="eastAsia" w:ascii="宋体" w:hAnsi="宋体" w:eastAsia="宋体" w:cs="宋体"/>
                <w:b w:val="0"/>
                <w:bCs w:val="0"/>
                <w:color w:val="auto"/>
                <w:sz w:val="21"/>
                <w:szCs w:val="21"/>
                <w:highlight w:val="none"/>
                <w:lang w:eastAsia="zh-CN"/>
              </w:rPr>
              <w:t>要求</w:t>
            </w:r>
          </w:p>
        </w:tc>
        <w:tc>
          <w:tcPr>
            <w:tcW w:w="3022" w:type="dxa"/>
            <w:noWrap w:val="0"/>
            <w:vAlign w:val="top"/>
          </w:tcPr>
          <w:p w14:paraId="17DDA4FD">
            <w:pPr>
              <w:pStyle w:val="9"/>
              <w:spacing w:line="360" w:lineRule="exact"/>
              <w:rPr>
                <w:rFonts w:hint="eastAsia" w:ascii="宋体" w:hAnsi="宋体" w:eastAsia="宋体" w:cs="宋体"/>
                <w:color w:val="auto"/>
                <w:szCs w:val="24"/>
                <w:highlight w:val="none"/>
              </w:rPr>
            </w:pPr>
          </w:p>
        </w:tc>
        <w:tc>
          <w:tcPr>
            <w:tcW w:w="2264" w:type="dxa"/>
            <w:noWrap w:val="0"/>
            <w:vAlign w:val="top"/>
          </w:tcPr>
          <w:p w14:paraId="2F8D57C4">
            <w:pPr>
              <w:pStyle w:val="9"/>
              <w:spacing w:line="360" w:lineRule="exact"/>
              <w:rPr>
                <w:rFonts w:hint="eastAsia" w:ascii="宋体" w:hAnsi="宋体" w:eastAsia="宋体" w:cs="宋体"/>
                <w:color w:val="auto"/>
                <w:szCs w:val="24"/>
                <w:highlight w:val="none"/>
              </w:rPr>
            </w:pPr>
          </w:p>
        </w:tc>
        <w:tc>
          <w:tcPr>
            <w:tcW w:w="1822" w:type="dxa"/>
            <w:noWrap w:val="0"/>
            <w:vAlign w:val="top"/>
          </w:tcPr>
          <w:p w14:paraId="49CBECB3">
            <w:pPr>
              <w:pStyle w:val="9"/>
              <w:spacing w:line="360" w:lineRule="exact"/>
              <w:rPr>
                <w:rFonts w:hint="eastAsia" w:ascii="宋体" w:hAnsi="宋体" w:eastAsia="宋体" w:cs="宋体"/>
                <w:color w:val="auto"/>
                <w:szCs w:val="24"/>
                <w:highlight w:val="none"/>
              </w:rPr>
            </w:pPr>
          </w:p>
        </w:tc>
      </w:tr>
      <w:tr w14:paraId="058C98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54" w:type="dxa"/>
            <w:noWrap w:val="0"/>
            <w:vAlign w:val="center"/>
          </w:tcPr>
          <w:p w14:paraId="3D7AD9DD">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5</w:t>
            </w:r>
          </w:p>
        </w:tc>
        <w:tc>
          <w:tcPr>
            <w:tcW w:w="1766" w:type="dxa"/>
            <w:noWrap w:val="0"/>
            <w:vAlign w:val="center"/>
          </w:tcPr>
          <w:p w14:paraId="35FFE5FA">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sz w:val="21"/>
                <w:szCs w:val="21"/>
                <w:highlight w:val="none"/>
              </w:rPr>
              <w:t>质量标准</w:t>
            </w:r>
          </w:p>
        </w:tc>
        <w:tc>
          <w:tcPr>
            <w:tcW w:w="3022" w:type="dxa"/>
            <w:noWrap w:val="0"/>
            <w:vAlign w:val="top"/>
          </w:tcPr>
          <w:p w14:paraId="52C43C42">
            <w:pPr>
              <w:pStyle w:val="9"/>
              <w:spacing w:line="360" w:lineRule="exact"/>
              <w:rPr>
                <w:rFonts w:hint="eastAsia" w:ascii="宋体" w:hAnsi="宋体" w:eastAsia="宋体" w:cs="宋体"/>
                <w:color w:val="auto"/>
                <w:szCs w:val="24"/>
                <w:highlight w:val="none"/>
              </w:rPr>
            </w:pPr>
          </w:p>
        </w:tc>
        <w:tc>
          <w:tcPr>
            <w:tcW w:w="2264" w:type="dxa"/>
            <w:noWrap w:val="0"/>
            <w:vAlign w:val="top"/>
          </w:tcPr>
          <w:p w14:paraId="6997FF47">
            <w:pPr>
              <w:pStyle w:val="9"/>
              <w:spacing w:line="360" w:lineRule="exact"/>
              <w:rPr>
                <w:rFonts w:hint="eastAsia" w:ascii="宋体" w:hAnsi="宋体" w:eastAsia="宋体" w:cs="宋体"/>
                <w:color w:val="auto"/>
                <w:szCs w:val="24"/>
                <w:highlight w:val="none"/>
              </w:rPr>
            </w:pPr>
          </w:p>
        </w:tc>
        <w:tc>
          <w:tcPr>
            <w:tcW w:w="1822" w:type="dxa"/>
            <w:noWrap w:val="0"/>
            <w:vAlign w:val="top"/>
          </w:tcPr>
          <w:p w14:paraId="0BE2D183">
            <w:pPr>
              <w:pStyle w:val="9"/>
              <w:spacing w:line="360" w:lineRule="exact"/>
              <w:rPr>
                <w:rFonts w:hint="eastAsia" w:ascii="宋体" w:hAnsi="宋体" w:eastAsia="宋体" w:cs="宋体"/>
                <w:color w:val="auto"/>
                <w:szCs w:val="24"/>
                <w:highlight w:val="none"/>
              </w:rPr>
            </w:pPr>
          </w:p>
        </w:tc>
      </w:tr>
      <w:tr w14:paraId="49151A7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5" w:hRule="atLeast"/>
          <w:jc w:val="center"/>
        </w:trPr>
        <w:tc>
          <w:tcPr>
            <w:tcW w:w="654" w:type="dxa"/>
            <w:noWrap w:val="0"/>
            <w:vAlign w:val="center"/>
          </w:tcPr>
          <w:p w14:paraId="1BAEE4EB">
            <w:pPr>
              <w:pStyle w:val="9"/>
              <w:spacing w:line="360" w:lineRule="exact"/>
              <w:jc w:val="center"/>
              <w:rPr>
                <w:rFonts w:hint="eastAsia" w:ascii="宋体" w:hAnsi="宋体" w:eastAsia="宋体" w:cs="宋体"/>
                <w:color w:val="auto"/>
                <w:szCs w:val="24"/>
                <w:highlight w:val="none"/>
              </w:rPr>
            </w:pPr>
            <w:r>
              <w:rPr>
                <w:rFonts w:hint="eastAsia" w:ascii="宋体" w:hAnsi="宋体" w:eastAsia="宋体" w:cs="宋体"/>
                <w:color w:val="auto"/>
                <w:szCs w:val="24"/>
                <w:highlight w:val="none"/>
              </w:rPr>
              <w:t>6</w:t>
            </w:r>
          </w:p>
        </w:tc>
        <w:tc>
          <w:tcPr>
            <w:tcW w:w="1766" w:type="dxa"/>
            <w:noWrap w:val="0"/>
            <w:vAlign w:val="center"/>
          </w:tcPr>
          <w:p w14:paraId="2DEBC6D5">
            <w:pPr>
              <w:keepNext w:val="0"/>
              <w:keepLines w:val="0"/>
              <w:pageBreakBefore w:val="0"/>
              <w:widowControl/>
              <w:kinsoku/>
              <w:wordWrap/>
              <w:overflowPunct/>
              <w:topLinePunct w:val="0"/>
              <w:autoSpaceDE/>
              <w:autoSpaceDN/>
              <w:bidi w:val="0"/>
              <w:adjustRightInd w:val="0"/>
              <w:snapToGrid w:val="0"/>
              <w:spacing w:before="181" w:beforeLines="50" w:after="181" w:afterLines="50" w:line="340" w:lineRule="exact"/>
              <w:jc w:val="center"/>
              <w:textAlignment w:val="auto"/>
              <w:rPr>
                <w:rFonts w:hint="eastAsia" w:ascii="宋体" w:hAnsi="宋体" w:eastAsia="宋体" w:cs="宋体"/>
                <w:b w:val="0"/>
                <w:bCs w:val="0"/>
                <w:color w:val="auto"/>
                <w:kern w:val="0"/>
                <w:szCs w:val="21"/>
                <w:highlight w:val="none"/>
              </w:rPr>
            </w:pPr>
            <w:r>
              <w:rPr>
                <w:rFonts w:hint="eastAsia" w:ascii="宋体" w:hAnsi="宋体" w:eastAsia="宋体" w:cs="宋体"/>
                <w:b w:val="0"/>
                <w:bCs w:val="0"/>
                <w:color w:val="auto"/>
                <w:sz w:val="21"/>
                <w:szCs w:val="21"/>
                <w:highlight w:val="none"/>
              </w:rPr>
              <w:t>其他要求</w:t>
            </w:r>
          </w:p>
        </w:tc>
        <w:tc>
          <w:tcPr>
            <w:tcW w:w="3022" w:type="dxa"/>
            <w:noWrap w:val="0"/>
            <w:vAlign w:val="top"/>
          </w:tcPr>
          <w:p w14:paraId="15FA26C9">
            <w:pPr>
              <w:pStyle w:val="9"/>
              <w:spacing w:line="360" w:lineRule="exact"/>
              <w:rPr>
                <w:rFonts w:hint="eastAsia" w:ascii="宋体" w:hAnsi="宋体" w:eastAsia="宋体" w:cs="宋体"/>
                <w:color w:val="auto"/>
                <w:szCs w:val="24"/>
                <w:highlight w:val="none"/>
              </w:rPr>
            </w:pPr>
          </w:p>
        </w:tc>
        <w:tc>
          <w:tcPr>
            <w:tcW w:w="2264" w:type="dxa"/>
            <w:noWrap w:val="0"/>
            <w:vAlign w:val="top"/>
          </w:tcPr>
          <w:p w14:paraId="3C5FA498">
            <w:pPr>
              <w:pStyle w:val="9"/>
              <w:spacing w:line="360" w:lineRule="exact"/>
              <w:rPr>
                <w:rFonts w:hint="eastAsia" w:ascii="宋体" w:hAnsi="宋体" w:eastAsia="宋体" w:cs="宋体"/>
                <w:color w:val="auto"/>
                <w:szCs w:val="24"/>
                <w:highlight w:val="none"/>
              </w:rPr>
            </w:pPr>
          </w:p>
        </w:tc>
        <w:tc>
          <w:tcPr>
            <w:tcW w:w="1822" w:type="dxa"/>
            <w:noWrap w:val="0"/>
            <w:vAlign w:val="top"/>
          </w:tcPr>
          <w:p w14:paraId="2FBC423C">
            <w:pPr>
              <w:pStyle w:val="9"/>
              <w:spacing w:line="360" w:lineRule="exact"/>
              <w:rPr>
                <w:rFonts w:hint="eastAsia" w:ascii="宋体" w:hAnsi="宋体" w:eastAsia="宋体" w:cs="宋体"/>
                <w:color w:val="auto"/>
                <w:szCs w:val="24"/>
                <w:highlight w:val="none"/>
              </w:rPr>
            </w:pPr>
          </w:p>
        </w:tc>
      </w:tr>
    </w:tbl>
    <w:p w14:paraId="18E771AD">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4495F384">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4292B69B">
      <w:pPr>
        <w:pStyle w:val="9"/>
        <w:ind w:firstLine="1995" w:firstLineChars="950"/>
        <w:rPr>
          <w:rFonts w:hint="eastAsia" w:ascii="宋体" w:hAnsi="宋体" w:eastAsia="宋体" w:cs="宋体"/>
          <w:color w:val="auto"/>
          <w:highlight w:val="none"/>
          <w:u w:val="single"/>
        </w:rPr>
      </w:pPr>
      <w:r>
        <w:rPr>
          <w:rFonts w:hint="eastAsia" w:ascii="宋体" w:hAnsi="宋体" w:eastAsia="宋体" w:cs="宋体"/>
          <w:color w:val="auto"/>
          <w:highlight w:val="none"/>
        </w:rPr>
        <w:t>投标人公章（CA签章，</w:t>
      </w:r>
      <w:r>
        <w:rPr>
          <w:rFonts w:hint="eastAsia" w:ascii="宋体" w:hAnsi="宋体" w:eastAsia="宋体" w:cs="宋体"/>
          <w:color w:val="auto"/>
          <w:szCs w:val="21"/>
          <w:highlight w:val="none"/>
        </w:rPr>
        <w:t>自然人签字或个人CA签章</w:t>
      </w:r>
      <w:r>
        <w:rPr>
          <w:rFonts w:hint="eastAsia" w:ascii="宋体" w:hAnsi="宋体" w:eastAsia="宋体" w:cs="宋体"/>
          <w:color w:val="auto"/>
          <w:highlight w:val="none"/>
        </w:rPr>
        <w:t>）：</w:t>
      </w:r>
      <w:r>
        <w:rPr>
          <w:rFonts w:hint="eastAsia" w:ascii="宋体" w:hAnsi="宋体" w:eastAsia="宋体" w:cs="宋体"/>
          <w:color w:val="auto"/>
          <w:highlight w:val="none"/>
          <w:u w:val="single"/>
        </w:rPr>
        <w:t xml:space="preserve">                          .                </w:t>
      </w:r>
    </w:p>
    <w:p w14:paraId="6333C5B1">
      <w:pPr>
        <w:pStyle w:val="9"/>
        <w:spacing w:line="320" w:lineRule="exact"/>
        <w:ind w:firstLine="420" w:firstLineChars="20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 xml:space="preserve">                             </w:t>
      </w:r>
    </w:p>
    <w:p w14:paraId="01F96D56">
      <w:pPr>
        <w:pStyle w:val="9"/>
        <w:spacing w:line="320" w:lineRule="exact"/>
        <w:ind w:firstLine="420" w:firstLineChars="20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 xml:space="preserve"> </w:t>
      </w:r>
    </w:p>
    <w:p w14:paraId="20FC5C98">
      <w:pPr>
        <w:pStyle w:val="9"/>
        <w:spacing w:line="320" w:lineRule="exact"/>
        <w:ind w:firstLine="3990" w:firstLineChars="1900"/>
        <w:rPr>
          <w:rFonts w:hint="eastAsia" w:ascii="宋体" w:hAnsi="宋体" w:eastAsia="宋体" w:cs="宋体"/>
          <w:bCs/>
          <w:color w:val="auto"/>
          <w:szCs w:val="21"/>
          <w:highlight w:val="none"/>
          <w:u w:val="single"/>
        </w:rPr>
      </w:pPr>
      <w:r>
        <w:rPr>
          <w:rFonts w:hint="eastAsia" w:ascii="宋体" w:hAnsi="宋体" w:eastAsia="宋体" w:cs="宋体"/>
          <w:bCs/>
          <w:color w:val="auto"/>
          <w:szCs w:val="21"/>
          <w:highlight w:val="none"/>
        </w:rPr>
        <w:t xml:space="preserve"> 日期：</w:t>
      </w:r>
      <w:r>
        <w:rPr>
          <w:rFonts w:hint="eastAsia" w:ascii="宋体" w:hAnsi="宋体" w:eastAsia="宋体" w:cs="宋体"/>
          <w:bCs/>
          <w:color w:val="auto"/>
          <w:szCs w:val="21"/>
          <w:highlight w:val="none"/>
          <w:u w:val="single"/>
        </w:rPr>
        <w:t xml:space="preserve">                      .</w:t>
      </w:r>
    </w:p>
    <w:p w14:paraId="20714EC2">
      <w:pPr>
        <w:pStyle w:val="9"/>
        <w:spacing w:line="340" w:lineRule="exact"/>
        <w:rPr>
          <w:rFonts w:hint="eastAsia" w:ascii="宋体" w:hAnsi="宋体" w:eastAsia="宋体" w:cs="宋体"/>
          <w:bCs/>
          <w:color w:val="auto"/>
          <w:szCs w:val="21"/>
          <w:highlight w:val="none"/>
        </w:rPr>
      </w:pPr>
    </w:p>
    <w:p w14:paraId="02025206">
      <w:pPr>
        <w:widowControl/>
        <w:jc w:val="left"/>
        <w:rPr>
          <w:rFonts w:hint="eastAsia" w:ascii="宋体" w:hAnsi="宋体" w:eastAsia="宋体" w:cs="宋体"/>
          <w:color w:val="auto"/>
          <w:highlight w:val="none"/>
        </w:rPr>
      </w:pPr>
    </w:p>
    <w:p w14:paraId="3DEB8B61">
      <w:pPr>
        <w:pStyle w:val="9"/>
        <w:spacing w:line="340" w:lineRule="exact"/>
        <w:rPr>
          <w:rFonts w:hint="eastAsia" w:ascii="宋体" w:hAnsi="宋体" w:eastAsia="宋体" w:cs="宋体"/>
          <w:bCs/>
          <w:color w:val="auto"/>
          <w:szCs w:val="21"/>
          <w:highlight w:val="none"/>
        </w:rPr>
      </w:pPr>
    </w:p>
    <w:p w14:paraId="5A8470EC">
      <w:pPr>
        <w:pStyle w:val="9"/>
        <w:spacing w:line="340" w:lineRule="exact"/>
        <w:rPr>
          <w:rFonts w:hint="eastAsia" w:ascii="宋体" w:hAnsi="宋体" w:eastAsia="宋体" w:cs="宋体"/>
          <w:b/>
          <w:bCs w:val="0"/>
          <w:color w:val="auto"/>
          <w:szCs w:val="21"/>
          <w:highlight w:val="none"/>
        </w:rPr>
      </w:pPr>
      <w:r>
        <w:rPr>
          <w:rFonts w:hint="eastAsia" w:ascii="宋体" w:hAnsi="宋体" w:eastAsia="宋体" w:cs="宋体"/>
          <w:b/>
          <w:bCs w:val="0"/>
          <w:color w:val="auto"/>
          <w:szCs w:val="21"/>
          <w:highlight w:val="none"/>
        </w:rPr>
        <w:t>注：（1）投标人应对照</w:t>
      </w:r>
      <w:r>
        <w:rPr>
          <w:rFonts w:hint="eastAsia" w:hAnsi="宋体" w:cs="宋体"/>
          <w:b/>
          <w:bCs w:val="0"/>
          <w:color w:val="auto"/>
          <w:szCs w:val="21"/>
          <w:highlight w:val="none"/>
          <w:lang w:eastAsia="zh-CN"/>
        </w:rPr>
        <w:t>第三章</w:t>
      </w:r>
      <w:r>
        <w:rPr>
          <w:rFonts w:hint="eastAsia" w:ascii="宋体" w:hAnsi="宋体" w:eastAsia="宋体" w:cs="宋体"/>
          <w:b/>
          <w:bCs w:val="0"/>
          <w:color w:val="auto"/>
          <w:szCs w:val="21"/>
          <w:highlight w:val="none"/>
        </w:rPr>
        <w:t>“货物采购需求”中商务要求内容进行</w:t>
      </w:r>
      <w:r>
        <w:rPr>
          <w:rFonts w:hint="eastAsia" w:ascii="宋体" w:hAnsi="宋体" w:eastAsia="宋体" w:cs="宋体"/>
          <w:b/>
          <w:bCs w:val="0"/>
          <w:color w:val="auto"/>
          <w:highlight w:val="none"/>
        </w:rPr>
        <w:t>逐条响应，并在“</w:t>
      </w:r>
      <w:r>
        <w:rPr>
          <w:rFonts w:hint="eastAsia" w:ascii="宋体" w:hAnsi="宋体" w:eastAsia="宋体" w:cs="宋体"/>
          <w:b/>
          <w:bCs w:val="0"/>
          <w:color w:val="auto"/>
          <w:szCs w:val="24"/>
          <w:highlight w:val="none"/>
        </w:rPr>
        <w:t>偏离情况说明</w:t>
      </w:r>
      <w:r>
        <w:rPr>
          <w:rFonts w:hint="eastAsia" w:ascii="宋体" w:hAnsi="宋体" w:eastAsia="宋体" w:cs="宋体"/>
          <w:b/>
          <w:bCs w:val="0"/>
          <w:color w:val="auto"/>
          <w:highlight w:val="none"/>
        </w:rPr>
        <w:t>” 栏注明“正偏离”、“负偏离”或“无偏离”</w:t>
      </w:r>
      <w:r>
        <w:rPr>
          <w:rFonts w:hint="eastAsia" w:ascii="宋体" w:hAnsi="宋体" w:eastAsia="宋体" w:cs="宋体"/>
          <w:b/>
          <w:bCs w:val="0"/>
          <w:color w:val="auto"/>
          <w:szCs w:val="21"/>
          <w:highlight w:val="none"/>
        </w:rPr>
        <w:t>；当出现“正偏离”情况时应填写偏离情况说明，否则，不予认可。</w:t>
      </w:r>
    </w:p>
    <w:p w14:paraId="5DD10772">
      <w:pPr>
        <w:ind w:firstLine="221" w:firstLineChars="100"/>
        <w:rPr>
          <w:rFonts w:hint="eastAsia" w:ascii="宋体" w:hAnsi="宋体" w:eastAsia="宋体" w:cs="宋体"/>
          <w:b/>
          <w:bCs w:val="0"/>
          <w:color w:val="auto"/>
          <w:highlight w:val="none"/>
        </w:rPr>
      </w:pPr>
      <w:r>
        <w:rPr>
          <w:rFonts w:hint="eastAsia" w:ascii="宋体" w:hAnsi="宋体" w:eastAsia="宋体" w:cs="宋体"/>
          <w:b/>
          <w:bCs w:val="0"/>
          <w:color w:val="auto"/>
          <w:szCs w:val="21"/>
          <w:highlight w:val="none"/>
        </w:rPr>
        <w:t>（2）商务响应偏离表须加盖</w:t>
      </w:r>
      <w:r>
        <w:rPr>
          <w:rFonts w:hint="eastAsia" w:ascii="宋体" w:hAnsi="宋体" w:eastAsia="宋体" w:cs="宋体"/>
          <w:b/>
          <w:bCs w:val="0"/>
          <w:color w:val="auto"/>
          <w:highlight w:val="none"/>
        </w:rPr>
        <w:t>投标人公章（CA签章，自然人签字或个人CA签章）；当本表由多页构成时，需逐页加盖投标人公章（CA签章，自然人签字或个人CA签章）。</w:t>
      </w:r>
    </w:p>
    <w:p w14:paraId="5113D84D">
      <w:pPr>
        <w:pStyle w:val="9"/>
        <w:spacing w:line="340" w:lineRule="exact"/>
        <w:rPr>
          <w:rFonts w:hint="eastAsia" w:ascii="宋体" w:hAnsi="宋体" w:eastAsia="宋体" w:cs="宋体"/>
          <w:color w:val="auto"/>
          <w:highlight w:val="none"/>
        </w:rPr>
      </w:pPr>
    </w:p>
    <w:p w14:paraId="4EDAA596">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0E20E5C2">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057B1E16">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4D0D1342">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442D9E91">
      <w:pPr>
        <w:snapToGrid w:val="0"/>
        <w:spacing w:line="400" w:lineRule="exact"/>
        <w:ind w:firstLine="643" w:firstLineChars="200"/>
        <w:outlineLvl w:val="4"/>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rPr>
        <w:t>4.投标人的售后服务承诺书（根据评标方法自行编写，格式自拟）（必须提供）；</w:t>
      </w:r>
    </w:p>
    <w:p w14:paraId="0B948FEC">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1A41AF34">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58783104">
      <w:pPr>
        <w:pStyle w:val="9"/>
        <w:spacing w:line="400" w:lineRule="exact"/>
        <w:ind w:firstLine="3855" w:firstLineChars="1200"/>
        <w:jc w:val="both"/>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rPr>
        <w:t>（格式自拟）</w:t>
      </w:r>
    </w:p>
    <w:p w14:paraId="049B6FC4">
      <w:pPr>
        <w:snapToGrid w:val="0"/>
        <w:spacing w:line="400" w:lineRule="exact"/>
        <w:ind w:firstLine="643" w:firstLineChars="200"/>
        <w:jc w:val="center"/>
        <w:outlineLvl w:val="9"/>
        <w:rPr>
          <w:rFonts w:hint="eastAsia" w:ascii="宋体" w:hAnsi="宋体" w:eastAsia="宋体" w:cs="宋体"/>
          <w:b/>
          <w:bCs/>
          <w:color w:val="auto"/>
          <w:sz w:val="32"/>
          <w:szCs w:val="20"/>
          <w:highlight w:val="none"/>
          <w:lang w:eastAsia="zh-CN"/>
        </w:rPr>
      </w:pPr>
    </w:p>
    <w:p w14:paraId="197DC304">
      <w:pPr>
        <w:snapToGrid w:val="0"/>
        <w:spacing w:line="400" w:lineRule="exact"/>
        <w:outlineLvl w:val="9"/>
        <w:rPr>
          <w:rFonts w:hint="eastAsia" w:ascii="宋体" w:hAnsi="宋体" w:eastAsia="宋体" w:cs="宋体"/>
          <w:b/>
          <w:bCs/>
          <w:color w:val="auto"/>
          <w:sz w:val="32"/>
          <w:szCs w:val="20"/>
          <w:highlight w:val="none"/>
        </w:rPr>
      </w:pPr>
    </w:p>
    <w:p w14:paraId="6C75DB38">
      <w:pPr>
        <w:pStyle w:val="23"/>
        <w:ind w:firstLine="480"/>
        <w:rPr>
          <w:rFonts w:hint="eastAsia" w:ascii="宋体" w:hAnsi="宋体" w:eastAsia="宋体" w:cs="宋体"/>
          <w:color w:val="auto"/>
          <w:highlight w:val="none"/>
        </w:rPr>
      </w:pPr>
    </w:p>
    <w:p w14:paraId="567117DF">
      <w:pPr>
        <w:rPr>
          <w:rFonts w:hint="eastAsia" w:ascii="宋体" w:hAnsi="宋体" w:eastAsia="宋体" w:cs="宋体"/>
          <w:color w:val="auto"/>
          <w:highlight w:val="none"/>
        </w:rPr>
      </w:pPr>
    </w:p>
    <w:p w14:paraId="309E0494">
      <w:pPr>
        <w:snapToGrid w:val="0"/>
        <w:spacing w:line="400" w:lineRule="exact"/>
        <w:outlineLvl w:val="9"/>
        <w:rPr>
          <w:rFonts w:hint="eastAsia" w:ascii="宋体" w:hAnsi="宋体" w:eastAsia="宋体" w:cs="宋体"/>
          <w:b/>
          <w:bCs/>
          <w:color w:val="auto"/>
          <w:sz w:val="32"/>
          <w:szCs w:val="20"/>
          <w:highlight w:val="none"/>
        </w:rPr>
      </w:pPr>
    </w:p>
    <w:p w14:paraId="339CD67E">
      <w:pPr>
        <w:pStyle w:val="9"/>
        <w:ind w:firstLine="1995" w:firstLineChars="950"/>
        <w:rPr>
          <w:rFonts w:hint="eastAsia" w:ascii="宋体" w:hAnsi="宋体" w:eastAsia="宋体" w:cs="宋体"/>
          <w:color w:val="auto"/>
          <w:highlight w:val="none"/>
          <w:u w:val="single"/>
        </w:rPr>
      </w:pPr>
      <w:r>
        <w:rPr>
          <w:rFonts w:hint="eastAsia" w:ascii="宋体" w:hAnsi="宋体" w:eastAsia="宋体" w:cs="宋体"/>
          <w:color w:val="auto"/>
          <w:highlight w:val="none"/>
        </w:rPr>
        <w:t>投标人公章（CA签章，自然人签字或个人CA签章）：</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w:t>
      </w:r>
      <w:r>
        <w:rPr>
          <w:rFonts w:hint="eastAsia" w:ascii="宋体" w:hAnsi="宋体" w:eastAsia="宋体" w:cs="宋体"/>
          <w:color w:val="auto"/>
          <w:highlight w:val="none"/>
          <w:u w:val="single"/>
        </w:rPr>
        <w:t xml:space="preserve">                </w:t>
      </w:r>
    </w:p>
    <w:p w14:paraId="4A9AE72E">
      <w:pPr>
        <w:pStyle w:val="9"/>
        <w:spacing w:line="320" w:lineRule="exact"/>
        <w:ind w:firstLine="420" w:firstLineChars="20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 xml:space="preserve">                             </w:t>
      </w:r>
    </w:p>
    <w:p w14:paraId="2B3C468F">
      <w:pPr>
        <w:pStyle w:val="9"/>
        <w:spacing w:line="320" w:lineRule="exact"/>
        <w:ind w:firstLine="420" w:firstLineChars="200"/>
        <w:rPr>
          <w:rFonts w:hint="eastAsia" w:ascii="宋体" w:hAnsi="宋体" w:eastAsia="宋体" w:cs="宋体"/>
          <w:bCs/>
          <w:color w:val="auto"/>
          <w:szCs w:val="21"/>
          <w:highlight w:val="none"/>
        </w:rPr>
      </w:pPr>
    </w:p>
    <w:p w14:paraId="5650FB98">
      <w:pPr>
        <w:pStyle w:val="9"/>
        <w:spacing w:line="320" w:lineRule="exact"/>
        <w:ind w:firstLine="3990" w:firstLineChars="1900"/>
        <w:rPr>
          <w:rFonts w:hint="eastAsia" w:ascii="宋体" w:hAnsi="宋体" w:eastAsia="宋体" w:cs="宋体"/>
          <w:bCs/>
          <w:color w:val="auto"/>
          <w:szCs w:val="21"/>
          <w:highlight w:val="none"/>
          <w:u w:val="single"/>
          <w:lang w:eastAsia="zh-CN"/>
        </w:rPr>
      </w:pPr>
      <w:r>
        <w:rPr>
          <w:rFonts w:hint="eastAsia" w:ascii="宋体" w:hAnsi="宋体" w:eastAsia="宋体" w:cs="宋体"/>
          <w:bCs/>
          <w:color w:val="auto"/>
          <w:szCs w:val="21"/>
          <w:highlight w:val="none"/>
        </w:rPr>
        <w:t xml:space="preserve"> 日期：</w:t>
      </w:r>
      <w:r>
        <w:rPr>
          <w:rFonts w:hint="eastAsia" w:ascii="宋体" w:hAnsi="宋体" w:eastAsia="宋体" w:cs="宋体"/>
          <w:bCs/>
          <w:color w:val="auto"/>
          <w:szCs w:val="21"/>
          <w:highlight w:val="none"/>
          <w:u w:val="single"/>
        </w:rPr>
        <w:t xml:space="preserve">                      </w:t>
      </w:r>
      <w:r>
        <w:rPr>
          <w:rFonts w:hint="eastAsia" w:ascii="宋体" w:hAnsi="宋体" w:eastAsia="宋体" w:cs="宋体"/>
          <w:bCs/>
          <w:color w:val="auto"/>
          <w:szCs w:val="21"/>
          <w:highlight w:val="none"/>
          <w:u w:val="single"/>
          <w:lang w:val="en-US" w:eastAsia="zh-CN"/>
        </w:rPr>
        <w:t>.</w:t>
      </w:r>
    </w:p>
    <w:p w14:paraId="0E0DD827">
      <w:pPr>
        <w:pStyle w:val="9"/>
        <w:spacing w:line="400" w:lineRule="exact"/>
        <w:ind w:firstLine="2940" w:firstLineChars="140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 xml:space="preserve"> </w:t>
      </w:r>
    </w:p>
    <w:p w14:paraId="065E6C1F">
      <w:pPr>
        <w:snapToGrid w:val="0"/>
        <w:spacing w:line="400" w:lineRule="exact"/>
        <w:ind w:firstLine="643" w:firstLineChars="200"/>
        <w:outlineLvl w:val="9"/>
        <w:rPr>
          <w:rFonts w:hint="eastAsia" w:ascii="宋体" w:hAnsi="宋体" w:eastAsia="宋体" w:cs="宋体"/>
          <w:b/>
          <w:bCs/>
          <w:color w:val="auto"/>
          <w:sz w:val="32"/>
          <w:szCs w:val="20"/>
          <w:highlight w:val="none"/>
        </w:rPr>
      </w:pPr>
    </w:p>
    <w:p w14:paraId="3E8A7FCB">
      <w:pPr>
        <w:widowControl/>
        <w:jc w:val="left"/>
        <w:rPr>
          <w:rFonts w:hint="eastAsia" w:ascii="宋体" w:hAnsi="宋体" w:eastAsia="宋体" w:cs="宋体"/>
          <w:color w:val="auto"/>
          <w:highlight w:val="none"/>
        </w:rPr>
      </w:pPr>
    </w:p>
    <w:p w14:paraId="224F6A54">
      <w:pPr>
        <w:widowControl/>
        <w:jc w:val="left"/>
        <w:rPr>
          <w:rFonts w:hint="eastAsia" w:ascii="宋体" w:hAnsi="宋体" w:eastAsia="宋体" w:cs="宋体"/>
          <w:color w:val="auto"/>
          <w:highlight w:val="none"/>
        </w:rPr>
      </w:pPr>
    </w:p>
    <w:p w14:paraId="6A2B0960">
      <w:pPr>
        <w:widowControl/>
        <w:jc w:val="left"/>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rPr>
        <w:t>5. “货物采购需求”中要求必须提供的有效证明文件（按其要求提供）；</w:t>
      </w:r>
    </w:p>
    <w:p w14:paraId="7F4B9C3E">
      <w:pPr>
        <w:pStyle w:val="23"/>
        <w:ind w:firstLine="480"/>
        <w:rPr>
          <w:rFonts w:hint="eastAsia" w:ascii="宋体" w:hAnsi="宋体" w:eastAsia="宋体" w:cs="宋体"/>
          <w:color w:val="auto"/>
          <w:highlight w:val="none"/>
        </w:rPr>
      </w:pPr>
    </w:p>
    <w:p w14:paraId="2F529DCC">
      <w:pPr>
        <w:rPr>
          <w:rFonts w:hint="eastAsia" w:ascii="宋体" w:hAnsi="宋体" w:eastAsia="宋体" w:cs="宋体"/>
          <w:color w:val="auto"/>
          <w:highlight w:val="none"/>
        </w:rPr>
      </w:pPr>
    </w:p>
    <w:p w14:paraId="6DD063B6">
      <w:pPr>
        <w:pStyle w:val="23"/>
        <w:rPr>
          <w:rFonts w:hint="eastAsia" w:ascii="宋体" w:hAnsi="宋体" w:eastAsia="宋体" w:cs="宋体"/>
          <w:color w:val="auto"/>
          <w:highlight w:val="none"/>
        </w:rPr>
      </w:pPr>
    </w:p>
    <w:p w14:paraId="468CD829">
      <w:pPr>
        <w:rPr>
          <w:rFonts w:hint="eastAsia" w:ascii="宋体" w:hAnsi="宋体" w:eastAsia="宋体" w:cs="宋体"/>
          <w:color w:val="auto"/>
          <w:highlight w:val="none"/>
        </w:rPr>
      </w:pPr>
    </w:p>
    <w:p w14:paraId="32035309">
      <w:pPr>
        <w:pStyle w:val="23"/>
        <w:rPr>
          <w:rFonts w:hint="eastAsia" w:ascii="宋体" w:hAnsi="宋体" w:eastAsia="宋体" w:cs="宋体"/>
          <w:color w:val="auto"/>
          <w:highlight w:val="none"/>
        </w:rPr>
      </w:pPr>
    </w:p>
    <w:p w14:paraId="481D91C3">
      <w:pPr>
        <w:rPr>
          <w:rFonts w:hint="eastAsia" w:ascii="宋体" w:hAnsi="宋体" w:eastAsia="宋体" w:cs="宋体"/>
          <w:color w:val="auto"/>
          <w:highlight w:val="none"/>
        </w:rPr>
      </w:pPr>
    </w:p>
    <w:p w14:paraId="4EC3F846">
      <w:pPr>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rPr>
        <w:br w:type="page"/>
      </w:r>
    </w:p>
    <w:p w14:paraId="0A0368DA">
      <w:pPr>
        <w:snapToGrid w:val="0"/>
        <w:spacing w:line="400" w:lineRule="exact"/>
        <w:ind w:firstLine="643" w:firstLineChars="200"/>
        <w:outlineLvl w:val="4"/>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lang w:val="en-US" w:eastAsia="zh-CN"/>
        </w:rPr>
        <w:t>6</w:t>
      </w:r>
      <w:r>
        <w:rPr>
          <w:rFonts w:hint="eastAsia" w:ascii="宋体" w:hAnsi="宋体" w:eastAsia="宋体" w:cs="宋体"/>
          <w:b/>
          <w:bCs/>
          <w:color w:val="auto"/>
          <w:sz w:val="32"/>
          <w:szCs w:val="20"/>
          <w:highlight w:val="none"/>
        </w:rPr>
        <w:t>.项目实施方案（根据评标方法自行编写，格式自拟）（如有，请提供）；</w:t>
      </w:r>
    </w:p>
    <w:p w14:paraId="3DE46B91">
      <w:pPr>
        <w:widowControl/>
        <w:jc w:val="left"/>
        <w:rPr>
          <w:rFonts w:hint="eastAsia" w:ascii="宋体" w:hAnsi="宋体" w:eastAsia="宋体" w:cs="宋体"/>
          <w:color w:val="auto"/>
          <w:highlight w:val="none"/>
        </w:rPr>
      </w:pPr>
    </w:p>
    <w:p w14:paraId="4CEC26DB">
      <w:pPr>
        <w:pStyle w:val="9"/>
        <w:spacing w:line="400" w:lineRule="exact"/>
        <w:ind w:firstLine="3534" w:firstLineChars="1100"/>
        <w:rPr>
          <w:rFonts w:hint="eastAsia" w:ascii="宋体" w:hAnsi="宋体" w:eastAsia="宋体" w:cs="宋体"/>
          <w:b/>
          <w:bCs/>
          <w:color w:val="auto"/>
          <w:sz w:val="32"/>
          <w:highlight w:val="none"/>
        </w:rPr>
      </w:pPr>
      <w:r>
        <w:rPr>
          <w:rFonts w:hint="eastAsia" w:ascii="宋体" w:hAnsi="宋体" w:eastAsia="宋体" w:cs="宋体"/>
          <w:b/>
          <w:bCs/>
          <w:color w:val="auto"/>
          <w:sz w:val="32"/>
          <w:highlight w:val="none"/>
        </w:rPr>
        <w:t>（格式自拟）</w:t>
      </w:r>
    </w:p>
    <w:p w14:paraId="06A29B92">
      <w:pPr>
        <w:rPr>
          <w:rFonts w:hint="eastAsia" w:ascii="宋体" w:hAnsi="宋体" w:eastAsia="宋体" w:cs="宋体"/>
          <w:color w:val="auto"/>
          <w:highlight w:val="none"/>
        </w:rPr>
      </w:pPr>
    </w:p>
    <w:p w14:paraId="5FEA18D0">
      <w:pPr>
        <w:snapToGrid w:val="0"/>
        <w:spacing w:line="400" w:lineRule="exact"/>
        <w:outlineLvl w:val="9"/>
        <w:rPr>
          <w:rFonts w:hint="eastAsia" w:ascii="宋体" w:hAnsi="宋体" w:eastAsia="宋体" w:cs="宋体"/>
          <w:b/>
          <w:bCs/>
          <w:color w:val="auto"/>
          <w:sz w:val="32"/>
          <w:szCs w:val="20"/>
          <w:highlight w:val="none"/>
        </w:rPr>
      </w:pPr>
    </w:p>
    <w:p w14:paraId="7DA860D3">
      <w:pPr>
        <w:pStyle w:val="9"/>
        <w:ind w:firstLine="1995" w:firstLineChars="950"/>
        <w:rPr>
          <w:rFonts w:hint="eastAsia" w:ascii="宋体" w:hAnsi="宋体" w:eastAsia="宋体" w:cs="宋体"/>
          <w:color w:val="auto"/>
          <w:highlight w:val="none"/>
          <w:u w:val="single"/>
        </w:rPr>
      </w:pPr>
      <w:r>
        <w:rPr>
          <w:rFonts w:hint="eastAsia" w:ascii="宋体" w:hAnsi="宋体" w:eastAsia="宋体" w:cs="宋体"/>
          <w:color w:val="auto"/>
          <w:highlight w:val="none"/>
        </w:rPr>
        <w:t>投标人公章（CA签章，自然人签字或个人CA签章）：</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w:t>
      </w:r>
      <w:r>
        <w:rPr>
          <w:rFonts w:hint="eastAsia" w:ascii="宋体" w:hAnsi="宋体" w:eastAsia="宋体" w:cs="宋体"/>
          <w:color w:val="auto"/>
          <w:highlight w:val="none"/>
          <w:u w:val="single"/>
        </w:rPr>
        <w:t xml:space="preserve">                </w:t>
      </w:r>
    </w:p>
    <w:p w14:paraId="4D3B7270">
      <w:pPr>
        <w:pStyle w:val="9"/>
        <w:spacing w:line="320" w:lineRule="exact"/>
        <w:ind w:firstLine="420" w:firstLineChars="20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 xml:space="preserve">                             </w:t>
      </w:r>
    </w:p>
    <w:p w14:paraId="4CE84868">
      <w:pPr>
        <w:pStyle w:val="9"/>
        <w:spacing w:line="320" w:lineRule="exact"/>
        <w:ind w:firstLine="3990" w:firstLineChars="1900"/>
        <w:rPr>
          <w:rFonts w:hint="eastAsia" w:ascii="宋体" w:hAnsi="宋体" w:eastAsia="宋体" w:cs="宋体"/>
          <w:bCs/>
          <w:color w:val="auto"/>
          <w:szCs w:val="21"/>
          <w:highlight w:val="none"/>
          <w:u w:val="single"/>
          <w:lang w:eastAsia="zh-CN"/>
        </w:rPr>
      </w:pPr>
      <w:r>
        <w:rPr>
          <w:rFonts w:hint="eastAsia" w:ascii="宋体" w:hAnsi="宋体" w:eastAsia="宋体" w:cs="宋体"/>
          <w:bCs/>
          <w:color w:val="auto"/>
          <w:szCs w:val="21"/>
          <w:highlight w:val="none"/>
        </w:rPr>
        <w:t>日期：</w:t>
      </w:r>
      <w:r>
        <w:rPr>
          <w:rFonts w:hint="eastAsia" w:ascii="宋体" w:hAnsi="宋体" w:eastAsia="宋体" w:cs="宋体"/>
          <w:bCs/>
          <w:color w:val="auto"/>
          <w:szCs w:val="21"/>
          <w:highlight w:val="none"/>
          <w:u w:val="single"/>
        </w:rPr>
        <w:t xml:space="preserve">                      </w:t>
      </w:r>
      <w:r>
        <w:rPr>
          <w:rFonts w:hint="eastAsia" w:ascii="宋体" w:hAnsi="宋体" w:eastAsia="宋体" w:cs="宋体"/>
          <w:bCs/>
          <w:color w:val="auto"/>
          <w:szCs w:val="21"/>
          <w:highlight w:val="none"/>
          <w:u w:val="single"/>
          <w:lang w:val="en-US" w:eastAsia="zh-CN"/>
        </w:rPr>
        <w:t>.</w:t>
      </w:r>
    </w:p>
    <w:p w14:paraId="0CBBDDAC">
      <w:pPr>
        <w:widowControl/>
        <w:jc w:val="left"/>
        <w:rPr>
          <w:rFonts w:hint="eastAsia" w:ascii="宋体" w:hAnsi="宋体" w:eastAsia="宋体" w:cs="宋体"/>
          <w:color w:val="auto"/>
          <w:highlight w:val="none"/>
        </w:rPr>
      </w:pPr>
    </w:p>
    <w:p w14:paraId="7457F08F">
      <w:pPr>
        <w:widowControl/>
        <w:jc w:val="left"/>
        <w:rPr>
          <w:rFonts w:hint="eastAsia" w:ascii="宋体" w:hAnsi="宋体" w:eastAsia="宋体" w:cs="宋体"/>
          <w:color w:val="auto"/>
          <w:highlight w:val="none"/>
        </w:rPr>
      </w:pPr>
    </w:p>
    <w:p w14:paraId="45B0C648">
      <w:pPr>
        <w:tabs>
          <w:tab w:val="left" w:pos="1305"/>
        </w:tabs>
        <w:spacing w:line="400" w:lineRule="exact"/>
        <w:ind w:firstLine="643" w:firstLineChars="200"/>
        <w:rPr>
          <w:rFonts w:hint="eastAsia" w:ascii="宋体" w:hAnsi="宋体" w:eastAsia="宋体" w:cs="宋体"/>
          <w:b/>
          <w:bCs/>
          <w:color w:val="auto"/>
          <w:sz w:val="32"/>
          <w:szCs w:val="20"/>
          <w:highlight w:val="none"/>
          <w:lang w:val="en-US" w:eastAsia="zh-CN"/>
        </w:rPr>
      </w:pPr>
    </w:p>
    <w:p w14:paraId="43D2869A">
      <w:pPr>
        <w:tabs>
          <w:tab w:val="left" w:pos="1305"/>
        </w:tabs>
        <w:spacing w:line="400" w:lineRule="exact"/>
        <w:ind w:firstLine="643" w:firstLineChars="200"/>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lang w:val="en-US" w:eastAsia="zh-CN"/>
        </w:rPr>
        <w:t>7</w:t>
      </w:r>
      <w:r>
        <w:rPr>
          <w:rFonts w:hint="eastAsia" w:ascii="宋体" w:hAnsi="宋体" w:eastAsia="宋体" w:cs="宋体"/>
          <w:b/>
          <w:bCs/>
          <w:color w:val="auto"/>
          <w:sz w:val="32"/>
          <w:szCs w:val="20"/>
          <w:highlight w:val="none"/>
        </w:rPr>
        <w:t>.项目实施人员一览表（如有，请提供）；</w:t>
      </w:r>
    </w:p>
    <w:p w14:paraId="41985901">
      <w:pPr>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 xml:space="preserve">附件                           </w:t>
      </w:r>
    </w:p>
    <w:p w14:paraId="32C92E10">
      <w:pPr>
        <w:ind w:firstLine="3185" w:firstLineChars="1442"/>
        <w:jc w:val="both"/>
        <w:rPr>
          <w:rFonts w:hint="eastAsia" w:ascii="宋体" w:hAnsi="宋体" w:eastAsia="宋体" w:cs="宋体"/>
          <w:b/>
          <w:color w:val="auto"/>
          <w:szCs w:val="21"/>
          <w:highlight w:val="none"/>
        </w:rPr>
      </w:pPr>
      <w:r>
        <w:rPr>
          <w:rFonts w:hint="eastAsia" w:ascii="宋体" w:hAnsi="宋体" w:eastAsia="宋体" w:cs="宋体"/>
          <w:b/>
          <w:color w:val="auto"/>
          <w:szCs w:val="21"/>
          <w:highlight w:val="none"/>
        </w:rPr>
        <w:t>项目实施人员一览表</w:t>
      </w:r>
    </w:p>
    <w:p w14:paraId="3FFBC3D7">
      <w:pPr>
        <w:ind w:firstLine="660" w:firstLineChars="300"/>
        <w:rPr>
          <w:rFonts w:hint="eastAsia" w:ascii="宋体" w:hAnsi="宋体" w:eastAsia="宋体" w:cs="宋体"/>
          <w:color w:val="auto"/>
          <w:szCs w:val="21"/>
          <w:highlight w:val="none"/>
        </w:rPr>
      </w:pPr>
      <w:r>
        <w:rPr>
          <w:rFonts w:hint="eastAsia" w:ascii="宋体" w:hAnsi="宋体" w:eastAsia="宋体" w:cs="宋体"/>
          <w:color w:val="auto"/>
          <w:szCs w:val="21"/>
          <w:highlight w:val="none"/>
        </w:rPr>
        <w:t xml:space="preserve"> </w:t>
      </w:r>
    </w:p>
    <w:tbl>
      <w:tblPr>
        <w:tblStyle w:val="15"/>
        <w:tblW w:w="92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342"/>
        <w:gridCol w:w="806"/>
        <w:gridCol w:w="1537"/>
        <w:gridCol w:w="1371"/>
        <w:gridCol w:w="2163"/>
        <w:gridCol w:w="2000"/>
      </w:tblGrid>
      <w:tr w14:paraId="0A14A0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2" w:type="dxa"/>
            <w:noWrap w:val="0"/>
            <w:vAlign w:val="center"/>
          </w:tcPr>
          <w:p w14:paraId="6B7D5C1E">
            <w:pPr>
              <w:spacing w:line="40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姓 名</w:t>
            </w:r>
          </w:p>
        </w:tc>
        <w:tc>
          <w:tcPr>
            <w:tcW w:w="806" w:type="dxa"/>
            <w:noWrap w:val="0"/>
            <w:vAlign w:val="center"/>
          </w:tcPr>
          <w:p w14:paraId="36B4E98D">
            <w:pPr>
              <w:spacing w:line="40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职务</w:t>
            </w:r>
          </w:p>
        </w:tc>
        <w:tc>
          <w:tcPr>
            <w:tcW w:w="1537" w:type="dxa"/>
            <w:noWrap w:val="0"/>
            <w:vAlign w:val="center"/>
          </w:tcPr>
          <w:p w14:paraId="6A9EBFF5">
            <w:pPr>
              <w:spacing w:line="40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专业技术资格</w:t>
            </w:r>
          </w:p>
        </w:tc>
        <w:tc>
          <w:tcPr>
            <w:tcW w:w="1371" w:type="dxa"/>
            <w:noWrap w:val="0"/>
            <w:vAlign w:val="center"/>
          </w:tcPr>
          <w:p w14:paraId="672CDAB8">
            <w:pPr>
              <w:spacing w:line="40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证书编号</w:t>
            </w:r>
          </w:p>
        </w:tc>
        <w:tc>
          <w:tcPr>
            <w:tcW w:w="2163" w:type="dxa"/>
            <w:noWrap w:val="0"/>
            <w:vAlign w:val="center"/>
          </w:tcPr>
          <w:p w14:paraId="09C701C6">
            <w:pPr>
              <w:spacing w:line="40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参加本单位</w:t>
            </w:r>
          </w:p>
          <w:p w14:paraId="7FA54828">
            <w:pPr>
              <w:spacing w:line="40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工作时间</w:t>
            </w:r>
          </w:p>
        </w:tc>
        <w:tc>
          <w:tcPr>
            <w:tcW w:w="2000" w:type="dxa"/>
            <w:noWrap w:val="0"/>
            <w:vAlign w:val="center"/>
          </w:tcPr>
          <w:p w14:paraId="3524CFC8">
            <w:pPr>
              <w:spacing w:line="400" w:lineRule="exact"/>
              <w:jc w:val="center"/>
              <w:rPr>
                <w:rFonts w:hint="eastAsia" w:ascii="宋体" w:hAnsi="宋体" w:eastAsia="宋体" w:cs="宋体"/>
                <w:color w:val="auto"/>
                <w:szCs w:val="21"/>
                <w:highlight w:val="none"/>
              </w:rPr>
            </w:pPr>
            <w:r>
              <w:rPr>
                <w:rFonts w:hint="eastAsia" w:ascii="宋体" w:hAnsi="宋体" w:eastAsia="宋体" w:cs="宋体"/>
                <w:color w:val="auto"/>
                <w:szCs w:val="21"/>
                <w:highlight w:val="none"/>
              </w:rPr>
              <w:t>备注</w:t>
            </w:r>
          </w:p>
        </w:tc>
      </w:tr>
      <w:tr w14:paraId="291A61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2" w:type="dxa"/>
            <w:noWrap w:val="0"/>
            <w:vAlign w:val="top"/>
          </w:tcPr>
          <w:p w14:paraId="6AEBC412">
            <w:pPr>
              <w:spacing w:line="400" w:lineRule="exact"/>
              <w:rPr>
                <w:rFonts w:hint="eastAsia" w:ascii="宋体" w:hAnsi="宋体" w:eastAsia="宋体" w:cs="宋体"/>
                <w:color w:val="auto"/>
                <w:szCs w:val="21"/>
                <w:highlight w:val="none"/>
              </w:rPr>
            </w:pPr>
          </w:p>
        </w:tc>
        <w:tc>
          <w:tcPr>
            <w:tcW w:w="806" w:type="dxa"/>
            <w:noWrap w:val="0"/>
            <w:vAlign w:val="top"/>
          </w:tcPr>
          <w:p w14:paraId="762FA4C3">
            <w:pPr>
              <w:spacing w:line="400" w:lineRule="exact"/>
              <w:rPr>
                <w:rFonts w:hint="eastAsia" w:ascii="宋体" w:hAnsi="宋体" w:eastAsia="宋体" w:cs="宋体"/>
                <w:color w:val="auto"/>
                <w:szCs w:val="21"/>
                <w:highlight w:val="none"/>
              </w:rPr>
            </w:pPr>
          </w:p>
        </w:tc>
        <w:tc>
          <w:tcPr>
            <w:tcW w:w="1537" w:type="dxa"/>
            <w:noWrap w:val="0"/>
            <w:vAlign w:val="top"/>
          </w:tcPr>
          <w:p w14:paraId="29A6C911">
            <w:pPr>
              <w:spacing w:line="400" w:lineRule="exact"/>
              <w:rPr>
                <w:rFonts w:hint="eastAsia" w:ascii="宋体" w:hAnsi="宋体" w:eastAsia="宋体" w:cs="宋体"/>
                <w:color w:val="auto"/>
                <w:szCs w:val="21"/>
                <w:highlight w:val="none"/>
              </w:rPr>
            </w:pPr>
          </w:p>
        </w:tc>
        <w:tc>
          <w:tcPr>
            <w:tcW w:w="1371" w:type="dxa"/>
            <w:noWrap w:val="0"/>
            <w:vAlign w:val="top"/>
          </w:tcPr>
          <w:p w14:paraId="4310B7B1">
            <w:pPr>
              <w:spacing w:line="400" w:lineRule="exact"/>
              <w:rPr>
                <w:rFonts w:hint="eastAsia" w:ascii="宋体" w:hAnsi="宋体" w:eastAsia="宋体" w:cs="宋体"/>
                <w:color w:val="auto"/>
                <w:szCs w:val="21"/>
                <w:highlight w:val="none"/>
              </w:rPr>
            </w:pPr>
          </w:p>
        </w:tc>
        <w:tc>
          <w:tcPr>
            <w:tcW w:w="2163" w:type="dxa"/>
            <w:noWrap w:val="0"/>
            <w:vAlign w:val="top"/>
          </w:tcPr>
          <w:p w14:paraId="5E3172D0">
            <w:pPr>
              <w:spacing w:line="400" w:lineRule="exact"/>
              <w:rPr>
                <w:rFonts w:hint="eastAsia" w:ascii="宋体" w:hAnsi="宋体" w:eastAsia="宋体" w:cs="宋体"/>
                <w:color w:val="auto"/>
                <w:szCs w:val="21"/>
                <w:highlight w:val="none"/>
              </w:rPr>
            </w:pPr>
          </w:p>
        </w:tc>
        <w:tc>
          <w:tcPr>
            <w:tcW w:w="2000" w:type="dxa"/>
            <w:noWrap w:val="0"/>
            <w:vAlign w:val="top"/>
          </w:tcPr>
          <w:p w14:paraId="6D73F3D0">
            <w:pPr>
              <w:spacing w:line="400" w:lineRule="exact"/>
              <w:rPr>
                <w:rFonts w:hint="eastAsia" w:ascii="宋体" w:hAnsi="宋体" w:eastAsia="宋体" w:cs="宋体"/>
                <w:color w:val="auto"/>
                <w:szCs w:val="21"/>
                <w:highlight w:val="none"/>
              </w:rPr>
            </w:pPr>
          </w:p>
        </w:tc>
      </w:tr>
      <w:tr w14:paraId="3CC78F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2" w:type="dxa"/>
            <w:noWrap w:val="0"/>
            <w:vAlign w:val="top"/>
          </w:tcPr>
          <w:p w14:paraId="7608D6C6">
            <w:pPr>
              <w:spacing w:line="400" w:lineRule="exact"/>
              <w:rPr>
                <w:rFonts w:hint="eastAsia" w:ascii="宋体" w:hAnsi="宋体" w:eastAsia="宋体" w:cs="宋体"/>
                <w:color w:val="auto"/>
                <w:szCs w:val="21"/>
                <w:highlight w:val="none"/>
              </w:rPr>
            </w:pPr>
          </w:p>
        </w:tc>
        <w:tc>
          <w:tcPr>
            <w:tcW w:w="806" w:type="dxa"/>
            <w:noWrap w:val="0"/>
            <w:vAlign w:val="top"/>
          </w:tcPr>
          <w:p w14:paraId="0673511B">
            <w:pPr>
              <w:spacing w:line="400" w:lineRule="exact"/>
              <w:rPr>
                <w:rFonts w:hint="eastAsia" w:ascii="宋体" w:hAnsi="宋体" w:eastAsia="宋体" w:cs="宋体"/>
                <w:color w:val="auto"/>
                <w:szCs w:val="21"/>
                <w:highlight w:val="none"/>
              </w:rPr>
            </w:pPr>
          </w:p>
        </w:tc>
        <w:tc>
          <w:tcPr>
            <w:tcW w:w="1537" w:type="dxa"/>
            <w:noWrap w:val="0"/>
            <w:vAlign w:val="top"/>
          </w:tcPr>
          <w:p w14:paraId="58E2C9E4">
            <w:pPr>
              <w:spacing w:line="400" w:lineRule="exact"/>
              <w:rPr>
                <w:rFonts w:hint="eastAsia" w:ascii="宋体" w:hAnsi="宋体" w:eastAsia="宋体" w:cs="宋体"/>
                <w:color w:val="auto"/>
                <w:szCs w:val="21"/>
                <w:highlight w:val="none"/>
              </w:rPr>
            </w:pPr>
          </w:p>
        </w:tc>
        <w:tc>
          <w:tcPr>
            <w:tcW w:w="1371" w:type="dxa"/>
            <w:noWrap w:val="0"/>
            <w:vAlign w:val="top"/>
          </w:tcPr>
          <w:p w14:paraId="72B7A083">
            <w:pPr>
              <w:spacing w:line="400" w:lineRule="exact"/>
              <w:rPr>
                <w:rFonts w:hint="eastAsia" w:ascii="宋体" w:hAnsi="宋体" w:eastAsia="宋体" w:cs="宋体"/>
                <w:color w:val="auto"/>
                <w:szCs w:val="21"/>
                <w:highlight w:val="none"/>
              </w:rPr>
            </w:pPr>
          </w:p>
        </w:tc>
        <w:tc>
          <w:tcPr>
            <w:tcW w:w="2163" w:type="dxa"/>
            <w:noWrap w:val="0"/>
            <w:vAlign w:val="top"/>
          </w:tcPr>
          <w:p w14:paraId="23853284">
            <w:pPr>
              <w:spacing w:line="400" w:lineRule="exact"/>
              <w:rPr>
                <w:rFonts w:hint="eastAsia" w:ascii="宋体" w:hAnsi="宋体" w:eastAsia="宋体" w:cs="宋体"/>
                <w:color w:val="auto"/>
                <w:szCs w:val="21"/>
                <w:highlight w:val="none"/>
              </w:rPr>
            </w:pPr>
          </w:p>
        </w:tc>
        <w:tc>
          <w:tcPr>
            <w:tcW w:w="2000" w:type="dxa"/>
            <w:noWrap w:val="0"/>
            <w:vAlign w:val="top"/>
          </w:tcPr>
          <w:p w14:paraId="37CA3E31">
            <w:pPr>
              <w:spacing w:line="400" w:lineRule="exact"/>
              <w:rPr>
                <w:rFonts w:hint="eastAsia" w:ascii="宋体" w:hAnsi="宋体" w:eastAsia="宋体" w:cs="宋体"/>
                <w:color w:val="auto"/>
                <w:szCs w:val="21"/>
                <w:highlight w:val="none"/>
              </w:rPr>
            </w:pPr>
          </w:p>
        </w:tc>
      </w:tr>
      <w:tr w14:paraId="140009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342" w:type="dxa"/>
            <w:noWrap w:val="0"/>
            <w:vAlign w:val="top"/>
          </w:tcPr>
          <w:p w14:paraId="0DCC9B3B">
            <w:pPr>
              <w:spacing w:line="400" w:lineRule="exact"/>
              <w:rPr>
                <w:rFonts w:hint="eastAsia" w:ascii="宋体" w:hAnsi="宋体" w:eastAsia="宋体" w:cs="宋体"/>
                <w:color w:val="auto"/>
                <w:szCs w:val="21"/>
                <w:highlight w:val="none"/>
              </w:rPr>
            </w:pPr>
          </w:p>
        </w:tc>
        <w:tc>
          <w:tcPr>
            <w:tcW w:w="806" w:type="dxa"/>
            <w:noWrap w:val="0"/>
            <w:vAlign w:val="top"/>
          </w:tcPr>
          <w:p w14:paraId="18C058F3">
            <w:pPr>
              <w:spacing w:line="400" w:lineRule="exact"/>
              <w:rPr>
                <w:rFonts w:hint="eastAsia" w:ascii="宋体" w:hAnsi="宋体" w:eastAsia="宋体" w:cs="宋体"/>
                <w:color w:val="auto"/>
                <w:szCs w:val="21"/>
                <w:highlight w:val="none"/>
              </w:rPr>
            </w:pPr>
          </w:p>
        </w:tc>
        <w:tc>
          <w:tcPr>
            <w:tcW w:w="1537" w:type="dxa"/>
            <w:noWrap w:val="0"/>
            <w:vAlign w:val="top"/>
          </w:tcPr>
          <w:p w14:paraId="108CEDBA">
            <w:pPr>
              <w:spacing w:line="400" w:lineRule="exact"/>
              <w:rPr>
                <w:rFonts w:hint="eastAsia" w:ascii="宋体" w:hAnsi="宋体" w:eastAsia="宋体" w:cs="宋体"/>
                <w:color w:val="auto"/>
                <w:szCs w:val="21"/>
                <w:highlight w:val="none"/>
              </w:rPr>
            </w:pPr>
          </w:p>
        </w:tc>
        <w:tc>
          <w:tcPr>
            <w:tcW w:w="1371" w:type="dxa"/>
            <w:noWrap w:val="0"/>
            <w:vAlign w:val="top"/>
          </w:tcPr>
          <w:p w14:paraId="705F24DD">
            <w:pPr>
              <w:spacing w:line="400" w:lineRule="exact"/>
              <w:rPr>
                <w:rFonts w:hint="eastAsia" w:ascii="宋体" w:hAnsi="宋体" w:eastAsia="宋体" w:cs="宋体"/>
                <w:color w:val="auto"/>
                <w:szCs w:val="21"/>
                <w:highlight w:val="none"/>
              </w:rPr>
            </w:pPr>
          </w:p>
        </w:tc>
        <w:tc>
          <w:tcPr>
            <w:tcW w:w="2163" w:type="dxa"/>
            <w:noWrap w:val="0"/>
            <w:vAlign w:val="top"/>
          </w:tcPr>
          <w:p w14:paraId="39FCDAC1">
            <w:pPr>
              <w:spacing w:line="400" w:lineRule="exact"/>
              <w:rPr>
                <w:rFonts w:hint="eastAsia" w:ascii="宋体" w:hAnsi="宋体" w:eastAsia="宋体" w:cs="宋体"/>
                <w:color w:val="auto"/>
                <w:szCs w:val="21"/>
                <w:highlight w:val="none"/>
              </w:rPr>
            </w:pPr>
          </w:p>
        </w:tc>
        <w:tc>
          <w:tcPr>
            <w:tcW w:w="2000" w:type="dxa"/>
            <w:noWrap w:val="0"/>
            <w:vAlign w:val="top"/>
          </w:tcPr>
          <w:p w14:paraId="20615ACB">
            <w:pPr>
              <w:spacing w:line="400" w:lineRule="exact"/>
              <w:rPr>
                <w:rFonts w:hint="eastAsia" w:ascii="宋体" w:hAnsi="宋体" w:eastAsia="宋体" w:cs="宋体"/>
                <w:color w:val="auto"/>
                <w:szCs w:val="21"/>
                <w:highlight w:val="none"/>
              </w:rPr>
            </w:pPr>
          </w:p>
        </w:tc>
      </w:tr>
    </w:tbl>
    <w:p w14:paraId="5589748F">
      <w:pPr>
        <w:spacing w:line="400" w:lineRule="exact"/>
        <w:rPr>
          <w:rFonts w:hint="eastAsia" w:ascii="宋体" w:hAnsi="宋体" w:eastAsia="宋体" w:cs="宋体"/>
          <w:color w:val="auto"/>
          <w:szCs w:val="21"/>
          <w:highlight w:val="none"/>
        </w:rPr>
      </w:pPr>
      <w:r>
        <w:rPr>
          <w:rFonts w:hint="eastAsia" w:ascii="宋体" w:hAnsi="宋体" w:eastAsia="宋体" w:cs="宋体"/>
          <w:color w:val="auto"/>
          <w:szCs w:val="21"/>
          <w:highlight w:val="none"/>
        </w:rPr>
        <w:t>注：1.在填写时，如本表格不适合投标单位的实际情况，可根据本表格式自行制表填写。</w:t>
      </w:r>
    </w:p>
    <w:p w14:paraId="7A21D603">
      <w:pPr>
        <w:tabs>
          <w:tab w:val="left" w:pos="1305"/>
        </w:tabs>
        <w:spacing w:line="400" w:lineRule="exact"/>
        <w:rPr>
          <w:rFonts w:hint="eastAsia" w:ascii="宋体" w:hAnsi="宋体" w:eastAsia="宋体" w:cs="宋体"/>
          <w:b/>
          <w:bCs/>
          <w:color w:val="auto"/>
          <w:sz w:val="32"/>
          <w:szCs w:val="20"/>
          <w:highlight w:val="none"/>
        </w:rPr>
      </w:pPr>
    </w:p>
    <w:p w14:paraId="484C5A4B">
      <w:pPr>
        <w:rPr>
          <w:rFonts w:hint="eastAsia" w:ascii="宋体" w:hAnsi="宋体" w:eastAsia="宋体" w:cs="宋体"/>
          <w:color w:val="auto"/>
          <w:highlight w:val="none"/>
        </w:rPr>
      </w:pPr>
    </w:p>
    <w:p w14:paraId="1C2657C2">
      <w:pPr>
        <w:pStyle w:val="9"/>
        <w:ind w:firstLine="1995" w:firstLineChars="950"/>
        <w:rPr>
          <w:rFonts w:hint="eastAsia" w:ascii="宋体" w:hAnsi="宋体" w:eastAsia="宋体" w:cs="宋体"/>
          <w:color w:val="auto"/>
          <w:highlight w:val="none"/>
          <w:u w:val="single"/>
        </w:rPr>
      </w:pPr>
      <w:r>
        <w:rPr>
          <w:rFonts w:hint="eastAsia" w:ascii="宋体" w:hAnsi="宋体" w:eastAsia="宋体" w:cs="宋体"/>
          <w:color w:val="auto"/>
          <w:highlight w:val="none"/>
        </w:rPr>
        <w:t>投标人公章（CA签章，自然人签字或个人CA签章）：</w:t>
      </w:r>
      <w:r>
        <w:rPr>
          <w:rFonts w:hint="eastAsia" w:ascii="宋体" w:hAnsi="宋体" w:eastAsia="宋体" w:cs="宋体"/>
          <w:color w:val="auto"/>
          <w:highlight w:val="none"/>
          <w:u w:val="single"/>
        </w:rPr>
        <w:t xml:space="preserve">                         </w:t>
      </w:r>
      <w:r>
        <w:rPr>
          <w:rFonts w:hint="eastAsia" w:ascii="宋体" w:hAnsi="宋体" w:eastAsia="宋体" w:cs="宋体"/>
          <w:color w:val="auto"/>
          <w:highlight w:val="none"/>
          <w:u w:val="single"/>
          <w:lang w:val="en-US" w:eastAsia="zh-CN"/>
        </w:rPr>
        <w:t>.</w:t>
      </w:r>
      <w:r>
        <w:rPr>
          <w:rFonts w:hint="eastAsia" w:ascii="宋体" w:hAnsi="宋体" w:eastAsia="宋体" w:cs="宋体"/>
          <w:color w:val="auto"/>
          <w:highlight w:val="none"/>
          <w:u w:val="single"/>
        </w:rPr>
        <w:t xml:space="preserve">                </w:t>
      </w:r>
    </w:p>
    <w:p w14:paraId="157EA16E">
      <w:pPr>
        <w:pStyle w:val="9"/>
        <w:spacing w:line="320" w:lineRule="exact"/>
        <w:ind w:firstLine="420" w:firstLineChars="200"/>
        <w:rPr>
          <w:rFonts w:hint="eastAsia" w:ascii="宋体" w:hAnsi="宋体" w:eastAsia="宋体" w:cs="宋体"/>
          <w:bCs/>
          <w:color w:val="auto"/>
          <w:szCs w:val="21"/>
          <w:highlight w:val="none"/>
        </w:rPr>
      </w:pPr>
      <w:r>
        <w:rPr>
          <w:rFonts w:hint="eastAsia" w:ascii="宋体" w:hAnsi="宋体" w:eastAsia="宋体" w:cs="宋体"/>
          <w:bCs/>
          <w:color w:val="auto"/>
          <w:szCs w:val="21"/>
          <w:highlight w:val="none"/>
        </w:rPr>
        <w:t xml:space="preserve">                             </w:t>
      </w:r>
    </w:p>
    <w:p w14:paraId="38F37D4F">
      <w:pPr>
        <w:pStyle w:val="9"/>
        <w:spacing w:line="320" w:lineRule="exact"/>
        <w:ind w:firstLine="420" w:firstLineChars="200"/>
        <w:rPr>
          <w:rFonts w:hint="eastAsia" w:ascii="宋体" w:hAnsi="宋体" w:eastAsia="宋体" w:cs="宋体"/>
          <w:bCs/>
          <w:color w:val="auto"/>
          <w:szCs w:val="21"/>
          <w:highlight w:val="none"/>
        </w:rPr>
      </w:pPr>
    </w:p>
    <w:p w14:paraId="7B1F7DE0">
      <w:pPr>
        <w:pStyle w:val="9"/>
        <w:spacing w:line="320" w:lineRule="exact"/>
        <w:ind w:firstLine="3990" w:firstLineChars="1900"/>
        <w:rPr>
          <w:rFonts w:hint="eastAsia" w:ascii="宋体" w:hAnsi="宋体" w:eastAsia="宋体" w:cs="宋体"/>
          <w:bCs/>
          <w:color w:val="auto"/>
          <w:szCs w:val="21"/>
          <w:highlight w:val="none"/>
          <w:u w:val="single"/>
          <w:lang w:eastAsia="zh-CN"/>
        </w:rPr>
      </w:pPr>
      <w:r>
        <w:rPr>
          <w:rFonts w:hint="eastAsia" w:ascii="宋体" w:hAnsi="宋体" w:eastAsia="宋体" w:cs="宋体"/>
          <w:bCs/>
          <w:color w:val="auto"/>
          <w:szCs w:val="21"/>
          <w:highlight w:val="none"/>
        </w:rPr>
        <w:t xml:space="preserve"> 日期：</w:t>
      </w:r>
      <w:r>
        <w:rPr>
          <w:rFonts w:hint="eastAsia" w:ascii="宋体" w:hAnsi="宋体" w:eastAsia="宋体" w:cs="宋体"/>
          <w:bCs/>
          <w:color w:val="auto"/>
          <w:szCs w:val="21"/>
          <w:highlight w:val="none"/>
          <w:u w:val="single"/>
        </w:rPr>
        <w:t xml:space="preserve">                     </w:t>
      </w:r>
      <w:r>
        <w:rPr>
          <w:rFonts w:hint="eastAsia" w:ascii="宋体" w:hAnsi="宋体" w:eastAsia="宋体" w:cs="宋体"/>
          <w:bCs/>
          <w:color w:val="auto"/>
          <w:szCs w:val="21"/>
          <w:highlight w:val="none"/>
          <w:u w:val="single"/>
          <w:lang w:val="en-US" w:eastAsia="zh-CN"/>
        </w:rPr>
        <w:t>.</w:t>
      </w:r>
    </w:p>
    <w:p w14:paraId="1D30FC2A">
      <w:pPr>
        <w:tabs>
          <w:tab w:val="left" w:pos="1305"/>
        </w:tabs>
        <w:spacing w:line="400" w:lineRule="exact"/>
        <w:ind w:firstLine="643" w:firstLineChars="200"/>
        <w:rPr>
          <w:rFonts w:hint="eastAsia" w:ascii="宋体" w:hAnsi="宋体" w:eastAsia="宋体" w:cs="宋体"/>
          <w:b/>
          <w:bCs/>
          <w:color w:val="auto"/>
          <w:sz w:val="32"/>
          <w:szCs w:val="20"/>
          <w:highlight w:val="none"/>
        </w:rPr>
      </w:pPr>
    </w:p>
    <w:p w14:paraId="42A569CC">
      <w:pPr>
        <w:pStyle w:val="23"/>
        <w:ind w:firstLine="480"/>
        <w:rPr>
          <w:rFonts w:hint="eastAsia" w:ascii="宋体" w:hAnsi="宋体" w:eastAsia="宋体" w:cs="宋体"/>
          <w:color w:val="auto"/>
          <w:highlight w:val="none"/>
        </w:rPr>
      </w:pPr>
    </w:p>
    <w:p w14:paraId="07098B85">
      <w:pPr>
        <w:rPr>
          <w:rFonts w:hint="eastAsia" w:ascii="宋体" w:hAnsi="宋体" w:eastAsia="宋体" w:cs="宋体"/>
          <w:color w:val="auto"/>
          <w:highlight w:val="none"/>
        </w:rPr>
      </w:pPr>
    </w:p>
    <w:p w14:paraId="61CD7175">
      <w:pPr>
        <w:tabs>
          <w:tab w:val="left" w:pos="1305"/>
        </w:tabs>
        <w:spacing w:line="380" w:lineRule="exact"/>
        <w:ind w:firstLine="643" w:firstLineChars="200"/>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lang w:val="en-US" w:eastAsia="zh-CN"/>
        </w:rPr>
        <w:t>8</w:t>
      </w:r>
      <w:r>
        <w:rPr>
          <w:rFonts w:hint="eastAsia" w:ascii="宋体" w:hAnsi="宋体" w:eastAsia="宋体" w:cs="宋体"/>
          <w:b/>
          <w:bCs/>
          <w:color w:val="auto"/>
          <w:sz w:val="32"/>
          <w:szCs w:val="20"/>
          <w:highlight w:val="none"/>
        </w:rPr>
        <w:t>.节能方面的证书</w:t>
      </w:r>
      <w:r>
        <w:rPr>
          <w:rFonts w:hint="eastAsia" w:ascii="宋体" w:hAnsi="宋体" w:eastAsia="宋体" w:cs="宋体"/>
          <w:b/>
          <w:color w:val="auto"/>
          <w:sz w:val="32"/>
          <w:szCs w:val="21"/>
          <w:highlight w:val="none"/>
        </w:rPr>
        <w:t>原件的扫描件</w:t>
      </w:r>
      <w:r>
        <w:rPr>
          <w:rFonts w:hint="eastAsia" w:ascii="宋体" w:hAnsi="宋体" w:eastAsia="宋体" w:cs="宋体"/>
          <w:b/>
          <w:bCs/>
          <w:color w:val="auto"/>
          <w:sz w:val="32"/>
          <w:szCs w:val="20"/>
          <w:highlight w:val="none"/>
        </w:rPr>
        <w:t>（如有，请提供）；</w:t>
      </w:r>
    </w:p>
    <w:p w14:paraId="74B54C60">
      <w:pPr>
        <w:widowControl/>
        <w:jc w:val="left"/>
        <w:rPr>
          <w:rFonts w:hint="eastAsia" w:ascii="宋体" w:hAnsi="宋体" w:eastAsia="宋体" w:cs="宋体"/>
          <w:color w:val="auto"/>
          <w:highlight w:val="none"/>
        </w:rPr>
      </w:pPr>
    </w:p>
    <w:p w14:paraId="0A444F74">
      <w:pPr>
        <w:tabs>
          <w:tab w:val="left" w:pos="1305"/>
        </w:tabs>
        <w:spacing w:line="380" w:lineRule="exact"/>
        <w:rPr>
          <w:rFonts w:hint="eastAsia" w:ascii="宋体" w:hAnsi="宋体" w:eastAsia="宋体" w:cs="宋体"/>
          <w:b/>
          <w:bCs/>
          <w:color w:val="auto"/>
          <w:sz w:val="32"/>
          <w:szCs w:val="20"/>
          <w:highlight w:val="none"/>
        </w:rPr>
      </w:pPr>
    </w:p>
    <w:p w14:paraId="78BE358F">
      <w:pPr>
        <w:tabs>
          <w:tab w:val="left" w:pos="1305"/>
        </w:tabs>
        <w:spacing w:line="380" w:lineRule="exact"/>
        <w:ind w:firstLine="643" w:firstLineChars="200"/>
        <w:rPr>
          <w:rFonts w:hint="eastAsia" w:ascii="宋体" w:hAnsi="宋体" w:eastAsia="宋体" w:cs="宋体"/>
          <w:b/>
          <w:bCs/>
          <w:color w:val="auto"/>
          <w:sz w:val="32"/>
          <w:szCs w:val="20"/>
          <w:highlight w:val="none"/>
        </w:rPr>
      </w:pPr>
    </w:p>
    <w:p w14:paraId="706A82D6">
      <w:pPr>
        <w:tabs>
          <w:tab w:val="left" w:pos="1305"/>
        </w:tabs>
        <w:spacing w:line="380" w:lineRule="exact"/>
        <w:ind w:firstLine="643" w:firstLineChars="200"/>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lang w:val="en-US" w:eastAsia="zh-CN"/>
        </w:rPr>
        <w:t>9</w:t>
      </w:r>
      <w:r>
        <w:rPr>
          <w:rFonts w:hint="eastAsia" w:ascii="宋体" w:hAnsi="宋体" w:eastAsia="宋体" w:cs="宋体"/>
          <w:b/>
          <w:bCs/>
          <w:color w:val="auto"/>
          <w:sz w:val="32"/>
          <w:szCs w:val="20"/>
          <w:highlight w:val="none"/>
        </w:rPr>
        <w:t>.环保方面的证书</w:t>
      </w:r>
      <w:r>
        <w:rPr>
          <w:rFonts w:hint="eastAsia" w:ascii="宋体" w:hAnsi="宋体" w:eastAsia="宋体" w:cs="宋体"/>
          <w:b/>
          <w:color w:val="auto"/>
          <w:sz w:val="32"/>
          <w:szCs w:val="21"/>
          <w:highlight w:val="none"/>
        </w:rPr>
        <w:t>原件的扫描件</w:t>
      </w:r>
      <w:r>
        <w:rPr>
          <w:rFonts w:hint="eastAsia" w:ascii="宋体" w:hAnsi="宋体" w:eastAsia="宋体" w:cs="宋体"/>
          <w:b/>
          <w:bCs/>
          <w:color w:val="auto"/>
          <w:sz w:val="32"/>
          <w:szCs w:val="20"/>
          <w:highlight w:val="none"/>
        </w:rPr>
        <w:t>（如有，请提供）；</w:t>
      </w:r>
    </w:p>
    <w:p w14:paraId="07794A9C">
      <w:pPr>
        <w:pStyle w:val="23"/>
        <w:ind w:left="0" w:leftChars="0" w:firstLine="0" w:firstLineChars="0"/>
        <w:rPr>
          <w:rFonts w:hint="eastAsia" w:ascii="宋体" w:hAnsi="宋体" w:eastAsia="宋体" w:cs="宋体"/>
          <w:color w:val="auto"/>
          <w:highlight w:val="none"/>
        </w:rPr>
      </w:pPr>
    </w:p>
    <w:p w14:paraId="5C2038F5">
      <w:pPr>
        <w:rPr>
          <w:rFonts w:hint="eastAsia" w:ascii="宋体" w:hAnsi="宋体" w:eastAsia="宋体" w:cs="宋体"/>
          <w:color w:val="auto"/>
          <w:highlight w:val="none"/>
        </w:rPr>
      </w:pPr>
    </w:p>
    <w:p w14:paraId="04D2CC2B">
      <w:pPr>
        <w:widowControl/>
        <w:jc w:val="left"/>
        <w:rPr>
          <w:rFonts w:hint="eastAsia" w:ascii="宋体" w:hAnsi="宋体" w:eastAsia="宋体" w:cs="宋体"/>
          <w:color w:val="auto"/>
          <w:highlight w:val="none"/>
        </w:rPr>
      </w:pPr>
    </w:p>
    <w:p w14:paraId="3D958F5E">
      <w:pPr>
        <w:tabs>
          <w:tab w:val="left" w:pos="1305"/>
        </w:tabs>
        <w:spacing w:line="380" w:lineRule="exact"/>
        <w:ind w:firstLine="643" w:firstLineChars="200"/>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rPr>
        <w:t>1</w:t>
      </w:r>
      <w:r>
        <w:rPr>
          <w:rFonts w:hint="eastAsia" w:ascii="宋体" w:hAnsi="宋体" w:eastAsia="宋体" w:cs="宋体"/>
          <w:b/>
          <w:bCs/>
          <w:color w:val="auto"/>
          <w:sz w:val="32"/>
          <w:szCs w:val="20"/>
          <w:highlight w:val="none"/>
          <w:lang w:val="en-US" w:eastAsia="zh-CN"/>
        </w:rPr>
        <w:t>0</w:t>
      </w:r>
      <w:r>
        <w:rPr>
          <w:rFonts w:hint="eastAsia" w:ascii="宋体" w:hAnsi="宋体" w:eastAsia="宋体" w:cs="宋体"/>
          <w:b/>
          <w:bCs/>
          <w:color w:val="auto"/>
          <w:sz w:val="32"/>
          <w:szCs w:val="20"/>
          <w:highlight w:val="none"/>
        </w:rPr>
        <w:t>.投标人202</w:t>
      </w:r>
      <w:r>
        <w:rPr>
          <w:rFonts w:hint="eastAsia" w:ascii="宋体" w:hAnsi="宋体" w:eastAsia="宋体" w:cs="宋体"/>
          <w:b/>
          <w:bCs/>
          <w:color w:val="auto"/>
          <w:sz w:val="32"/>
          <w:szCs w:val="20"/>
          <w:highlight w:val="none"/>
          <w:lang w:val="en-US" w:eastAsia="zh-CN"/>
        </w:rPr>
        <w:t>1</w:t>
      </w:r>
      <w:r>
        <w:rPr>
          <w:rFonts w:hint="eastAsia" w:ascii="宋体" w:hAnsi="宋体" w:eastAsia="宋体" w:cs="宋体"/>
          <w:b/>
          <w:bCs/>
          <w:color w:val="auto"/>
          <w:sz w:val="32"/>
          <w:szCs w:val="20"/>
          <w:highlight w:val="none"/>
        </w:rPr>
        <w:t>年以来具有</w:t>
      </w:r>
      <w:r>
        <w:rPr>
          <w:rFonts w:hint="eastAsia" w:ascii="宋体" w:hAnsi="宋体" w:eastAsia="宋体" w:cs="宋体"/>
          <w:b/>
          <w:bCs/>
          <w:color w:val="auto"/>
          <w:sz w:val="32"/>
          <w:szCs w:val="20"/>
          <w:highlight w:val="none"/>
          <w:lang w:eastAsia="zh-CN"/>
        </w:rPr>
        <w:t>类似或同类产品的销售业绩</w:t>
      </w:r>
      <w:r>
        <w:rPr>
          <w:rFonts w:hint="eastAsia" w:ascii="宋体" w:hAnsi="宋体" w:eastAsia="宋体" w:cs="宋体"/>
          <w:b/>
          <w:bCs/>
          <w:color w:val="auto"/>
          <w:sz w:val="32"/>
          <w:szCs w:val="20"/>
          <w:highlight w:val="none"/>
        </w:rPr>
        <w:t>的相关证明材料【</w:t>
      </w:r>
      <w:r>
        <w:rPr>
          <w:rFonts w:hint="eastAsia" w:ascii="宋体" w:hAnsi="宋体" w:eastAsia="宋体" w:cs="宋体"/>
          <w:b/>
          <w:bCs/>
          <w:color w:val="auto"/>
          <w:sz w:val="32"/>
          <w:szCs w:val="20"/>
          <w:highlight w:val="none"/>
          <w:lang w:eastAsia="zh-CN"/>
        </w:rPr>
        <w:t>以销售合同扫描件为准</w:t>
      </w:r>
      <w:r>
        <w:rPr>
          <w:rFonts w:hint="eastAsia" w:ascii="宋体" w:hAnsi="宋体" w:eastAsia="宋体" w:cs="宋体"/>
          <w:b/>
          <w:bCs/>
          <w:color w:val="auto"/>
          <w:sz w:val="32"/>
          <w:szCs w:val="20"/>
          <w:highlight w:val="none"/>
        </w:rPr>
        <w:t>，并能清晰反映所销售的货物名称、种类、时间等内容】（如有，请提供）；</w:t>
      </w:r>
    </w:p>
    <w:p w14:paraId="3301477A">
      <w:pPr>
        <w:widowControl/>
        <w:jc w:val="left"/>
        <w:rPr>
          <w:rFonts w:hint="eastAsia" w:ascii="宋体" w:hAnsi="宋体" w:eastAsia="宋体" w:cs="宋体"/>
          <w:color w:val="auto"/>
          <w:highlight w:val="none"/>
        </w:rPr>
      </w:pPr>
    </w:p>
    <w:p w14:paraId="74B4AAAA">
      <w:pPr>
        <w:widowControl/>
        <w:jc w:val="left"/>
        <w:rPr>
          <w:rFonts w:hint="eastAsia" w:ascii="宋体" w:hAnsi="宋体" w:eastAsia="宋体" w:cs="宋体"/>
          <w:color w:val="auto"/>
          <w:highlight w:val="none"/>
        </w:rPr>
      </w:pPr>
    </w:p>
    <w:p w14:paraId="7882EAFC">
      <w:pPr>
        <w:tabs>
          <w:tab w:val="left" w:pos="1305"/>
        </w:tabs>
        <w:spacing w:line="380" w:lineRule="exact"/>
        <w:ind w:firstLine="643" w:firstLineChars="200"/>
        <w:rPr>
          <w:rFonts w:hint="eastAsia" w:ascii="宋体" w:hAnsi="宋体" w:eastAsia="宋体" w:cs="宋体"/>
          <w:b/>
          <w:bCs/>
          <w:color w:val="auto"/>
          <w:sz w:val="32"/>
          <w:szCs w:val="20"/>
          <w:highlight w:val="none"/>
        </w:rPr>
      </w:pPr>
    </w:p>
    <w:p w14:paraId="091CB43A">
      <w:pPr>
        <w:tabs>
          <w:tab w:val="left" w:pos="1305"/>
        </w:tabs>
        <w:spacing w:line="380" w:lineRule="exact"/>
        <w:ind w:firstLine="643" w:firstLineChars="200"/>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rPr>
        <w:t>1</w:t>
      </w:r>
      <w:r>
        <w:rPr>
          <w:rFonts w:hint="eastAsia" w:ascii="宋体" w:hAnsi="宋体" w:eastAsia="宋体" w:cs="宋体"/>
          <w:b/>
          <w:bCs/>
          <w:color w:val="auto"/>
          <w:sz w:val="32"/>
          <w:szCs w:val="20"/>
          <w:highlight w:val="none"/>
          <w:lang w:val="en-US" w:eastAsia="zh-CN"/>
        </w:rPr>
        <w:t>1</w:t>
      </w:r>
      <w:r>
        <w:rPr>
          <w:rFonts w:hint="eastAsia" w:ascii="宋体" w:hAnsi="宋体" w:eastAsia="宋体" w:cs="宋体"/>
          <w:b/>
          <w:bCs/>
          <w:color w:val="auto"/>
          <w:sz w:val="32"/>
          <w:szCs w:val="20"/>
          <w:highlight w:val="none"/>
        </w:rPr>
        <w:t>.投标人为生产厂家的，投标人的生产制造设备清单及专业技术能力说明（如有，请提供）；</w:t>
      </w:r>
    </w:p>
    <w:p w14:paraId="456BD5EC">
      <w:pPr>
        <w:widowControl/>
        <w:jc w:val="left"/>
        <w:rPr>
          <w:rFonts w:hint="eastAsia" w:ascii="宋体" w:hAnsi="宋体" w:eastAsia="宋体" w:cs="宋体"/>
          <w:color w:val="auto"/>
          <w:highlight w:val="none"/>
        </w:rPr>
      </w:pPr>
    </w:p>
    <w:p w14:paraId="72B21942">
      <w:pPr>
        <w:widowControl/>
        <w:jc w:val="left"/>
        <w:rPr>
          <w:rFonts w:hint="eastAsia" w:ascii="宋体" w:hAnsi="宋体" w:eastAsia="宋体" w:cs="宋体"/>
          <w:color w:val="auto"/>
          <w:highlight w:val="none"/>
        </w:rPr>
      </w:pPr>
    </w:p>
    <w:p w14:paraId="7193AAE3">
      <w:pPr>
        <w:tabs>
          <w:tab w:val="left" w:pos="1305"/>
        </w:tabs>
        <w:spacing w:line="380" w:lineRule="exact"/>
        <w:ind w:firstLine="643" w:firstLineChars="200"/>
        <w:rPr>
          <w:rFonts w:hint="eastAsia" w:ascii="宋体" w:hAnsi="宋体" w:eastAsia="宋体" w:cs="宋体"/>
          <w:b/>
          <w:bCs/>
          <w:color w:val="auto"/>
          <w:sz w:val="32"/>
          <w:szCs w:val="20"/>
          <w:highlight w:val="none"/>
        </w:rPr>
      </w:pPr>
    </w:p>
    <w:p w14:paraId="791A39A7">
      <w:pPr>
        <w:tabs>
          <w:tab w:val="left" w:pos="1305"/>
        </w:tabs>
        <w:spacing w:line="380" w:lineRule="exact"/>
        <w:ind w:firstLine="643" w:firstLineChars="200"/>
        <w:rPr>
          <w:rFonts w:hint="eastAsia" w:ascii="宋体" w:hAnsi="宋体" w:eastAsia="宋体" w:cs="宋体"/>
          <w:b/>
          <w:bCs/>
          <w:color w:val="auto"/>
          <w:sz w:val="32"/>
          <w:szCs w:val="20"/>
          <w:highlight w:val="none"/>
        </w:rPr>
      </w:pPr>
      <w:r>
        <w:rPr>
          <w:rFonts w:hint="eastAsia" w:ascii="宋体" w:hAnsi="宋体" w:eastAsia="宋体" w:cs="宋体"/>
          <w:b/>
          <w:bCs/>
          <w:color w:val="auto"/>
          <w:sz w:val="32"/>
          <w:szCs w:val="20"/>
          <w:highlight w:val="none"/>
        </w:rPr>
        <w:t>1</w:t>
      </w:r>
      <w:r>
        <w:rPr>
          <w:rFonts w:hint="eastAsia" w:ascii="宋体" w:hAnsi="宋体" w:eastAsia="宋体" w:cs="宋体"/>
          <w:b/>
          <w:bCs/>
          <w:color w:val="auto"/>
          <w:sz w:val="32"/>
          <w:szCs w:val="20"/>
          <w:highlight w:val="none"/>
          <w:lang w:val="en-US" w:eastAsia="zh-CN"/>
        </w:rPr>
        <w:t>2</w:t>
      </w:r>
      <w:r>
        <w:rPr>
          <w:rFonts w:hint="eastAsia" w:ascii="宋体" w:hAnsi="宋体" w:eastAsia="宋体" w:cs="宋体"/>
          <w:b/>
          <w:bCs/>
          <w:color w:val="auto"/>
          <w:sz w:val="32"/>
          <w:szCs w:val="20"/>
          <w:highlight w:val="none"/>
        </w:rPr>
        <w:t>.投标人相关获奖证书、认证证书等</w:t>
      </w:r>
      <w:r>
        <w:rPr>
          <w:rFonts w:hint="eastAsia" w:ascii="宋体" w:hAnsi="宋体" w:eastAsia="宋体" w:cs="宋体"/>
          <w:b/>
          <w:color w:val="auto"/>
          <w:sz w:val="32"/>
          <w:szCs w:val="21"/>
          <w:highlight w:val="none"/>
        </w:rPr>
        <w:t>原件的扫描件</w:t>
      </w:r>
      <w:r>
        <w:rPr>
          <w:rFonts w:hint="eastAsia" w:ascii="宋体" w:hAnsi="宋体" w:eastAsia="宋体" w:cs="宋体"/>
          <w:b/>
          <w:bCs/>
          <w:color w:val="auto"/>
          <w:sz w:val="32"/>
          <w:szCs w:val="20"/>
          <w:highlight w:val="none"/>
        </w:rPr>
        <w:t>（如有，请提供）；</w:t>
      </w:r>
    </w:p>
    <w:p w14:paraId="59100F63">
      <w:pPr>
        <w:pStyle w:val="23"/>
        <w:ind w:firstLine="0" w:firstLineChars="0"/>
        <w:rPr>
          <w:rFonts w:hint="eastAsia" w:asciiTheme="majorEastAsia" w:hAnsiTheme="majorEastAsia" w:eastAsiaTheme="majorEastAsia" w:cstheme="majorEastAsia"/>
          <w:color w:val="auto"/>
          <w:highlight w:val="none"/>
        </w:rPr>
      </w:pPr>
    </w:p>
    <w:p w14:paraId="29E3294B">
      <w:pPr>
        <w:spacing w:line="340" w:lineRule="exact"/>
        <w:ind w:firstLine="1980" w:firstLineChars="900"/>
        <w:rPr>
          <w:rFonts w:hint="eastAsia" w:ascii="宋体" w:hAnsi="宋体" w:eastAsia="宋体" w:cs="宋体"/>
          <w:color w:val="auto"/>
          <w:highlight w:val="none"/>
          <w:u w:val="single"/>
        </w:rPr>
      </w:pPr>
    </w:p>
    <w:p w14:paraId="45B25E66">
      <w:pPr>
        <w:ind w:firstLine="643" w:firstLineChars="200"/>
        <w:rPr>
          <w:rFonts w:hint="eastAsia" w:hAnsi="宋体"/>
          <w:b/>
          <w:color w:val="auto"/>
          <w:sz w:val="32"/>
          <w:szCs w:val="32"/>
          <w:highlight w:val="none"/>
        </w:rPr>
      </w:pPr>
      <w:r>
        <w:rPr>
          <w:rFonts w:hint="eastAsia" w:asciiTheme="majorEastAsia" w:hAnsiTheme="majorEastAsia" w:eastAsiaTheme="majorEastAsia" w:cstheme="majorEastAsia"/>
          <w:b/>
          <w:bCs/>
          <w:color w:val="auto"/>
          <w:sz w:val="32"/>
          <w:szCs w:val="20"/>
          <w:highlight w:val="none"/>
        </w:rPr>
        <w:t>1</w:t>
      </w:r>
      <w:r>
        <w:rPr>
          <w:rFonts w:hint="eastAsia" w:asciiTheme="majorEastAsia" w:hAnsiTheme="majorEastAsia" w:eastAsiaTheme="majorEastAsia" w:cstheme="majorEastAsia"/>
          <w:b/>
          <w:bCs/>
          <w:color w:val="auto"/>
          <w:sz w:val="32"/>
          <w:szCs w:val="20"/>
          <w:highlight w:val="none"/>
          <w:lang w:val="en-US" w:eastAsia="zh-CN"/>
        </w:rPr>
        <w:t>3</w:t>
      </w:r>
      <w:r>
        <w:rPr>
          <w:rFonts w:hint="eastAsia" w:asciiTheme="majorEastAsia" w:hAnsiTheme="majorEastAsia" w:eastAsiaTheme="majorEastAsia" w:cstheme="majorEastAsia"/>
          <w:b/>
          <w:bCs/>
          <w:color w:val="auto"/>
          <w:sz w:val="32"/>
          <w:szCs w:val="20"/>
          <w:highlight w:val="none"/>
        </w:rPr>
        <w:t>.投标人可结合本项目的评标办法视自身情况自行提交相关证明</w:t>
      </w:r>
      <w:r>
        <w:rPr>
          <w:rFonts w:hint="eastAsia" w:asciiTheme="majorEastAsia" w:hAnsiTheme="majorEastAsia" w:eastAsiaTheme="majorEastAsia" w:cstheme="majorEastAsia"/>
          <w:b/>
          <w:bCs/>
          <w:color w:val="auto"/>
          <w:sz w:val="32"/>
          <w:szCs w:val="32"/>
          <w:highlight w:val="none"/>
        </w:rPr>
        <w:t>（如有，请提供）</w:t>
      </w:r>
      <w:r>
        <w:rPr>
          <w:rFonts w:hint="eastAsia" w:hAnsi="宋体"/>
          <w:b/>
          <w:color w:val="auto"/>
          <w:sz w:val="32"/>
          <w:szCs w:val="32"/>
          <w:highlight w:val="none"/>
        </w:rPr>
        <w:br w:type="page"/>
      </w:r>
    </w:p>
    <w:p w14:paraId="3866D8F4">
      <w:pPr>
        <w:pStyle w:val="9"/>
        <w:rPr>
          <w:rFonts w:hint="eastAsia" w:hAnsi="宋体"/>
          <w:b/>
          <w:color w:val="auto"/>
          <w:sz w:val="32"/>
          <w:szCs w:val="32"/>
          <w:highlight w:val="none"/>
        </w:rPr>
      </w:pPr>
      <w:r>
        <w:rPr>
          <w:rFonts w:hint="eastAsia" w:hAnsi="宋体"/>
          <w:b/>
          <w:color w:val="auto"/>
          <w:sz w:val="32"/>
          <w:szCs w:val="32"/>
          <w:highlight w:val="none"/>
        </w:rPr>
        <w:t>附件1：</w:t>
      </w:r>
    </w:p>
    <w:p w14:paraId="7DB6C30D">
      <w:pPr>
        <w:jc w:val="center"/>
        <w:rPr>
          <w:rFonts w:hint="eastAsia" w:ascii="宋体" w:hAnsi="宋体" w:cs="仿宋"/>
          <w:b/>
          <w:bCs/>
          <w:color w:val="auto"/>
          <w:sz w:val="24"/>
          <w:highlight w:val="none"/>
        </w:rPr>
      </w:pPr>
    </w:p>
    <w:p w14:paraId="155954D9">
      <w:pPr>
        <w:jc w:val="center"/>
        <w:rPr>
          <w:rFonts w:ascii="宋体" w:hAnsi="宋体" w:cs="仿宋"/>
          <w:b/>
          <w:bCs/>
          <w:color w:val="auto"/>
          <w:sz w:val="32"/>
          <w:szCs w:val="32"/>
          <w:highlight w:val="none"/>
        </w:rPr>
      </w:pPr>
      <w:r>
        <w:rPr>
          <w:rFonts w:hint="eastAsia" w:ascii="宋体" w:hAnsi="宋体" w:cs="仿宋"/>
          <w:b/>
          <w:bCs/>
          <w:color w:val="auto"/>
          <w:sz w:val="32"/>
          <w:szCs w:val="32"/>
          <w:highlight w:val="none"/>
        </w:rPr>
        <w:t>质疑函范本</w:t>
      </w:r>
    </w:p>
    <w:p w14:paraId="10222934">
      <w:pPr>
        <w:adjustRightInd w:val="0"/>
        <w:snapToGrid w:val="0"/>
        <w:spacing w:before="240" w:beforeLines="100"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一、质疑</w:t>
      </w:r>
      <w:r>
        <w:rPr>
          <w:rFonts w:hint="eastAsia" w:ascii="宋体" w:hAnsi="宋体" w:eastAsia="宋体" w:cs="宋体"/>
          <w:bCs/>
          <w:color w:val="auto"/>
          <w:sz w:val="24"/>
          <w:highlight w:val="none"/>
          <w:lang w:eastAsia="zh-CN"/>
        </w:rPr>
        <w:t>人</w:t>
      </w:r>
      <w:r>
        <w:rPr>
          <w:rFonts w:hint="eastAsia" w:ascii="宋体" w:hAnsi="宋体" w:eastAsia="宋体" w:cs="宋体"/>
          <w:bCs/>
          <w:color w:val="auto"/>
          <w:sz w:val="24"/>
          <w:highlight w:val="none"/>
        </w:rPr>
        <w:t>基本信息</w:t>
      </w:r>
    </w:p>
    <w:p w14:paraId="6F34FA0A">
      <w:pPr>
        <w:adjustRightInd w:val="0"/>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质疑</w:t>
      </w:r>
      <w:r>
        <w:rPr>
          <w:rFonts w:hint="eastAsia" w:ascii="宋体" w:hAnsi="宋体" w:eastAsia="宋体" w:cs="宋体"/>
          <w:color w:val="auto"/>
          <w:sz w:val="24"/>
          <w:highlight w:val="none"/>
          <w:lang w:eastAsia="zh-CN"/>
        </w:rPr>
        <w:t>人</w:t>
      </w:r>
      <w:r>
        <w:rPr>
          <w:rFonts w:hint="eastAsia" w:ascii="宋体" w:hAnsi="宋体" w:eastAsia="宋体" w:cs="宋体"/>
          <w:color w:val="auto"/>
          <w:sz w:val="24"/>
          <w:highlight w:val="none"/>
        </w:rPr>
        <w:t>：</w:t>
      </w:r>
      <w:r>
        <w:rPr>
          <w:rFonts w:hint="eastAsia" w:ascii="宋体" w:hAnsi="宋体" w:eastAsia="宋体" w:cs="宋体"/>
          <w:color w:val="auto"/>
          <w:sz w:val="24"/>
          <w:highlight w:val="none"/>
          <w:u w:val="dotted"/>
        </w:rPr>
        <w:t xml:space="preserve">                                        </w:t>
      </w:r>
    </w:p>
    <w:p w14:paraId="1CE1D9B3">
      <w:pPr>
        <w:adjustRightInd w:val="0"/>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地址：</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邮编：</w:t>
      </w:r>
      <w:r>
        <w:rPr>
          <w:rFonts w:hint="eastAsia" w:ascii="宋体" w:hAnsi="宋体" w:eastAsia="宋体" w:cs="宋体"/>
          <w:color w:val="auto"/>
          <w:sz w:val="24"/>
          <w:highlight w:val="none"/>
          <w:u w:val="dotted"/>
        </w:rPr>
        <w:t xml:space="preserve">                                                   </w:t>
      </w:r>
    </w:p>
    <w:p w14:paraId="799E4FBD">
      <w:pPr>
        <w:adjustRightInd w:val="0"/>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联系人：</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联系电话：</w:t>
      </w:r>
      <w:r>
        <w:rPr>
          <w:rFonts w:hint="eastAsia" w:ascii="宋体" w:hAnsi="宋体" w:eastAsia="宋体" w:cs="宋体"/>
          <w:color w:val="auto"/>
          <w:sz w:val="24"/>
          <w:highlight w:val="none"/>
          <w:u w:val="dotted"/>
        </w:rPr>
        <w:t xml:space="preserve">                              </w:t>
      </w:r>
    </w:p>
    <w:p w14:paraId="0EEE27A4">
      <w:pPr>
        <w:adjustRightInd w:val="0"/>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授权代表：</w:t>
      </w:r>
      <w:r>
        <w:rPr>
          <w:rFonts w:hint="eastAsia" w:ascii="宋体" w:hAnsi="宋体" w:eastAsia="宋体" w:cs="宋体"/>
          <w:color w:val="auto"/>
          <w:sz w:val="24"/>
          <w:highlight w:val="none"/>
          <w:u w:val="dotted"/>
        </w:rPr>
        <w:t xml:space="preserve">                                          </w:t>
      </w:r>
    </w:p>
    <w:p w14:paraId="6EA41F6E">
      <w:pPr>
        <w:adjustRightInd w:val="0"/>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联系电话：</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 xml:space="preserve"> </w:t>
      </w:r>
    </w:p>
    <w:p w14:paraId="54356435">
      <w:pPr>
        <w:adjustRightInd w:val="0"/>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地址： </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邮编：</w:t>
      </w:r>
      <w:r>
        <w:rPr>
          <w:rFonts w:hint="eastAsia" w:ascii="宋体" w:hAnsi="宋体" w:eastAsia="宋体" w:cs="宋体"/>
          <w:color w:val="auto"/>
          <w:sz w:val="24"/>
          <w:highlight w:val="none"/>
          <w:u w:val="dotted"/>
        </w:rPr>
        <w:t xml:space="preserve">                                                </w:t>
      </w:r>
    </w:p>
    <w:p w14:paraId="70E8236A">
      <w:pPr>
        <w:adjustRightInd w:val="0"/>
        <w:snapToGrid w:val="0"/>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二、质疑项目基本情况</w:t>
      </w:r>
    </w:p>
    <w:p w14:paraId="0541CA18">
      <w:pPr>
        <w:adjustRightInd w:val="0"/>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质疑项目的名称：</w:t>
      </w:r>
      <w:r>
        <w:rPr>
          <w:rFonts w:hint="eastAsia" w:ascii="宋体" w:hAnsi="宋体" w:eastAsia="宋体" w:cs="宋体"/>
          <w:color w:val="auto"/>
          <w:sz w:val="24"/>
          <w:highlight w:val="none"/>
          <w:u w:val="dotted"/>
        </w:rPr>
        <w:t xml:space="preserve">                                      </w:t>
      </w:r>
    </w:p>
    <w:p w14:paraId="238D9881">
      <w:pPr>
        <w:adjustRightInd w:val="0"/>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质疑项目的编号：</w:t>
      </w:r>
      <w:r>
        <w:rPr>
          <w:rFonts w:hint="eastAsia" w:ascii="宋体" w:hAnsi="宋体" w:eastAsia="宋体" w:cs="宋体"/>
          <w:color w:val="auto"/>
          <w:sz w:val="24"/>
          <w:highlight w:val="none"/>
          <w:u w:val="dotted"/>
        </w:rPr>
        <w:t xml:space="preserve">               </w:t>
      </w:r>
      <w:r>
        <w:rPr>
          <w:rFonts w:hint="eastAsia" w:ascii="宋体" w:hAnsi="宋体" w:eastAsia="宋体" w:cs="宋体"/>
          <w:color w:val="auto"/>
          <w:sz w:val="24"/>
          <w:highlight w:val="none"/>
        </w:rPr>
        <w:t>包号：</w:t>
      </w:r>
      <w:r>
        <w:rPr>
          <w:rFonts w:hint="eastAsia" w:ascii="宋体" w:hAnsi="宋体" w:eastAsia="宋体" w:cs="宋体"/>
          <w:color w:val="auto"/>
          <w:sz w:val="24"/>
          <w:highlight w:val="none"/>
          <w:u w:val="dotted"/>
        </w:rPr>
        <w:t xml:space="preserve">                 </w:t>
      </w:r>
    </w:p>
    <w:p w14:paraId="79D8876E">
      <w:pPr>
        <w:adjustRightInd w:val="0"/>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采购人名称：</w:t>
      </w:r>
      <w:r>
        <w:rPr>
          <w:rFonts w:hint="eastAsia" w:ascii="宋体" w:hAnsi="宋体" w:eastAsia="宋体" w:cs="宋体"/>
          <w:color w:val="auto"/>
          <w:sz w:val="24"/>
          <w:highlight w:val="none"/>
          <w:u w:val="dotted"/>
        </w:rPr>
        <w:t xml:space="preserve">                                         </w:t>
      </w:r>
    </w:p>
    <w:p w14:paraId="69C25F04">
      <w:pPr>
        <w:adjustRightInd w:val="0"/>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采购文件获取日期：</w:t>
      </w:r>
      <w:r>
        <w:rPr>
          <w:rFonts w:hint="eastAsia" w:ascii="宋体" w:hAnsi="宋体" w:eastAsia="宋体" w:cs="宋体"/>
          <w:color w:val="auto"/>
          <w:sz w:val="24"/>
          <w:highlight w:val="none"/>
          <w:u w:val="dotted"/>
        </w:rPr>
        <w:t xml:space="preserve">                                           </w:t>
      </w:r>
    </w:p>
    <w:p w14:paraId="20C78651">
      <w:pPr>
        <w:adjustRightInd w:val="0"/>
        <w:snapToGrid w:val="0"/>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三、质疑事项具体内容</w:t>
      </w:r>
    </w:p>
    <w:p w14:paraId="46A30EC2">
      <w:pPr>
        <w:adjustRightInd w:val="0"/>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质疑事项1：</w:t>
      </w:r>
      <w:r>
        <w:rPr>
          <w:rFonts w:hint="eastAsia" w:ascii="宋体" w:hAnsi="宋体" w:eastAsia="宋体" w:cs="宋体"/>
          <w:color w:val="auto"/>
          <w:sz w:val="24"/>
          <w:highlight w:val="none"/>
          <w:u w:val="dotted"/>
        </w:rPr>
        <w:t xml:space="preserve">                                         </w:t>
      </w:r>
    </w:p>
    <w:p w14:paraId="0733D09E">
      <w:pPr>
        <w:adjustRightInd w:val="0"/>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事实依据：</w:t>
      </w:r>
      <w:r>
        <w:rPr>
          <w:rFonts w:hint="eastAsia" w:ascii="宋体" w:hAnsi="宋体" w:eastAsia="宋体" w:cs="宋体"/>
          <w:color w:val="auto"/>
          <w:sz w:val="24"/>
          <w:highlight w:val="none"/>
          <w:u w:val="dotted"/>
        </w:rPr>
        <w:t xml:space="preserve">                                          </w:t>
      </w:r>
    </w:p>
    <w:p w14:paraId="65419128">
      <w:pPr>
        <w:adjustRightInd w:val="0"/>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u w:val="dotted"/>
        </w:rPr>
        <w:t xml:space="preserve">                                                       </w:t>
      </w:r>
    </w:p>
    <w:p w14:paraId="57E1751A">
      <w:pPr>
        <w:adjustRightInd w:val="0"/>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法律依据：</w:t>
      </w:r>
      <w:r>
        <w:rPr>
          <w:rFonts w:hint="eastAsia" w:ascii="宋体" w:hAnsi="宋体" w:eastAsia="宋体" w:cs="宋体"/>
          <w:color w:val="auto"/>
          <w:sz w:val="24"/>
          <w:highlight w:val="none"/>
          <w:u w:val="dotted"/>
        </w:rPr>
        <w:t xml:space="preserve">                                          </w:t>
      </w:r>
    </w:p>
    <w:p w14:paraId="6BD9459A">
      <w:pPr>
        <w:adjustRightInd w:val="0"/>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u w:val="dotted"/>
        </w:rPr>
        <w:t xml:space="preserve">                                                     </w:t>
      </w:r>
    </w:p>
    <w:p w14:paraId="2E2B46DB">
      <w:pPr>
        <w:adjustRightInd w:val="0"/>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质疑事项2</w:t>
      </w:r>
    </w:p>
    <w:p w14:paraId="2F136C87">
      <w:pPr>
        <w:adjustRightInd w:val="0"/>
        <w:snapToGrid w:val="0"/>
        <w:spacing w:line="360" w:lineRule="auto"/>
        <w:rPr>
          <w:rFonts w:hint="eastAsia" w:ascii="宋体" w:hAnsi="宋体" w:eastAsia="宋体" w:cs="宋体"/>
          <w:color w:val="auto"/>
          <w:sz w:val="24"/>
          <w:highlight w:val="none"/>
        </w:rPr>
      </w:pPr>
      <w:r>
        <w:rPr>
          <w:rFonts w:hint="eastAsia" w:ascii="宋体" w:hAnsi="宋体" w:eastAsia="宋体" w:cs="宋体"/>
          <w:color w:val="auto"/>
          <w:sz w:val="24"/>
          <w:highlight w:val="none"/>
        </w:rPr>
        <w:t>……</w:t>
      </w:r>
    </w:p>
    <w:p w14:paraId="1EBD9F10">
      <w:pPr>
        <w:adjustRightInd w:val="0"/>
        <w:snapToGrid w:val="0"/>
        <w:spacing w:line="360" w:lineRule="auto"/>
        <w:rPr>
          <w:rFonts w:hint="eastAsia" w:ascii="宋体" w:hAnsi="宋体" w:eastAsia="宋体" w:cs="宋体"/>
          <w:bCs/>
          <w:color w:val="auto"/>
          <w:sz w:val="24"/>
          <w:highlight w:val="none"/>
        </w:rPr>
      </w:pPr>
      <w:r>
        <w:rPr>
          <w:rFonts w:hint="eastAsia" w:ascii="宋体" w:hAnsi="宋体" w:eastAsia="宋体" w:cs="宋体"/>
          <w:bCs/>
          <w:color w:val="auto"/>
          <w:sz w:val="24"/>
          <w:highlight w:val="none"/>
        </w:rPr>
        <w:t>四、与质疑事项相关的质疑请求</w:t>
      </w:r>
    </w:p>
    <w:p w14:paraId="7DC5B6FF">
      <w:pPr>
        <w:adjustRightInd w:val="0"/>
        <w:snapToGrid w:val="0"/>
        <w:spacing w:line="360" w:lineRule="auto"/>
        <w:rPr>
          <w:rFonts w:hint="eastAsia" w:ascii="宋体" w:hAnsi="宋体" w:eastAsia="宋体" w:cs="宋体"/>
          <w:color w:val="auto"/>
          <w:sz w:val="24"/>
          <w:highlight w:val="none"/>
          <w:u w:val="dotted"/>
        </w:rPr>
      </w:pPr>
      <w:r>
        <w:rPr>
          <w:rFonts w:hint="eastAsia" w:ascii="宋体" w:hAnsi="宋体" w:eastAsia="宋体" w:cs="宋体"/>
          <w:color w:val="auto"/>
          <w:sz w:val="24"/>
          <w:highlight w:val="none"/>
        </w:rPr>
        <w:t>请求：</w:t>
      </w:r>
      <w:r>
        <w:rPr>
          <w:rFonts w:hint="eastAsia" w:ascii="宋体" w:hAnsi="宋体" w:eastAsia="宋体" w:cs="宋体"/>
          <w:color w:val="auto"/>
          <w:sz w:val="24"/>
          <w:highlight w:val="none"/>
          <w:u w:val="dotted"/>
        </w:rPr>
        <w:t xml:space="preserve">                                               </w:t>
      </w:r>
    </w:p>
    <w:p w14:paraId="356EF70D">
      <w:pP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签字（签章）：                   公章：                      </w:t>
      </w:r>
    </w:p>
    <w:p w14:paraId="3D2A5646">
      <w:pPr>
        <w:rPr>
          <w:rFonts w:hint="eastAsia" w:ascii="宋体" w:hAnsi="宋体" w:eastAsia="宋体" w:cs="宋体"/>
          <w:color w:val="auto"/>
          <w:sz w:val="24"/>
          <w:highlight w:val="none"/>
        </w:rPr>
      </w:pPr>
      <w:r>
        <w:rPr>
          <w:rFonts w:hint="eastAsia" w:ascii="宋体" w:hAnsi="宋体" w:eastAsia="宋体" w:cs="宋体"/>
          <w:color w:val="auto"/>
          <w:sz w:val="24"/>
          <w:highlight w:val="none"/>
        </w:rPr>
        <w:t xml:space="preserve">日期：    </w:t>
      </w:r>
    </w:p>
    <w:p w14:paraId="0EAB6072">
      <w:pPr>
        <w:rPr>
          <w:rFonts w:ascii="宋体" w:hAnsi="宋体"/>
          <w:b/>
          <w:color w:val="auto"/>
          <w:sz w:val="32"/>
          <w:szCs w:val="32"/>
          <w:highlight w:val="none"/>
        </w:rPr>
      </w:pPr>
    </w:p>
    <w:p w14:paraId="48238B61">
      <w:pPr>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质疑函制作说明：</w:t>
      </w:r>
    </w:p>
    <w:p w14:paraId="6FB07348">
      <w:pPr>
        <w:widowControl/>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1.投标人提出质疑时，应提交质疑函和必要的证明材料。</w:t>
      </w:r>
    </w:p>
    <w:p w14:paraId="3E758B0C">
      <w:pPr>
        <w:widowControl/>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2.质疑</w:t>
      </w:r>
      <w:r>
        <w:rPr>
          <w:rFonts w:hint="eastAsia" w:ascii="宋体" w:hAnsi="宋体" w:eastAsia="宋体" w:cs="宋体"/>
          <w:color w:val="auto"/>
          <w:sz w:val="24"/>
          <w:szCs w:val="24"/>
          <w:highlight w:val="none"/>
          <w:lang w:eastAsia="zh-CN"/>
        </w:rPr>
        <w:t>人</w:t>
      </w:r>
      <w:r>
        <w:rPr>
          <w:rFonts w:hint="eastAsia" w:ascii="宋体" w:hAnsi="宋体" w:eastAsia="宋体" w:cs="宋体"/>
          <w:color w:val="auto"/>
          <w:sz w:val="24"/>
          <w:szCs w:val="24"/>
          <w:highlight w:val="none"/>
        </w:rPr>
        <w:t>若委托代理人进行质疑的，质疑函应按要求列明“授权代表”的有关内容，并在附件中提交由质疑</w:t>
      </w:r>
      <w:r>
        <w:rPr>
          <w:rFonts w:hint="eastAsia" w:ascii="宋体" w:hAnsi="宋体" w:eastAsia="宋体" w:cs="宋体"/>
          <w:color w:val="auto"/>
          <w:kern w:val="0"/>
          <w:sz w:val="24"/>
          <w:szCs w:val="24"/>
          <w:highlight w:val="none"/>
          <w:lang w:eastAsia="zh-CN"/>
        </w:rPr>
        <w:t>人</w:t>
      </w:r>
      <w:r>
        <w:rPr>
          <w:rFonts w:hint="eastAsia" w:ascii="宋体" w:hAnsi="宋体" w:eastAsia="宋体" w:cs="宋体"/>
          <w:color w:val="auto"/>
          <w:kern w:val="0"/>
          <w:sz w:val="24"/>
          <w:szCs w:val="24"/>
          <w:highlight w:val="none"/>
        </w:rPr>
        <w:t>签署的授权委托书。授权委托书应载明代理人的姓名或者名称、代理事项、具体权限、期限和相关事项。</w:t>
      </w:r>
    </w:p>
    <w:p w14:paraId="6D6F36E4">
      <w:pPr>
        <w:widowControl/>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3.质疑人若对项目的某一分包进行质疑，质疑函中应列明具体分包号。</w:t>
      </w:r>
    </w:p>
    <w:p w14:paraId="53F51725">
      <w:pPr>
        <w:widowControl/>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4.质疑函的质疑事项应具体、明确，并有必要的事实依据和法律依据。</w:t>
      </w:r>
    </w:p>
    <w:p w14:paraId="5CE75F4C">
      <w:pPr>
        <w:widowControl/>
        <w:spacing w:line="500" w:lineRule="exact"/>
        <w:ind w:firstLine="480" w:firstLineChars="200"/>
        <w:jc w:val="left"/>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5.质疑函的质疑请求应与质疑事项相关。</w:t>
      </w:r>
    </w:p>
    <w:p w14:paraId="7D32A155">
      <w:pPr>
        <w:pStyle w:val="9"/>
        <w:spacing w:line="500" w:lineRule="exact"/>
        <w:ind w:firstLine="480" w:firstLineChars="200"/>
        <w:rPr>
          <w:rFonts w:hint="eastAsia" w:ascii="宋体" w:hAnsi="宋体" w:eastAsia="宋体" w:cs="宋体"/>
          <w:color w:val="auto"/>
          <w:sz w:val="24"/>
          <w:szCs w:val="24"/>
          <w:highlight w:val="none"/>
        </w:rPr>
      </w:pPr>
      <w:r>
        <w:rPr>
          <w:rFonts w:hint="eastAsia" w:ascii="宋体" w:hAnsi="宋体" w:eastAsia="宋体" w:cs="宋体"/>
          <w:color w:val="auto"/>
          <w:sz w:val="24"/>
          <w:szCs w:val="24"/>
          <w:highlight w:val="none"/>
        </w:rPr>
        <w:t>6.质疑人为自然人的，质疑函应由本人签字；质疑人为法人或者其他组织的，质疑函应由法定代表人、主要负责人，或者其授权代表签字或者盖章，并加盖公章。</w:t>
      </w:r>
    </w:p>
    <w:p w14:paraId="50880325">
      <w:pPr>
        <w:spacing w:line="380" w:lineRule="exact"/>
        <w:rPr>
          <w:rFonts w:hint="eastAsia" w:ascii="宋体" w:hAnsi="宋体" w:eastAsia="宋体" w:cs="宋体"/>
          <w:color w:val="auto"/>
          <w:sz w:val="24"/>
          <w:szCs w:val="24"/>
          <w:highlight w:val="none"/>
        </w:rPr>
      </w:pPr>
    </w:p>
    <w:p w14:paraId="0F1556E7">
      <w:pPr>
        <w:pStyle w:val="23"/>
        <w:ind w:firstLine="480"/>
        <w:rPr>
          <w:rFonts w:hint="eastAsia" w:ascii="宋体" w:hAnsi="宋体" w:eastAsia="宋体" w:cs="宋体"/>
          <w:color w:val="auto"/>
          <w:sz w:val="24"/>
          <w:szCs w:val="24"/>
          <w:highlight w:val="none"/>
        </w:rPr>
      </w:pPr>
    </w:p>
    <w:p w14:paraId="62E419DE">
      <w:pPr>
        <w:rPr>
          <w:rFonts w:hint="eastAsia" w:ascii="宋体" w:hAnsi="宋体" w:eastAsia="宋体" w:cs="宋体"/>
          <w:color w:val="auto"/>
          <w:sz w:val="24"/>
          <w:szCs w:val="24"/>
          <w:highlight w:val="none"/>
        </w:rPr>
      </w:pPr>
    </w:p>
    <w:p w14:paraId="38513209">
      <w:pPr>
        <w:rPr>
          <w:rFonts w:hint="eastAsia" w:ascii="宋体" w:hAnsi="宋体" w:eastAsia="宋体" w:cs="宋体"/>
          <w:color w:val="auto"/>
          <w:sz w:val="24"/>
          <w:szCs w:val="24"/>
          <w:highlight w:val="none"/>
        </w:rPr>
      </w:pPr>
    </w:p>
    <w:p w14:paraId="6D006BA1"/>
    <w:sectPr>
      <w:footerReference r:id="rId4" w:type="default"/>
      <w:pgSz w:w="11906" w:h="16838"/>
      <w:pgMar w:top="1134" w:right="850" w:bottom="1134" w:left="1134" w:header="708" w:footer="709" w:gutter="0"/>
      <w:cols w:space="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B2"/>
    <w:family w:val="roman"/>
    <w:pitch w:val="default"/>
    <w:sig w:usb0="E0002AFF" w:usb1="C0007841"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80F3C52" w:usb2="00000016" w:usb3="00000000" w:csb0="0004001F"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B877D5">
    <w:pPr>
      <w:pStyle w:val="10"/>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C10A8D">
                          <w:pPr>
                            <w:pStyle w:val="10"/>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62C10A8D">
                    <w:pPr>
                      <w:pStyle w:val="10"/>
                      <w:rPr>
                        <w:rFonts w:hint="eastAsia" w:eastAsia="微软雅黑"/>
                        <w:lang w:eastAsia="zh-CN"/>
                      </w:rPr>
                    </w:pP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1F5C3F80"/>
    <w:multiLevelType w:val="multilevel"/>
    <w:tmpl w:val="1F5C3F80"/>
    <w:lvl w:ilvl="0" w:tentative="0">
      <w:start w:val="9"/>
      <w:numFmt w:val="decimal"/>
      <w:lvlText w:val="%1"/>
      <w:lvlJc w:val="left"/>
      <w:pPr>
        <w:ind w:left="678" w:hanging="560"/>
        <w:jc w:val="left"/>
      </w:pPr>
      <w:rPr>
        <w:rFonts w:hint="default"/>
        <w:lang w:val="zh-CN" w:eastAsia="zh-CN" w:bidi="zh-CN"/>
      </w:rPr>
    </w:lvl>
    <w:lvl w:ilvl="1" w:tentative="0">
      <w:start w:val="1"/>
      <w:numFmt w:val="decimal"/>
      <w:lvlText w:val="%1.%2"/>
      <w:lvlJc w:val="left"/>
      <w:pPr>
        <w:ind w:left="678" w:hanging="560"/>
        <w:jc w:val="left"/>
      </w:pPr>
      <w:rPr>
        <w:rFonts w:hint="default" w:ascii="宋体" w:hAnsi="宋体" w:eastAsia="宋体" w:cs="宋体"/>
        <w:spacing w:val="-2"/>
        <w:w w:val="100"/>
        <w:sz w:val="28"/>
        <w:szCs w:val="28"/>
        <w:lang w:val="zh-CN" w:eastAsia="zh-CN" w:bidi="zh-CN"/>
      </w:rPr>
    </w:lvl>
    <w:lvl w:ilvl="2" w:tentative="0">
      <w:start w:val="1"/>
      <w:numFmt w:val="decimal"/>
      <w:pStyle w:val="19"/>
      <w:lvlText w:val="%3."/>
      <w:lvlJc w:val="left"/>
      <w:pPr>
        <w:ind w:left="2890" w:hanging="322"/>
        <w:jc w:val="right"/>
      </w:pPr>
      <w:rPr>
        <w:rFonts w:hint="default" w:ascii="宋体" w:hAnsi="宋体" w:eastAsia="宋体" w:cs="宋体"/>
        <w:spacing w:val="-2"/>
        <w:w w:val="99"/>
        <w:sz w:val="30"/>
        <w:szCs w:val="30"/>
        <w:lang w:val="zh-CN" w:eastAsia="zh-CN" w:bidi="zh-CN"/>
      </w:rPr>
    </w:lvl>
    <w:lvl w:ilvl="3" w:tentative="0">
      <w:start w:val="0"/>
      <w:numFmt w:val="bullet"/>
      <w:lvlText w:val="•"/>
      <w:lvlJc w:val="left"/>
      <w:pPr>
        <w:ind w:left="4396" w:hanging="322"/>
      </w:pPr>
      <w:rPr>
        <w:rFonts w:hint="default"/>
        <w:lang w:val="zh-CN" w:eastAsia="zh-CN" w:bidi="zh-CN"/>
      </w:rPr>
    </w:lvl>
    <w:lvl w:ilvl="4" w:tentative="0">
      <w:start w:val="0"/>
      <w:numFmt w:val="bullet"/>
      <w:lvlText w:val="•"/>
      <w:lvlJc w:val="left"/>
      <w:pPr>
        <w:ind w:left="5155" w:hanging="322"/>
      </w:pPr>
      <w:rPr>
        <w:rFonts w:hint="default"/>
        <w:lang w:val="zh-CN" w:eastAsia="zh-CN" w:bidi="zh-CN"/>
      </w:rPr>
    </w:lvl>
    <w:lvl w:ilvl="5" w:tentative="0">
      <w:start w:val="0"/>
      <w:numFmt w:val="bullet"/>
      <w:lvlText w:val="•"/>
      <w:lvlJc w:val="left"/>
      <w:pPr>
        <w:ind w:left="5913" w:hanging="322"/>
      </w:pPr>
      <w:rPr>
        <w:rFonts w:hint="default"/>
        <w:lang w:val="zh-CN" w:eastAsia="zh-CN" w:bidi="zh-CN"/>
      </w:rPr>
    </w:lvl>
    <w:lvl w:ilvl="6" w:tentative="0">
      <w:start w:val="0"/>
      <w:numFmt w:val="bullet"/>
      <w:lvlText w:val="•"/>
      <w:lvlJc w:val="left"/>
      <w:pPr>
        <w:ind w:left="6672" w:hanging="322"/>
      </w:pPr>
      <w:rPr>
        <w:rFonts w:hint="default"/>
        <w:lang w:val="zh-CN" w:eastAsia="zh-CN" w:bidi="zh-CN"/>
      </w:rPr>
    </w:lvl>
    <w:lvl w:ilvl="7" w:tentative="0">
      <w:start w:val="0"/>
      <w:numFmt w:val="bullet"/>
      <w:lvlText w:val="•"/>
      <w:lvlJc w:val="left"/>
      <w:pPr>
        <w:ind w:left="7430" w:hanging="322"/>
      </w:pPr>
      <w:rPr>
        <w:rFonts w:hint="default"/>
        <w:lang w:val="zh-CN" w:eastAsia="zh-CN" w:bidi="zh-CN"/>
      </w:rPr>
    </w:lvl>
    <w:lvl w:ilvl="8" w:tentative="0">
      <w:start w:val="0"/>
      <w:numFmt w:val="bullet"/>
      <w:lvlText w:val="•"/>
      <w:lvlJc w:val="left"/>
      <w:pPr>
        <w:ind w:left="8189" w:hanging="322"/>
      </w:pPr>
      <w:rPr>
        <w:rFonts w:hint="default"/>
        <w:lang w:val="zh-CN" w:eastAsia="zh-CN" w:bidi="zh-CN"/>
      </w:rPr>
    </w:lvl>
  </w:abstractNum>
  <w:abstractNum w:abstractNumId="1">
    <w:nsid w:val="5BA2560C"/>
    <w:multiLevelType w:val="multilevel"/>
    <w:tmpl w:val="5BA2560C"/>
    <w:lvl w:ilvl="0" w:tentative="0">
      <w:start w:val="1"/>
      <w:numFmt w:val="decimal"/>
      <w:lvlText w:val="%1"/>
      <w:lvlJc w:val="left"/>
      <w:pPr>
        <w:ind w:left="1179" w:hanging="480"/>
        <w:jc w:val="left"/>
      </w:pPr>
      <w:rPr>
        <w:rFonts w:hint="default"/>
        <w:lang w:val="zh-CN" w:eastAsia="zh-CN" w:bidi="zh-CN"/>
      </w:rPr>
    </w:lvl>
    <w:lvl w:ilvl="1" w:tentative="0">
      <w:start w:val="1"/>
      <w:numFmt w:val="decimal"/>
      <w:pStyle w:val="20"/>
      <w:lvlText w:val="%1.%2"/>
      <w:lvlJc w:val="left"/>
      <w:pPr>
        <w:ind w:left="1179" w:hanging="480"/>
        <w:jc w:val="left"/>
      </w:pPr>
      <w:rPr>
        <w:rFonts w:hint="default" w:ascii="宋体" w:hAnsi="宋体" w:eastAsia="宋体" w:cs="宋体"/>
        <w:w w:val="100"/>
        <w:sz w:val="24"/>
        <w:szCs w:val="24"/>
        <w:lang w:val="zh-CN" w:eastAsia="zh-CN" w:bidi="zh-CN"/>
      </w:rPr>
    </w:lvl>
    <w:lvl w:ilvl="2" w:tentative="0">
      <w:start w:val="1"/>
      <w:numFmt w:val="decimal"/>
      <w:lvlText w:val="%1.%2.%3"/>
      <w:lvlJc w:val="left"/>
      <w:pPr>
        <w:ind w:left="1359" w:hanging="660"/>
        <w:jc w:val="left"/>
      </w:pPr>
      <w:rPr>
        <w:rFonts w:hint="default" w:ascii="宋体" w:hAnsi="宋体" w:eastAsia="宋体" w:cs="宋体"/>
        <w:w w:val="100"/>
        <w:sz w:val="24"/>
        <w:szCs w:val="24"/>
        <w:lang w:val="zh-CN" w:eastAsia="zh-CN" w:bidi="zh-CN"/>
      </w:rPr>
    </w:lvl>
    <w:lvl w:ilvl="3" w:tentative="0">
      <w:start w:val="1"/>
      <w:numFmt w:val="decimal"/>
      <w:lvlText w:val="%1.%2.%3.%4"/>
      <w:lvlJc w:val="left"/>
      <w:pPr>
        <w:ind w:left="1599" w:hanging="900"/>
        <w:jc w:val="left"/>
      </w:pPr>
      <w:rPr>
        <w:rFonts w:hint="default" w:ascii="宋体" w:hAnsi="宋体" w:eastAsia="宋体" w:cs="宋体"/>
        <w:w w:val="100"/>
        <w:sz w:val="24"/>
        <w:szCs w:val="24"/>
        <w:lang w:val="zh-CN" w:eastAsia="zh-CN" w:bidi="zh-CN"/>
      </w:rPr>
    </w:lvl>
    <w:lvl w:ilvl="4" w:tentative="0">
      <w:start w:val="1"/>
      <w:numFmt w:val="decimal"/>
      <w:lvlText w:val="%1.%2.%3.%4.%5"/>
      <w:lvlJc w:val="left"/>
      <w:pPr>
        <w:ind w:left="1839" w:hanging="1140"/>
        <w:jc w:val="left"/>
      </w:pPr>
      <w:rPr>
        <w:rFonts w:hint="default" w:ascii="宋体" w:hAnsi="宋体" w:eastAsia="宋体" w:cs="宋体"/>
        <w:w w:val="100"/>
        <w:sz w:val="24"/>
        <w:szCs w:val="24"/>
        <w:lang w:val="zh-CN" w:eastAsia="zh-CN" w:bidi="zh-CN"/>
      </w:rPr>
    </w:lvl>
    <w:lvl w:ilvl="5" w:tentative="0">
      <w:start w:val="0"/>
      <w:numFmt w:val="bullet"/>
      <w:lvlText w:val="•"/>
      <w:lvlJc w:val="left"/>
      <w:pPr>
        <w:ind w:left="3226" w:hanging="1140"/>
      </w:pPr>
      <w:rPr>
        <w:rFonts w:hint="default"/>
        <w:lang w:val="zh-CN" w:eastAsia="zh-CN" w:bidi="zh-CN"/>
      </w:rPr>
    </w:lvl>
    <w:lvl w:ilvl="6" w:tentative="0">
      <w:start w:val="0"/>
      <w:numFmt w:val="bullet"/>
      <w:lvlText w:val="•"/>
      <w:lvlJc w:val="left"/>
      <w:pPr>
        <w:ind w:left="4613" w:hanging="1140"/>
      </w:pPr>
      <w:rPr>
        <w:rFonts w:hint="default"/>
        <w:lang w:val="zh-CN" w:eastAsia="zh-CN" w:bidi="zh-CN"/>
      </w:rPr>
    </w:lvl>
    <w:lvl w:ilvl="7" w:tentative="0">
      <w:start w:val="0"/>
      <w:numFmt w:val="bullet"/>
      <w:lvlText w:val="•"/>
      <w:lvlJc w:val="left"/>
      <w:pPr>
        <w:ind w:left="6000" w:hanging="1140"/>
      </w:pPr>
      <w:rPr>
        <w:rFonts w:hint="default"/>
        <w:lang w:val="zh-CN" w:eastAsia="zh-CN" w:bidi="zh-CN"/>
      </w:rPr>
    </w:lvl>
    <w:lvl w:ilvl="8" w:tentative="0">
      <w:start w:val="0"/>
      <w:numFmt w:val="bullet"/>
      <w:lvlText w:val="•"/>
      <w:lvlJc w:val="left"/>
      <w:pPr>
        <w:ind w:left="7386" w:hanging="1140"/>
      </w:pPr>
      <w:rPr>
        <w:rFonts w:hint="default"/>
        <w:lang w:val="zh-CN" w:eastAsia="zh-CN" w:bidi="zh-CN"/>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hlZGFlMTllMTk4ODVhYzRlNDQ3M2QyNTNlNGMxOWIifQ=="/>
  </w:docVars>
  <w:rsids>
    <w:rsidRoot w:val="377F4A55"/>
    <w:rsid w:val="009944D0"/>
    <w:rsid w:val="01456C53"/>
    <w:rsid w:val="021D146B"/>
    <w:rsid w:val="02D7069C"/>
    <w:rsid w:val="04CA72CA"/>
    <w:rsid w:val="05260A48"/>
    <w:rsid w:val="05E564E6"/>
    <w:rsid w:val="069E51CB"/>
    <w:rsid w:val="06C00E13"/>
    <w:rsid w:val="0B7E6AB6"/>
    <w:rsid w:val="0D270472"/>
    <w:rsid w:val="0E295C2B"/>
    <w:rsid w:val="0EA822CE"/>
    <w:rsid w:val="0EC82C38"/>
    <w:rsid w:val="12163CF3"/>
    <w:rsid w:val="123A1B7D"/>
    <w:rsid w:val="12BE0E97"/>
    <w:rsid w:val="12EF558E"/>
    <w:rsid w:val="12F50B4D"/>
    <w:rsid w:val="13745A17"/>
    <w:rsid w:val="16A63B28"/>
    <w:rsid w:val="16B3772D"/>
    <w:rsid w:val="17662BB2"/>
    <w:rsid w:val="18950986"/>
    <w:rsid w:val="197C72B6"/>
    <w:rsid w:val="19F00903"/>
    <w:rsid w:val="1AC311CC"/>
    <w:rsid w:val="1B596248"/>
    <w:rsid w:val="1C534F2C"/>
    <w:rsid w:val="1CA71AA5"/>
    <w:rsid w:val="1D377296"/>
    <w:rsid w:val="1DBB0E8E"/>
    <w:rsid w:val="1E9D090B"/>
    <w:rsid w:val="20686980"/>
    <w:rsid w:val="227D2A2E"/>
    <w:rsid w:val="22FA604A"/>
    <w:rsid w:val="23854429"/>
    <w:rsid w:val="23977CA8"/>
    <w:rsid w:val="24DC16EA"/>
    <w:rsid w:val="25FF0FD8"/>
    <w:rsid w:val="27573FC3"/>
    <w:rsid w:val="27CA39F1"/>
    <w:rsid w:val="289A5B44"/>
    <w:rsid w:val="2A1B601D"/>
    <w:rsid w:val="2A880F32"/>
    <w:rsid w:val="2B1E10CF"/>
    <w:rsid w:val="2B28789D"/>
    <w:rsid w:val="2B397896"/>
    <w:rsid w:val="2B964CE9"/>
    <w:rsid w:val="2C17550A"/>
    <w:rsid w:val="2C975FCB"/>
    <w:rsid w:val="2CC52EA4"/>
    <w:rsid w:val="2E3F21AF"/>
    <w:rsid w:val="2E542FA6"/>
    <w:rsid w:val="2E565C6F"/>
    <w:rsid w:val="2E7E7C88"/>
    <w:rsid w:val="2EFF1CE7"/>
    <w:rsid w:val="2F14768C"/>
    <w:rsid w:val="312C4394"/>
    <w:rsid w:val="32A50AD7"/>
    <w:rsid w:val="32F61E94"/>
    <w:rsid w:val="32F83B93"/>
    <w:rsid w:val="339729FB"/>
    <w:rsid w:val="351150A1"/>
    <w:rsid w:val="377F4A55"/>
    <w:rsid w:val="37931164"/>
    <w:rsid w:val="37A64D19"/>
    <w:rsid w:val="389C19BA"/>
    <w:rsid w:val="393760CF"/>
    <w:rsid w:val="39672644"/>
    <w:rsid w:val="3A2F4EFC"/>
    <w:rsid w:val="3B221F6D"/>
    <w:rsid w:val="3B2C4D22"/>
    <w:rsid w:val="3B9A6B59"/>
    <w:rsid w:val="3C8C1BF2"/>
    <w:rsid w:val="3E081AAD"/>
    <w:rsid w:val="3E371A14"/>
    <w:rsid w:val="3F33225F"/>
    <w:rsid w:val="3F786611"/>
    <w:rsid w:val="40573C5C"/>
    <w:rsid w:val="40CB1FEE"/>
    <w:rsid w:val="42777F2F"/>
    <w:rsid w:val="446964A0"/>
    <w:rsid w:val="44946058"/>
    <w:rsid w:val="44D85383"/>
    <w:rsid w:val="44F00BB9"/>
    <w:rsid w:val="457F1B43"/>
    <w:rsid w:val="46B462D6"/>
    <w:rsid w:val="47350DA6"/>
    <w:rsid w:val="47D429C9"/>
    <w:rsid w:val="483E00E3"/>
    <w:rsid w:val="485008A5"/>
    <w:rsid w:val="49FE7904"/>
    <w:rsid w:val="4A704A60"/>
    <w:rsid w:val="4A9326C8"/>
    <w:rsid w:val="4BD942FB"/>
    <w:rsid w:val="4C5125B6"/>
    <w:rsid w:val="4D741111"/>
    <w:rsid w:val="4E073A89"/>
    <w:rsid w:val="4E532634"/>
    <w:rsid w:val="4EB758F6"/>
    <w:rsid w:val="4F5F6B25"/>
    <w:rsid w:val="525379E4"/>
    <w:rsid w:val="52EF4857"/>
    <w:rsid w:val="54E57FC4"/>
    <w:rsid w:val="54F91FBD"/>
    <w:rsid w:val="558D0BE4"/>
    <w:rsid w:val="55E42029"/>
    <w:rsid w:val="56A66E13"/>
    <w:rsid w:val="57EB69C9"/>
    <w:rsid w:val="58011FF3"/>
    <w:rsid w:val="58A07695"/>
    <w:rsid w:val="58B008E9"/>
    <w:rsid w:val="5A714825"/>
    <w:rsid w:val="5ADF10B7"/>
    <w:rsid w:val="5B4A6DD2"/>
    <w:rsid w:val="5BDE0B50"/>
    <w:rsid w:val="5D7D7BFC"/>
    <w:rsid w:val="5DF53ECC"/>
    <w:rsid w:val="5E8638E4"/>
    <w:rsid w:val="5E99597B"/>
    <w:rsid w:val="5EB9243E"/>
    <w:rsid w:val="5ED54C05"/>
    <w:rsid w:val="5F185D36"/>
    <w:rsid w:val="60101BA9"/>
    <w:rsid w:val="60A74043"/>
    <w:rsid w:val="61526626"/>
    <w:rsid w:val="61C94077"/>
    <w:rsid w:val="625A5848"/>
    <w:rsid w:val="64CA5F8B"/>
    <w:rsid w:val="6738145C"/>
    <w:rsid w:val="67F80528"/>
    <w:rsid w:val="684828EC"/>
    <w:rsid w:val="6A7A26D3"/>
    <w:rsid w:val="6B0313BE"/>
    <w:rsid w:val="6B087F01"/>
    <w:rsid w:val="6B480A8C"/>
    <w:rsid w:val="6C7D4241"/>
    <w:rsid w:val="6D3A4588"/>
    <w:rsid w:val="6D3F412C"/>
    <w:rsid w:val="6DED7349"/>
    <w:rsid w:val="6EF21CA3"/>
    <w:rsid w:val="6F113F5D"/>
    <w:rsid w:val="6F4C7C36"/>
    <w:rsid w:val="70115AF6"/>
    <w:rsid w:val="70EF1629"/>
    <w:rsid w:val="72DA6B01"/>
    <w:rsid w:val="73075151"/>
    <w:rsid w:val="73182498"/>
    <w:rsid w:val="74242CF0"/>
    <w:rsid w:val="7577036C"/>
    <w:rsid w:val="75E165F0"/>
    <w:rsid w:val="761B7CA8"/>
    <w:rsid w:val="764A0C47"/>
    <w:rsid w:val="765470EC"/>
    <w:rsid w:val="7660752C"/>
    <w:rsid w:val="78A83988"/>
    <w:rsid w:val="78C17351"/>
    <w:rsid w:val="7AD647F1"/>
    <w:rsid w:val="7D2905EF"/>
    <w:rsid w:val="7DFA7AE0"/>
    <w:rsid w:val="7E674CD4"/>
    <w:rsid w:val="7E9006F1"/>
    <w:rsid w:val="7E965B6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nhideWhenUsed="0"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qFormat="1" w:unhideWhenUsed="0" w:uiPriority="0" w:semiHidden="0" w:name="index 8"/>
    <w:lsdException w:unhideWhenUsed="0" w:uiPriority="0" w:semiHidden="0" w:name="index 9"/>
    <w:lsdException w:qFormat="1"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qFormat="1"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autoRedefine/>
    <w:qFormat/>
    <w:uiPriority w:val="0"/>
    <w:pPr>
      <w:adjustRightInd w:val="0"/>
      <w:snapToGrid w:val="0"/>
      <w:spacing w:after="200"/>
    </w:pPr>
    <w:rPr>
      <w:rFonts w:ascii="Tahoma" w:hAnsi="Tahoma" w:eastAsia="微软雅黑" w:cstheme="minorBidi"/>
      <w:sz w:val="22"/>
      <w:szCs w:val="22"/>
      <w:lang w:val="en-US" w:eastAsia="zh-CN" w:bidi="ar-SA"/>
    </w:rPr>
  </w:style>
  <w:style w:type="paragraph" w:styleId="2">
    <w:name w:val="heading 3"/>
    <w:basedOn w:val="1"/>
    <w:next w:val="1"/>
    <w:autoRedefine/>
    <w:semiHidden/>
    <w:unhideWhenUsed/>
    <w:qFormat/>
    <w:uiPriority w:val="0"/>
    <w:pPr>
      <w:keepNext/>
      <w:keepLines/>
      <w:spacing w:before="260" w:beforeLines="0" w:beforeAutospacing="0" w:after="260" w:afterLines="0" w:afterAutospacing="0" w:line="413" w:lineRule="auto"/>
      <w:outlineLvl w:val="2"/>
    </w:pPr>
    <w:rPr>
      <w:b/>
      <w:sz w:val="32"/>
    </w:rPr>
  </w:style>
  <w:style w:type="paragraph" w:styleId="3">
    <w:name w:val="heading 4"/>
    <w:basedOn w:val="1"/>
    <w:next w:val="1"/>
    <w:autoRedefine/>
    <w:qFormat/>
    <w:uiPriority w:val="0"/>
    <w:pPr>
      <w:keepNext/>
      <w:keepLines/>
      <w:widowControl/>
      <w:spacing w:before="120" w:after="120" w:line="360" w:lineRule="auto"/>
      <w:jc w:val="center"/>
      <w:outlineLvl w:val="3"/>
    </w:pPr>
    <w:rPr>
      <w:rFonts w:ascii="Arial" w:hAnsi="Arial" w:eastAsia="黑体"/>
      <w:kern w:val="0"/>
      <w:sz w:val="28"/>
      <w:szCs w:val="20"/>
    </w:rPr>
  </w:style>
  <w:style w:type="character" w:default="1" w:styleId="16">
    <w:name w:val="Default Paragraph Font"/>
    <w:autoRedefine/>
    <w:semiHidden/>
    <w:qFormat/>
    <w:uiPriority w:val="0"/>
  </w:style>
  <w:style w:type="table" w:default="1" w:styleId="15">
    <w:name w:val="Normal Table"/>
    <w:autoRedefine/>
    <w:semiHidden/>
    <w:qFormat/>
    <w:uiPriority w:val="0"/>
    <w:tblPr>
      <w:tblCellMar>
        <w:top w:w="0" w:type="dxa"/>
        <w:left w:w="108" w:type="dxa"/>
        <w:bottom w:w="0" w:type="dxa"/>
        <w:right w:w="108" w:type="dxa"/>
      </w:tblCellMar>
    </w:tblPr>
  </w:style>
  <w:style w:type="paragraph" w:styleId="4">
    <w:name w:val="index 8"/>
    <w:basedOn w:val="1"/>
    <w:next w:val="1"/>
    <w:qFormat/>
    <w:uiPriority w:val="0"/>
    <w:pPr>
      <w:spacing w:line="400" w:lineRule="exact"/>
      <w:ind w:left="2940" w:firstLine="1044" w:firstLineChars="200"/>
      <w:jc w:val="left"/>
    </w:pPr>
  </w:style>
  <w:style w:type="paragraph" w:styleId="5">
    <w:name w:val="annotation text"/>
    <w:basedOn w:val="1"/>
    <w:autoRedefine/>
    <w:qFormat/>
    <w:uiPriority w:val="0"/>
    <w:pPr>
      <w:jc w:val="left"/>
    </w:pPr>
  </w:style>
  <w:style w:type="paragraph" w:styleId="6">
    <w:name w:val="Body Text"/>
    <w:basedOn w:val="1"/>
    <w:next w:val="1"/>
    <w:qFormat/>
    <w:uiPriority w:val="0"/>
    <w:pPr>
      <w:spacing w:line="380" w:lineRule="exact"/>
    </w:pPr>
    <w:rPr>
      <w:rFonts w:ascii="Times New Roman" w:hAnsi="Times New Roman" w:eastAsia="宋体" w:cs="Times New Roman"/>
      <w:sz w:val="24"/>
    </w:rPr>
  </w:style>
  <w:style w:type="paragraph" w:styleId="7">
    <w:name w:val="Body Text Indent"/>
    <w:basedOn w:val="1"/>
    <w:next w:val="8"/>
    <w:autoRedefine/>
    <w:qFormat/>
    <w:uiPriority w:val="0"/>
    <w:pPr>
      <w:widowControl w:val="0"/>
      <w:spacing w:before="0" w:after="120"/>
      <w:ind w:left="420" w:leftChars="200" w:right="0"/>
      <w:jc w:val="both"/>
    </w:pPr>
    <w:rPr>
      <w:rFonts w:ascii="Times New Roman" w:hAnsi="Times New Roman" w:eastAsia="宋体" w:cs="Times New Roman"/>
      <w:kern w:val="2"/>
      <w:sz w:val="21"/>
      <w:szCs w:val="24"/>
      <w:lang w:bidi="ar-SA"/>
    </w:rPr>
  </w:style>
  <w:style w:type="paragraph" w:styleId="8">
    <w:name w:val="envelope return"/>
    <w:basedOn w:val="1"/>
    <w:autoRedefine/>
    <w:qFormat/>
    <w:uiPriority w:val="0"/>
    <w:pPr>
      <w:snapToGrid w:val="0"/>
    </w:pPr>
    <w:rPr>
      <w:rFonts w:ascii="Arial" w:hAnsi="Arial"/>
    </w:rPr>
  </w:style>
  <w:style w:type="paragraph" w:styleId="9">
    <w:name w:val="Plain Text"/>
    <w:basedOn w:val="1"/>
    <w:next w:val="3"/>
    <w:autoRedefine/>
    <w:qFormat/>
    <w:uiPriority w:val="0"/>
    <w:pPr>
      <w:widowControl w:val="0"/>
      <w:spacing w:after="0"/>
      <w:jc w:val="both"/>
    </w:pPr>
    <w:rPr>
      <w:rFonts w:ascii="宋体" w:hAnsi="Courier New" w:eastAsia="宋体" w:cs="Times New Roman"/>
      <w:kern w:val="2"/>
      <w:sz w:val="21"/>
      <w:szCs w:val="20"/>
    </w:rPr>
  </w:style>
  <w:style w:type="paragraph" w:styleId="10">
    <w:name w:val="footer"/>
    <w:basedOn w:val="1"/>
    <w:autoRedefine/>
    <w:qFormat/>
    <w:uiPriority w:val="99"/>
    <w:pPr>
      <w:widowControl w:val="0"/>
      <w:tabs>
        <w:tab w:val="center" w:pos="4140"/>
        <w:tab w:val="right" w:pos="8300"/>
      </w:tabs>
      <w:spacing w:after="0"/>
    </w:pPr>
    <w:rPr>
      <w:rFonts w:ascii="Times New Roman" w:hAnsi="Times New Roman" w:eastAsia="宋体" w:cs="Times New Roman"/>
      <w:kern w:val="2"/>
      <w:sz w:val="18"/>
      <w:szCs w:val="18"/>
    </w:rPr>
  </w:style>
  <w:style w:type="paragraph" w:styleId="11">
    <w:name w:val="toc 1"/>
    <w:basedOn w:val="1"/>
    <w:next w:val="1"/>
    <w:autoRedefine/>
    <w:qFormat/>
    <w:uiPriority w:val="0"/>
  </w:style>
  <w:style w:type="paragraph" w:styleId="12">
    <w:name w:val="Normal (Web)"/>
    <w:basedOn w:val="1"/>
    <w:autoRedefine/>
    <w:qFormat/>
    <w:uiPriority w:val="0"/>
    <w:pPr>
      <w:widowControl/>
      <w:spacing w:before="100" w:beforeAutospacing="1" w:after="100" w:afterAutospacing="1"/>
      <w:ind w:left="0" w:right="0"/>
      <w:jc w:val="left"/>
    </w:pPr>
    <w:rPr>
      <w:rFonts w:ascii="宋体" w:hAnsi="宋体" w:eastAsia="宋体" w:cs="Times New Roman"/>
      <w:kern w:val="0"/>
      <w:sz w:val="24"/>
      <w:szCs w:val="20"/>
      <w:lang w:val="en-US" w:eastAsia="zh-CN" w:bidi="ar-SA"/>
    </w:rPr>
  </w:style>
  <w:style w:type="paragraph" w:styleId="13">
    <w:name w:val="Title"/>
    <w:basedOn w:val="1"/>
    <w:autoRedefine/>
    <w:qFormat/>
    <w:uiPriority w:val="0"/>
    <w:pPr>
      <w:spacing w:before="240" w:beforeLines="0" w:beforeAutospacing="0" w:after="60" w:afterLines="0" w:afterAutospacing="0"/>
      <w:jc w:val="center"/>
      <w:outlineLvl w:val="0"/>
    </w:pPr>
    <w:rPr>
      <w:rFonts w:ascii="Arial" w:hAnsi="Arial"/>
      <w:b/>
      <w:sz w:val="32"/>
    </w:rPr>
  </w:style>
  <w:style w:type="paragraph" w:styleId="14">
    <w:name w:val="Body Text First Indent 2"/>
    <w:basedOn w:val="7"/>
    <w:autoRedefine/>
    <w:qFormat/>
    <w:uiPriority w:val="0"/>
    <w:pPr>
      <w:spacing w:after="120"/>
      <w:ind w:left="420" w:leftChars="200" w:firstLine="420" w:firstLineChars="200"/>
    </w:pPr>
  </w:style>
  <w:style w:type="character" w:styleId="17">
    <w:name w:val="Strong"/>
    <w:autoRedefine/>
    <w:qFormat/>
    <w:uiPriority w:val="0"/>
    <w:rPr>
      <w:rFonts w:ascii="Times New Roman" w:hAnsi="Times New Roman" w:eastAsia="宋体" w:cs="Times New Roman"/>
      <w:b/>
      <w:bCs/>
    </w:rPr>
  </w:style>
  <w:style w:type="character" w:styleId="18">
    <w:name w:val="Hyperlink"/>
    <w:autoRedefine/>
    <w:qFormat/>
    <w:uiPriority w:val="99"/>
    <w:rPr>
      <w:rFonts w:ascii="Times New Roman" w:hAnsi="Times New Roman" w:eastAsia="宋体" w:cs="Times New Roman"/>
      <w:color w:val="0000FF"/>
      <w:u w:val="single"/>
    </w:rPr>
  </w:style>
  <w:style w:type="paragraph" w:customStyle="1" w:styleId="19">
    <w:name w:val="1级标题"/>
    <w:basedOn w:val="13"/>
    <w:next w:val="20"/>
    <w:link w:val="22"/>
    <w:autoRedefine/>
    <w:qFormat/>
    <w:uiPriority w:val="0"/>
    <w:pPr>
      <w:numPr>
        <w:ilvl w:val="2"/>
        <w:numId w:val="1"/>
      </w:numPr>
      <w:tabs>
        <w:tab w:val="left" w:pos="2871"/>
      </w:tabs>
      <w:spacing w:line="360" w:lineRule="auto"/>
      <w:ind w:left="20" w:firstLine="640"/>
    </w:pPr>
    <w:rPr>
      <w:rFonts w:hint="eastAsia" w:ascii="Arial" w:hAnsi="Arial" w:eastAsia="宋体" w:cs="宋体"/>
      <w:b w:val="0"/>
      <w:szCs w:val="32"/>
      <w:lang w:val="zh-CN" w:bidi="zh-CN"/>
    </w:rPr>
  </w:style>
  <w:style w:type="paragraph" w:customStyle="1" w:styleId="20">
    <w:name w:val="2级标题"/>
    <w:basedOn w:val="1"/>
    <w:next w:val="1"/>
    <w:autoRedefine/>
    <w:qFormat/>
    <w:uiPriority w:val="0"/>
    <w:pPr>
      <w:numPr>
        <w:ilvl w:val="1"/>
        <w:numId w:val="2"/>
      </w:numPr>
      <w:tabs>
        <w:tab w:val="left" w:pos="1180"/>
      </w:tabs>
      <w:spacing w:line="360" w:lineRule="auto"/>
      <w:ind w:firstLine="480" w:firstLineChars="200"/>
      <w:outlineLvl w:val="1"/>
    </w:pPr>
    <w:rPr>
      <w:rFonts w:ascii="宋体" w:hAnsi="宋体" w:eastAsia="宋体" w:cs="宋体"/>
      <w:sz w:val="24"/>
      <w:szCs w:val="22"/>
      <w:lang w:val="zh-CN" w:bidi="zh-CN"/>
    </w:rPr>
  </w:style>
  <w:style w:type="paragraph" w:customStyle="1" w:styleId="21">
    <w:name w:val="3级标题"/>
    <w:basedOn w:val="2"/>
    <w:next w:val="1"/>
    <w:autoRedefine/>
    <w:qFormat/>
    <w:uiPriority w:val="0"/>
    <w:pPr>
      <w:spacing w:line="360" w:lineRule="auto"/>
      <w:ind w:firstLine="480" w:firstLineChars="200"/>
    </w:pPr>
    <w:rPr>
      <w:rFonts w:hint="eastAsia" w:ascii="宋体" w:hAnsi="宋体" w:eastAsia="宋体" w:cs="宋体"/>
      <w:sz w:val="24"/>
      <w:szCs w:val="24"/>
      <w:lang w:val="zh-CN" w:bidi="zh-CN"/>
    </w:rPr>
  </w:style>
  <w:style w:type="character" w:customStyle="1" w:styleId="22">
    <w:name w:val="1级标题 Char"/>
    <w:link w:val="19"/>
    <w:autoRedefine/>
    <w:qFormat/>
    <w:uiPriority w:val="0"/>
    <w:rPr>
      <w:rFonts w:hint="eastAsia" w:ascii="Arial" w:hAnsi="Arial" w:eastAsia="宋体" w:cs="宋体"/>
      <w:szCs w:val="32"/>
      <w:lang w:val="zh-CN" w:bidi="zh-CN"/>
    </w:rPr>
  </w:style>
  <w:style w:type="paragraph" w:customStyle="1" w:styleId="23">
    <w:name w:val="段"/>
    <w:next w:val="1"/>
    <w:autoRedefine/>
    <w:qFormat/>
    <w:uiPriority w:val="0"/>
    <w:pPr>
      <w:autoSpaceDE w:val="0"/>
      <w:autoSpaceDN w:val="0"/>
      <w:adjustRightInd w:val="0"/>
      <w:snapToGrid w:val="0"/>
      <w:spacing w:line="360" w:lineRule="auto"/>
      <w:ind w:firstLine="200" w:firstLineChars="200"/>
      <w:jc w:val="both"/>
    </w:pPr>
    <w:rPr>
      <w:rFonts w:ascii="宋体" w:hAnsi="Times New Roman" w:eastAsia="宋体" w:cs="Times New Roman"/>
      <w:sz w:val="24"/>
      <w:szCs w:val="22"/>
      <w:lang w:val="en-US" w:eastAsia="zh-CN" w:bidi="ar-SA"/>
    </w:rPr>
  </w:style>
  <w:style w:type="paragraph" w:customStyle="1" w:styleId="24">
    <w:name w:val="首行缩进"/>
    <w:basedOn w:val="1"/>
    <w:autoRedefine/>
    <w:qFormat/>
    <w:uiPriority w:val="0"/>
    <w:pPr>
      <w:ind w:firstLine="480" w:firstLineChars="200"/>
    </w:pPr>
    <w:rPr>
      <w:rFonts w:ascii="Times New Roman" w:hAnsi="Times New Roman" w:eastAsia="宋体" w:cs="Times New Roman"/>
    </w:rPr>
  </w:style>
  <w:style w:type="paragraph" w:customStyle="1" w:styleId="25">
    <w:name w:val="Body text|1"/>
    <w:basedOn w:val="1"/>
    <w:autoRedefine/>
    <w:qFormat/>
    <w:uiPriority w:val="0"/>
    <w:pPr>
      <w:spacing w:line="350" w:lineRule="auto"/>
      <w:ind w:firstLine="400"/>
      <w:jc w:val="left"/>
    </w:pPr>
    <w:rPr>
      <w:rFonts w:ascii="宋体" w:hAnsi="宋体" w:eastAsia="宋体" w:cs="宋体"/>
      <w:kern w:val="0"/>
      <w:sz w:val="30"/>
      <w:szCs w:val="30"/>
    </w:rPr>
  </w:style>
  <w:style w:type="paragraph" w:customStyle="1" w:styleId="26">
    <w:name w:val="WPSOffice手动目录 1"/>
    <w:autoRedefine/>
    <w:qFormat/>
    <w:uiPriority w:val="0"/>
    <w:pPr>
      <w:ind w:leftChars="0"/>
    </w:pPr>
    <w:rPr>
      <w:rFonts w:ascii="Times New Roman" w:hAnsi="Times New Roman" w:eastAsia="宋体" w:cs="Times New Roman"/>
      <w:sz w:val="20"/>
      <w:szCs w:val="20"/>
    </w:rPr>
  </w:style>
  <w:style w:type="character" w:customStyle="1" w:styleId="27">
    <w:name w:val="font101"/>
    <w:basedOn w:val="16"/>
    <w:qFormat/>
    <w:uiPriority w:val="0"/>
    <w:rPr>
      <w:rFonts w:hint="eastAsia" w:ascii="宋体" w:hAnsi="宋体" w:eastAsia="宋体" w:cs="宋体"/>
      <w:color w:val="000000"/>
      <w:sz w:val="24"/>
      <w:szCs w:val="24"/>
      <w:u w:val="none"/>
    </w:rPr>
  </w:style>
  <w:style w:type="character" w:customStyle="1" w:styleId="28">
    <w:name w:val="font51"/>
    <w:basedOn w:val="16"/>
    <w:qFormat/>
    <w:uiPriority w:val="0"/>
    <w:rPr>
      <w:rFonts w:hint="default" w:ascii="Times New Roman" w:hAnsi="Times New Roman" w:cs="Times New Roman"/>
      <w:color w:val="000000"/>
      <w:sz w:val="24"/>
      <w:szCs w:val="24"/>
      <w:u w:val="none"/>
    </w:rPr>
  </w:style>
  <w:style w:type="character" w:customStyle="1" w:styleId="29">
    <w:name w:val="font91"/>
    <w:basedOn w:val="16"/>
    <w:qFormat/>
    <w:uiPriority w:val="0"/>
    <w:rPr>
      <w:rFonts w:hint="eastAsia" w:ascii="宋体" w:hAnsi="宋体" w:eastAsia="宋体" w:cs="宋体"/>
      <w:color w:val="000000"/>
      <w:sz w:val="20"/>
      <w:szCs w:val="20"/>
      <w:u w:val="none"/>
    </w:rPr>
  </w:style>
  <w:style w:type="character" w:customStyle="1" w:styleId="30">
    <w:name w:val="font241"/>
    <w:basedOn w:val="16"/>
    <w:qFormat/>
    <w:uiPriority w:val="0"/>
    <w:rPr>
      <w:rFonts w:hint="eastAsia" w:ascii="宋体" w:hAnsi="宋体" w:eastAsia="宋体" w:cs="宋体"/>
      <w:color w:val="000000"/>
      <w:sz w:val="16"/>
      <w:szCs w:val="16"/>
      <w:u w:val="none"/>
    </w:rPr>
  </w:style>
  <w:style w:type="character" w:customStyle="1" w:styleId="31">
    <w:name w:val="font151"/>
    <w:basedOn w:val="16"/>
    <w:qFormat/>
    <w:uiPriority w:val="0"/>
    <w:rPr>
      <w:rFonts w:hint="eastAsia" w:ascii="宋体" w:hAnsi="宋体" w:eastAsia="宋体" w:cs="宋体"/>
      <w:color w:val="000000"/>
      <w:sz w:val="22"/>
      <w:szCs w:val="22"/>
      <w:u w:val="none"/>
    </w:rPr>
  </w:style>
  <w:style w:type="character" w:customStyle="1" w:styleId="32">
    <w:name w:val="font251"/>
    <w:basedOn w:val="16"/>
    <w:qFormat/>
    <w:uiPriority w:val="0"/>
    <w:rPr>
      <w:rFonts w:ascii="Tahoma" w:hAnsi="Tahoma" w:eastAsia="Tahoma" w:cs="Tahoma"/>
      <w:color w:val="000000"/>
      <w:sz w:val="22"/>
      <w:szCs w:val="22"/>
      <w:u w:val="none"/>
    </w:rPr>
  </w:style>
  <w:style w:type="character" w:customStyle="1" w:styleId="33">
    <w:name w:val="font261"/>
    <w:basedOn w:val="16"/>
    <w:qFormat/>
    <w:uiPriority w:val="0"/>
    <w:rPr>
      <w:rFonts w:hint="default" w:ascii="Times New Roman" w:hAnsi="Times New Roman" w:cs="Times New Roman"/>
      <w:color w:val="000000"/>
      <w:sz w:val="20"/>
      <w:szCs w:val="20"/>
      <w:u w:val="none"/>
    </w:rPr>
  </w:style>
  <w:style w:type="paragraph" w:customStyle="1" w:styleId="34">
    <w:name w:val="_Style 1"/>
    <w:qFormat/>
    <w:uiPriority w:val="0"/>
    <w:pPr>
      <w:widowControl w:val="0"/>
      <w:jc w:val="both"/>
    </w:pPr>
    <w:rPr>
      <w:rFonts w:ascii="Times New Roman" w:hAnsi="Times New Roman" w:eastAsia="宋体" w:cs="Times New Roman"/>
      <w:kern w:val="2"/>
      <w:sz w:val="21"/>
      <w:szCs w:val="24"/>
      <w:lang w:val="en-US" w:eastAsia="zh-CN" w:bidi="ar-SA"/>
    </w:rPr>
  </w:style>
  <w:style w:type="paragraph" w:customStyle="1" w:styleId="35">
    <w:name w:val="表格文字"/>
    <w:basedOn w:val="1"/>
    <w:qFormat/>
    <w:uiPriority w:val="0"/>
    <w:pPr>
      <w:adjustRightInd w:val="0"/>
      <w:spacing w:line="420" w:lineRule="atLeast"/>
      <w:jc w:val="left"/>
      <w:textAlignment w:val="baseline"/>
    </w:pPr>
    <w:rPr>
      <w:kern w:val="0"/>
    </w:rPr>
  </w:style>
</w:styles>
</file>

<file path=word/_rels/document.xml.rels><?xml version="1.0" encoding="UTF-8" standalone="yes"?>
<Relationships xmlns="http://schemas.openxmlformats.org/package/2006/relationships"><Relationship Id="rId99" Type="http://schemas.openxmlformats.org/officeDocument/2006/relationships/image" Target="media/image94.jpeg"/><Relationship Id="rId98" Type="http://schemas.openxmlformats.org/officeDocument/2006/relationships/image" Target="media/image93.png"/><Relationship Id="rId97" Type="http://schemas.openxmlformats.org/officeDocument/2006/relationships/image" Target="media/image92.jpeg"/><Relationship Id="rId96" Type="http://schemas.openxmlformats.org/officeDocument/2006/relationships/image" Target="media/image91.jpeg"/><Relationship Id="rId95" Type="http://schemas.openxmlformats.org/officeDocument/2006/relationships/image" Target="media/image90.jpeg"/><Relationship Id="rId94" Type="http://schemas.openxmlformats.org/officeDocument/2006/relationships/image" Target="media/image89.jpeg"/><Relationship Id="rId93" Type="http://schemas.openxmlformats.org/officeDocument/2006/relationships/image" Target="media/image88.png"/><Relationship Id="rId92" Type="http://schemas.openxmlformats.org/officeDocument/2006/relationships/image" Target="media/image87.png"/><Relationship Id="rId91" Type="http://schemas.openxmlformats.org/officeDocument/2006/relationships/image" Target="media/image86.png"/><Relationship Id="rId90" Type="http://schemas.openxmlformats.org/officeDocument/2006/relationships/image" Target="media/image85.jpeg"/><Relationship Id="rId9" Type="http://schemas.openxmlformats.org/officeDocument/2006/relationships/image" Target="media/image4.png"/><Relationship Id="rId89" Type="http://schemas.openxmlformats.org/officeDocument/2006/relationships/image" Target="media/image84.jpeg"/><Relationship Id="rId88" Type="http://schemas.openxmlformats.org/officeDocument/2006/relationships/image" Target="media/image83.jpeg"/><Relationship Id="rId87" Type="http://schemas.openxmlformats.org/officeDocument/2006/relationships/image" Target="media/image82.jpeg"/><Relationship Id="rId86" Type="http://schemas.openxmlformats.org/officeDocument/2006/relationships/image" Target="media/image81.jpeg"/><Relationship Id="rId85" Type="http://schemas.openxmlformats.org/officeDocument/2006/relationships/image" Target="media/image80.jpeg"/><Relationship Id="rId84" Type="http://schemas.openxmlformats.org/officeDocument/2006/relationships/image" Target="media/image79.jpeg"/><Relationship Id="rId83" Type="http://schemas.openxmlformats.org/officeDocument/2006/relationships/image" Target="media/image78.jpeg"/><Relationship Id="rId82" Type="http://schemas.openxmlformats.org/officeDocument/2006/relationships/image" Target="media/image77.png"/><Relationship Id="rId81" Type="http://schemas.openxmlformats.org/officeDocument/2006/relationships/image" Target="media/image76.jpeg"/><Relationship Id="rId80" Type="http://schemas.openxmlformats.org/officeDocument/2006/relationships/image" Target="media/image75.jpeg"/><Relationship Id="rId8" Type="http://schemas.openxmlformats.org/officeDocument/2006/relationships/image" Target="media/image3.png"/><Relationship Id="rId79" Type="http://schemas.openxmlformats.org/officeDocument/2006/relationships/image" Target="media/image74.png"/><Relationship Id="rId78" Type="http://schemas.openxmlformats.org/officeDocument/2006/relationships/image" Target="media/image73.png"/><Relationship Id="rId77" Type="http://schemas.openxmlformats.org/officeDocument/2006/relationships/image" Target="media/image72.jpeg"/><Relationship Id="rId76" Type="http://schemas.openxmlformats.org/officeDocument/2006/relationships/image" Target="media/image71.jpeg"/><Relationship Id="rId75" Type="http://schemas.openxmlformats.org/officeDocument/2006/relationships/image" Target="media/image70.png"/><Relationship Id="rId74" Type="http://schemas.openxmlformats.org/officeDocument/2006/relationships/image" Target="media/image69.png"/><Relationship Id="rId73" Type="http://schemas.openxmlformats.org/officeDocument/2006/relationships/image" Target="media/image68.jpeg"/><Relationship Id="rId72" Type="http://schemas.openxmlformats.org/officeDocument/2006/relationships/image" Target="media/image67.jpeg"/><Relationship Id="rId71" Type="http://schemas.openxmlformats.org/officeDocument/2006/relationships/image" Target="media/image66.jpeg"/><Relationship Id="rId70" Type="http://schemas.openxmlformats.org/officeDocument/2006/relationships/image" Target="media/image65.jpeg"/><Relationship Id="rId7" Type="http://schemas.openxmlformats.org/officeDocument/2006/relationships/image" Target="media/image2.png"/><Relationship Id="rId69" Type="http://schemas.openxmlformats.org/officeDocument/2006/relationships/image" Target="media/image64.png"/><Relationship Id="rId68" Type="http://schemas.openxmlformats.org/officeDocument/2006/relationships/image" Target="media/image63.jpeg"/><Relationship Id="rId67" Type="http://schemas.openxmlformats.org/officeDocument/2006/relationships/image" Target="media/image62.jpeg"/><Relationship Id="rId66" Type="http://schemas.openxmlformats.org/officeDocument/2006/relationships/image" Target="media/image61.jpeg"/><Relationship Id="rId65" Type="http://schemas.openxmlformats.org/officeDocument/2006/relationships/image" Target="media/image60.png"/><Relationship Id="rId64" Type="http://schemas.openxmlformats.org/officeDocument/2006/relationships/image" Target="media/image59.png"/><Relationship Id="rId63" Type="http://schemas.openxmlformats.org/officeDocument/2006/relationships/image" Target="media/image58.png"/><Relationship Id="rId62" Type="http://schemas.openxmlformats.org/officeDocument/2006/relationships/image" Target="media/image57.png"/><Relationship Id="rId61" Type="http://schemas.openxmlformats.org/officeDocument/2006/relationships/image" Target="media/image56.png"/><Relationship Id="rId60" Type="http://schemas.openxmlformats.org/officeDocument/2006/relationships/image" Target="media/image55.jpeg"/><Relationship Id="rId6" Type="http://schemas.openxmlformats.org/officeDocument/2006/relationships/image" Target="media/image1.emf"/><Relationship Id="rId59" Type="http://schemas.openxmlformats.org/officeDocument/2006/relationships/image" Target="media/image54.jpeg"/><Relationship Id="rId58" Type="http://schemas.openxmlformats.org/officeDocument/2006/relationships/image" Target="media/image53.jpeg"/><Relationship Id="rId57" Type="http://schemas.openxmlformats.org/officeDocument/2006/relationships/image" Target="media/image52.png"/><Relationship Id="rId56" Type="http://schemas.openxmlformats.org/officeDocument/2006/relationships/image" Target="media/image51.png"/><Relationship Id="rId55" Type="http://schemas.openxmlformats.org/officeDocument/2006/relationships/image" Target="media/image50.png"/><Relationship Id="rId54" Type="http://schemas.openxmlformats.org/officeDocument/2006/relationships/image" Target="media/image49.png"/><Relationship Id="rId53" Type="http://schemas.openxmlformats.org/officeDocument/2006/relationships/image" Target="media/image48.png"/><Relationship Id="rId52" Type="http://schemas.openxmlformats.org/officeDocument/2006/relationships/image" Target="media/image47.png"/><Relationship Id="rId51" Type="http://schemas.openxmlformats.org/officeDocument/2006/relationships/image" Target="media/image46.png"/><Relationship Id="rId50" Type="http://schemas.openxmlformats.org/officeDocument/2006/relationships/image" Target="media/image45.png"/><Relationship Id="rId5" Type="http://schemas.openxmlformats.org/officeDocument/2006/relationships/theme" Target="theme/theme1.xml"/><Relationship Id="rId49" Type="http://schemas.openxmlformats.org/officeDocument/2006/relationships/image" Target="media/image44.png"/><Relationship Id="rId48" Type="http://schemas.openxmlformats.org/officeDocument/2006/relationships/image" Target="media/image43.jpeg"/><Relationship Id="rId47" Type="http://schemas.openxmlformats.org/officeDocument/2006/relationships/image" Target="media/image42.jpeg"/><Relationship Id="rId46" Type="http://schemas.openxmlformats.org/officeDocument/2006/relationships/image" Target="media/image41.jpeg"/><Relationship Id="rId45" Type="http://schemas.openxmlformats.org/officeDocument/2006/relationships/image" Target="media/image40.png"/><Relationship Id="rId44" Type="http://schemas.openxmlformats.org/officeDocument/2006/relationships/image" Target="media/image39.png"/><Relationship Id="rId43" Type="http://schemas.openxmlformats.org/officeDocument/2006/relationships/image" Target="media/image38.png"/><Relationship Id="rId42" Type="http://schemas.openxmlformats.org/officeDocument/2006/relationships/image" Target="media/image37.jpeg"/><Relationship Id="rId41" Type="http://schemas.openxmlformats.org/officeDocument/2006/relationships/image" Target="media/image36.jpeg"/><Relationship Id="rId40" Type="http://schemas.openxmlformats.org/officeDocument/2006/relationships/image" Target="media/image35.png"/><Relationship Id="rId4" Type="http://schemas.openxmlformats.org/officeDocument/2006/relationships/footer" Target="footer1.xml"/><Relationship Id="rId39" Type="http://schemas.openxmlformats.org/officeDocument/2006/relationships/image" Target="media/image34.png"/><Relationship Id="rId38" Type="http://schemas.openxmlformats.org/officeDocument/2006/relationships/image" Target="media/image33.png"/><Relationship Id="rId37" Type="http://schemas.openxmlformats.org/officeDocument/2006/relationships/image" Target="media/image32.jpeg"/><Relationship Id="rId36" Type="http://schemas.openxmlformats.org/officeDocument/2006/relationships/image" Target="media/image31.jpeg"/><Relationship Id="rId35" Type="http://schemas.openxmlformats.org/officeDocument/2006/relationships/image" Target="media/image30.png"/><Relationship Id="rId34" Type="http://schemas.openxmlformats.org/officeDocument/2006/relationships/image" Target="media/image29.jpeg"/><Relationship Id="rId33" Type="http://schemas.openxmlformats.org/officeDocument/2006/relationships/image" Target="media/image28.jpeg"/><Relationship Id="rId32" Type="http://schemas.openxmlformats.org/officeDocument/2006/relationships/image" Target="media/image27.jpeg"/><Relationship Id="rId31" Type="http://schemas.openxmlformats.org/officeDocument/2006/relationships/image" Target="media/image26.png"/><Relationship Id="rId30" Type="http://schemas.openxmlformats.org/officeDocument/2006/relationships/image" Target="media/image25.jpeg"/><Relationship Id="rId3" Type="http://schemas.openxmlformats.org/officeDocument/2006/relationships/footnotes" Target="footnotes.xml"/><Relationship Id="rId29" Type="http://schemas.openxmlformats.org/officeDocument/2006/relationships/image" Target="media/image24.png"/><Relationship Id="rId28" Type="http://schemas.openxmlformats.org/officeDocument/2006/relationships/image" Target="media/image23.png"/><Relationship Id="rId27" Type="http://schemas.openxmlformats.org/officeDocument/2006/relationships/image" Target="media/image22.png"/><Relationship Id="rId26" Type="http://schemas.openxmlformats.org/officeDocument/2006/relationships/image" Target="media/image21.png"/><Relationship Id="rId25" Type="http://schemas.openxmlformats.org/officeDocument/2006/relationships/image" Target="media/image20.pn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png"/><Relationship Id="rId21" Type="http://schemas.openxmlformats.org/officeDocument/2006/relationships/image" Target="media/image16.pn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png"/><Relationship Id="rId17" Type="http://schemas.openxmlformats.org/officeDocument/2006/relationships/image" Target="media/image12.jpeg"/><Relationship Id="rId16" Type="http://schemas.openxmlformats.org/officeDocument/2006/relationships/image" Target="media/image11.png"/><Relationship Id="rId15" Type="http://schemas.openxmlformats.org/officeDocument/2006/relationships/image" Target="media/image10.png"/><Relationship Id="rId14" Type="http://schemas.openxmlformats.org/officeDocument/2006/relationships/image" Target="media/image9.png"/><Relationship Id="rId13" Type="http://schemas.openxmlformats.org/officeDocument/2006/relationships/image" Target="media/image8.jpeg"/><Relationship Id="rId12" Type="http://schemas.openxmlformats.org/officeDocument/2006/relationships/image" Target="media/image7.jpeg"/><Relationship Id="rId113" Type="http://schemas.openxmlformats.org/officeDocument/2006/relationships/fontTable" Target="fontTable.xml"/><Relationship Id="rId112" Type="http://schemas.openxmlformats.org/officeDocument/2006/relationships/numbering" Target="numbering.xml"/><Relationship Id="rId111" Type="http://schemas.openxmlformats.org/officeDocument/2006/relationships/customXml" Target="../customXml/item1.xml"/><Relationship Id="rId110" Type="http://schemas.openxmlformats.org/officeDocument/2006/relationships/image" Target="media/image105.png"/><Relationship Id="rId11" Type="http://schemas.openxmlformats.org/officeDocument/2006/relationships/image" Target="media/image6.jpeg"/><Relationship Id="rId109" Type="http://schemas.openxmlformats.org/officeDocument/2006/relationships/image" Target="media/image104.png"/><Relationship Id="rId108" Type="http://schemas.openxmlformats.org/officeDocument/2006/relationships/image" Target="media/image103.png"/><Relationship Id="rId107" Type="http://schemas.openxmlformats.org/officeDocument/2006/relationships/image" Target="media/image102.png"/><Relationship Id="rId106" Type="http://schemas.openxmlformats.org/officeDocument/2006/relationships/image" Target="media/image101.png"/><Relationship Id="rId105" Type="http://schemas.openxmlformats.org/officeDocument/2006/relationships/image" Target="media/image100.jpeg"/><Relationship Id="rId104" Type="http://schemas.openxmlformats.org/officeDocument/2006/relationships/image" Target="media/image99.jpeg"/><Relationship Id="rId103" Type="http://schemas.openxmlformats.org/officeDocument/2006/relationships/image" Target="media/image98.jpeg"/><Relationship Id="rId102" Type="http://schemas.openxmlformats.org/officeDocument/2006/relationships/image" Target="media/image97.jpeg"/><Relationship Id="rId101" Type="http://schemas.openxmlformats.org/officeDocument/2006/relationships/image" Target="media/image96.jpeg"/><Relationship Id="rId100" Type="http://schemas.openxmlformats.org/officeDocument/2006/relationships/image" Target="media/image95.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161</Pages>
  <Words>109706</Words>
  <Characters>125771</Characters>
  <Lines>0</Lines>
  <Paragraphs>0</Paragraphs>
  <TotalTime>14</TotalTime>
  <ScaleCrop>false</ScaleCrop>
  <LinksUpToDate>false</LinksUpToDate>
  <CharactersWithSpaces>136930</CharactersWithSpaces>
  <Application>WPS Office_12.1.0.17147_F1E327BC-269C-435d-A152-05C5408002CA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2024-04-01T02:47:00Z</dcterms:created>
  <dc:creator>NTKO</dc:creator>
  <cp:lastModifiedBy>NTKO</cp:lastModifiedBy>
  <cp:lastPrinted>2024-08-12T06:51:00Z</cp:lastPrinted>
  <dcterms:modified xsi:type="dcterms:W3CDTF">2024-08-14T08:15:54Z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2052-12.1.0.17147</vt:lpwstr>
  </property>
  <property fmtid="{D5CDD505-2E9C-101B-9397-08002B2CF9AE}" pid="3" name="ICV">
    <vt:lpwstr>1F48B221909E4BE2AED9CD4C34848EF4_13</vt:lpwstr>
  </property>
</Properties>
</file>