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4D09ED">
      <w:pPr>
        <w:spacing w:line="720" w:lineRule="exact"/>
        <w:jc w:val="both"/>
        <w:rPr>
          <w:rFonts w:hint="eastAsia" w:ascii="宋体" w:hAnsi="宋体" w:eastAsia="宋体" w:cs="宋体"/>
          <w:b/>
          <w:bCs/>
          <w:color w:val="auto"/>
          <w:sz w:val="60"/>
          <w:szCs w:val="60"/>
          <w:highlight w:val="none"/>
        </w:rPr>
      </w:pPr>
      <w:r>
        <w:rPr>
          <w:rFonts w:hint="eastAsia" w:ascii="宋体" w:hAnsi="宋体" w:eastAsia="宋体" w:cs="宋体"/>
          <w:b/>
          <w:bCs/>
          <w:color w:val="auto"/>
          <w:sz w:val="60"/>
          <w:szCs w:val="60"/>
          <w:highlight w:val="none"/>
        </w:rPr>
        <w:t xml:space="preserve">                                      </w:t>
      </w:r>
    </w:p>
    <w:p w14:paraId="30E88DE1">
      <w:pPr>
        <w:spacing w:line="720" w:lineRule="exact"/>
        <w:jc w:val="center"/>
        <w:outlineLvl w:val="9"/>
        <w:rPr>
          <w:rFonts w:hint="eastAsia" w:ascii="宋体" w:hAnsi="宋体" w:eastAsia="宋体" w:cs="宋体"/>
          <w:b/>
          <w:bCs/>
          <w:color w:val="auto"/>
          <w:sz w:val="52"/>
          <w:szCs w:val="52"/>
          <w:highlight w:val="none"/>
          <w:lang w:eastAsia="zh-CN"/>
        </w:rPr>
      </w:pPr>
      <w:r>
        <w:rPr>
          <w:rFonts w:hint="eastAsia" w:ascii="宋体" w:hAnsi="宋体" w:eastAsia="宋体" w:cs="宋体"/>
          <w:b/>
          <w:bCs/>
          <w:color w:val="auto"/>
          <w:sz w:val="52"/>
          <w:szCs w:val="52"/>
          <w:highlight w:val="none"/>
          <w:lang w:eastAsia="zh-CN"/>
        </w:rPr>
        <w:t>广西国兴项目管理有限公司</w:t>
      </w:r>
    </w:p>
    <w:p w14:paraId="5E0C9E03">
      <w:pPr>
        <w:pStyle w:val="13"/>
        <w:jc w:val="center"/>
        <w:rPr>
          <w:rFonts w:hint="eastAsia" w:ascii="宋体" w:hAnsi="宋体" w:eastAsia="宋体" w:cs="宋体"/>
          <w:b/>
          <w:bCs/>
          <w:color w:val="auto"/>
          <w:spacing w:val="80"/>
          <w:szCs w:val="21"/>
          <w:highlight w:val="none"/>
        </w:rPr>
      </w:pPr>
    </w:p>
    <w:p w14:paraId="2C18F5AD">
      <w:pPr>
        <w:pStyle w:val="13"/>
        <w:jc w:val="center"/>
        <w:rPr>
          <w:rFonts w:hint="eastAsia" w:ascii="宋体" w:hAnsi="宋体" w:eastAsia="宋体" w:cs="宋体"/>
          <w:b/>
          <w:bCs/>
          <w:color w:val="auto"/>
          <w:spacing w:val="80"/>
          <w:sz w:val="72"/>
          <w:highlight w:val="none"/>
        </w:rPr>
      </w:pPr>
    </w:p>
    <w:p w14:paraId="7BF96A1A">
      <w:pPr>
        <w:pStyle w:val="13"/>
        <w:rPr>
          <w:rFonts w:hint="eastAsia" w:ascii="宋体" w:hAnsi="宋体" w:eastAsia="宋体" w:cs="宋体"/>
          <w:color w:val="auto"/>
          <w:highlight w:val="none"/>
        </w:rPr>
      </w:pPr>
    </w:p>
    <w:p w14:paraId="23BD5F0D">
      <w:pPr>
        <w:spacing w:line="1400" w:lineRule="exact"/>
        <w:jc w:val="center"/>
        <w:rPr>
          <w:rFonts w:hint="eastAsia" w:ascii="宋体" w:hAnsi="宋体" w:eastAsia="宋体" w:cs="宋体"/>
          <w:b/>
          <w:color w:val="auto"/>
          <w:spacing w:val="60"/>
          <w:sz w:val="132"/>
          <w:szCs w:val="132"/>
          <w:highlight w:val="none"/>
        </w:rPr>
      </w:pPr>
    </w:p>
    <w:p w14:paraId="6AA7956F">
      <w:pPr>
        <w:spacing w:line="1400" w:lineRule="exact"/>
        <w:jc w:val="center"/>
        <w:rPr>
          <w:rFonts w:hint="eastAsia" w:ascii="宋体" w:hAnsi="宋体" w:eastAsia="宋体" w:cs="宋体"/>
          <w:b/>
          <w:color w:val="auto"/>
          <w:spacing w:val="60"/>
          <w:sz w:val="132"/>
          <w:szCs w:val="132"/>
          <w:highlight w:val="none"/>
        </w:rPr>
      </w:pPr>
      <w:r>
        <w:rPr>
          <w:rFonts w:hint="eastAsia" w:ascii="宋体" w:hAnsi="宋体" w:eastAsia="宋体" w:cs="宋体"/>
          <w:b/>
          <w:color w:val="auto"/>
          <w:spacing w:val="60"/>
          <w:sz w:val="132"/>
          <w:szCs w:val="132"/>
          <w:highlight w:val="none"/>
        </w:rPr>
        <w:t>招标文件</w:t>
      </w:r>
    </w:p>
    <w:p w14:paraId="69E2293D">
      <w:pPr>
        <w:pStyle w:val="13"/>
        <w:rPr>
          <w:rFonts w:hint="default" w:ascii="宋体" w:hAnsi="宋体" w:eastAsia="宋体" w:cs="宋体"/>
          <w:b/>
          <w:color w:val="auto"/>
          <w:sz w:val="48"/>
          <w:szCs w:val="48"/>
          <w:highlight w:val="none"/>
          <w:lang w:val="en-US" w:eastAsia="zh-CN"/>
        </w:rPr>
      </w:pPr>
      <w:r>
        <w:rPr>
          <w:rFonts w:hint="eastAsia" w:hAnsi="宋体" w:cs="宋体"/>
          <w:b/>
          <w:color w:val="auto"/>
          <w:sz w:val="48"/>
          <w:szCs w:val="48"/>
          <w:highlight w:val="none"/>
          <w:lang w:val="en-US" w:eastAsia="zh-CN"/>
        </w:rPr>
        <w:t xml:space="preserve">              </w:t>
      </w:r>
      <w:r>
        <w:rPr>
          <w:rFonts w:hint="eastAsia" w:hAnsi="宋体" w:cs="宋体"/>
          <w:b/>
          <w:color w:val="auto"/>
          <w:sz w:val="44"/>
          <w:szCs w:val="44"/>
          <w:highlight w:val="none"/>
          <w:lang w:val="en-US" w:eastAsia="zh-CN"/>
        </w:rPr>
        <w:t xml:space="preserve">  </w:t>
      </w:r>
    </w:p>
    <w:p w14:paraId="3070186F">
      <w:pPr>
        <w:pStyle w:val="13"/>
        <w:rPr>
          <w:rFonts w:hint="eastAsia" w:ascii="宋体" w:hAnsi="宋体" w:eastAsia="宋体" w:cs="宋体"/>
          <w:color w:val="auto"/>
          <w:highlight w:val="none"/>
        </w:rPr>
      </w:pPr>
    </w:p>
    <w:p w14:paraId="4D965B8C">
      <w:pPr>
        <w:pStyle w:val="13"/>
        <w:rPr>
          <w:rFonts w:hint="eastAsia" w:ascii="宋体" w:hAnsi="宋体" w:eastAsia="宋体" w:cs="宋体"/>
          <w:color w:val="auto"/>
          <w:highlight w:val="none"/>
        </w:rPr>
      </w:pPr>
    </w:p>
    <w:p w14:paraId="24B31E13">
      <w:pPr>
        <w:pStyle w:val="13"/>
        <w:rPr>
          <w:rFonts w:hint="eastAsia" w:ascii="宋体" w:hAnsi="宋体" w:eastAsia="宋体" w:cs="宋体"/>
          <w:color w:val="auto"/>
          <w:highlight w:val="none"/>
        </w:rPr>
      </w:pPr>
    </w:p>
    <w:p w14:paraId="5003AA2A">
      <w:pPr>
        <w:pStyle w:val="13"/>
        <w:rPr>
          <w:rFonts w:hint="eastAsia" w:ascii="宋体" w:hAnsi="宋体" w:eastAsia="宋体" w:cs="宋体"/>
          <w:color w:val="auto"/>
          <w:highlight w:val="none"/>
        </w:rPr>
      </w:pPr>
    </w:p>
    <w:p w14:paraId="10085DAE">
      <w:pPr>
        <w:pStyle w:val="13"/>
        <w:rPr>
          <w:rFonts w:hint="eastAsia" w:ascii="宋体" w:hAnsi="宋体" w:eastAsia="宋体" w:cs="宋体"/>
          <w:color w:val="auto"/>
          <w:highlight w:val="none"/>
        </w:rPr>
      </w:pPr>
    </w:p>
    <w:p w14:paraId="79C54BB2">
      <w:pPr>
        <w:spacing w:line="600" w:lineRule="exact"/>
        <w:ind w:left="3520" w:leftChars="870" w:hanging="1606" w:hangingChars="500"/>
        <w:jc w:val="both"/>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项目名称：全州县2023-2026年松材线虫病疫情防控绩效承包项目        </w:t>
      </w:r>
    </w:p>
    <w:p w14:paraId="26EAD39C">
      <w:pPr>
        <w:spacing w:line="600" w:lineRule="exact"/>
        <w:ind w:firstLine="1928" w:firstLineChars="600"/>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项目编号：GLZC2024-G3-240255-GXGX</w:t>
      </w:r>
      <w:r>
        <w:rPr>
          <w:rFonts w:hint="eastAsia" w:ascii="宋体" w:hAnsi="宋体" w:eastAsia="宋体" w:cs="宋体"/>
          <w:b/>
          <w:color w:val="auto"/>
          <w:sz w:val="32"/>
          <w:szCs w:val="32"/>
          <w:highlight w:val="none"/>
          <w:lang w:val="en-US" w:eastAsia="zh-CN"/>
        </w:rPr>
        <w:t xml:space="preserve"> </w:t>
      </w:r>
    </w:p>
    <w:p w14:paraId="4861F012">
      <w:pPr>
        <w:ind w:left="-2" w:leftChars="-1"/>
        <w:jc w:val="center"/>
        <w:rPr>
          <w:rFonts w:hint="eastAsia" w:ascii="宋体" w:hAnsi="宋体" w:eastAsia="宋体" w:cs="宋体"/>
          <w:color w:val="auto"/>
          <w:highlight w:val="none"/>
        </w:rPr>
      </w:pPr>
      <w:r>
        <w:rPr>
          <w:rFonts w:hint="eastAsia" w:ascii="宋体" w:hAnsi="宋体" w:eastAsia="宋体" w:cs="宋体"/>
          <w:color w:val="auto"/>
          <w:highlight w:val="none"/>
        </w:rPr>
        <w:cr/>
      </w:r>
    </w:p>
    <w:p w14:paraId="7715A436">
      <w:pPr>
        <w:rPr>
          <w:rFonts w:hint="eastAsia" w:ascii="宋体" w:hAnsi="宋体" w:eastAsia="宋体" w:cs="宋体"/>
          <w:b/>
          <w:color w:val="auto"/>
          <w:sz w:val="32"/>
          <w:szCs w:val="32"/>
          <w:highlight w:val="none"/>
        </w:rPr>
      </w:pPr>
    </w:p>
    <w:p w14:paraId="0263731A">
      <w:pPr>
        <w:spacing w:line="600" w:lineRule="exact"/>
        <w:ind w:left="108" w:leftChars="49"/>
        <w:jc w:val="center"/>
        <w:outlineLvl w:val="9"/>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采购代理机构：广西国兴项目管理有限公司</w:t>
      </w:r>
    </w:p>
    <w:p w14:paraId="51C191C5">
      <w:pPr>
        <w:spacing w:line="600" w:lineRule="exact"/>
        <w:ind w:left="108" w:leftChars="49" w:firstLine="3534" w:firstLineChars="1100"/>
        <w:jc w:val="both"/>
        <w:rPr>
          <w:rFonts w:hint="eastAsia" w:ascii="宋体" w:hAnsi="宋体" w:eastAsia="宋体" w:cs="宋体"/>
          <w:color w:val="auto"/>
          <w:highlight w:val="none"/>
        </w:rPr>
      </w:pPr>
      <w:r>
        <w:rPr>
          <w:rFonts w:hint="eastAsia" w:ascii="宋体" w:hAnsi="宋体" w:eastAsia="宋体" w:cs="宋体"/>
          <w:b/>
          <w:color w:val="auto"/>
          <w:sz w:val="32"/>
          <w:szCs w:val="32"/>
          <w:highlight w:val="none"/>
        </w:rPr>
        <w:t>202</w:t>
      </w: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10</w:t>
      </w:r>
      <w:r>
        <w:rPr>
          <w:rFonts w:hint="eastAsia" w:ascii="宋体" w:hAnsi="宋体" w:eastAsia="宋体" w:cs="宋体"/>
          <w:b/>
          <w:color w:val="auto"/>
          <w:sz w:val="32"/>
          <w:szCs w:val="32"/>
          <w:highlight w:val="none"/>
        </w:rPr>
        <w:t>月</w:t>
      </w:r>
    </w:p>
    <w:p w14:paraId="7A822839">
      <w:pPr>
        <w:pStyle w:val="13"/>
        <w:jc w:val="center"/>
        <w:rPr>
          <w:rFonts w:hint="eastAsia" w:ascii="宋体" w:hAnsi="宋体" w:eastAsia="宋体" w:cs="宋体"/>
          <w:color w:val="auto"/>
          <w:highlight w:val="none"/>
        </w:rPr>
      </w:pPr>
    </w:p>
    <w:sdt>
      <w:sdtPr>
        <w:rPr>
          <w:rFonts w:hint="eastAsia" w:ascii="宋体" w:hAnsi="宋体" w:eastAsia="宋体" w:cs="宋体"/>
          <w:color w:val="auto"/>
          <w:sz w:val="21"/>
          <w:szCs w:val="22"/>
          <w:lang w:val="en-US" w:eastAsia="zh-CN" w:bidi="ar-SA"/>
        </w:rPr>
        <w:id w:val="147460500"/>
        <w15:color w:val="DBDBDB"/>
        <w:docPartObj>
          <w:docPartGallery w:val="Table of Contents"/>
          <w:docPartUnique/>
        </w:docPartObj>
      </w:sdtPr>
      <w:sdtEndPr>
        <w:rPr>
          <w:rFonts w:hint="eastAsia" w:ascii="宋体" w:hAnsi="宋体" w:eastAsia="宋体" w:cs="宋体"/>
          <w:color w:val="auto"/>
          <w:sz w:val="21"/>
          <w:szCs w:val="22"/>
          <w:lang w:val="en-US" w:eastAsia="zh-CN" w:bidi="ar-SA"/>
        </w:rPr>
      </w:sdtEndPr>
      <w:sdtContent>
        <w:p w14:paraId="2DB8CD40">
          <w:pPr>
            <w:spacing w:before="0" w:beforeLines="0" w:after="0" w:afterLines="0" w:line="240" w:lineRule="auto"/>
            <w:ind w:left="0" w:leftChars="0" w:right="0" w:rightChars="0" w:firstLine="0" w:firstLineChars="0"/>
            <w:jc w:val="center"/>
            <w:rPr>
              <w:rFonts w:hint="eastAsia" w:ascii="宋体" w:hAnsi="宋体" w:eastAsia="宋体" w:cs="宋体"/>
              <w:color w:val="auto"/>
              <w:sz w:val="32"/>
              <w:szCs w:val="32"/>
            </w:rPr>
          </w:pPr>
          <w:r>
            <w:rPr>
              <w:rFonts w:hint="eastAsia" w:ascii="宋体" w:hAnsi="宋体" w:eastAsia="宋体" w:cs="宋体"/>
              <w:color w:val="auto"/>
              <w:sz w:val="48"/>
              <w:szCs w:val="48"/>
            </w:rPr>
            <w:t>目</w:t>
          </w:r>
          <w:r>
            <w:rPr>
              <w:rFonts w:hint="eastAsia" w:ascii="宋体" w:hAnsi="宋体" w:eastAsia="宋体" w:cs="宋体"/>
              <w:color w:val="auto"/>
              <w:sz w:val="48"/>
              <w:szCs w:val="48"/>
              <w:lang w:val="en-US" w:eastAsia="zh-CN"/>
            </w:rPr>
            <w:t xml:space="preserve">   </w:t>
          </w:r>
          <w:r>
            <w:rPr>
              <w:rFonts w:hint="eastAsia" w:ascii="宋体" w:hAnsi="宋体" w:eastAsia="宋体" w:cs="宋体"/>
              <w:color w:val="auto"/>
              <w:sz w:val="48"/>
              <w:szCs w:val="48"/>
            </w:rPr>
            <w:t>录</w:t>
          </w:r>
        </w:p>
        <w:p w14:paraId="086D97BC">
          <w:pPr>
            <w:spacing w:before="0" w:beforeLines="0" w:after="0" w:afterLines="0" w:line="240" w:lineRule="auto"/>
            <w:ind w:left="0" w:leftChars="0" w:right="0" w:rightChars="0" w:firstLine="0" w:firstLineChars="0"/>
            <w:jc w:val="center"/>
            <w:rPr>
              <w:rFonts w:hint="eastAsia" w:ascii="宋体" w:hAnsi="宋体" w:eastAsia="宋体" w:cs="宋体"/>
              <w:color w:val="auto"/>
              <w:sz w:val="32"/>
              <w:szCs w:val="32"/>
            </w:rPr>
          </w:pPr>
        </w:p>
        <w:p w14:paraId="3598734E">
          <w:pPr>
            <w:spacing w:before="0" w:beforeLines="0" w:after="0" w:afterLines="0" w:line="240" w:lineRule="auto"/>
            <w:ind w:left="0" w:leftChars="0" w:right="0" w:rightChars="0" w:firstLine="0" w:firstLineChars="0"/>
            <w:jc w:val="center"/>
            <w:rPr>
              <w:rFonts w:hint="eastAsia" w:ascii="宋体" w:hAnsi="宋体" w:eastAsia="宋体" w:cs="宋体"/>
              <w:color w:val="auto"/>
              <w:sz w:val="32"/>
              <w:szCs w:val="32"/>
            </w:rPr>
          </w:pPr>
        </w:p>
        <w:p w14:paraId="07E8DAF3">
          <w:pPr>
            <w:pStyle w:val="16"/>
            <w:tabs>
              <w:tab w:val="right" w:leader="dot" w:pos="9922"/>
            </w:tabs>
            <w:spacing w:line="480" w:lineRule="auto"/>
            <w:rPr>
              <w:rFonts w:hint="eastAsia" w:ascii="宋体" w:hAnsi="宋体" w:eastAsia="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TOC \o "1-1" \h \u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_Toc6981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highlight w:val="none"/>
            </w:rPr>
            <w:t>第一章  公开招标公告</w:t>
          </w:r>
          <w:r>
            <w:rPr>
              <w:rFonts w:hint="eastAsia" w:ascii="宋体" w:hAnsi="宋体" w:eastAsia="宋体" w:cs="宋体"/>
              <w:color w:val="auto"/>
              <w:sz w:val="32"/>
              <w:szCs w:val="32"/>
            </w:rPr>
            <w:tab/>
          </w:r>
          <w:r>
            <w:rPr>
              <w:rFonts w:hint="eastAsia" w:ascii="宋体" w:hAnsi="宋体" w:eastAsia="宋体" w:cs="宋体"/>
              <w:color w:val="auto"/>
              <w:sz w:val="32"/>
              <w:szCs w:val="32"/>
              <w:lang w:val="en-US" w:eastAsia="zh-CN"/>
            </w:rPr>
            <w:t>1</w:t>
          </w:r>
          <w:r>
            <w:rPr>
              <w:rFonts w:hint="eastAsia" w:ascii="宋体" w:hAnsi="宋体" w:eastAsia="宋体" w:cs="宋体"/>
              <w:color w:val="auto"/>
              <w:sz w:val="32"/>
              <w:szCs w:val="32"/>
            </w:rPr>
            <w:fldChar w:fldCharType="end"/>
          </w:r>
        </w:p>
        <w:p w14:paraId="4C84793D">
          <w:pPr>
            <w:pStyle w:val="16"/>
            <w:tabs>
              <w:tab w:val="right" w:leader="dot" w:pos="9922"/>
            </w:tabs>
            <w:spacing w:line="480" w:lineRule="auto"/>
            <w:rPr>
              <w:rFonts w:hint="eastAsia" w:ascii="宋体" w:hAnsi="宋体" w:eastAsia="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_Toc15224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highlight w:val="none"/>
            </w:rPr>
            <w:t>第二章  投标人须知</w:t>
          </w:r>
          <w:r>
            <w:rPr>
              <w:rFonts w:hint="eastAsia" w:ascii="宋体" w:hAnsi="宋体" w:eastAsia="宋体" w:cs="宋体"/>
              <w:color w:val="auto"/>
              <w:sz w:val="32"/>
              <w:szCs w:val="32"/>
            </w:rPr>
            <w:tab/>
          </w:r>
          <w:r>
            <w:rPr>
              <w:rFonts w:hint="eastAsia" w:ascii="宋体" w:hAnsi="宋体" w:eastAsia="宋体" w:cs="宋体"/>
              <w:color w:val="auto"/>
              <w:sz w:val="32"/>
              <w:szCs w:val="32"/>
              <w:lang w:val="en-US" w:eastAsia="zh-CN"/>
            </w:rPr>
            <w:t>4</w:t>
          </w:r>
          <w:r>
            <w:rPr>
              <w:rFonts w:hint="eastAsia" w:ascii="宋体" w:hAnsi="宋体" w:eastAsia="宋体" w:cs="宋体"/>
              <w:color w:val="auto"/>
              <w:sz w:val="32"/>
              <w:szCs w:val="32"/>
            </w:rPr>
            <w:fldChar w:fldCharType="end"/>
          </w:r>
        </w:p>
        <w:p w14:paraId="41C2A639">
          <w:pPr>
            <w:pStyle w:val="16"/>
            <w:tabs>
              <w:tab w:val="right" w:leader="dot" w:pos="9922"/>
            </w:tabs>
            <w:spacing w:line="480" w:lineRule="auto"/>
            <w:rPr>
              <w:rFonts w:hint="eastAsia" w:ascii="宋体" w:hAnsi="宋体" w:eastAsia="宋体" w:cs="宋体"/>
              <w:color w:val="auto"/>
              <w:sz w:val="32"/>
              <w:szCs w:val="32"/>
              <w:lang w:val="en-US" w:eastAsia="zh-CN"/>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_Toc23002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highlight w:val="none"/>
            </w:rPr>
            <w:t>第三章　</w:t>
          </w:r>
          <w:r>
            <w:rPr>
              <w:rFonts w:hint="eastAsia" w:ascii="宋体" w:hAnsi="宋体" w:eastAsia="宋体" w:cs="宋体"/>
              <w:color w:val="auto"/>
              <w:sz w:val="32"/>
              <w:szCs w:val="32"/>
              <w:highlight w:val="none"/>
              <w:lang w:val="en-US" w:eastAsia="zh-CN"/>
            </w:rPr>
            <w:t>服务</w:t>
          </w:r>
          <w:r>
            <w:rPr>
              <w:rFonts w:hint="eastAsia" w:ascii="宋体" w:hAnsi="宋体" w:eastAsia="宋体" w:cs="宋体"/>
              <w:color w:val="auto"/>
              <w:sz w:val="32"/>
              <w:szCs w:val="32"/>
              <w:highlight w:val="none"/>
              <w:lang w:eastAsia="zh-CN"/>
            </w:rPr>
            <w:t>采购需求</w:t>
          </w:r>
          <w:r>
            <w:rPr>
              <w:rFonts w:hint="eastAsia" w:ascii="宋体" w:hAnsi="宋体" w:eastAsia="宋体" w:cs="宋体"/>
              <w:color w:val="auto"/>
              <w:sz w:val="32"/>
              <w:szCs w:val="32"/>
            </w:rPr>
            <w:tab/>
          </w:r>
          <w:r>
            <w:rPr>
              <w:rFonts w:hint="eastAsia" w:ascii="宋体" w:hAnsi="宋体" w:eastAsia="宋体" w:cs="宋体"/>
              <w:color w:val="auto"/>
              <w:sz w:val="32"/>
              <w:szCs w:val="32"/>
              <w:lang w:val="en-US" w:eastAsia="zh-CN"/>
            </w:rPr>
            <w:t>1</w:t>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lang w:val="en-US" w:eastAsia="zh-CN"/>
            </w:rPr>
            <w:t>9</w:t>
          </w:r>
        </w:p>
        <w:p w14:paraId="76DD968B">
          <w:pPr>
            <w:pStyle w:val="16"/>
            <w:tabs>
              <w:tab w:val="right" w:leader="dot" w:pos="9922"/>
            </w:tabs>
            <w:spacing w:line="480" w:lineRule="auto"/>
            <w:rPr>
              <w:rFonts w:hint="eastAsia" w:ascii="宋体" w:hAnsi="宋体" w:eastAsia="宋体" w:cs="宋体"/>
              <w:color w:val="auto"/>
              <w:sz w:val="32"/>
              <w:szCs w:val="32"/>
              <w:lang w:val="en-US" w:eastAsia="zh-CN"/>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_Toc22447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highlight w:val="none"/>
              <w:lang w:eastAsia="zh-CN"/>
            </w:rPr>
            <w:t>第四章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评标办法</w:t>
          </w:r>
          <w:r>
            <w:rPr>
              <w:rFonts w:hint="eastAsia" w:ascii="宋体" w:hAnsi="宋体" w:eastAsia="宋体" w:cs="宋体"/>
              <w:color w:val="auto"/>
              <w:sz w:val="32"/>
              <w:szCs w:val="32"/>
            </w:rPr>
            <w:tab/>
          </w:r>
          <w:r>
            <w:rPr>
              <w:rFonts w:hint="eastAsia" w:ascii="宋体" w:hAnsi="宋体" w:eastAsia="宋体" w:cs="宋体"/>
              <w:color w:val="auto"/>
              <w:sz w:val="32"/>
              <w:szCs w:val="32"/>
              <w:lang w:val="en-US" w:eastAsia="zh-CN"/>
            </w:rPr>
            <w:t>4</w:t>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lang w:val="en-US" w:eastAsia="zh-CN"/>
            </w:rPr>
            <w:t>0</w:t>
          </w:r>
        </w:p>
        <w:p w14:paraId="111F6713">
          <w:pPr>
            <w:pStyle w:val="16"/>
            <w:tabs>
              <w:tab w:val="right" w:leader="dot" w:pos="9922"/>
            </w:tabs>
            <w:spacing w:line="480" w:lineRule="auto"/>
            <w:rPr>
              <w:rFonts w:hint="eastAsia" w:ascii="宋体" w:hAnsi="宋体" w:eastAsia="宋体" w:cs="宋体"/>
              <w:color w:val="auto"/>
              <w:sz w:val="32"/>
              <w:szCs w:val="32"/>
              <w:lang w:val="en-US" w:eastAsia="zh-CN"/>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_Toc4466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highlight w:val="none"/>
            </w:rPr>
            <w:t xml:space="preserve">第五章  </w:t>
          </w:r>
          <w:r>
            <w:rPr>
              <w:rFonts w:hint="eastAsia" w:ascii="宋体" w:hAnsi="宋体" w:eastAsia="宋体" w:cs="宋体"/>
              <w:color w:val="auto"/>
              <w:sz w:val="32"/>
              <w:szCs w:val="32"/>
              <w:highlight w:val="none"/>
              <w:lang w:val="en-US" w:eastAsia="zh-CN"/>
            </w:rPr>
            <w:t>采购合同（</w:t>
          </w:r>
          <w:r>
            <w:rPr>
              <w:rFonts w:hint="eastAsia" w:ascii="宋体" w:hAnsi="宋体" w:eastAsia="宋体" w:cs="宋体"/>
              <w:color w:val="auto"/>
              <w:sz w:val="32"/>
              <w:szCs w:val="32"/>
              <w:highlight w:val="none"/>
            </w:rPr>
            <w:t>合同主要条款及格式</w:t>
          </w:r>
          <w:r>
            <w:rPr>
              <w:rFonts w:hint="eastAsia" w:ascii="宋体" w:hAnsi="宋体" w:eastAsia="宋体" w:cs="宋体"/>
              <w:color w:val="auto"/>
              <w:sz w:val="32"/>
              <w:szCs w:val="32"/>
              <w:highlight w:val="none"/>
              <w:lang w:eastAsia="zh-CN"/>
            </w:rPr>
            <w:t>）</w:t>
          </w:r>
          <w:r>
            <w:rPr>
              <w:rFonts w:hint="eastAsia" w:ascii="宋体" w:hAnsi="宋体" w:eastAsia="宋体" w:cs="宋体"/>
              <w:color w:val="auto"/>
              <w:sz w:val="32"/>
              <w:szCs w:val="32"/>
            </w:rPr>
            <w:tab/>
          </w:r>
          <w:r>
            <w:rPr>
              <w:rFonts w:hint="eastAsia" w:ascii="宋体" w:hAnsi="宋体" w:eastAsia="宋体" w:cs="宋体"/>
              <w:color w:val="auto"/>
              <w:sz w:val="32"/>
              <w:szCs w:val="32"/>
              <w:lang w:val="en-US" w:eastAsia="zh-CN"/>
            </w:rPr>
            <w:t>4</w:t>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lang w:val="en-US" w:eastAsia="zh-CN"/>
            </w:rPr>
            <w:t>4</w:t>
          </w:r>
        </w:p>
        <w:p w14:paraId="6C803F25">
          <w:pPr>
            <w:pStyle w:val="16"/>
            <w:tabs>
              <w:tab w:val="right" w:leader="dot" w:pos="9922"/>
            </w:tabs>
            <w:spacing w:line="480" w:lineRule="auto"/>
            <w:rPr>
              <w:rFonts w:hint="default" w:ascii="宋体" w:hAnsi="宋体" w:eastAsia="宋体" w:cs="宋体"/>
              <w:color w:val="auto"/>
              <w:sz w:val="32"/>
              <w:szCs w:val="32"/>
              <w:lang w:val="en-US" w:eastAsia="zh-CN"/>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_Toc20434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highlight w:val="none"/>
            </w:rPr>
            <w:t xml:space="preserve">第六章 </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投标文件</w:t>
          </w:r>
          <w:r>
            <w:rPr>
              <w:rFonts w:hint="eastAsia" w:ascii="宋体" w:hAnsi="宋体" w:eastAsia="宋体" w:cs="宋体"/>
              <w:color w:val="auto"/>
              <w:sz w:val="32"/>
              <w:szCs w:val="32"/>
              <w:highlight w:val="none"/>
              <w:lang w:eastAsia="zh-CN"/>
            </w:rPr>
            <w:t>（</w:t>
          </w:r>
          <w:r>
            <w:rPr>
              <w:rFonts w:hint="eastAsia" w:ascii="宋体" w:hAnsi="宋体" w:eastAsia="宋体" w:cs="宋体"/>
              <w:color w:val="auto"/>
              <w:sz w:val="32"/>
              <w:szCs w:val="32"/>
              <w:highlight w:val="none"/>
            </w:rPr>
            <w:t>格</w:t>
          </w:r>
          <w:r>
            <w:rPr>
              <w:rFonts w:hint="eastAsia" w:ascii="宋体" w:hAnsi="宋体" w:eastAsia="宋体" w:cs="宋体"/>
              <w:bCs/>
              <w:color w:val="auto"/>
              <w:sz w:val="32"/>
              <w:szCs w:val="32"/>
              <w:highlight w:val="none"/>
            </w:rPr>
            <w:t>式</w:t>
          </w:r>
          <w:r>
            <w:rPr>
              <w:rFonts w:hint="eastAsia" w:ascii="宋体" w:hAnsi="宋体" w:eastAsia="宋体" w:cs="宋体"/>
              <w:bCs/>
              <w:color w:val="auto"/>
              <w:sz w:val="32"/>
              <w:szCs w:val="32"/>
              <w:highlight w:val="none"/>
              <w:lang w:eastAsia="zh-CN"/>
            </w:rPr>
            <w:t>）</w:t>
          </w:r>
          <w:r>
            <w:rPr>
              <w:rFonts w:hint="eastAsia" w:ascii="宋体" w:hAnsi="宋体" w:eastAsia="宋体" w:cs="宋体"/>
              <w:color w:val="auto"/>
              <w:sz w:val="32"/>
              <w:szCs w:val="32"/>
            </w:rPr>
            <w:tab/>
          </w:r>
          <w:r>
            <w:rPr>
              <w:rFonts w:hint="eastAsia" w:ascii="宋体" w:hAnsi="宋体" w:eastAsia="宋体" w:cs="宋体"/>
              <w:color w:val="auto"/>
              <w:sz w:val="32"/>
              <w:szCs w:val="32"/>
              <w:lang w:val="en-US" w:eastAsia="zh-CN"/>
            </w:rPr>
            <w:t>4</w:t>
          </w:r>
          <w:r>
            <w:rPr>
              <w:rFonts w:hint="eastAsia" w:ascii="宋体" w:hAnsi="宋体" w:eastAsia="宋体" w:cs="宋体"/>
              <w:color w:val="auto"/>
              <w:sz w:val="32"/>
              <w:szCs w:val="32"/>
            </w:rPr>
            <w:fldChar w:fldCharType="end"/>
          </w:r>
          <w:r>
            <w:rPr>
              <w:rFonts w:hint="eastAsia" w:ascii="宋体" w:hAnsi="宋体" w:eastAsia="宋体" w:cs="宋体"/>
              <w:color w:val="auto"/>
              <w:sz w:val="32"/>
              <w:szCs w:val="32"/>
              <w:lang w:val="en-US" w:eastAsia="zh-CN"/>
            </w:rPr>
            <w:t>7</w:t>
          </w:r>
        </w:p>
        <w:p w14:paraId="50137A80">
          <w:pPr>
            <w:rPr>
              <w:rFonts w:hint="eastAsia" w:ascii="宋体" w:hAnsi="宋体" w:eastAsia="宋体" w:cs="宋体"/>
              <w:color w:val="auto"/>
            </w:rPr>
          </w:pPr>
          <w:r>
            <w:rPr>
              <w:rFonts w:hint="eastAsia" w:ascii="宋体" w:hAnsi="宋体" w:eastAsia="宋体" w:cs="宋体"/>
              <w:color w:val="auto"/>
              <w:sz w:val="32"/>
              <w:szCs w:val="32"/>
            </w:rPr>
            <w:fldChar w:fldCharType="end"/>
          </w:r>
        </w:p>
      </w:sdtContent>
    </w:sdt>
    <w:p w14:paraId="69D6AE56">
      <w:pPr>
        <w:ind w:firstLine="2860" w:firstLineChars="1300"/>
        <w:rPr>
          <w:rFonts w:hint="eastAsia" w:ascii="宋体" w:hAnsi="宋体" w:eastAsia="宋体" w:cs="宋体"/>
          <w:color w:val="auto"/>
          <w:szCs w:val="21"/>
          <w:highlight w:val="none"/>
        </w:rPr>
      </w:pPr>
    </w:p>
    <w:p w14:paraId="170A1992">
      <w:pPr>
        <w:jc w:val="center"/>
        <w:rPr>
          <w:rFonts w:hint="eastAsia" w:ascii="宋体" w:hAnsi="宋体" w:eastAsia="宋体" w:cs="宋体"/>
          <w:b/>
          <w:color w:val="auto"/>
          <w:sz w:val="32"/>
          <w:szCs w:val="32"/>
          <w:highlight w:val="none"/>
        </w:rPr>
      </w:pPr>
    </w:p>
    <w:p w14:paraId="1938094A">
      <w:pPr>
        <w:jc w:val="center"/>
        <w:rPr>
          <w:rFonts w:hint="eastAsia" w:ascii="宋体" w:hAnsi="宋体" w:eastAsia="宋体" w:cs="宋体"/>
          <w:b/>
          <w:color w:val="auto"/>
          <w:sz w:val="32"/>
          <w:szCs w:val="32"/>
          <w:highlight w:val="none"/>
        </w:rPr>
      </w:pPr>
    </w:p>
    <w:p w14:paraId="3A5C59A3">
      <w:pPr>
        <w:jc w:val="center"/>
        <w:rPr>
          <w:rFonts w:hint="eastAsia" w:ascii="宋体" w:hAnsi="宋体" w:eastAsia="宋体" w:cs="宋体"/>
          <w:b/>
          <w:color w:val="auto"/>
          <w:sz w:val="32"/>
          <w:szCs w:val="32"/>
          <w:highlight w:val="none"/>
        </w:rPr>
      </w:pPr>
    </w:p>
    <w:p w14:paraId="3E79FB8D">
      <w:pPr>
        <w:jc w:val="center"/>
        <w:rPr>
          <w:rFonts w:hint="eastAsia" w:ascii="宋体" w:hAnsi="宋体" w:eastAsia="宋体" w:cs="宋体"/>
          <w:b/>
          <w:color w:val="auto"/>
          <w:sz w:val="32"/>
          <w:szCs w:val="32"/>
          <w:highlight w:val="none"/>
        </w:rPr>
      </w:pPr>
    </w:p>
    <w:p w14:paraId="49479661">
      <w:pPr>
        <w:jc w:val="center"/>
        <w:rPr>
          <w:rFonts w:hint="eastAsia" w:ascii="宋体" w:hAnsi="宋体" w:eastAsia="宋体" w:cs="宋体"/>
          <w:b/>
          <w:color w:val="auto"/>
          <w:sz w:val="32"/>
          <w:szCs w:val="32"/>
          <w:highlight w:val="none"/>
        </w:rPr>
      </w:pPr>
    </w:p>
    <w:p w14:paraId="7E1929A3">
      <w:pPr>
        <w:jc w:val="center"/>
        <w:rPr>
          <w:rFonts w:hint="eastAsia" w:ascii="宋体" w:hAnsi="宋体" w:eastAsia="宋体" w:cs="宋体"/>
          <w:b/>
          <w:color w:val="auto"/>
          <w:sz w:val="32"/>
          <w:szCs w:val="32"/>
          <w:highlight w:val="none"/>
        </w:rPr>
      </w:pPr>
    </w:p>
    <w:p w14:paraId="7E4487CB">
      <w:pPr>
        <w:rPr>
          <w:rFonts w:hint="eastAsia" w:ascii="宋体" w:hAnsi="宋体" w:eastAsia="宋体" w:cs="宋体"/>
          <w:b/>
          <w:color w:val="auto"/>
          <w:sz w:val="32"/>
          <w:szCs w:val="32"/>
          <w:highlight w:val="none"/>
        </w:rPr>
      </w:pPr>
    </w:p>
    <w:p w14:paraId="03BBEF16">
      <w:pPr>
        <w:keepNext w:val="0"/>
        <w:keepLines w:val="0"/>
        <w:pageBreakBefore w:val="0"/>
        <w:widowControl w:val="0"/>
        <w:kinsoku/>
        <w:wordWrap/>
        <w:overflowPunct/>
        <w:topLinePunct w:val="0"/>
        <w:autoSpaceDE/>
        <w:autoSpaceDN/>
        <w:bidi w:val="0"/>
        <w:adjustRightInd/>
        <w:snapToGrid/>
        <w:spacing w:line="340" w:lineRule="exact"/>
        <w:jc w:val="center"/>
        <w:textAlignment w:val="auto"/>
        <w:outlineLvl w:val="0"/>
        <w:rPr>
          <w:rFonts w:hint="eastAsia" w:ascii="宋体" w:hAnsi="宋体" w:eastAsia="宋体" w:cs="宋体"/>
          <w:b/>
          <w:color w:val="auto"/>
          <w:sz w:val="32"/>
          <w:szCs w:val="32"/>
          <w:highlight w:val="none"/>
        </w:rPr>
        <w:sectPr>
          <w:pgSz w:w="11906" w:h="16838"/>
          <w:pgMar w:top="1440" w:right="1080" w:bottom="1440" w:left="1080" w:header="708" w:footer="709" w:gutter="0"/>
          <w:cols w:space="0" w:num="1"/>
          <w:docGrid w:linePitch="360" w:charSpace="0"/>
        </w:sectPr>
      </w:pPr>
      <w:bookmarkStart w:id="0" w:name="_Toc6981"/>
    </w:p>
    <w:p w14:paraId="5E158790">
      <w:pPr>
        <w:keepNext w:val="0"/>
        <w:keepLines w:val="0"/>
        <w:pageBreakBefore w:val="0"/>
        <w:widowControl w:val="0"/>
        <w:kinsoku/>
        <w:wordWrap/>
        <w:overflowPunct/>
        <w:topLinePunct w:val="0"/>
        <w:autoSpaceDE/>
        <w:autoSpaceDN/>
        <w:bidi w:val="0"/>
        <w:adjustRightInd/>
        <w:snapToGrid/>
        <w:spacing w:line="340" w:lineRule="exact"/>
        <w:jc w:val="center"/>
        <w:textAlignment w:val="auto"/>
        <w:outlineLvl w:val="0"/>
        <w:rPr>
          <w:rFonts w:hint="eastAsia" w:ascii="宋体" w:hAnsi="宋体" w:eastAsia="宋体" w:cs="宋体"/>
          <w:color w:val="auto"/>
          <w:highlight w:val="none"/>
        </w:rPr>
      </w:pPr>
      <w:r>
        <w:rPr>
          <w:rFonts w:hint="eastAsia" w:ascii="宋体" w:hAnsi="宋体" w:eastAsia="宋体" w:cs="宋体"/>
          <w:b/>
          <w:color w:val="auto"/>
          <w:sz w:val="32"/>
          <w:szCs w:val="32"/>
          <w:highlight w:val="none"/>
        </w:rPr>
        <w:t>第一章</w:t>
      </w:r>
      <w:r>
        <w:rPr>
          <w:rFonts w:hint="eastAsia" w:ascii="宋体" w:hAnsi="宋体" w:eastAsia="宋体" w:cs="宋体"/>
          <w:color w:val="auto"/>
          <w:highlight w:val="none"/>
        </w:rPr>
        <w:t xml:space="preserve">  </w:t>
      </w:r>
      <w:r>
        <w:rPr>
          <w:rFonts w:hint="eastAsia" w:ascii="宋体" w:hAnsi="宋体" w:eastAsia="宋体" w:cs="宋体"/>
          <w:b/>
          <w:color w:val="auto"/>
          <w:sz w:val="32"/>
          <w:szCs w:val="32"/>
          <w:highlight w:val="none"/>
        </w:rPr>
        <w:t>公开招标公告</w:t>
      </w:r>
      <w:bookmarkEnd w:id="0"/>
    </w:p>
    <w:tbl>
      <w:tblPr>
        <w:tblStyle w:val="19"/>
        <w:tblpPr w:leftFromText="180" w:rightFromText="180" w:vertAnchor="text" w:tblpX="526" w:tblpY="286"/>
        <w:tblW w:w="9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5"/>
      </w:tblGrid>
      <w:tr w14:paraId="390C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9345" w:type="dxa"/>
            <w:noWrap w:val="0"/>
            <w:vAlign w:val="top"/>
          </w:tcPr>
          <w:p w14:paraId="2D3A8695">
            <w:pPr>
              <w:pStyle w:val="24"/>
              <w:keepNext w:val="0"/>
              <w:keepLines w:val="0"/>
              <w:pageBreakBefore w:val="0"/>
              <w:widowControl w:val="0"/>
              <w:kinsoku/>
              <w:wordWrap/>
              <w:overflowPunct/>
              <w:topLinePunct w:val="0"/>
              <w:autoSpaceDE/>
              <w:autoSpaceDN/>
              <w:bidi w:val="0"/>
              <w:adjustRightInd/>
              <w:snapToGrid/>
              <w:spacing w:line="340" w:lineRule="exact"/>
              <w:ind w:firstLine="42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430D9C58">
            <w:pPr>
              <w:pStyle w:val="24"/>
              <w:keepNext w:val="0"/>
              <w:keepLines w:val="0"/>
              <w:pageBreakBefore w:val="0"/>
              <w:widowControl w:val="0"/>
              <w:kinsoku/>
              <w:wordWrap w:val="0"/>
              <w:overflowPunct/>
              <w:topLinePunct w:val="0"/>
              <w:autoSpaceDE/>
              <w:autoSpaceDN/>
              <w:bidi w:val="0"/>
              <w:adjustRightInd/>
              <w:snapToGrid/>
              <w:spacing w:line="340" w:lineRule="exact"/>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u w:val="single"/>
                <w:lang w:eastAsia="zh-CN"/>
              </w:rPr>
              <w:t>全州县2023-2026年松材线虫病疫情防控绩效承包项目</w:t>
            </w:r>
            <w:r>
              <w:rPr>
                <w:rFonts w:hint="eastAsia" w:ascii="宋体" w:hAnsi="宋体" w:eastAsia="宋体" w:cs="宋体"/>
                <w:color w:val="auto"/>
                <w:sz w:val="21"/>
                <w:szCs w:val="21"/>
                <w:highlight w:val="none"/>
              </w:rPr>
              <w:t>的潜在投标人应</w:t>
            </w:r>
            <w:r>
              <w:rPr>
                <w:rFonts w:hint="eastAsia" w:ascii="宋体" w:hAnsi="宋体" w:eastAsia="宋体" w:cs="宋体"/>
                <w:color w:val="auto"/>
                <w:sz w:val="21"/>
                <w:szCs w:val="21"/>
                <w:highlight w:val="none"/>
                <w:u w:val="single"/>
              </w:rPr>
              <w:fldChar w:fldCharType="begin"/>
            </w:r>
            <w:r>
              <w:rPr>
                <w:rFonts w:hint="eastAsia" w:ascii="宋体" w:hAnsi="宋体" w:eastAsia="宋体" w:cs="宋体"/>
                <w:color w:val="auto"/>
                <w:sz w:val="21"/>
                <w:szCs w:val="21"/>
                <w:highlight w:val="none"/>
                <w:u w:val="single"/>
              </w:rPr>
              <w:instrText xml:space="preserve"> HYPERLINK "http://www.zcygov.cn（政采云平台）获取招标文件，并2023年6月" </w:instrText>
            </w:r>
            <w:r>
              <w:rPr>
                <w:rFonts w:hint="eastAsia" w:ascii="宋体" w:hAnsi="宋体" w:eastAsia="宋体" w:cs="宋体"/>
                <w:color w:val="auto"/>
                <w:sz w:val="21"/>
                <w:szCs w:val="21"/>
                <w:highlight w:val="none"/>
                <w:u w:val="single"/>
              </w:rPr>
              <w:fldChar w:fldCharType="separate"/>
            </w:r>
            <w:r>
              <w:rPr>
                <w:rFonts w:hint="eastAsia" w:ascii="宋体" w:hAnsi="宋体" w:eastAsia="宋体" w:cs="宋体"/>
                <w:color w:val="auto"/>
                <w:szCs w:val="21"/>
                <w:u w:val="single"/>
              </w:rPr>
              <w:t>“广西政府采购云平台”（https://www.gcy.zfcg.gxzf.gov.cn/）</w:t>
            </w:r>
            <w:r>
              <w:rPr>
                <w:rStyle w:val="22"/>
                <w:rFonts w:hint="eastAsia" w:ascii="宋体" w:hAnsi="宋体" w:eastAsia="宋体" w:cs="宋体"/>
                <w:color w:val="auto"/>
                <w:sz w:val="21"/>
                <w:szCs w:val="21"/>
                <w:highlight w:val="none"/>
                <w:u w:val="none"/>
              </w:rPr>
              <w:t>获取招标文件，并</w:t>
            </w:r>
            <w:r>
              <w:rPr>
                <w:rStyle w:val="22"/>
                <w:rFonts w:hint="eastAsia" w:ascii="宋体" w:hAnsi="宋体" w:eastAsia="宋体" w:cs="宋体"/>
                <w:color w:val="auto"/>
                <w:sz w:val="21"/>
                <w:szCs w:val="21"/>
                <w:highlight w:val="none"/>
              </w:rPr>
              <w:t>202</w:t>
            </w:r>
            <w:r>
              <w:rPr>
                <w:rStyle w:val="22"/>
                <w:rFonts w:hint="eastAsia" w:ascii="宋体" w:hAnsi="宋体" w:eastAsia="宋体" w:cs="宋体"/>
                <w:color w:val="auto"/>
                <w:sz w:val="21"/>
                <w:szCs w:val="21"/>
                <w:highlight w:val="none"/>
                <w:lang w:val="en-US" w:eastAsia="zh-CN"/>
              </w:rPr>
              <w:t>4</w:t>
            </w:r>
            <w:r>
              <w:rPr>
                <w:rStyle w:val="22"/>
                <w:rFonts w:hint="eastAsia" w:ascii="宋体" w:hAnsi="宋体" w:eastAsia="宋体" w:cs="宋体"/>
                <w:color w:val="auto"/>
                <w:sz w:val="21"/>
                <w:szCs w:val="21"/>
                <w:highlight w:val="none"/>
              </w:rPr>
              <w:t>年</w:t>
            </w:r>
            <w:r>
              <w:rPr>
                <w:rStyle w:val="22"/>
                <w:rFonts w:hint="eastAsia" w:ascii="宋体" w:hAnsi="宋体" w:cs="宋体"/>
                <w:color w:val="auto"/>
                <w:sz w:val="21"/>
                <w:szCs w:val="21"/>
                <w:highlight w:val="none"/>
                <w:lang w:val="en-US" w:eastAsia="zh-CN"/>
              </w:rPr>
              <w:t>11</w:t>
            </w:r>
            <w:r>
              <w:rPr>
                <w:rStyle w:val="22"/>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fldChar w:fldCharType="end"/>
            </w:r>
            <w:r>
              <w:rPr>
                <w:rFonts w:hint="eastAsia" w:ascii="宋体" w:hAnsi="宋体" w:cs="宋体"/>
                <w:color w:val="auto"/>
                <w:sz w:val="21"/>
                <w:szCs w:val="21"/>
                <w:highlight w:val="none"/>
                <w:u w:val="single"/>
                <w:lang w:val="en-US" w:eastAsia="zh-CN"/>
              </w:rPr>
              <w:t>20</w:t>
            </w:r>
            <w:r>
              <w:rPr>
                <w:rFonts w:hint="eastAsia" w:ascii="宋体" w:hAnsi="宋体" w:eastAsia="宋体" w:cs="宋体"/>
                <w:color w:val="auto"/>
                <w:sz w:val="21"/>
                <w:szCs w:val="21"/>
                <w:highlight w:val="none"/>
                <w:u w:val="single"/>
              </w:rPr>
              <w:t>日</w:t>
            </w:r>
            <w:r>
              <w:rPr>
                <w:rFonts w:hint="eastAsia" w:ascii="宋体" w:hAnsi="宋体" w:cs="宋体"/>
                <w:bCs/>
                <w:color w:val="auto"/>
                <w:sz w:val="21"/>
                <w:szCs w:val="21"/>
                <w:highlight w:val="none"/>
                <w:u w:val="single"/>
                <w:lang w:val="en-US" w:eastAsia="zh-CN"/>
              </w:rPr>
              <w:t>10</w:t>
            </w:r>
            <w:r>
              <w:rPr>
                <w:rFonts w:hint="eastAsia" w:ascii="宋体" w:hAnsi="宋体" w:eastAsia="宋体" w:cs="宋体"/>
                <w:bCs/>
                <w:color w:val="auto"/>
                <w:sz w:val="21"/>
                <w:szCs w:val="21"/>
                <w:highlight w:val="none"/>
                <w:u w:val="single"/>
              </w:rPr>
              <w:t>时</w:t>
            </w:r>
            <w:r>
              <w:rPr>
                <w:rFonts w:hint="eastAsia" w:ascii="宋体" w:hAnsi="宋体" w:cs="宋体"/>
                <w:bCs/>
                <w:color w:val="auto"/>
                <w:sz w:val="21"/>
                <w:szCs w:val="21"/>
                <w:highlight w:val="none"/>
                <w:u w:val="single"/>
                <w:lang w:val="en-US" w:eastAsia="zh-CN"/>
              </w:rPr>
              <w:t>0</w:t>
            </w:r>
            <w:r>
              <w:rPr>
                <w:rFonts w:hint="eastAsia" w:ascii="宋体" w:hAnsi="宋体" w:eastAsia="宋体" w:cs="宋体"/>
                <w:bCs/>
                <w:color w:val="auto"/>
                <w:sz w:val="21"/>
                <w:szCs w:val="21"/>
                <w:highlight w:val="none"/>
                <w:u w:val="single"/>
              </w:rPr>
              <w:t>0 分（</w:t>
            </w:r>
            <w:r>
              <w:rPr>
                <w:rFonts w:hint="eastAsia" w:ascii="宋体" w:hAnsi="宋体" w:eastAsia="宋体" w:cs="宋体"/>
                <w:bCs/>
                <w:color w:val="auto"/>
                <w:sz w:val="21"/>
                <w:szCs w:val="21"/>
                <w:highlight w:val="none"/>
              </w:rPr>
              <w:t>北京时间）前递交投标文件</w:t>
            </w:r>
            <w:r>
              <w:rPr>
                <w:rFonts w:hint="eastAsia" w:ascii="宋体" w:hAnsi="宋体" w:eastAsia="宋体" w:cs="宋体"/>
                <w:color w:val="auto"/>
                <w:szCs w:val="21"/>
                <w:highlight w:val="none"/>
              </w:rPr>
              <w:t>。</w:t>
            </w:r>
          </w:p>
        </w:tc>
      </w:tr>
    </w:tbl>
    <w:p w14:paraId="5A2E2DDA">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宋体" w:hAnsi="宋体" w:eastAsia="宋体" w:cs="宋体"/>
          <w:b/>
          <w:bCs/>
          <w:color w:val="auto"/>
          <w:kern w:val="2"/>
          <w:sz w:val="21"/>
          <w:szCs w:val="21"/>
          <w:highlight w:val="none"/>
        </w:rPr>
      </w:pPr>
    </w:p>
    <w:p w14:paraId="40200C5F">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一、项目基本情况</w:t>
      </w:r>
    </w:p>
    <w:p w14:paraId="4D8CAC7F">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项目编号：GLZC2024-G3-240255-GXGX</w:t>
      </w:r>
    </w:p>
    <w:p w14:paraId="1C9E298F">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项目名称</w:t>
      </w:r>
      <w:r>
        <w:rPr>
          <w:rFonts w:hint="eastAsia" w:ascii="宋体" w:hAnsi="宋体" w:eastAsia="宋体" w:cs="宋体"/>
          <w:color w:val="auto"/>
          <w:kern w:val="2"/>
          <w:sz w:val="21"/>
          <w:szCs w:val="21"/>
          <w:highlight w:val="none"/>
          <w:lang w:eastAsia="zh-CN"/>
        </w:rPr>
        <w:t>：全州县2023-2026年松材线虫病疫情防控绩效承包项目</w:t>
      </w:r>
      <w:r>
        <w:rPr>
          <w:rFonts w:hint="eastAsia" w:ascii="宋体" w:hAnsi="宋体" w:eastAsia="宋体" w:cs="宋体"/>
          <w:color w:val="auto"/>
          <w:kern w:val="2"/>
          <w:sz w:val="21"/>
          <w:szCs w:val="21"/>
          <w:highlight w:val="none"/>
        </w:rPr>
        <w:t xml:space="preserve">      </w:t>
      </w:r>
    </w:p>
    <w:p w14:paraId="0B6357CC">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预算总金额（元）：4471114</w:t>
      </w:r>
      <w:r>
        <w:rPr>
          <w:rFonts w:hint="eastAsia" w:ascii="宋体" w:hAnsi="宋体" w:eastAsia="宋体" w:cs="宋体"/>
          <w:color w:val="auto"/>
          <w:kern w:val="2"/>
          <w:sz w:val="21"/>
          <w:szCs w:val="21"/>
          <w:highlight w:val="none"/>
          <w:lang w:val="en-US" w:eastAsia="zh-CN"/>
        </w:rPr>
        <w:t>0.00</w:t>
      </w:r>
    </w:p>
    <w:p w14:paraId="2D0A6CE1">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采购需求：</w:t>
      </w:r>
    </w:p>
    <w:p w14:paraId="53893168">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标项名称:</w:t>
      </w:r>
      <w:r>
        <w:rPr>
          <w:rFonts w:hint="eastAsia" w:ascii="宋体" w:hAnsi="宋体" w:eastAsia="宋体" w:cs="宋体"/>
          <w:color w:val="auto"/>
          <w:kern w:val="2"/>
          <w:sz w:val="21"/>
          <w:szCs w:val="21"/>
          <w:highlight w:val="none"/>
          <w:lang w:eastAsia="zh-CN"/>
        </w:rPr>
        <w:t>全州县2023-2026年松材线虫病疫情防控绩效承包项目</w:t>
      </w:r>
    </w:p>
    <w:p w14:paraId="08F531D3">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数量:1</w:t>
      </w:r>
    </w:p>
    <w:p w14:paraId="5E430259">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预算金额（元）:4471114</w:t>
      </w:r>
      <w:r>
        <w:rPr>
          <w:rFonts w:hint="eastAsia" w:ascii="宋体" w:hAnsi="宋体" w:eastAsia="宋体" w:cs="宋体"/>
          <w:color w:val="auto"/>
          <w:kern w:val="2"/>
          <w:sz w:val="21"/>
          <w:szCs w:val="21"/>
          <w:highlight w:val="none"/>
          <w:lang w:val="en-US" w:eastAsia="zh-CN"/>
        </w:rPr>
        <w:t>0.00</w:t>
      </w:r>
    </w:p>
    <w:p w14:paraId="4291A091">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简要规格描述或项目基本概况介绍、用途：</w:t>
      </w:r>
      <w:r>
        <w:rPr>
          <w:rFonts w:hint="eastAsia" w:ascii="宋体" w:hAnsi="宋体" w:eastAsia="宋体" w:cs="宋体"/>
          <w:color w:val="auto"/>
          <w:kern w:val="2"/>
          <w:sz w:val="21"/>
          <w:szCs w:val="21"/>
          <w:highlight w:val="none"/>
          <w:lang w:eastAsia="zh-CN"/>
        </w:rPr>
        <w:t>全州县2023-2026年松材线虫病疫情防控绩效承包项目</w:t>
      </w:r>
      <w:r>
        <w:rPr>
          <w:rFonts w:hint="eastAsia" w:ascii="宋体" w:hAnsi="宋体" w:eastAsia="宋体" w:cs="宋体"/>
          <w:color w:val="auto"/>
          <w:kern w:val="2"/>
          <w:sz w:val="21"/>
          <w:szCs w:val="21"/>
          <w:highlight w:val="none"/>
          <w:lang w:val="en-US" w:eastAsia="zh-CN"/>
        </w:rPr>
        <w:t>一项</w:t>
      </w:r>
      <w:r>
        <w:rPr>
          <w:rFonts w:hint="eastAsia" w:ascii="宋体" w:hAnsi="宋体" w:eastAsia="宋体" w:cs="宋体"/>
          <w:color w:val="auto"/>
          <w:sz w:val="21"/>
          <w:szCs w:val="21"/>
        </w:rPr>
        <w:t>，</w:t>
      </w:r>
      <w:r>
        <w:rPr>
          <w:rFonts w:hint="eastAsia" w:ascii="宋体" w:hAnsi="宋体" w:eastAsia="宋体" w:cs="宋体"/>
          <w:color w:val="auto"/>
          <w:kern w:val="2"/>
          <w:sz w:val="21"/>
          <w:szCs w:val="21"/>
          <w:highlight w:val="none"/>
        </w:rPr>
        <w:t>如需进一步了解详细内容，详见</w:t>
      </w:r>
      <w:r>
        <w:rPr>
          <w:rFonts w:hint="eastAsia" w:ascii="宋体" w:hAnsi="宋体" w:eastAsia="宋体" w:cs="宋体"/>
          <w:color w:val="auto"/>
          <w:kern w:val="2"/>
          <w:sz w:val="21"/>
          <w:szCs w:val="21"/>
          <w:highlight w:val="none"/>
          <w:lang w:eastAsia="zh-CN"/>
        </w:rPr>
        <w:t>招标</w:t>
      </w:r>
      <w:r>
        <w:rPr>
          <w:rFonts w:hint="eastAsia" w:ascii="宋体" w:hAnsi="宋体" w:eastAsia="宋体" w:cs="宋体"/>
          <w:color w:val="auto"/>
          <w:kern w:val="2"/>
          <w:sz w:val="21"/>
          <w:szCs w:val="21"/>
          <w:highlight w:val="none"/>
        </w:rPr>
        <w:t>文件。</w:t>
      </w:r>
    </w:p>
    <w:p w14:paraId="3E239B60">
      <w:pPr>
        <w:pStyle w:val="2"/>
        <w:keepNext w:val="0"/>
        <w:keepLines w:val="0"/>
        <w:pageBreakBefore w:val="0"/>
        <w:kinsoku/>
        <w:wordWrap/>
        <w:overflowPunct/>
        <w:topLinePunct w:val="0"/>
        <w:bidi w:val="0"/>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最高限价（如有）：</w:t>
      </w:r>
      <w:r>
        <w:rPr>
          <w:rFonts w:hint="eastAsia" w:ascii="宋体" w:hAnsi="宋体" w:eastAsia="宋体" w:cs="宋体"/>
          <w:color w:val="auto"/>
          <w:kern w:val="2"/>
          <w:sz w:val="21"/>
          <w:szCs w:val="21"/>
          <w:highlight w:val="none"/>
        </w:rPr>
        <w:t>4471114</w:t>
      </w:r>
      <w:r>
        <w:rPr>
          <w:rFonts w:hint="eastAsia" w:ascii="宋体" w:hAnsi="宋体" w:eastAsia="宋体" w:cs="宋体"/>
          <w:color w:val="auto"/>
          <w:kern w:val="2"/>
          <w:sz w:val="21"/>
          <w:szCs w:val="21"/>
          <w:highlight w:val="none"/>
          <w:lang w:val="en-US" w:eastAsia="zh-CN"/>
        </w:rPr>
        <w:t>0.00</w:t>
      </w:r>
      <w:r>
        <w:rPr>
          <w:rFonts w:hint="eastAsia" w:hAnsi="宋体" w:cs="宋体"/>
          <w:color w:val="auto"/>
          <w:sz w:val="21"/>
          <w:szCs w:val="21"/>
          <w:lang w:val="en-US" w:eastAsia="zh-CN"/>
        </w:rPr>
        <w:t>元</w:t>
      </w:r>
    </w:p>
    <w:p w14:paraId="4DEDF514">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合同履约期限：自签订合同之日起至</w:t>
      </w:r>
      <w:r>
        <w:rPr>
          <w:rFonts w:hint="eastAsia" w:ascii="宋体" w:hAnsi="宋体" w:eastAsia="宋体" w:cs="宋体"/>
          <w:color w:val="auto"/>
          <w:kern w:val="2"/>
          <w:sz w:val="21"/>
          <w:szCs w:val="21"/>
          <w:highlight w:val="none"/>
          <w:lang w:val="en-US" w:eastAsia="zh-CN"/>
        </w:rPr>
        <w:t>2026年10月止</w:t>
      </w:r>
    </w:p>
    <w:p w14:paraId="287D02B2">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本标项（否）接受联合体投标</w:t>
      </w:r>
    </w:p>
    <w:p w14:paraId="63AC2C55">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二、申请人的资格要求：</w:t>
      </w:r>
    </w:p>
    <w:p w14:paraId="74A2C805">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1.满足《中华人民共和国政府采购法》第二十二条规定；</w:t>
      </w:r>
    </w:p>
    <w:p w14:paraId="03577E34">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2.落实政府采购政策需满足的资格要求：</w:t>
      </w:r>
      <w:r>
        <w:rPr>
          <w:rFonts w:hint="eastAsia" w:ascii="宋体" w:hAnsi="宋体" w:eastAsia="宋体" w:cs="宋体"/>
          <w:color w:val="auto"/>
          <w:kern w:val="2"/>
          <w:sz w:val="21"/>
          <w:szCs w:val="21"/>
          <w:highlight w:val="none"/>
          <w:lang w:val="en-US" w:eastAsia="zh-CN"/>
        </w:rPr>
        <w:t>无；</w:t>
      </w:r>
    </w:p>
    <w:p w14:paraId="3EF642ED">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3.本项目的特定资格要求：</w:t>
      </w:r>
      <w:r>
        <w:rPr>
          <w:rFonts w:hint="eastAsia" w:ascii="宋体" w:hAnsi="宋体" w:eastAsia="宋体" w:cs="宋体"/>
          <w:b w:val="0"/>
          <w:bCs w:val="0"/>
          <w:color w:val="auto"/>
          <w:kern w:val="2"/>
          <w:sz w:val="21"/>
          <w:szCs w:val="21"/>
          <w:highlight w:val="none"/>
          <w:lang w:val="en-US" w:eastAsia="zh-CN"/>
        </w:rPr>
        <w:t>无。</w:t>
      </w:r>
    </w:p>
    <w:p w14:paraId="17CC4B8E">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三、获取招标文件：</w:t>
      </w:r>
    </w:p>
    <w:p w14:paraId="7BADCA1F">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时间：</w:t>
      </w:r>
      <w:r>
        <w:rPr>
          <w:rFonts w:hint="eastAsia" w:ascii="宋体" w:hAnsi="宋体" w:eastAsia="宋体" w:cs="宋体"/>
          <w:b w:val="0"/>
          <w:bCs w:val="0"/>
          <w:color w:val="auto"/>
          <w:kern w:val="2"/>
          <w:sz w:val="21"/>
          <w:szCs w:val="21"/>
          <w:highlight w:val="none"/>
        </w:rPr>
        <w:t>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w:t>
      </w:r>
      <w:r>
        <w:rPr>
          <w:rFonts w:hint="eastAsia" w:ascii="宋体" w:hAnsi="宋体" w:eastAsia="宋体" w:cs="宋体"/>
          <w:b w:val="0"/>
          <w:bCs w:val="0"/>
          <w:color w:val="auto"/>
          <w:kern w:val="2"/>
          <w:sz w:val="21"/>
          <w:szCs w:val="21"/>
          <w:highlight w:val="none"/>
          <w:lang w:val="en-US" w:eastAsia="zh-CN"/>
        </w:rPr>
        <w:t>10</w:t>
      </w:r>
      <w:r>
        <w:rPr>
          <w:rFonts w:hint="eastAsia" w:ascii="宋体" w:hAnsi="宋体" w:eastAsia="宋体" w:cs="宋体"/>
          <w:b w:val="0"/>
          <w:bCs w:val="0"/>
          <w:color w:val="auto"/>
          <w:kern w:val="2"/>
          <w:sz w:val="21"/>
          <w:szCs w:val="21"/>
          <w:highlight w:val="none"/>
        </w:rPr>
        <w:t>月</w:t>
      </w:r>
      <w:r>
        <w:rPr>
          <w:rFonts w:hint="eastAsia" w:ascii="宋体" w:hAnsi="宋体" w:eastAsia="宋体" w:cs="宋体"/>
          <w:b w:val="0"/>
          <w:bCs w:val="0"/>
          <w:color w:val="auto"/>
          <w:kern w:val="2"/>
          <w:sz w:val="21"/>
          <w:szCs w:val="21"/>
          <w:highlight w:val="none"/>
          <w:lang w:val="en-US" w:eastAsia="zh-CN"/>
        </w:rPr>
        <w:t>30</w:t>
      </w:r>
      <w:r>
        <w:rPr>
          <w:rFonts w:hint="eastAsia" w:ascii="宋体" w:hAnsi="宋体" w:eastAsia="宋体" w:cs="宋体"/>
          <w:b w:val="0"/>
          <w:bCs w:val="0"/>
          <w:color w:val="auto"/>
          <w:kern w:val="2"/>
          <w:sz w:val="21"/>
          <w:szCs w:val="21"/>
          <w:highlight w:val="none"/>
        </w:rPr>
        <w:t>日至202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w:t>
      </w:r>
      <w:r>
        <w:rPr>
          <w:rFonts w:hint="eastAsia" w:ascii="宋体" w:hAnsi="宋体" w:eastAsia="宋体" w:cs="宋体"/>
          <w:b w:val="0"/>
          <w:bCs w:val="0"/>
          <w:color w:val="auto"/>
          <w:kern w:val="2"/>
          <w:sz w:val="21"/>
          <w:szCs w:val="21"/>
          <w:highlight w:val="none"/>
          <w:lang w:val="en-US" w:eastAsia="zh-CN"/>
        </w:rPr>
        <w:t>11</w:t>
      </w:r>
      <w:r>
        <w:rPr>
          <w:rFonts w:hint="eastAsia" w:ascii="宋体" w:hAnsi="宋体" w:eastAsia="宋体" w:cs="宋体"/>
          <w:b w:val="0"/>
          <w:bCs w:val="0"/>
          <w:color w:val="auto"/>
          <w:kern w:val="2"/>
          <w:sz w:val="21"/>
          <w:szCs w:val="21"/>
          <w:highlight w:val="none"/>
        </w:rPr>
        <w:t>月</w:t>
      </w:r>
      <w:r>
        <w:rPr>
          <w:rFonts w:hint="eastAsia" w:ascii="宋体" w:hAnsi="宋体" w:eastAsia="宋体" w:cs="宋体"/>
          <w:b w:val="0"/>
          <w:bCs w:val="0"/>
          <w:color w:val="auto"/>
          <w:kern w:val="2"/>
          <w:sz w:val="21"/>
          <w:szCs w:val="21"/>
          <w:highlight w:val="none"/>
          <w:lang w:val="en-US" w:eastAsia="zh-CN"/>
        </w:rPr>
        <w:t xml:space="preserve">20 </w:t>
      </w:r>
      <w:r>
        <w:rPr>
          <w:rFonts w:hint="eastAsia" w:ascii="宋体" w:hAnsi="宋体" w:eastAsia="宋体" w:cs="宋体"/>
          <w:b w:val="0"/>
          <w:bCs w:val="0"/>
          <w:color w:val="auto"/>
          <w:kern w:val="2"/>
          <w:sz w:val="21"/>
          <w:szCs w:val="21"/>
          <w:highlight w:val="none"/>
        </w:rPr>
        <w:t>日 ，</w:t>
      </w:r>
      <w:r>
        <w:rPr>
          <w:rFonts w:hint="eastAsia" w:ascii="宋体" w:hAnsi="宋体" w:eastAsia="宋体" w:cs="宋体"/>
          <w:color w:val="auto"/>
          <w:kern w:val="2"/>
          <w:sz w:val="21"/>
          <w:szCs w:val="21"/>
          <w:highlight w:val="none"/>
        </w:rPr>
        <w:t>每天上午00:00至1</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59</w:t>
      </w:r>
      <w:r>
        <w:rPr>
          <w:rFonts w:hint="eastAsia" w:ascii="宋体" w:hAnsi="宋体" w:eastAsia="宋体" w:cs="宋体"/>
          <w:color w:val="auto"/>
          <w:kern w:val="2"/>
          <w:sz w:val="21"/>
          <w:szCs w:val="21"/>
          <w:highlight w:val="none"/>
        </w:rPr>
        <w:t xml:space="preserve"> ，下午12:00至23:59（北京时间，法定节假日除外）；</w:t>
      </w:r>
    </w:p>
    <w:p w14:paraId="367167B9">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地点（网址）：“广西政府采购云平台”（https://www.gcy.zfcg.gxzf.gov.cn/）；</w:t>
      </w:r>
    </w:p>
    <w:p w14:paraId="17566FCB">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方式：</w:t>
      </w:r>
      <w:r>
        <w:rPr>
          <w:rFonts w:hint="eastAsia" w:ascii="宋体" w:hAnsi="宋体" w:eastAsia="宋体" w:cs="宋体"/>
          <w:color w:val="auto"/>
          <w:kern w:val="2"/>
          <w:sz w:val="21"/>
          <w:szCs w:val="21"/>
          <w:highlight w:val="none"/>
          <w:lang w:val="en-US" w:eastAsia="zh-CN"/>
        </w:rPr>
        <w:t>投标人</w:t>
      </w:r>
      <w:r>
        <w:rPr>
          <w:rFonts w:hint="eastAsia" w:ascii="宋体" w:hAnsi="宋体" w:eastAsia="宋体" w:cs="宋体"/>
          <w:color w:val="auto"/>
          <w:kern w:val="2"/>
          <w:sz w:val="21"/>
          <w:szCs w:val="21"/>
          <w:highlight w:val="none"/>
        </w:rPr>
        <w:t>登录“广西政府采购云平台”（https://www.gcy.zfcg.gxzf.gov.cn/）在线申请获取采购文件（进入“项目采购”应用，在获取采购文件菜单中选择项目，申请获取采购文件）；</w:t>
      </w:r>
    </w:p>
    <w:p w14:paraId="13400DD0">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售价（元）：0 </w:t>
      </w:r>
    </w:p>
    <w:p w14:paraId="2C3ABF77">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b/>
          <w:bCs/>
          <w:color w:val="auto"/>
          <w:kern w:val="2"/>
          <w:sz w:val="21"/>
          <w:szCs w:val="21"/>
          <w:highlight w:val="none"/>
          <w:lang w:eastAsia="zh-CN"/>
        </w:rPr>
      </w:pPr>
      <w:r>
        <w:rPr>
          <w:rFonts w:hint="eastAsia" w:ascii="宋体" w:hAnsi="宋体" w:eastAsia="宋体" w:cs="宋体"/>
          <w:b/>
          <w:bCs/>
          <w:color w:val="auto"/>
          <w:kern w:val="2"/>
          <w:sz w:val="21"/>
          <w:szCs w:val="21"/>
          <w:highlight w:val="none"/>
        </w:rPr>
        <w:t>四、提交投标文件截止时间、开标时间和地点</w:t>
      </w:r>
      <w:r>
        <w:rPr>
          <w:rFonts w:hint="eastAsia" w:ascii="宋体" w:hAnsi="宋体" w:eastAsia="宋体" w:cs="宋体"/>
          <w:b/>
          <w:bCs/>
          <w:color w:val="auto"/>
          <w:kern w:val="2"/>
          <w:sz w:val="21"/>
          <w:szCs w:val="21"/>
          <w:highlight w:val="none"/>
          <w:lang w:eastAsia="zh-CN"/>
        </w:rPr>
        <w:t>：</w:t>
      </w:r>
    </w:p>
    <w:p w14:paraId="428DACD3">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color w:val="auto"/>
          <w:kern w:val="2"/>
          <w:sz w:val="21"/>
          <w:szCs w:val="21"/>
          <w:highlight w:val="none"/>
        </w:rPr>
        <w:t>提交投标文件截止时</w:t>
      </w:r>
      <w:r>
        <w:rPr>
          <w:rFonts w:hint="eastAsia" w:ascii="宋体" w:hAnsi="宋体" w:eastAsia="宋体" w:cs="宋体"/>
          <w:b w:val="0"/>
          <w:bCs w:val="0"/>
          <w:color w:val="auto"/>
          <w:kern w:val="2"/>
          <w:sz w:val="21"/>
          <w:szCs w:val="21"/>
          <w:highlight w:val="none"/>
        </w:rPr>
        <w:t>间：202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w:t>
      </w:r>
      <w:r>
        <w:rPr>
          <w:rFonts w:hint="eastAsia" w:ascii="宋体" w:hAnsi="宋体" w:eastAsia="宋体" w:cs="宋体"/>
          <w:b w:val="0"/>
          <w:bCs w:val="0"/>
          <w:color w:val="auto"/>
          <w:kern w:val="2"/>
          <w:sz w:val="21"/>
          <w:szCs w:val="21"/>
          <w:highlight w:val="none"/>
          <w:lang w:val="en-US" w:eastAsia="zh-CN"/>
        </w:rPr>
        <w:t>11</w:t>
      </w:r>
      <w:r>
        <w:rPr>
          <w:rFonts w:hint="eastAsia" w:ascii="宋体" w:hAnsi="宋体" w:eastAsia="宋体" w:cs="宋体"/>
          <w:b w:val="0"/>
          <w:bCs w:val="0"/>
          <w:color w:val="auto"/>
          <w:kern w:val="2"/>
          <w:sz w:val="21"/>
          <w:szCs w:val="21"/>
          <w:highlight w:val="none"/>
        </w:rPr>
        <w:t>月</w:t>
      </w:r>
      <w:r>
        <w:rPr>
          <w:rFonts w:hint="eastAsia" w:ascii="宋体" w:hAnsi="宋体" w:eastAsia="宋体" w:cs="宋体"/>
          <w:b w:val="0"/>
          <w:bCs w:val="0"/>
          <w:color w:val="auto"/>
          <w:kern w:val="2"/>
          <w:sz w:val="21"/>
          <w:szCs w:val="21"/>
          <w:highlight w:val="none"/>
          <w:lang w:val="en-US" w:eastAsia="zh-CN"/>
        </w:rPr>
        <w:t xml:space="preserve">20 </w:t>
      </w:r>
      <w:r>
        <w:rPr>
          <w:rFonts w:hint="eastAsia" w:ascii="宋体" w:hAnsi="宋体" w:eastAsia="宋体" w:cs="宋体"/>
          <w:b w:val="0"/>
          <w:bCs w:val="0"/>
          <w:color w:val="auto"/>
          <w:kern w:val="2"/>
          <w:sz w:val="21"/>
          <w:szCs w:val="21"/>
          <w:highlight w:val="none"/>
        </w:rPr>
        <w:t>日上午</w:t>
      </w:r>
      <w:r>
        <w:rPr>
          <w:rFonts w:hint="eastAsia" w:ascii="宋体" w:hAnsi="宋体" w:eastAsia="宋体" w:cs="宋体"/>
          <w:b w:val="0"/>
          <w:bCs w:val="0"/>
          <w:color w:val="auto"/>
          <w:kern w:val="2"/>
          <w:sz w:val="21"/>
          <w:szCs w:val="21"/>
          <w:highlight w:val="none"/>
          <w:lang w:val="en-US" w:eastAsia="zh-CN"/>
        </w:rPr>
        <w:t>10</w:t>
      </w:r>
      <w:r>
        <w:rPr>
          <w:rFonts w:hint="eastAsia" w:ascii="宋体" w:hAnsi="宋体" w:eastAsia="宋体" w:cs="宋体"/>
          <w:b w:val="0"/>
          <w:bCs w:val="0"/>
          <w:color w:val="auto"/>
          <w:kern w:val="2"/>
          <w:sz w:val="21"/>
          <w:szCs w:val="21"/>
          <w:highlight w:val="none"/>
        </w:rPr>
        <w:t>时</w:t>
      </w:r>
      <w:r>
        <w:rPr>
          <w:rFonts w:hint="eastAsia" w:ascii="宋体" w:hAnsi="宋体" w:eastAsia="宋体" w:cs="宋体"/>
          <w:b w:val="0"/>
          <w:bCs w:val="0"/>
          <w:color w:val="auto"/>
          <w:kern w:val="2"/>
          <w:sz w:val="21"/>
          <w:szCs w:val="21"/>
          <w:highlight w:val="none"/>
          <w:lang w:val="en-US" w:eastAsia="zh-CN"/>
        </w:rPr>
        <w:t>0</w:t>
      </w:r>
      <w:r>
        <w:rPr>
          <w:rFonts w:hint="eastAsia" w:ascii="宋体" w:hAnsi="宋体" w:eastAsia="宋体" w:cs="宋体"/>
          <w:b w:val="0"/>
          <w:bCs w:val="0"/>
          <w:color w:val="auto"/>
          <w:kern w:val="2"/>
          <w:sz w:val="21"/>
          <w:szCs w:val="21"/>
          <w:highlight w:val="none"/>
        </w:rPr>
        <w:t>0分（北京时间）。</w:t>
      </w:r>
    </w:p>
    <w:p w14:paraId="6303D524">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投标地点（网址）：通过</w:t>
      </w:r>
      <w:r>
        <w:rPr>
          <w:rFonts w:hint="eastAsia" w:ascii="宋体" w:hAnsi="宋体" w:eastAsia="宋体" w:cs="宋体"/>
          <w:b w:val="0"/>
          <w:bCs w:val="0"/>
          <w:color w:val="auto"/>
          <w:kern w:val="2"/>
          <w:sz w:val="21"/>
          <w:szCs w:val="21"/>
          <w:highlight w:val="none"/>
          <w:lang w:eastAsia="zh-CN"/>
        </w:rPr>
        <w:t>“广西政府采购云平台”</w:t>
      </w:r>
      <w:r>
        <w:rPr>
          <w:rFonts w:hint="eastAsia" w:ascii="宋体" w:hAnsi="宋体" w:eastAsia="宋体" w:cs="宋体"/>
          <w:b w:val="0"/>
          <w:bCs w:val="0"/>
          <w:color w:val="auto"/>
          <w:kern w:val="2"/>
          <w:sz w:val="21"/>
          <w:szCs w:val="21"/>
          <w:highlight w:val="none"/>
        </w:rPr>
        <w:t>平台实行在线投标。</w:t>
      </w:r>
    </w:p>
    <w:p w14:paraId="40FA87BE">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b w:val="0"/>
          <w:bCs w:val="0"/>
          <w:color w:val="auto"/>
          <w:kern w:val="2"/>
          <w:sz w:val="21"/>
          <w:szCs w:val="21"/>
          <w:highlight w:val="none"/>
        </w:rPr>
        <w:t>开标时间：202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w:t>
      </w:r>
      <w:r>
        <w:rPr>
          <w:rFonts w:hint="eastAsia" w:ascii="宋体" w:hAnsi="宋体" w:eastAsia="宋体" w:cs="宋体"/>
          <w:b w:val="0"/>
          <w:bCs w:val="0"/>
          <w:color w:val="auto"/>
          <w:kern w:val="2"/>
          <w:sz w:val="21"/>
          <w:szCs w:val="21"/>
          <w:highlight w:val="none"/>
          <w:lang w:val="en-US" w:eastAsia="zh-CN"/>
        </w:rPr>
        <w:t>11</w:t>
      </w:r>
      <w:r>
        <w:rPr>
          <w:rFonts w:hint="eastAsia" w:ascii="宋体" w:hAnsi="宋体" w:eastAsia="宋体" w:cs="宋体"/>
          <w:b w:val="0"/>
          <w:bCs w:val="0"/>
          <w:color w:val="auto"/>
          <w:kern w:val="2"/>
          <w:sz w:val="21"/>
          <w:szCs w:val="21"/>
          <w:highlight w:val="none"/>
        </w:rPr>
        <w:t>月</w:t>
      </w:r>
      <w:r>
        <w:rPr>
          <w:rFonts w:hint="eastAsia" w:ascii="宋体" w:hAnsi="宋体" w:eastAsia="宋体" w:cs="宋体"/>
          <w:b w:val="0"/>
          <w:bCs w:val="0"/>
          <w:color w:val="auto"/>
          <w:kern w:val="2"/>
          <w:sz w:val="21"/>
          <w:szCs w:val="21"/>
          <w:highlight w:val="none"/>
          <w:lang w:val="en-US" w:eastAsia="zh-CN"/>
        </w:rPr>
        <w:t xml:space="preserve">20 </w:t>
      </w:r>
      <w:r>
        <w:rPr>
          <w:rFonts w:hint="eastAsia" w:ascii="宋体" w:hAnsi="宋体" w:eastAsia="宋体" w:cs="宋体"/>
          <w:b w:val="0"/>
          <w:bCs w:val="0"/>
          <w:color w:val="auto"/>
          <w:kern w:val="2"/>
          <w:sz w:val="21"/>
          <w:szCs w:val="21"/>
          <w:highlight w:val="none"/>
        </w:rPr>
        <w:t>日上</w:t>
      </w:r>
      <w:r>
        <w:rPr>
          <w:rFonts w:hint="eastAsia" w:ascii="宋体" w:hAnsi="宋体" w:eastAsia="宋体" w:cs="宋体"/>
          <w:color w:val="auto"/>
          <w:kern w:val="2"/>
          <w:sz w:val="21"/>
          <w:szCs w:val="21"/>
          <w:highlight w:val="none"/>
        </w:rPr>
        <w:t>午</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时</w:t>
      </w:r>
      <w:r>
        <w:rPr>
          <w:rFonts w:hint="eastAsia" w:ascii="宋体" w:hAnsi="宋体" w:eastAsia="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rPr>
        <w:t>0分（北京时间）。</w:t>
      </w:r>
    </w:p>
    <w:p w14:paraId="2BA88AA6">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开标地点（网址）：通过</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平台在线解密开启。</w:t>
      </w:r>
    </w:p>
    <w:p w14:paraId="40483ED5">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五、公告期限：</w:t>
      </w:r>
    </w:p>
    <w:p w14:paraId="74087D35">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自本公告发布之日起5个工作日。</w:t>
      </w:r>
    </w:p>
    <w:p w14:paraId="66FDF1AC">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六、其他补充事宜：</w:t>
      </w:r>
    </w:p>
    <w:p w14:paraId="432EA2E3">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1.对在“信用中国”网站（www.creditchina.gov.cn）、中国政府采购网（www.ccgp.gov.cn）等渠道列入失信被执行人、</w:t>
      </w:r>
      <w:r>
        <w:rPr>
          <w:rFonts w:hint="eastAsia" w:ascii="宋体" w:hAnsi="宋体" w:eastAsia="宋体" w:cs="宋体"/>
          <w:color w:val="auto"/>
          <w:kern w:val="2"/>
          <w:sz w:val="21"/>
          <w:szCs w:val="21"/>
          <w:highlight w:val="none"/>
          <w:lang w:eastAsia="zh-CN"/>
        </w:rPr>
        <w:t>重大税收违法失信主体</w:t>
      </w:r>
      <w:r>
        <w:rPr>
          <w:rFonts w:hint="eastAsia" w:ascii="宋体" w:hAnsi="宋体" w:eastAsia="宋体" w:cs="宋体"/>
          <w:color w:val="auto"/>
          <w:kern w:val="2"/>
          <w:sz w:val="21"/>
          <w:szCs w:val="21"/>
          <w:highlight w:val="none"/>
        </w:rPr>
        <w:t>、政府采购严重违法失信行为记录名单及其他不符合《中华人民共和国政府采购法》第二十二条规定条件的供应商，不得参与政府采购活动。</w:t>
      </w:r>
    </w:p>
    <w:p w14:paraId="532BF72D">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单位负责人为同一人或者存在直接控股、管理关系的不同供应商，不得参加同一合同项下的政府采购活动。除单一来源采购项目外，为本采购项目提供整体设计、规范编制或者项目管理、监理、检测等服务的供应商，不得再参加该采购项目的其他采购活动。</w:t>
      </w:r>
    </w:p>
    <w:p w14:paraId="5DCCF900">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3.本项目需要落实的政府采购政策：</w:t>
      </w:r>
    </w:p>
    <w:p w14:paraId="71C658F5">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（1）政府采购促进中小企业发展。</w:t>
      </w:r>
    </w:p>
    <w:p w14:paraId="1439B22D">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（2）政府采购支持监狱企业发展。</w:t>
      </w:r>
    </w:p>
    <w:p w14:paraId="4334BAF6">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（3）政府采购促进残疾人就业政策。</w:t>
      </w:r>
    </w:p>
    <w:p w14:paraId="4CEABFD1">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（4）优先采购节能产品、环境标志产品。</w:t>
      </w:r>
    </w:p>
    <w:p w14:paraId="2CF51FCD">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4.本项目非专门面向中小微企业采购，项目所属行业为农、林、牧、渔业。</w:t>
      </w:r>
    </w:p>
    <w:p w14:paraId="056B4C67">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5.信息公告发布媒体：中国政府采购网（http://www.ccgp.gov.cn）、广西壮族自治区政府采购网（http://zfcg.gxzf.gov.cn）、桂林市政府采购网（http://gl.zfcg.zcygov.cn/）、全州县人民政府网（http://www.glqz.gov.cn/）。</w:t>
      </w:r>
    </w:p>
    <w:p w14:paraId="470D47DA">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.投标文件解密时间：投标截止时间后30分钟内（202</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年</w:t>
      </w:r>
      <w:r>
        <w:rPr>
          <w:rFonts w:hint="eastAsia" w:ascii="宋体" w:hAnsi="宋体" w:eastAsia="宋体" w:cs="宋体"/>
          <w:color w:val="auto"/>
          <w:kern w:val="2"/>
          <w:sz w:val="21"/>
          <w:szCs w:val="21"/>
          <w:highlight w:val="none"/>
          <w:lang w:val="en-US" w:eastAsia="zh-CN"/>
        </w:rPr>
        <w:t>11</w:t>
      </w:r>
      <w:r>
        <w:rPr>
          <w:rFonts w:hint="eastAsia" w:ascii="宋体" w:hAnsi="宋体" w:eastAsia="宋体" w:cs="宋体"/>
          <w:color w:val="auto"/>
          <w:kern w:val="2"/>
          <w:sz w:val="21"/>
          <w:szCs w:val="21"/>
          <w:highlight w:val="none"/>
        </w:rPr>
        <w:t>月</w:t>
      </w:r>
      <w:r>
        <w:rPr>
          <w:rFonts w:hint="eastAsia" w:ascii="宋体" w:hAnsi="宋体" w:eastAsia="宋体" w:cs="宋体"/>
          <w:color w:val="auto"/>
          <w:kern w:val="2"/>
          <w:sz w:val="21"/>
          <w:szCs w:val="21"/>
          <w:highlight w:val="none"/>
          <w:lang w:val="en-US" w:eastAsia="zh-CN"/>
        </w:rPr>
        <w:t xml:space="preserve"> 20 </w:t>
      </w:r>
      <w:r>
        <w:rPr>
          <w:rFonts w:hint="eastAsia" w:ascii="宋体" w:hAnsi="宋体" w:eastAsia="宋体" w:cs="宋体"/>
          <w:color w:val="auto"/>
          <w:kern w:val="2"/>
          <w:sz w:val="21"/>
          <w:szCs w:val="21"/>
          <w:highlight w:val="none"/>
        </w:rPr>
        <w:t>日</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时</w:t>
      </w:r>
      <w:r>
        <w:rPr>
          <w:rFonts w:hint="eastAsia" w:ascii="宋体" w:hAnsi="宋体" w:eastAsia="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rPr>
        <w:t>0分至10时</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0分）投标人可以登录</w:t>
      </w:r>
      <w:r>
        <w:rPr>
          <w:rFonts w:hint="eastAsia" w:ascii="宋体" w:hAnsi="宋体" w:eastAsia="宋体" w:cs="宋体"/>
          <w:color w:val="auto"/>
          <w:kern w:val="2"/>
          <w:sz w:val="21"/>
          <w:szCs w:val="21"/>
          <w:highlight w:val="none"/>
          <w:lang w:eastAsia="zh-CN"/>
        </w:rPr>
        <w:t>广西政府采购云</w:t>
      </w:r>
      <w:r>
        <w:rPr>
          <w:rFonts w:hint="eastAsia" w:ascii="宋体" w:hAnsi="宋体" w:eastAsia="宋体" w:cs="宋体"/>
          <w:color w:val="auto"/>
          <w:kern w:val="2"/>
          <w:sz w:val="21"/>
          <w:szCs w:val="21"/>
          <w:highlight w:val="none"/>
        </w:rPr>
        <w:t>平台，用“项目采购-开标评标”功能进行解密投标文件。若投标人在规定时间内无法解密或解密失败或超时解密的，系统默认自动放弃，投标文件按投标无效处理。</w:t>
      </w:r>
    </w:p>
    <w:p w14:paraId="7AC1AB40">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 在线投标（电子投标）说明</w:t>
      </w:r>
    </w:p>
    <w:p w14:paraId="59914EC5">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.1本项目实行全流程电子化采购，投标人通过</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平台参与在线响应（电子响应），并应做好以下相关准备工作：①在</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平台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投标人尽快办理）；③下载“广西壮族自治区全流程电子招投标项目管理系统--投标人客户端”（操作方法详见广西壮族自治区政府采购网—办事服务—下载专区，以下称“</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电子投标客户端”）并安装成功，投标人应当在提交投标文件截止时间前在</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平台完成的身份认证，确保能够对相关数据电文进行加密和使用电子签章；④自备计算机和网络设备并确保能接入互联网（费用由投标人自行承担，设备确保可进行视频通话和读取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CA证书）。因投标人未做好相关准备工作等自身原因导致无法参加本项目在线响应（电子响应）或响应失败的，造成的一切后果，由投标人自行承担。</w:t>
      </w:r>
    </w:p>
    <w:p w14:paraId="160D3881">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.2在线响应（电子响应）具体操作流程参考《政府采购项目电子交易管理操作指南-供应商》（详见桂林市政府采购网—采购资讯—重要通知）；如遇平台技术问题详询</w:t>
      </w:r>
      <w:r>
        <w:rPr>
          <w:rFonts w:hint="eastAsia" w:ascii="宋体" w:hAnsi="宋体" w:eastAsia="宋体" w:cs="宋体"/>
          <w:color w:val="auto"/>
          <w:kern w:val="2"/>
          <w:sz w:val="21"/>
          <w:szCs w:val="21"/>
          <w:highlight w:val="none"/>
          <w:lang w:eastAsia="zh-CN"/>
        </w:rPr>
        <w:t>95763</w:t>
      </w:r>
      <w:r>
        <w:rPr>
          <w:rFonts w:hint="eastAsia" w:ascii="宋体" w:hAnsi="宋体" w:eastAsia="宋体" w:cs="宋体"/>
          <w:color w:val="auto"/>
          <w:kern w:val="2"/>
          <w:sz w:val="21"/>
          <w:szCs w:val="21"/>
          <w:highlight w:val="none"/>
        </w:rPr>
        <w:t>。</w:t>
      </w:r>
    </w:p>
    <w:p w14:paraId="0781C1C8">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七、对本次招标提出询问，请按以下方式联系</w:t>
      </w:r>
    </w:p>
    <w:p w14:paraId="5F763079">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 采购人信息：</w:t>
      </w:r>
    </w:p>
    <w:p w14:paraId="01092A64">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名 称：全州县林业局</w:t>
      </w:r>
    </w:p>
    <w:p w14:paraId="4AAA9703">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地 址：桂林市全州县桂黄北路12号     </w:t>
      </w:r>
    </w:p>
    <w:p w14:paraId="0A8BA2D9">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项目联系人：黄宝新</w:t>
      </w:r>
    </w:p>
    <w:p w14:paraId="3B0BF491">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项目联系方式：0773</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rPr>
        <w:t>4831186</w:t>
      </w:r>
    </w:p>
    <w:p w14:paraId="2651A672">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2.采购代理机构信息：</w:t>
      </w:r>
    </w:p>
    <w:p w14:paraId="1CB439A4">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名称：广西国兴项目管理有限公司  </w:t>
      </w:r>
    </w:p>
    <w:p w14:paraId="27ACD31A">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地址：临桂区临桂镇凤凰路13号金贸中心3-3#幢8层09号</w:t>
      </w:r>
    </w:p>
    <w:p w14:paraId="36ADECAE">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项目联系人：秦娟</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唐斌</w:t>
      </w:r>
      <w:r>
        <w:rPr>
          <w:rFonts w:hint="eastAsia" w:ascii="宋体" w:hAnsi="宋体" w:eastAsia="宋体" w:cs="宋体"/>
          <w:color w:val="auto"/>
          <w:kern w:val="2"/>
          <w:sz w:val="21"/>
          <w:szCs w:val="21"/>
          <w:highlight w:val="none"/>
        </w:rPr>
        <w:t xml:space="preserve">      </w:t>
      </w:r>
    </w:p>
    <w:p w14:paraId="3A2D1C8C">
      <w:pPr>
        <w:keepNext w:val="0"/>
        <w:keepLines w:val="0"/>
        <w:pageBreakBefore w:val="0"/>
        <w:widowControl w:val="0"/>
        <w:kinsoku/>
        <w:wordWrap/>
        <w:overflowPunct/>
        <w:topLinePunct w:val="0"/>
        <w:autoSpaceDE/>
        <w:autoSpaceDN/>
        <w:bidi w:val="0"/>
        <w:adjustRightInd/>
        <w:snapToGrid/>
        <w:spacing w:after="0" w:line="360" w:lineRule="auto"/>
        <w:ind w:firstLine="435"/>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项目联系方式：15296810982</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0773-3662108</w:t>
      </w:r>
    </w:p>
    <w:p w14:paraId="034D17D3">
      <w:pPr>
        <w:keepNext w:val="0"/>
        <w:keepLines w:val="0"/>
        <w:pageBreakBefore w:val="0"/>
        <w:widowControl w:val="0"/>
        <w:kinsoku/>
        <w:wordWrap/>
        <w:overflowPunct/>
        <w:topLinePunct w:val="0"/>
        <w:autoSpaceDE/>
        <w:autoSpaceDN/>
        <w:bidi w:val="0"/>
        <w:adjustRightInd/>
        <w:snapToGrid/>
        <w:spacing w:line="320" w:lineRule="exact"/>
        <w:ind w:right="480"/>
        <w:textAlignment w:val="auto"/>
        <w:rPr>
          <w:rFonts w:hint="eastAsia" w:ascii="宋体" w:hAnsi="宋体" w:eastAsia="宋体" w:cs="宋体"/>
          <w:color w:val="auto"/>
          <w:szCs w:val="21"/>
          <w:highlight w:val="none"/>
        </w:rPr>
      </w:pPr>
    </w:p>
    <w:p w14:paraId="304265F4">
      <w:pPr>
        <w:pStyle w:val="23"/>
        <w:rPr>
          <w:rFonts w:hint="eastAsia"/>
          <w:color w:val="auto"/>
        </w:rPr>
      </w:pPr>
    </w:p>
    <w:p w14:paraId="7C93594A">
      <w:pPr>
        <w:keepNext w:val="0"/>
        <w:keepLines w:val="0"/>
        <w:pageBreakBefore w:val="0"/>
        <w:widowControl w:val="0"/>
        <w:kinsoku/>
        <w:wordWrap/>
        <w:overflowPunct/>
        <w:topLinePunct w:val="0"/>
        <w:autoSpaceDE/>
        <w:autoSpaceDN/>
        <w:bidi w:val="0"/>
        <w:adjustRightInd/>
        <w:snapToGrid/>
        <w:spacing w:line="320" w:lineRule="exact"/>
        <w:ind w:firstLine="2860" w:firstLineChars="1300"/>
        <w:jc w:val="center"/>
        <w:textAlignment w:val="auto"/>
        <w:rPr>
          <w:rFonts w:hint="eastAsia" w:ascii="宋体" w:hAnsi="宋体" w:eastAsia="宋体" w:cs="宋体"/>
          <w:b w:val="0"/>
          <w:bCs w:val="0"/>
          <w:color w:val="auto"/>
          <w:sz w:val="21"/>
          <w:szCs w:val="20"/>
          <w:highlight w:val="none"/>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 w:val="21"/>
          <w:szCs w:val="20"/>
          <w:highlight w:val="none"/>
          <w:lang w:val="en-US" w:eastAsia="zh-CN"/>
        </w:rPr>
        <w:t xml:space="preserve"> </w:t>
      </w:r>
      <w:r>
        <w:rPr>
          <w:rFonts w:hint="eastAsia" w:ascii="宋体" w:hAnsi="宋体" w:eastAsia="宋体" w:cs="宋体"/>
          <w:color w:val="auto"/>
          <w:sz w:val="21"/>
          <w:szCs w:val="20"/>
          <w:highlight w:val="none"/>
          <w:lang w:eastAsia="zh-CN"/>
        </w:rPr>
        <w:t>广西国兴项目管理有限公司</w:t>
      </w:r>
      <w:r>
        <w:rPr>
          <w:rFonts w:hint="eastAsia" w:ascii="宋体" w:hAnsi="宋体" w:eastAsia="宋体" w:cs="宋体"/>
          <w:color w:val="auto"/>
          <w:sz w:val="21"/>
          <w:szCs w:val="20"/>
          <w:highlight w:val="none"/>
        </w:rPr>
        <w:t xml:space="preserve">     </w:t>
      </w:r>
      <w:r>
        <w:rPr>
          <w:rFonts w:hint="eastAsia" w:ascii="宋体" w:hAnsi="宋体" w:eastAsia="宋体" w:cs="宋体"/>
          <w:b/>
          <w:bCs/>
          <w:color w:val="auto"/>
          <w:sz w:val="21"/>
          <w:szCs w:val="20"/>
          <w:highlight w:val="none"/>
        </w:rPr>
        <w:t xml:space="preserve"> </w:t>
      </w:r>
      <w:r>
        <w:rPr>
          <w:rFonts w:hint="eastAsia" w:ascii="宋体" w:hAnsi="宋体" w:eastAsia="宋体" w:cs="宋体"/>
          <w:b w:val="0"/>
          <w:bCs w:val="0"/>
          <w:color w:val="auto"/>
          <w:sz w:val="21"/>
          <w:szCs w:val="20"/>
          <w:highlight w:val="none"/>
        </w:rPr>
        <w:t xml:space="preserve">  </w:t>
      </w:r>
    </w:p>
    <w:p w14:paraId="54553891">
      <w:pPr>
        <w:keepNext w:val="0"/>
        <w:keepLines w:val="0"/>
        <w:pageBreakBefore w:val="0"/>
        <w:widowControl w:val="0"/>
        <w:kinsoku/>
        <w:wordWrap/>
        <w:overflowPunct/>
        <w:topLinePunct w:val="0"/>
        <w:autoSpaceDE/>
        <w:autoSpaceDN/>
        <w:bidi w:val="0"/>
        <w:adjustRightInd/>
        <w:snapToGrid/>
        <w:spacing w:line="320" w:lineRule="exact"/>
        <w:ind w:firstLine="2730" w:firstLineChars="1300"/>
        <w:jc w:val="center"/>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color w:val="auto"/>
          <w:sz w:val="21"/>
          <w:szCs w:val="20"/>
          <w:highlight w:val="none"/>
          <w:lang w:val="en-US" w:eastAsia="zh-CN"/>
        </w:rPr>
        <w:t xml:space="preserve">                   </w:t>
      </w:r>
      <w:r>
        <w:rPr>
          <w:rFonts w:hint="eastAsia" w:ascii="宋体" w:hAnsi="宋体" w:eastAsia="宋体" w:cs="宋体"/>
          <w:b w:val="0"/>
          <w:bCs w:val="0"/>
          <w:color w:val="auto"/>
          <w:sz w:val="21"/>
          <w:szCs w:val="20"/>
          <w:highlight w:val="none"/>
        </w:rPr>
        <w:t>202</w:t>
      </w:r>
      <w:r>
        <w:rPr>
          <w:rFonts w:hint="eastAsia" w:ascii="宋体" w:hAnsi="宋体" w:eastAsia="宋体" w:cs="宋体"/>
          <w:b w:val="0"/>
          <w:bCs w:val="0"/>
          <w:color w:val="auto"/>
          <w:sz w:val="21"/>
          <w:szCs w:val="20"/>
          <w:highlight w:val="none"/>
          <w:lang w:val="en-US" w:eastAsia="zh-CN"/>
        </w:rPr>
        <w:t>4</w:t>
      </w:r>
      <w:r>
        <w:rPr>
          <w:rFonts w:hint="eastAsia" w:ascii="宋体" w:hAnsi="宋体" w:eastAsia="宋体" w:cs="宋体"/>
          <w:b w:val="0"/>
          <w:bCs w:val="0"/>
          <w:color w:val="auto"/>
          <w:sz w:val="21"/>
          <w:szCs w:val="20"/>
          <w:highlight w:val="none"/>
        </w:rPr>
        <w:t>年</w:t>
      </w:r>
      <w:r>
        <w:rPr>
          <w:rFonts w:hint="eastAsia" w:ascii="宋体" w:hAnsi="宋体" w:eastAsia="宋体" w:cs="宋体"/>
          <w:b w:val="0"/>
          <w:bCs w:val="0"/>
          <w:color w:val="auto"/>
          <w:sz w:val="21"/>
          <w:szCs w:val="20"/>
          <w:highlight w:val="none"/>
          <w:lang w:val="en-US" w:eastAsia="zh-CN"/>
        </w:rPr>
        <w:t xml:space="preserve">10 </w:t>
      </w:r>
      <w:r>
        <w:rPr>
          <w:rFonts w:hint="eastAsia" w:ascii="宋体" w:hAnsi="宋体" w:eastAsia="宋体" w:cs="宋体"/>
          <w:b w:val="0"/>
          <w:bCs w:val="0"/>
          <w:color w:val="auto"/>
          <w:sz w:val="21"/>
          <w:szCs w:val="20"/>
          <w:highlight w:val="none"/>
        </w:rPr>
        <w:t>月</w:t>
      </w:r>
      <w:r>
        <w:rPr>
          <w:rFonts w:hint="eastAsia" w:ascii="宋体" w:hAnsi="宋体" w:eastAsia="宋体" w:cs="宋体"/>
          <w:b w:val="0"/>
          <w:bCs w:val="0"/>
          <w:color w:val="auto"/>
          <w:sz w:val="21"/>
          <w:szCs w:val="20"/>
          <w:highlight w:val="none"/>
          <w:lang w:val="en-US" w:eastAsia="zh-CN"/>
        </w:rPr>
        <w:t xml:space="preserve"> 30 </w:t>
      </w:r>
      <w:r>
        <w:rPr>
          <w:rFonts w:hint="eastAsia" w:ascii="宋体" w:hAnsi="宋体" w:eastAsia="宋体" w:cs="宋体"/>
          <w:b w:val="0"/>
          <w:bCs w:val="0"/>
          <w:color w:val="auto"/>
          <w:sz w:val="21"/>
          <w:szCs w:val="20"/>
          <w:highlight w:val="none"/>
        </w:rPr>
        <w:t>日</w:t>
      </w:r>
      <w:r>
        <w:rPr>
          <w:rFonts w:hint="eastAsia" w:ascii="宋体" w:hAnsi="宋体" w:eastAsia="宋体" w:cs="宋体"/>
          <w:b/>
          <w:color w:val="auto"/>
          <w:sz w:val="32"/>
          <w:szCs w:val="32"/>
          <w:highlight w:val="none"/>
        </w:rPr>
        <w:br w:type="page"/>
      </w:r>
    </w:p>
    <w:p w14:paraId="11415325">
      <w:pPr>
        <w:spacing w:line="340" w:lineRule="exact"/>
        <w:jc w:val="center"/>
        <w:outlineLvl w:val="0"/>
        <w:rPr>
          <w:rFonts w:hint="eastAsia" w:ascii="宋体" w:hAnsi="宋体" w:eastAsia="宋体" w:cs="宋体"/>
          <w:b/>
          <w:color w:val="auto"/>
          <w:sz w:val="32"/>
          <w:szCs w:val="32"/>
          <w:highlight w:val="none"/>
        </w:rPr>
      </w:pPr>
      <w:bookmarkStart w:id="1" w:name="_Toc15224"/>
      <w:r>
        <w:rPr>
          <w:rFonts w:hint="eastAsia" w:ascii="宋体" w:hAnsi="宋体" w:eastAsia="宋体" w:cs="宋体"/>
          <w:b/>
          <w:color w:val="auto"/>
          <w:sz w:val="32"/>
          <w:szCs w:val="32"/>
          <w:highlight w:val="none"/>
        </w:rPr>
        <w:t>第二章  投标人须知</w:t>
      </w:r>
      <w:bookmarkEnd w:id="1"/>
    </w:p>
    <w:p w14:paraId="541685F2">
      <w:pPr>
        <w:tabs>
          <w:tab w:val="left" w:pos="1065"/>
          <w:tab w:val="center" w:pos="4411"/>
        </w:tabs>
        <w:spacing w:line="4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 标 人 须 知 前 附 表</w:t>
      </w:r>
    </w:p>
    <w:tbl>
      <w:tblPr>
        <w:tblStyle w:val="19"/>
        <w:tblW w:w="10117" w:type="dxa"/>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2"/>
        <w:gridCol w:w="1418"/>
        <w:gridCol w:w="7032"/>
      </w:tblGrid>
      <w:tr w14:paraId="2041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75" w:type="dxa"/>
            <w:noWrap w:val="0"/>
            <w:vAlign w:val="center"/>
          </w:tcPr>
          <w:p w14:paraId="27186ED9">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92" w:type="dxa"/>
            <w:noWrap w:val="0"/>
            <w:vAlign w:val="center"/>
          </w:tcPr>
          <w:p w14:paraId="185079CF">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1418" w:type="dxa"/>
            <w:noWrap w:val="0"/>
            <w:vAlign w:val="center"/>
          </w:tcPr>
          <w:p w14:paraId="43A7EBE7">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7032" w:type="dxa"/>
            <w:noWrap w:val="0"/>
            <w:vAlign w:val="center"/>
          </w:tcPr>
          <w:p w14:paraId="16492F56">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14:paraId="0C75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noWrap w:val="0"/>
            <w:vAlign w:val="center"/>
          </w:tcPr>
          <w:p w14:paraId="2A8B58D4">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92" w:type="dxa"/>
            <w:noWrap w:val="0"/>
            <w:vAlign w:val="center"/>
          </w:tcPr>
          <w:p w14:paraId="060E56FB">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18" w:type="dxa"/>
            <w:noWrap w:val="0"/>
            <w:vAlign w:val="center"/>
          </w:tcPr>
          <w:p w14:paraId="1548469F">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项目名称及项目编号</w:t>
            </w:r>
          </w:p>
        </w:tc>
        <w:tc>
          <w:tcPr>
            <w:tcW w:w="7032" w:type="dxa"/>
            <w:noWrap w:val="0"/>
            <w:vAlign w:val="center"/>
          </w:tcPr>
          <w:p w14:paraId="478B2290">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项目名称：</w:t>
            </w:r>
            <w:r>
              <w:rPr>
                <w:rFonts w:hint="eastAsia" w:ascii="宋体" w:hAnsi="宋体" w:eastAsia="宋体" w:cs="宋体"/>
                <w:color w:val="auto"/>
                <w:kern w:val="2"/>
                <w:sz w:val="21"/>
                <w:szCs w:val="21"/>
                <w:highlight w:val="none"/>
                <w:lang w:eastAsia="zh-CN"/>
              </w:rPr>
              <w:t>全州县2023-2026年松材线虫病疫情防控绩效承包项目</w:t>
            </w:r>
            <w:r>
              <w:rPr>
                <w:rFonts w:hint="eastAsia" w:ascii="宋体" w:hAnsi="宋体" w:eastAsia="宋体" w:cs="宋体"/>
                <w:color w:val="auto"/>
                <w:kern w:val="2"/>
                <w:sz w:val="21"/>
                <w:szCs w:val="21"/>
                <w:highlight w:val="none"/>
              </w:rPr>
              <w:t xml:space="preserve"> </w:t>
            </w:r>
          </w:p>
          <w:p w14:paraId="4964AF59">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2"/>
                <w:sz w:val="21"/>
                <w:szCs w:val="21"/>
                <w:highlight w:val="none"/>
              </w:rPr>
              <w:t>项目编号：GLZC2024-G3-240255-GXGX</w:t>
            </w:r>
          </w:p>
        </w:tc>
      </w:tr>
      <w:tr w14:paraId="4489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75" w:type="dxa"/>
            <w:noWrap w:val="0"/>
            <w:vAlign w:val="center"/>
          </w:tcPr>
          <w:p w14:paraId="68A7D62C">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92" w:type="dxa"/>
            <w:noWrap w:val="0"/>
            <w:vAlign w:val="center"/>
          </w:tcPr>
          <w:p w14:paraId="0D0BF57A">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418" w:type="dxa"/>
            <w:noWrap w:val="0"/>
            <w:vAlign w:val="center"/>
          </w:tcPr>
          <w:p w14:paraId="7664687F">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投标人资格</w:t>
            </w:r>
          </w:p>
        </w:tc>
        <w:tc>
          <w:tcPr>
            <w:tcW w:w="7032" w:type="dxa"/>
            <w:noWrap w:val="0"/>
            <w:vAlign w:val="center"/>
          </w:tcPr>
          <w:p w14:paraId="311CA473">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5.1满足《中华人民共和国政府采购法》第二十二条规定；</w:t>
            </w:r>
          </w:p>
          <w:p w14:paraId="6A221D97">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5.2落实政府采购政策需满足的资格要求：</w:t>
            </w:r>
            <w:r>
              <w:rPr>
                <w:rFonts w:hint="eastAsia" w:ascii="宋体" w:hAnsi="宋体" w:eastAsia="宋体" w:cs="宋体"/>
                <w:color w:val="auto"/>
                <w:kern w:val="2"/>
                <w:sz w:val="21"/>
                <w:szCs w:val="21"/>
                <w:highlight w:val="none"/>
                <w:lang w:val="en-US" w:eastAsia="zh-CN"/>
              </w:rPr>
              <w:t>无；</w:t>
            </w:r>
          </w:p>
          <w:p w14:paraId="532435BF">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2"/>
                <w:sz w:val="21"/>
                <w:szCs w:val="21"/>
                <w:highlight w:val="none"/>
              </w:rPr>
              <w:t>5.3本项目的特定资格要求：</w:t>
            </w:r>
            <w:r>
              <w:rPr>
                <w:rFonts w:hint="eastAsia" w:ascii="宋体" w:hAnsi="宋体" w:eastAsia="宋体" w:cs="宋体"/>
                <w:color w:val="auto"/>
                <w:kern w:val="2"/>
                <w:sz w:val="21"/>
                <w:szCs w:val="21"/>
                <w:highlight w:val="none"/>
                <w:lang w:val="en-US" w:eastAsia="zh-CN"/>
              </w:rPr>
              <w:t>无。</w:t>
            </w:r>
          </w:p>
        </w:tc>
      </w:tr>
      <w:tr w14:paraId="425B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noWrap w:val="0"/>
            <w:vAlign w:val="center"/>
          </w:tcPr>
          <w:p w14:paraId="410C83D5">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92" w:type="dxa"/>
            <w:noWrap w:val="0"/>
            <w:vAlign w:val="center"/>
          </w:tcPr>
          <w:p w14:paraId="3DD1FE08">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418" w:type="dxa"/>
            <w:noWrap w:val="0"/>
            <w:vAlign w:val="center"/>
          </w:tcPr>
          <w:p w14:paraId="7B3E7718">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投标费用</w:t>
            </w:r>
          </w:p>
        </w:tc>
        <w:tc>
          <w:tcPr>
            <w:tcW w:w="7032" w:type="dxa"/>
            <w:noWrap w:val="0"/>
            <w:vAlign w:val="center"/>
          </w:tcPr>
          <w:p w14:paraId="1717DC11">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本项目实行网上评审，采用电子投标文件；若投标人参与项目投标的，不论投标结果如何，均应自行承担所有与投标有关的全部费用。</w:t>
            </w:r>
          </w:p>
        </w:tc>
      </w:tr>
      <w:tr w14:paraId="1886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noWrap w:val="0"/>
            <w:vAlign w:val="center"/>
          </w:tcPr>
          <w:p w14:paraId="54B77C77">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92" w:type="dxa"/>
            <w:noWrap w:val="0"/>
            <w:vAlign w:val="center"/>
          </w:tcPr>
          <w:p w14:paraId="00850F9A">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15</w:t>
            </w:r>
          </w:p>
        </w:tc>
        <w:tc>
          <w:tcPr>
            <w:tcW w:w="1418" w:type="dxa"/>
            <w:noWrap w:val="0"/>
            <w:vAlign w:val="center"/>
          </w:tcPr>
          <w:p w14:paraId="747859A8">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投标报价及采购预算金额</w:t>
            </w:r>
          </w:p>
        </w:tc>
        <w:tc>
          <w:tcPr>
            <w:tcW w:w="7032" w:type="dxa"/>
            <w:noWrap w:val="0"/>
            <w:vAlign w:val="center"/>
          </w:tcPr>
          <w:p w14:paraId="4F97E4B6">
            <w:pPr>
              <w:widowControl w:val="0"/>
              <w:adjustRightInd/>
              <w:snapToGrid/>
              <w:spacing w:after="0" w:line="380" w:lineRule="exact"/>
              <w:ind w:firstLine="435"/>
              <w:jc w:val="both"/>
              <w:rPr>
                <w:rFonts w:hint="eastAsia" w:ascii="宋体" w:hAnsi="宋体" w:eastAsia="宋体" w:cs="宋体"/>
                <w:b w:val="0"/>
                <w:bCs w:val="0"/>
                <w:color w:val="auto"/>
                <w:kern w:val="2"/>
                <w:sz w:val="21"/>
                <w:szCs w:val="21"/>
                <w:highlight w:val="none"/>
              </w:rPr>
            </w:pPr>
            <w:r>
              <w:rPr>
                <w:rFonts w:hint="eastAsia" w:ascii="宋体" w:hAnsi="宋体" w:eastAsia="宋体" w:cs="宋体"/>
                <w:color w:val="auto"/>
                <w:sz w:val="21"/>
                <w:szCs w:val="21"/>
                <w:highlight w:val="none"/>
                <w:lang w:val="en-US" w:eastAsia="zh-CN"/>
              </w:rPr>
              <w:t>15.1</w:t>
            </w:r>
            <w:r>
              <w:rPr>
                <w:rFonts w:hint="eastAsia" w:ascii="宋体" w:hAnsi="宋体" w:eastAsia="宋体" w:cs="宋体"/>
                <w:color w:val="auto"/>
                <w:sz w:val="21"/>
                <w:szCs w:val="21"/>
                <w:highlight w:val="none"/>
              </w:rPr>
              <w:t>本项目</w:t>
            </w:r>
            <w:r>
              <w:rPr>
                <w:rFonts w:hint="eastAsia" w:ascii="宋体" w:hAnsi="宋体" w:eastAsia="宋体" w:cs="宋体"/>
                <w:b/>
                <w:bCs/>
                <w:color w:val="auto"/>
                <w:sz w:val="21"/>
                <w:szCs w:val="21"/>
                <w:highlight w:val="none"/>
              </w:rPr>
              <w:t>采购预算金额：人民币</w:t>
            </w:r>
            <w:r>
              <w:rPr>
                <w:rFonts w:hint="eastAsia" w:ascii="宋体" w:hAnsi="宋体" w:eastAsia="宋体" w:cs="宋体"/>
                <w:b/>
                <w:bCs/>
                <w:color w:val="auto"/>
                <w:sz w:val="21"/>
                <w:szCs w:val="21"/>
                <w:highlight w:val="none"/>
                <w:lang w:val="en-US" w:eastAsia="zh-CN"/>
              </w:rPr>
              <w:t>肆仟肆佰柒拾壹万壹仟壹佰肆拾元整（￥44711140.00</w:t>
            </w:r>
            <w:r>
              <w:rPr>
                <w:rFonts w:hint="eastAsia" w:ascii="宋体" w:hAnsi="宋体" w:eastAsia="宋体" w:cs="宋体"/>
                <w:b/>
                <w:bCs/>
                <w:color w:val="auto"/>
                <w:sz w:val="21"/>
                <w:szCs w:val="21"/>
                <w:highlight w:val="none"/>
              </w:rPr>
              <w:t>元</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，投标报价超出采购预算金额的，作投标无效处理。</w:t>
            </w:r>
          </w:p>
          <w:p w14:paraId="05622CD3">
            <w:pPr>
              <w:widowControl w:val="0"/>
              <w:adjustRightInd/>
              <w:snapToGrid/>
              <w:spacing w:after="0" w:line="380" w:lineRule="exact"/>
              <w:ind w:firstLine="435"/>
              <w:jc w:val="both"/>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15.2投标报价</w:t>
            </w:r>
          </w:p>
          <w:p w14:paraId="574536D6">
            <w:pPr>
              <w:widowControl w:val="0"/>
              <w:adjustRightInd/>
              <w:snapToGrid/>
              <w:spacing w:after="0" w:line="380" w:lineRule="exact"/>
              <w:ind w:firstLine="435"/>
              <w:jc w:val="both"/>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15.2.1投标报价必须按招标文件中第六章“投标文件（格式）”填写，投标报价超过采购预算金额的，投标文件按无效处理。</w:t>
            </w:r>
          </w:p>
          <w:p w14:paraId="03948E1E">
            <w:pPr>
              <w:widowControl w:val="0"/>
              <w:adjustRightInd/>
              <w:snapToGrid/>
              <w:spacing w:after="0" w:line="380" w:lineRule="exact"/>
              <w:ind w:firstLine="435"/>
              <w:jc w:val="both"/>
              <w:rPr>
                <w:rFonts w:hint="eastAsia" w:ascii="宋体" w:hAnsi="宋体" w:eastAsia="宋体" w:cs="宋体"/>
                <w:color w:val="auto"/>
                <w:sz w:val="21"/>
                <w:szCs w:val="21"/>
              </w:rPr>
            </w:pPr>
            <w:r>
              <w:rPr>
                <w:rFonts w:hint="eastAsia" w:ascii="宋体" w:hAnsi="宋体" w:eastAsia="宋体" w:cs="宋体"/>
                <w:b w:val="0"/>
                <w:bCs w:val="0"/>
                <w:color w:val="auto"/>
                <w:kern w:val="2"/>
                <w:sz w:val="21"/>
                <w:szCs w:val="21"/>
                <w:highlight w:val="none"/>
              </w:rPr>
              <w:t>15.2.2投标人必须就《服务采购需求》中所列所有内容作完整唯一报价，否则，其投标将被拒绝；投标文件只允许有一个报价，有选择的或有条件的报价将不予接受。</w:t>
            </w:r>
          </w:p>
        </w:tc>
      </w:tr>
      <w:tr w14:paraId="1D6B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noWrap w:val="0"/>
            <w:vAlign w:val="center"/>
          </w:tcPr>
          <w:p w14:paraId="0CB4959F">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92" w:type="dxa"/>
            <w:noWrap w:val="0"/>
            <w:vAlign w:val="center"/>
          </w:tcPr>
          <w:p w14:paraId="24CAA297">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w:t>
            </w:r>
          </w:p>
        </w:tc>
        <w:tc>
          <w:tcPr>
            <w:tcW w:w="1418" w:type="dxa"/>
            <w:noWrap w:val="0"/>
            <w:vAlign w:val="center"/>
          </w:tcPr>
          <w:p w14:paraId="2CB9D844">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7032" w:type="dxa"/>
            <w:noWrap w:val="0"/>
            <w:vAlign w:val="center"/>
          </w:tcPr>
          <w:p w14:paraId="371F3A31">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投标截止时间之日起90天，有效期不足的投标文件将被拒绝。</w:t>
            </w:r>
          </w:p>
        </w:tc>
      </w:tr>
      <w:tr w14:paraId="6F2C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noWrap w:val="0"/>
            <w:vAlign w:val="center"/>
          </w:tcPr>
          <w:p w14:paraId="31C0D2F4">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92" w:type="dxa"/>
            <w:noWrap w:val="0"/>
            <w:vAlign w:val="center"/>
          </w:tcPr>
          <w:p w14:paraId="272486C4">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1418" w:type="dxa"/>
            <w:noWrap w:val="0"/>
            <w:vAlign w:val="center"/>
          </w:tcPr>
          <w:p w14:paraId="5F42328D">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投标文件的制作</w:t>
            </w:r>
          </w:p>
        </w:tc>
        <w:tc>
          <w:tcPr>
            <w:tcW w:w="7032" w:type="dxa"/>
            <w:noWrap w:val="0"/>
            <w:vAlign w:val="center"/>
          </w:tcPr>
          <w:p w14:paraId="683B345E">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17.1 电子投标文件中须加盖投标人公章部分均采用 CA 电子签章，并根据“政府采购项目电子交易管理操作指南-供应商” 及本招标文件规定的格式和顺序编制电子投标文件并进行关联定位，以便评标委员会在评审时，点击评审项可直接定位到该评审项内容。如对招标文件的某项要求，投标人的电子投标文件未能关联定位提供相应的内容与其对应，则评标委员会在评审时如做出对投标人不利的评审判断或结果由投标人自行承担。电子投标文件如内容不完整、编排混乱导致投标文件被误读、 漏读，或者在按招标文件规定的部位查找不到相关内容的，由投标人自行承担。</w:t>
            </w:r>
          </w:p>
          <w:p w14:paraId="34296178">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17.2 投标人的法定代表人（负责人）或授权代表持有</w:t>
            </w:r>
            <w:r>
              <w:rPr>
                <w:rFonts w:hint="eastAsia" w:ascii="宋体" w:hAnsi="宋体" w:eastAsia="宋体" w:cs="宋体"/>
                <w:b w:val="0"/>
                <w:bCs w:val="0"/>
                <w:color w:val="auto"/>
                <w:kern w:val="2"/>
                <w:sz w:val="21"/>
                <w:szCs w:val="21"/>
                <w:highlight w:val="none"/>
                <w:lang w:eastAsia="zh-CN"/>
              </w:rPr>
              <w:t>广西政府采购云平台</w:t>
            </w:r>
            <w:r>
              <w:rPr>
                <w:rFonts w:hint="eastAsia" w:ascii="宋体" w:hAnsi="宋体" w:eastAsia="宋体" w:cs="宋体"/>
                <w:b w:val="0"/>
                <w:bCs w:val="0"/>
                <w:color w:val="auto"/>
                <w:kern w:val="2"/>
                <w:sz w:val="21"/>
                <w:szCs w:val="21"/>
                <w:highlight w:val="none"/>
              </w:rPr>
              <w:t>个人CA签章的，应在投标文件中涉及到签字的位置使用个人CA签章，没有办理</w:t>
            </w:r>
            <w:r>
              <w:rPr>
                <w:rFonts w:hint="eastAsia" w:ascii="宋体" w:hAnsi="宋体" w:eastAsia="宋体" w:cs="宋体"/>
                <w:b w:val="0"/>
                <w:bCs w:val="0"/>
                <w:color w:val="auto"/>
                <w:kern w:val="2"/>
                <w:sz w:val="21"/>
                <w:szCs w:val="21"/>
                <w:highlight w:val="none"/>
                <w:lang w:eastAsia="zh-CN"/>
              </w:rPr>
              <w:t>广西政府采购云平台</w:t>
            </w:r>
            <w:r>
              <w:rPr>
                <w:rFonts w:hint="eastAsia" w:ascii="宋体" w:hAnsi="宋体" w:eastAsia="宋体" w:cs="宋体"/>
                <w:b w:val="0"/>
                <w:bCs w:val="0"/>
                <w:color w:val="auto"/>
                <w:kern w:val="2"/>
                <w:sz w:val="21"/>
                <w:szCs w:val="21"/>
                <w:highlight w:val="none"/>
              </w:rPr>
              <w:t xml:space="preserve">个人CA签章的可在投标文件中涉及到签字的位置手写签字后扫描或者拍照做成 PDF 的格式上传即可。 </w:t>
            </w:r>
          </w:p>
          <w:p w14:paraId="418C344E">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17.3 投标文件不得涂改，若有修改错漏处，须由法定代表人（负责人）或授权委托人签字（或个人CA签章）。投标文件因字迹潦草或表达不清所引起的后果由投标人负责。</w:t>
            </w:r>
          </w:p>
          <w:p w14:paraId="233F5B71">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17.4特别说明：</w:t>
            </w:r>
          </w:p>
          <w:p w14:paraId="29372922">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17.4.1各投标人应在投标截止前确保成为</w:t>
            </w:r>
            <w:r>
              <w:rPr>
                <w:rFonts w:hint="eastAsia" w:ascii="宋体" w:hAnsi="宋体" w:eastAsia="宋体" w:cs="宋体"/>
                <w:b w:val="0"/>
                <w:bCs w:val="0"/>
                <w:color w:val="auto"/>
                <w:kern w:val="2"/>
                <w:sz w:val="21"/>
                <w:szCs w:val="21"/>
                <w:highlight w:val="none"/>
                <w:lang w:eastAsia="zh-CN"/>
              </w:rPr>
              <w:t>广西政府采购云平台</w:t>
            </w:r>
            <w:r>
              <w:rPr>
                <w:rFonts w:hint="eastAsia" w:ascii="宋体" w:hAnsi="宋体" w:eastAsia="宋体" w:cs="宋体"/>
                <w:b w:val="0"/>
                <w:bCs w:val="0"/>
                <w:color w:val="auto"/>
                <w:kern w:val="2"/>
                <w:sz w:val="21"/>
                <w:szCs w:val="21"/>
                <w:highlight w:val="none"/>
              </w:rPr>
              <w:t xml:space="preserve">平台正式注册入库供应商，并完成CA数字证书申领。因未注册入库、未办理CA数字证书等原因造成无法投标或投标失败等后果由投标人自行承担。 </w:t>
            </w:r>
          </w:p>
          <w:p w14:paraId="4A2FBE6F">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val="0"/>
                <w:bCs w:val="0"/>
                <w:color w:val="auto"/>
                <w:kern w:val="2"/>
                <w:sz w:val="21"/>
                <w:szCs w:val="21"/>
                <w:highlight w:val="none"/>
              </w:rPr>
              <w:t>17.4.2投标人将</w:t>
            </w:r>
            <w:r>
              <w:rPr>
                <w:rFonts w:hint="eastAsia" w:ascii="宋体" w:hAnsi="宋体" w:eastAsia="宋体" w:cs="宋体"/>
                <w:b w:val="0"/>
                <w:bCs w:val="0"/>
                <w:color w:val="auto"/>
                <w:kern w:val="2"/>
                <w:sz w:val="21"/>
                <w:szCs w:val="21"/>
                <w:highlight w:val="none"/>
                <w:lang w:eastAsia="zh-CN"/>
              </w:rPr>
              <w:t>广西政府采购云平台</w:t>
            </w:r>
            <w:r>
              <w:rPr>
                <w:rFonts w:hint="eastAsia" w:ascii="宋体" w:hAnsi="宋体" w:eastAsia="宋体" w:cs="宋体"/>
                <w:b w:val="0"/>
                <w:bCs w:val="0"/>
                <w:color w:val="auto"/>
                <w:kern w:val="2"/>
                <w:sz w:val="21"/>
                <w:szCs w:val="21"/>
                <w:highlight w:val="none"/>
              </w:rPr>
              <w:t>电子交易客户端下载、安装完成后，可通过账号密码或CA登录客户端进行投标文件制作。客户端请至网站下载专区查看，如有问题可拨打</w:t>
            </w:r>
            <w:r>
              <w:rPr>
                <w:rFonts w:hint="eastAsia" w:ascii="宋体" w:hAnsi="宋体" w:eastAsia="宋体" w:cs="宋体"/>
                <w:b w:val="0"/>
                <w:bCs w:val="0"/>
                <w:color w:val="auto"/>
                <w:kern w:val="2"/>
                <w:sz w:val="21"/>
                <w:szCs w:val="21"/>
                <w:highlight w:val="none"/>
                <w:lang w:eastAsia="zh-CN"/>
              </w:rPr>
              <w:t>广西政府采购云平台</w:t>
            </w:r>
            <w:r>
              <w:rPr>
                <w:rFonts w:hint="eastAsia" w:ascii="宋体" w:hAnsi="宋体" w:eastAsia="宋体" w:cs="宋体"/>
                <w:b w:val="0"/>
                <w:bCs w:val="0"/>
                <w:color w:val="auto"/>
                <w:kern w:val="2"/>
                <w:sz w:val="21"/>
                <w:szCs w:val="21"/>
                <w:highlight w:val="none"/>
              </w:rPr>
              <w:t xml:space="preserve">客户服务热线 </w:t>
            </w:r>
            <w:r>
              <w:rPr>
                <w:rFonts w:hint="eastAsia" w:ascii="宋体" w:hAnsi="宋体" w:eastAsia="宋体" w:cs="宋体"/>
                <w:b w:val="0"/>
                <w:bCs w:val="0"/>
                <w:color w:val="auto"/>
                <w:kern w:val="2"/>
                <w:sz w:val="21"/>
                <w:szCs w:val="21"/>
                <w:highlight w:val="none"/>
                <w:lang w:eastAsia="zh-CN"/>
              </w:rPr>
              <w:t>95763</w:t>
            </w:r>
            <w:r>
              <w:rPr>
                <w:rFonts w:hint="eastAsia" w:ascii="宋体" w:hAnsi="宋体" w:eastAsia="宋体" w:cs="宋体"/>
                <w:b w:val="0"/>
                <w:bCs w:val="0"/>
                <w:color w:val="auto"/>
                <w:kern w:val="2"/>
                <w:sz w:val="21"/>
                <w:szCs w:val="21"/>
                <w:highlight w:val="none"/>
              </w:rPr>
              <w:t xml:space="preserve"> 进行咨询。</w:t>
            </w:r>
          </w:p>
        </w:tc>
      </w:tr>
      <w:tr w14:paraId="6B20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noWrap w:val="0"/>
            <w:vAlign w:val="center"/>
          </w:tcPr>
          <w:p w14:paraId="0D7A8D86">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992" w:type="dxa"/>
            <w:noWrap w:val="0"/>
            <w:vAlign w:val="center"/>
          </w:tcPr>
          <w:p w14:paraId="18C1CE67">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w:t>
            </w:r>
          </w:p>
        </w:tc>
        <w:tc>
          <w:tcPr>
            <w:tcW w:w="1418" w:type="dxa"/>
            <w:noWrap w:val="0"/>
            <w:vAlign w:val="center"/>
          </w:tcPr>
          <w:p w14:paraId="0152E745">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投标文件的补充、修改和撤回</w:t>
            </w:r>
          </w:p>
        </w:tc>
        <w:tc>
          <w:tcPr>
            <w:tcW w:w="7032" w:type="dxa"/>
            <w:noWrap w:val="0"/>
            <w:vAlign w:val="center"/>
          </w:tcPr>
          <w:p w14:paraId="58179B17">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18.1投标文件递交截止时间前可以撤回电子投标文件。补充或者修改电子投标文件的，应当先行撤回原文件，补充、修改后重新上传递交，在投标文件递交截止时间前未完成传输的，视为撤回投标文件。</w:t>
            </w:r>
          </w:p>
        </w:tc>
      </w:tr>
      <w:tr w14:paraId="11734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675" w:type="dxa"/>
            <w:noWrap w:val="0"/>
            <w:vAlign w:val="center"/>
          </w:tcPr>
          <w:p w14:paraId="1AD80857">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992" w:type="dxa"/>
            <w:noWrap w:val="0"/>
            <w:vAlign w:val="center"/>
          </w:tcPr>
          <w:p w14:paraId="38C2C7C6">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19.1</w:t>
            </w:r>
          </w:p>
        </w:tc>
        <w:tc>
          <w:tcPr>
            <w:tcW w:w="1418" w:type="dxa"/>
            <w:noWrap w:val="0"/>
            <w:vAlign w:val="center"/>
          </w:tcPr>
          <w:p w14:paraId="320F0F4A">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提交投标文件截止时间</w:t>
            </w:r>
          </w:p>
        </w:tc>
        <w:tc>
          <w:tcPr>
            <w:tcW w:w="7032" w:type="dxa"/>
            <w:noWrap w:val="0"/>
            <w:vAlign w:val="center"/>
          </w:tcPr>
          <w:p w14:paraId="62A37DA8">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color w:val="auto"/>
                <w:kern w:val="2"/>
                <w:sz w:val="21"/>
                <w:szCs w:val="21"/>
                <w:highlight w:val="none"/>
              </w:rPr>
              <w:t>提交投标文件截止时</w:t>
            </w:r>
            <w:r>
              <w:rPr>
                <w:rFonts w:hint="eastAsia" w:ascii="宋体" w:hAnsi="宋体" w:eastAsia="宋体" w:cs="宋体"/>
                <w:b w:val="0"/>
                <w:bCs w:val="0"/>
                <w:color w:val="auto"/>
                <w:kern w:val="2"/>
                <w:sz w:val="21"/>
                <w:szCs w:val="21"/>
                <w:highlight w:val="none"/>
              </w:rPr>
              <w:t>间：202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w:t>
            </w:r>
            <w:r>
              <w:rPr>
                <w:rFonts w:hint="eastAsia" w:ascii="宋体" w:hAnsi="宋体" w:eastAsia="宋体" w:cs="宋体"/>
                <w:b w:val="0"/>
                <w:bCs w:val="0"/>
                <w:color w:val="auto"/>
                <w:kern w:val="2"/>
                <w:sz w:val="21"/>
                <w:szCs w:val="21"/>
                <w:highlight w:val="none"/>
                <w:lang w:val="en-US" w:eastAsia="zh-CN"/>
              </w:rPr>
              <w:t xml:space="preserve">11 </w:t>
            </w:r>
            <w:r>
              <w:rPr>
                <w:rFonts w:hint="eastAsia" w:ascii="宋体" w:hAnsi="宋体" w:eastAsia="宋体" w:cs="宋体"/>
                <w:b w:val="0"/>
                <w:bCs w:val="0"/>
                <w:color w:val="auto"/>
                <w:kern w:val="2"/>
                <w:sz w:val="21"/>
                <w:szCs w:val="21"/>
                <w:highlight w:val="none"/>
              </w:rPr>
              <w:t>月</w:t>
            </w:r>
            <w:r>
              <w:rPr>
                <w:rFonts w:hint="eastAsia" w:ascii="宋体" w:hAnsi="宋体" w:eastAsia="宋体" w:cs="宋体"/>
                <w:b w:val="0"/>
                <w:bCs w:val="0"/>
                <w:color w:val="auto"/>
                <w:kern w:val="2"/>
                <w:sz w:val="21"/>
                <w:szCs w:val="21"/>
                <w:highlight w:val="none"/>
                <w:lang w:val="en-US" w:eastAsia="zh-CN"/>
              </w:rPr>
              <w:t xml:space="preserve"> 20 </w:t>
            </w:r>
            <w:r>
              <w:rPr>
                <w:rFonts w:hint="eastAsia" w:ascii="宋体" w:hAnsi="宋体" w:eastAsia="宋体" w:cs="宋体"/>
                <w:b w:val="0"/>
                <w:bCs w:val="0"/>
                <w:color w:val="auto"/>
                <w:kern w:val="2"/>
                <w:sz w:val="21"/>
                <w:szCs w:val="21"/>
                <w:highlight w:val="none"/>
              </w:rPr>
              <w:t>日</w:t>
            </w:r>
            <w:r>
              <w:rPr>
                <w:rFonts w:hint="eastAsia" w:ascii="宋体" w:hAnsi="宋体" w:eastAsia="宋体" w:cs="宋体"/>
                <w:b w:val="0"/>
                <w:bCs w:val="0"/>
                <w:color w:val="auto"/>
                <w:kern w:val="2"/>
                <w:sz w:val="21"/>
                <w:szCs w:val="21"/>
                <w:highlight w:val="none"/>
                <w:lang w:val="en-US" w:eastAsia="zh-CN"/>
              </w:rPr>
              <w:t>10</w:t>
            </w:r>
            <w:r>
              <w:rPr>
                <w:rFonts w:hint="eastAsia" w:ascii="宋体" w:hAnsi="宋体" w:eastAsia="宋体" w:cs="宋体"/>
                <w:b w:val="0"/>
                <w:bCs w:val="0"/>
                <w:color w:val="auto"/>
                <w:kern w:val="2"/>
                <w:sz w:val="21"/>
                <w:szCs w:val="21"/>
                <w:highlight w:val="none"/>
              </w:rPr>
              <w:t>时</w:t>
            </w:r>
            <w:r>
              <w:rPr>
                <w:rFonts w:hint="eastAsia" w:ascii="宋体" w:hAnsi="宋体" w:eastAsia="宋体" w:cs="宋体"/>
                <w:b w:val="0"/>
                <w:bCs w:val="0"/>
                <w:color w:val="auto"/>
                <w:kern w:val="2"/>
                <w:sz w:val="21"/>
                <w:szCs w:val="21"/>
                <w:highlight w:val="none"/>
                <w:lang w:val="en-US" w:eastAsia="zh-CN"/>
              </w:rPr>
              <w:t>0</w:t>
            </w:r>
            <w:r>
              <w:rPr>
                <w:rFonts w:hint="eastAsia" w:ascii="宋体" w:hAnsi="宋体" w:eastAsia="宋体" w:cs="宋体"/>
                <w:b w:val="0"/>
                <w:bCs w:val="0"/>
                <w:color w:val="auto"/>
                <w:kern w:val="2"/>
                <w:sz w:val="21"/>
                <w:szCs w:val="21"/>
                <w:highlight w:val="none"/>
              </w:rPr>
              <w:t>0分（北京时间）。</w:t>
            </w:r>
          </w:p>
          <w:p w14:paraId="38744862">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kern w:val="2"/>
                <w:sz w:val="21"/>
                <w:szCs w:val="21"/>
                <w:highlight w:val="none"/>
              </w:rPr>
              <w:t>投标人应于202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w:t>
            </w:r>
            <w:r>
              <w:rPr>
                <w:rFonts w:hint="eastAsia" w:ascii="宋体" w:hAnsi="宋体" w:eastAsia="宋体" w:cs="宋体"/>
                <w:b w:val="0"/>
                <w:bCs w:val="0"/>
                <w:color w:val="auto"/>
                <w:kern w:val="2"/>
                <w:sz w:val="21"/>
                <w:szCs w:val="21"/>
                <w:highlight w:val="none"/>
                <w:lang w:val="en-US" w:eastAsia="zh-CN"/>
              </w:rPr>
              <w:t xml:space="preserve"> 11 </w:t>
            </w:r>
            <w:r>
              <w:rPr>
                <w:rFonts w:hint="eastAsia" w:ascii="宋体" w:hAnsi="宋体" w:eastAsia="宋体" w:cs="宋体"/>
                <w:b w:val="0"/>
                <w:bCs w:val="0"/>
                <w:color w:val="auto"/>
                <w:kern w:val="2"/>
                <w:sz w:val="21"/>
                <w:szCs w:val="21"/>
                <w:highlight w:val="none"/>
              </w:rPr>
              <w:t>月</w:t>
            </w:r>
            <w:r>
              <w:rPr>
                <w:rFonts w:hint="eastAsia" w:ascii="宋体" w:hAnsi="宋体" w:eastAsia="宋体" w:cs="宋体"/>
                <w:b w:val="0"/>
                <w:bCs w:val="0"/>
                <w:color w:val="auto"/>
                <w:kern w:val="2"/>
                <w:sz w:val="21"/>
                <w:szCs w:val="21"/>
                <w:highlight w:val="none"/>
                <w:lang w:val="en-US" w:eastAsia="zh-CN"/>
              </w:rPr>
              <w:t xml:space="preserve"> 20 </w:t>
            </w:r>
            <w:r>
              <w:rPr>
                <w:rFonts w:hint="eastAsia" w:ascii="宋体" w:hAnsi="宋体" w:eastAsia="宋体" w:cs="宋体"/>
                <w:b w:val="0"/>
                <w:bCs w:val="0"/>
                <w:color w:val="auto"/>
                <w:kern w:val="2"/>
                <w:sz w:val="21"/>
                <w:szCs w:val="21"/>
                <w:highlight w:val="none"/>
              </w:rPr>
              <w:t>日</w:t>
            </w:r>
            <w:r>
              <w:rPr>
                <w:rFonts w:hint="eastAsia" w:ascii="宋体" w:hAnsi="宋体" w:eastAsia="宋体" w:cs="宋体"/>
                <w:b w:val="0"/>
                <w:bCs w:val="0"/>
                <w:color w:val="auto"/>
                <w:kern w:val="2"/>
                <w:sz w:val="21"/>
                <w:szCs w:val="21"/>
                <w:highlight w:val="none"/>
                <w:lang w:val="en-US" w:eastAsia="zh-CN"/>
              </w:rPr>
              <w:t>10</w:t>
            </w:r>
            <w:r>
              <w:rPr>
                <w:rFonts w:hint="eastAsia" w:ascii="宋体" w:hAnsi="宋体" w:eastAsia="宋体" w:cs="宋体"/>
                <w:color w:val="auto"/>
                <w:kern w:val="2"/>
                <w:sz w:val="21"/>
                <w:szCs w:val="21"/>
                <w:highlight w:val="none"/>
              </w:rPr>
              <w:t>时</w:t>
            </w:r>
            <w:r>
              <w:rPr>
                <w:rFonts w:hint="eastAsia" w:ascii="宋体" w:hAnsi="宋体" w:eastAsia="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rPr>
              <w:t>0分（北京时间）之前将电子投标文件上传到广西政府采购云平台，并按照本项目招标文件要求和</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平台要求编制、制作、加密传输投标文件。投标人在使用系统进行投标的过程中遇到涉及平台使用的任何问题，可致电</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平台技术支持热线咨询，联系方式：</w:t>
            </w:r>
            <w:r>
              <w:rPr>
                <w:rFonts w:hint="eastAsia" w:ascii="宋体" w:hAnsi="宋体" w:eastAsia="宋体" w:cs="宋体"/>
                <w:color w:val="auto"/>
                <w:kern w:val="2"/>
                <w:sz w:val="21"/>
                <w:szCs w:val="21"/>
                <w:highlight w:val="none"/>
                <w:lang w:eastAsia="zh-CN"/>
              </w:rPr>
              <w:t>95763</w:t>
            </w:r>
            <w:r>
              <w:rPr>
                <w:rFonts w:hint="eastAsia" w:ascii="宋体" w:hAnsi="宋体" w:eastAsia="宋体" w:cs="宋体"/>
                <w:color w:val="auto"/>
                <w:kern w:val="2"/>
                <w:sz w:val="21"/>
                <w:szCs w:val="21"/>
                <w:highlight w:val="none"/>
              </w:rPr>
              <w:t>。投标截止时间后递交的电子投标文件，电子交易平台将拒收。</w:t>
            </w:r>
          </w:p>
        </w:tc>
      </w:tr>
      <w:tr w14:paraId="2808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675" w:type="dxa"/>
            <w:noWrap w:val="0"/>
            <w:vAlign w:val="center"/>
          </w:tcPr>
          <w:p w14:paraId="413876E9">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992" w:type="dxa"/>
            <w:noWrap w:val="0"/>
            <w:vAlign w:val="center"/>
          </w:tcPr>
          <w:p w14:paraId="2BF51D01">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19.2</w:t>
            </w:r>
          </w:p>
        </w:tc>
        <w:tc>
          <w:tcPr>
            <w:tcW w:w="1418" w:type="dxa"/>
            <w:noWrap w:val="0"/>
            <w:vAlign w:val="center"/>
          </w:tcPr>
          <w:p w14:paraId="5932830F">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投标文件递交地点</w:t>
            </w:r>
          </w:p>
        </w:tc>
        <w:tc>
          <w:tcPr>
            <w:tcW w:w="7032" w:type="dxa"/>
            <w:noWrap w:val="0"/>
            <w:vAlign w:val="center"/>
          </w:tcPr>
          <w:p w14:paraId="356CBF7E">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w:t>
            </w:r>
            <w:r>
              <w:rPr>
                <w:rFonts w:hint="eastAsia" w:ascii="宋体" w:hAnsi="宋体" w:eastAsia="宋体" w:cs="宋体"/>
                <w:color w:val="auto"/>
                <w:sz w:val="21"/>
                <w:szCs w:val="21"/>
                <w:highlight w:val="none"/>
                <w:lang w:eastAsia="zh-CN"/>
              </w:rPr>
              <w:t>广西政府采购云平台</w:t>
            </w:r>
            <w:r>
              <w:rPr>
                <w:rFonts w:hint="eastAsia" w:ascii="宋体" w:hAnsi="宋体" w:eastAsia="宋体" w:cs="宋体"/>
                <w:color w:val="auto"/>
                <w:sz w:val="21"/>
                <w:szCs w:val="21"/>
                <w:highlight w:val="none"/>
              </w:rPr>
              <w:t>实行在线投标。</w:t>
            </w:r>
          </w:p>
        </w:tc>
      </w:tr>
      <w:tr w14:paraId="0400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675" w:type="dxa"/>
            <w:noWrap w:val="0"/>
            <w:vAlign w:val="center"/>
          </w:tcPr>
          <w:p w14:paraId="5BB94607">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92" w:type="dxa"/>
            <w:noWrap w:val="0"/>
            <w:vAlign w:val="center"/>
          </w:tcPr>
          <w:p w14:paraId="315A8D44">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19.3</w:t>
            </w:r>
          </w:p>
        </w:tc>
        <w:tc>
          <w:tcPr>
            <w:tcW w:w="1418" w:type="dxa"/>
            <w:noWrap w:val="0"/>
            <w:vAlign w:val="center"/>
          </w:tcPr>
          <w:p w14:paraId="5B1A397B">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投标文件解密</w:t>
            </w:r>
          </w:p>
        </w:tc>
        <w:tc>
          <w:tcPr>
            <w:tcW w:w="7032" w:type="dxa"/>
            <w:noWrap w:val="0"/>
            <w:vAlign w:val="center"/>
          </w:tcPr>
          <w:p w14:paraId="6F95C47C">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投标文件解密时间：投标截止时间后30分钟内</w:t>
            </w:r>
            <w:r>
              <w:rPr>
                <w:rFonts w:hint="eastAsia" w:ascii="宋体" w:hAnsi="宋体" w:eastAsia="宋体" w:cs="宋体"/>
                <w:b w:val="0"/>
                <w:bCs w:val="0"/>
                <w:color w:val="auto"/>
                <w:kern w:val="2"/>
                <w:sz w:val="21"/>
                <w:szCs w:val="21"/>
                <w:highlight w:val="none"/>
              </w:rPr>
              <w:t>（202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w:t>
            </w:r>
            <w:r>
              <w:rPr>
                <w:rFonts w:hint="eastAsia" w:ascii="宋体" w:hAnsi="宋体" w:eastAsia="宋体" w:cs="宋体"/>
                <w:b w:val="0"/>
                <w:bCs w:val="0"/>
                <w:color w:val="auto"/>
                <w:kern w:val="2"/>
                <w:sz w:val="21"/>
                <w:szCs w:val="21"/>
                <w:highlight w:val="none"/>
                <w:lang w:val="en-US" w:eastAsia="zh-CN"/>
              </w:rPr>
              <w:t xml:space="preserve"> 11 </w:t>
            </w:r>
            <w:r>
              <w:rPr>
                <w:rFonts w:hint="eastAsia" w:ascii="宋体" w:hAnsi="宋体" w:eastAsia="宋体" w:cs="宋体"/>
                <w:b w:val="0"/>
                <w:bCs w:val="0"/>
                <w:color w:val="auto"/>
                <w:kern w:val="2"/>
                <w:sz w:val="21"/>
                <w:szCs w:val="21"/>
                <w:highlight w:val="none"/>
              </w:rPr>
              <w:t>月</w:t>
            </w:r>
            <w:r>
              <w:rPr>
                <w:rFonts w:hint="eastAsia" w:ascii="宋体" w:hAnsi="宋体" w:eastAsia="宋体" w:cs="宋体"/>
                <w:b w:val="0"/>
                <w:bCs w:val="0"/>
                <w:color w:val="auto"/>
                <w:kern w:val="2"/>
                <w:sz w:val="21"/>
                <w:szCs w:val="21"/>
                <w:highlight w:val="none"/>
                <w:lang w:val="en-US" w:eastAsia="zh-CN"/>
              </w:rPr>
              <w:t xml:space="preserve"> 20 </w:t>
            </w:r>
            <w:r>
              <w:rPr>
                <w:rFonts w:hint="eastAsia" w:ascii="宋体" w:hAnsi="宋体" w:eastAsia="宋体" w:cs="宋体"/>
                <w:b w:val="0"/>
                <w:bCs w:val="0"/>
                <w:color w:val="auto"/>
                <w:kern w:val="2"/>
                <w:sz w:val="21"/>
                <w:szCs w:val="21"/>
                <w:highlight w:val="none"/>
              </w:rPr>
              <w:t>日</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时</w:t>
            </w:r>
            <w:r>
              <w:rPr>
                <w:rFonts w:hint="eastAsia" w:ascii="宋体" w:hAnsi="宋体" w:eastAsia="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rPr>
              <w:t>0分至10时</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0分）投标人可以登录</w:t>
            </w:r>
            <w:r>
              <w:rPr>
                <w:rFonts w:hint="eastAsia" w:ascii="宋体" w:hAnsi="宋体" w:eastAsia="宋体" w:cs="宋体"/>
                <w:color w:val="auto"/>
                <w:kern w:val="2"/>
                <w:sz w:val="21"/>
                <w:szCs w:val="21"/>
                <w:highlight w:val="none"/>
                <w:lang w:eastAsia="zh-CN"/>
              </w:rPr>
              <w:t>广西政府采购云</w:t>
            </w:r>
            <w:r>
              <w:rPr>
                <w:rFonts w:hint="eastAsia" w:ascii="宋体" w:hAnsi="宋体" w:eastAsia="宋体" w:cs="宋体"/>
                <w:color w:val="auto"/>
                <w:kern w:val="2"/>
                <w:sz w:val="21"/>
                <w:szCs w:val="21"/>
                <w:highlight w:val="none"/>
              </w:rPr>
              <w:t>平台，用“项目采购-开标评标”功能进行解密投标文件。若投标人在规定时间内无法解密或解密失败或超时解密的，系统默认自动放弃，投标文件按投标无效处理。</w:t>
            </w:r>
          </w:p>
        </w:tc>
      </w:tr>
      <w:tr w14:paraId="545C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75" w:type="dxa"/>
            <w:noWrap w:val="0"/>
            <w:vAlign w:val="center"/>
          </w:tcPr>
          <w:p w14:paraId="73B1E1A8">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992" w:type="dxa"/>
            <w:noWrap w:val="0"/>
            <w:vAlign w:val="center"/>
          </w:tcPr>
          <w:p w14:paraId="0BD7D6F4">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p>
        </w:tc>
        <w:tc>
          <w:tcPr>
            <w:tcW w:w="1418" w:type="dxa"/>
            <w:noWrap w:val="0"/>
            <w:vAlign w:val="center"/>
          </w:tcPr>
          <w:p w14:paraId="32561098">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开标时间</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地点</w:t>
            </w:r>
            <w:r>
              <w:rPr>
                <w:rFonts w:hint="eastAsia" w:ascii="宋体" w:hAnsi="宋体" w:eastAsia="宋体" w:cs="宋体"/>
                <w:color w:val="auto"/>
                <w:sz w:val="21"/>
                <w:szCs w:val="21"/>
                <w:highlight w:val="none"/>
                <w:lang w:eastAsia="zh-CN"/>
              </w:rPr>
              <w:t>、评标地点</w:t>
            </w:r>
          </w:p>
        </w:tc>
        <w:tc>
          <w:tcPr>
            <w:tcW w:w="7032" w:type="dxa"/>
            <w:noWrap w:val="0"/>
            <w:vAlign w:val="top"/>
          </w:tcPr>
          <w:p w14:paraId="1CBD4E73">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开标时间：</w:t>
            </w:r>
            <w:r>
              <w:rPr>
                <w:rFonts w:hint="eastAsia" w:ascii="宋体" w:hAnsi="宋体" w:eastAsia="宋体" w:cs="宋体"/>
                <w:b w:val="0"/>
                <w:bCs w:val="0"/>
                <w:color w:val="auto"/>
                <w:kern w:val="2"/>
                <w:sz w:val="21"/>
                <w:szCs w:val="21"/>
                <w:highlight w:val="none"/>
              </w:rPr>
              <w:t>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w:t>
            </w:r>
            <w:r>
              <w:rPr>
                <w:rFonts w:hint="eastAsia" w:ascii="宋体" w:hAnsi="宋体" w:eastAsia="宋体" w:cs="宋体"/>
                <w:b w:val="0"/>
                <w:bCs w:val="0"/>
                <w:color w:val="auto"/>
                <w:kern w:val="2"/>
                <w:sz w:val="21"/>
                <w:szCs w:val="21"/>
                <w:highlight w:val="none"/>
                <w:lang w:val="en-US" w:eastAsia="zh-CN"/>
              </w:rPr>
              <w:t xml:space="preserve"> 11 </w:t>
            </w:r>
            <w:r>
              <w:rPr>
                <w:rFonts w:hint="eastAsia" w:ascii="宋体" w:hAnsi="宋体" w:eastAsia="宋体" w:cs="宋体"/>
                <w:b w:val="0"/>
                <w:bCs w:val="0"/>
                <w:color w:val="auto"/>
                <w:kern w:val="2"/>
                <w:sz w:val="21"/>
                <w:szCs w:val="21"/>
                <w:highlight w:val="none"/>
              </w:rPr>
              <w:t>月</w:t>
            </w:r>
            <w:r>
              <w:rPr>
                <w:rFonts w:hint="eastAsia" w:ascii="宋体" w:hAnsi="宋体" w:eastAsia="宋体" w:cs="宋体"/>
                <w:b w:val="0"/>
                <w:bCs w:val="0"/>
                <w:color w:val="auto"/>
                <w:kern w:val="2"/>
                <w:sz w:val="21"/>
                <w:szCs w:val="21"/>
                <w:highlight w:val="none"/>
                <w:lang w:val="en-US" w:eastAsia="zh-CN"/>
              </w:rPr>
              <w:t xml:space="preserve"> 20 </w:t>
            </w:r>
            <w:r>
              <w:rPr>
                <w:rFonts w:hint="eastAsia" w:ascii="宋体" w:hAnsi="宋体" w:eastAsia="宋体" w:cs="宋体"/>
                <w:b w:val="0"/>
                <w:bCs w:val="0"/>
                <w:color w:val="auto"/>
                <w:kern w:val="2"/>
                <w:sz w:val="21"/>
                <w:szCs w:val="21"/>
                <w:highlight w:val="none"/>
              </w:rPr>
              <w:t>日</w:t>
            </w:r>
            <w:r>
              <w:rPr>
                <w:rFonts w:hint="eastAsia" w:ascii="宋体" w:hAnsi="宋体" w:eastAsia="宋体" w:cs="宋体"/>
                <w:b w:val="0"/>
                <w:bCs w:val="0"/>
                <w:color w:val="auto"/>
                <w:kern w:val="2"/>
                <w:sz w:val="21"/>
                <w:szCs w:val="21"/>
                <w:highlight w:val="none"/>
                <w:lang w:val="en-US" w:eastAsia="zh-CN"/>
              </w:rPr>
              <w:t>10</w:t>
            </w:r>
            <w:r>
              <w:rPr>
                <w:rFonts w:hint="eastAsia" w:ascii="宋体" w:hAnsi="宋体" w:eastAsia="宋体" w:cs="宋体"/>
                <w:color w:val="auto"/>
                <w:kern w:val="2"/>
                <w:sz w:val="21"/>
                <w:szCs w:val="21"/>
                <w:highlight w:val="none"/>
              </w:rPr>
              <w:t>时</w:t>
            </w:r>
            <w:r>
              <w:rPr>
                <w:rFonts w:hint="eastAsia" w:ascii="宋体" w:hAnsi="宋体" w:eastAsia="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rPr>
              <w:t>0分（北京时间）；</w:t>
            </w:r>
          </w:p>
          <w:p w14:paraId="1D1746AB">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开标地点：通过</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在线解密开启</w:t>
            </w:r>
            <w:r>
              <w:rPr>
                <w:rFonts w:hint="eastAsia" w:ascii="宋体" w:hAnsi="宋体" w:eastAsia="宋体" w:cs="宋体"/>
                <w:color w:val="auto"/>
                <w:kern w:val="2"/>
                <w:sz w:val="21"/>
                <w:szCs w:val="21"/>
                <w:highlight w:val="none"/>
                <w:lang w:eastAsia="zh-CN"/>
              </w:rPr>
              <w:t>；</w:t>
            </w:r>
          </w:p>
          <w:p w14:paraId="551F7F4D">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2"/>
                <w:sz w:val="21"/>
                <w:szCs w:val="21"/>
                <w:highlight w:val="none"/>
                <w:lang w:eastAsia="zh-CN"/>
              </w:rPr>
              <w:t>评标地点：全州县公共资源交易中心评标室。</w:t>
            </w:r>
          </w:p>
        </w:tc>
      </w:tr>
      <w:tr w14:paraId="04CDB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75" w:type="dxa"/>
            <w:noWrap w:val="0"/>
            <w:vAlign w:val="center"/>
          </w:tcPr>
          <w:p w14:paraId="01C46F92">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992" w:type="dxa"/>
            <w:noWrap w:val="0"/>
            <w:vAlign w:val="center"/>
          </w:tcPr>
          <w:p w14:paraId="2017CC2A">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c>
          <w:tcPr>
            <w:tcW w:w="1418" w:type="dxa"/>
            <w:noWrap w:val="0"/>
            <w:vAlign w:val="center"/>
          </w:tcPr>
          <w:p w14:paraId="790B5F12">
            <w:pPr>
              <w:pStyle w:val="13"/>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评标委员会组成</w:t>
            </w:r>
          </w:p>
        </w:tc>
        <w:tc>
          <w:tcPr>
            <w:tcW w:w="7032" w:type="dxa"/>
            <w:noWrap w:val="0"/>
            <w:vAlign w:val="center"/>
          </w:tcPr>
          <w:p w14:paraId="18BB30EC">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评标委员会由采购人代表和有关技术、经济等方面的专家组成，成员人数共</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人，技术、经济等专家 </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人。</w:t>
            </w:r>
          </w:p>
        </w:tc>
      </w:tr>
      <w:tr w14:paraId="6BE9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75" w:type="dxa"/>
            <w:noWrap w:val="0"/>
            <w:vAlign w:val="center"/>
          </w:tcPr>
          <w:p w14:paraId="2FFF1423">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992" w:type="dxa"/>
            <w:noWrap w:val="0"/>
            <w:vAlign w:val="center"/>
          </w:tcPr>
          <w:p w14:paraId="709C2C6C">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24.1</w:t>
            </w:r>
          </w:p>
        </w:tc>
        <w:tc>
          <w:tcPr>
            <w:tcW w:w="1418" w:type="dxa"/>
            <w:noWrap w:val="0"/>
            <w:vAlign w:val="center"/>
          </w:tcPr>
          <w:p w14:paraId="5472ABCA">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评标办法</w:t>
            </w:r>
          </w:p>
        </w:tc>
        <w:tc>
          <w:tcPr>
            <w:tcW w:w="7032" w:type="dxa"/>
            <w:noWrap w:val="0"/>
            <w:vAlign w:val="center"/>
          </w:tcPr>
          <w:p w14:paraId="23DC572A">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综合评分法，具体评标内容及标准详见第四章：评标办法。</w:t>
            </w:r>
          </w:p>
        </w:tc>
      </w:tr>
      <w:tr w14:paraId="03A5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75" w:type="dxa"/>
            <w:noWrap w:val="0"/>
            <w:vAlign w:val="center"/>
          </w:tcPr>
          <w:p w14:paraId="506865F0">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992" w:type="dxa"/>
            <w:noWrap w:val="0"/>
            <w:vAlign w:val="center"/>
          </w:tcPr>
          <w:p w14:paraId="7BCCA598">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1418" w:type="dxa"/>
            <w:noWrap w:val="0"/>
            <w:vAlign w:val="center"/>
          </w:tcPr>
          <w:p w14:paraId="160A5F70">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中标人信用信息查询</w:t>
            </w:r>
          </w:p>
        </w:tc>
        <w:tc>
          <w:tcPr>
            <w:tcW w:w="7032" w:type="dxa"/>
            <w:noWrap w:val="0"/>
            <w:vAlign w:val="center"/>
          </w:tcPr>
          <w:p w14:paraId="6449E422">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根据《关于做好政府采购有关信用主体标识码登记及在政府采购活动中查询使用信用记录有关问题的通知》桂财采〔2016〕37号的通知，采购代理机构对中标人进行信用查询：</w:t>
            </w:r>
          </w:p>
          <w:p w14:paraId="353CF6DF">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（1）查询渠道：“信用中国”网站（www.creditchina.gov.cn）、中国政府采购网（www.ccgp.gov.cn）等；</w:t>
            </w:r>
          </w:p>
          <w:p w14:paraId="4F1E64C9">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（2）查询截止时点：中标通知书发出前；</w:t>
            </w:r>
          </w:p>
          <w:p w14:paraId="0E5B1659">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（3）信用信息查询记录和证据留存方式：在查询网站中直接打印查询记录，打印材料作为采购活动资料保存。</w:t>
            </w:r>
          </w:p>
          <w:p w14:paraId="29106949">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（4）信用信息使用规则：在“信用中国”网站（www.creditchina.gov.cn）、中国政府采购网（www.ccgp.gov.cn）等渠道列入失信被执行人、</w:t>
            </w:r>
            <w:r>
              <w:rPr>
                <w:rFonts w:hint="eastAsia" w:ascii="宋体" w:hAnsi="宋体" w:eastAsia="宋体" w:cs="宋体"/>
                <w:color w:val="auto"/>
                <w:kern w:val="2"/>
                <w:sz w:val="21"/>
                <w:szCs w:val="21"/>
                <w:highlight w:val="none"/>
                <w:lang w:eastAsia="zh-CN"/>
              </w:rPr>
              <w:t>重大税收违法失信主体</w:t>
            </w:r>
            <w:r>
              <w:rPr>
                <w:rFonts w:hint="eastAsia" w:ascii="宋体" w:hAnsi="宋体" w:eastAsia="宋体" w:cs="宋体"/>
                <w:color w:val="auto"/>
                <w:kern w:val="2"/>
                <w:sz w:val="21"/>
                <w:szCs w:val="21"/>
                <w:highlight w:val="none"/>
              </w:rPr>
              <w:t>、政府采购严重违法失信行为记录名单及其他不符合《中华人民共和国政府采购法》第二十二条规定条件的供应商，不得参与政府采购活动，取消其中标候选人资格。采购人依法按照评标报告中评标委员会推荐中标候选人排序表确定排名第二的中标候选人为中标供应商或者重新组织采购。</w:t>
            </w:r>
          </w:p>
        </w:tc>
      </w:tr>
      <w:tr w14:paraId="7331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75" w:type="dxa"/>
            <w:noWrap w:val="0"/>
            <w:vAlign w:val="center"/>
          </w:tcPr>
          <w:p w14:paraId="6632F66C">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992" w:type="dxa"/>
            <w:noWrap w:val="0"/>
            <w:vAlign w:val="center"/>
          </w:tcPr>
          <w:p w14:paraId="7ED38ECE">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418" w:type="dxa"/>
            <w:noWrap w:val="0"/>
            <w:vAlign w:val="center"/>
          </w:tcPr>
          <w:p w14:paraId="4D587FE7">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中标公告及中标通知书</w:t>
            </w:r>
          </w:p>
        </w:tc>
        <w:tc>
          <w:tcPr>
            <w:tcW w:w="7032" w:type="dxa"/>
            <w:noWrap w:val="0"/>
            <w:vAlign w:val="top"/>
          </w:tcPr>
          <w:p w14:paraId="2773D2F5">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32.1采购代理机构于评标结束后两个工作日内将评标报告送交采购人，采购人应当自收到评标报告五个工作日内在评标报告推荐的中标候选人中按顺序确定中标供应商，采购代理机构在中标供应商确定之日起两个工作日内发出中标通知书，并在指定媒体上公告中标信息，中标公告期限为1个工作日。</w:t>
            </w:r>
          </w:p>
          <w:p w14:paraId="784F61D3">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32.2中标公告同时采购代理机构在线向中标供应商发出中标通知书。</w:t>
            </w:r>
          </w:p>
        </w:tc>
      </w:tr>
      <w:tr w14:paraId="5324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75" w:type="dxa"/>
            <w:noWrap w:val="0"/>
            <w:vAlign w:val="center"/>
          </w:tcPr>
          <w:p w14:paraId="625FD1AA">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992" w:type="dxa"/>
            <w:noWrap w:val="0"/>
            <w:vAlign w:val="center"/>
          </w:tcPr>
          <w:p w14:paraId="6FE5DD16">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w:t>
            </w:r>
          </w:p>
        </w:tc>
        <w:tc>
          <w:tcPr>
            <w:tcW w:w="1418" w:type="dxa"/>
            <w:noWrap w:val="0"/>
            <w:vAlign w:val="center"/>
          </w:tcPr>
          <w:p w14:paraId="26F4CFBE">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7032" w:type="dxa"/>
            <w:noWrap w:val="0"/>
            <w:vAlign w:val="top"/>
          </w:tcPr>
          <w:p w14:paraId="5E7CE64C">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33.1履约保证金：根据《桂林市财政局关于贯彻落实政府采购优化营商环境百日攻坚行动方案的通知》（市财采〔2020〕24号）第四条的规定，本项目免收履约保证金。</w:t>
            </w:r>
          </w:p>
        </w:tc>
      </w:tr>
      <w:tr w14:paraId="0468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75" w:type="dxa"/>
            <w:noWrap w:val="0"/>
            <w:vAlign w:val="center"/>
          </w:tcPr>
          <w:p w14:paraId="3E9BE44E">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992" w:type="dxa"/>
            <w:noWrap w:val="0"/>
            <w:vAlign w:val="center"/>
          </w:tcPr>
          <w:p w14:paraId="55857E9B">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34.1</w:t>
            </w:r>
          </w:p>
        </w:tc>
        <w:tc>
          <w:tcPr>
            <w:tcW w:w="1418" w:type="dxa"/>
            <w:noWrap w:val="0"/>
            <w:vAlign w:val="center"/>
          </w:tcPr>
          <w:p w14:paraId="667D8150">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w:t>
            </w:r>
          </w:p>
        </w:tc>
        <w:tc>
          <w:tcPr>
            <w:tcW w:w="7032" w:type="dxa"/>
            <w:noWrap w:val="0"/>
            <w:vAlign w:val="center"/>
          </w:tcPr>
          <w:p w14:paraId="116019F2">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中标通知书发出之日起八个工作日内。中标供应商领取中标通知书后，应按规定与采购人签订合同。</w:t>
            </w:r>
          </w:p>
        </w:tc>
      </w:tr>
      <w:tr w14:paraId="2F45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75" w:type="dxa"/>
            <w:noWrap w:val="0"/>
            <w:vAlign w:val="center"/>
          </w:tcPr>
          <w:p w14:paraId="7A1488A1">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992" w:type="dxa"/>
            <w:noWrap w:val="0"/>
            <w:vAlign w:val="center"/>
          </w:tcPr>
          <w:p w14:paraId="44944A92">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34.3</w:t>
            </w:r>
          </w:p>
        </w:tc>
        <w:tc>
          <w:tcPr>
            <w:tcW w:w="1418" w:type="dxa"/>
            <w:noWrap w:val="0"/>
            <w:vAlign w:val="center"/>
          </w:tcPr>
          <w:p w14:paraId="23C97157">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合同备案存档</w:t>
            </w:r>
          </w:p>
        </w:tc>
        <w:tc>
          <w:tcPr>
            <w:tcW w:w="7032" w:type="dxa"/>
            <w:noWrap w:val="0"/>
            <w:vAlign w:val="center"/>
          </w:tcPr>
          <w:p w14:paraId="0A6F4C00">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政府采购合同双方自签订之日起1个工作日内将合同原件</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份交采购代理机构存档。采购代理机构将政府采购合同在省级以上人民政府财政部门指定媒体上公告。</w:t>
            </w:r>
          </w:p>
        </w:tc>
      </w:tr>
      <w:tr w14:paraId="1518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75" w:type="dxa"/>
            <w:noWrap w:val="0"/>
            <w:vAlign w:val="center"/>
          </w:tcPr>
          <w:p w14:paraId="151EA34D">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992" w:type="dxa"/>
            <w:noWrap w:val="0"/>
            <w:vAlign w:val="center"/>
          </w:tcPr>
          <w:p w14:paraId="42A9F603">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1418" w:type="dxa"/>
            <w:noWrap w:val="0"/>
            <w:vAlign w:val="center"/>
          </w:tcPr>
          <w:p w14:paraId="75B77C26">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招标代理服务费</w:t>
            </w:r>
          </w:p>
        </w:tc>
        <w:tc>
          <w:tcPr>
            <w:tcW w:w="7032" w:type="dxa"/>
            <w:noWrap w:val="0"/>
            <w:vAlign w:val="center"/>
          </w:tcPr>
          <w:p w14:paraId="7FE139D0">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本项目的采购代理服务费：参照计价格[2002]1980号《招标代理服务收费管理暂行办法》</w:t>
            </w:r>
            <w:r>
              <w:rPr>
                <w:rFonts w:hint="eastAsia" w:ascii="宋体" w:hAnsi="宋体" w:eastAsia="宋体" w:cs="宋体"/>
                <w:color w:val="auto"/>
                <w:kern w:val="2"/>
                <w:sz w:val="21"/>
                <w:szCs w:val="21"/>
                <w:highlight w:val="none"/>
                <w:lang w:val="en-US" w:eastAsia="zh-CN"/>
              </w:rPr>
              <w:t>服务</w:t>
            </w:r>
            <w:r>
              <w:rPr>
                <w:rFonts w:hint="eastAsia" w:ascii="宋体" w:hAnsi="宋体" w:eastAsia="宋体" w:cs="宋体"/>
                <w:color w:val="auto"/>
                <w:kern w:val="2"/>
                <w:sz w:val="21"/>
                <w:szCs w:val="21"/>
                <w:highlight w:val="none"/>
              </w:rPr>
              <w:t>类收费标准计取。在领取中标通知书前，由中标人向</w:t>
            </w:r>
            <w:r>
              <w:rPr>
                <w:rFonts w:hint="eastAsia" w:ascii="宋体" w:hAnsi="宋体" w:eastAsia="宋体" w:cs="宋体"/>
                <w:color w:val="auto"/>
                <w:kern w:val="2"/>
                <w:sz w:val="21"/>
                <w:szCs w:val="21"/>
                <w:highlight w:val="none"/>
                <w:lang w:val="en-US" w:eastAsia="zh-CN"/>
              </w:rPr>
              <w:t>广西国兴项目管理有限公司</w:t>
            </w:r>
            <w:r>
              <w:rPr>
                <w:rFonts w:hint="eastAsia" w:ascii="宋体" w:hAnsi="宋体" w:eastAsia="宋体" w:cs="宋体"/>
                <w:color w:val="auto"/>
                <w:kern w:val="2"/>
                <w:sz w:val="21"/>
                <w:szCs w:val="21"/>
                <w:highlight w:val="none"/>
              </w:rPr>
              <w:t xml:space="preserve">一次性付清代理服务费。 </w:t>
            </w:r>
          </w:p>
        </w:tc>
      </w:tr>
      <w:tr w14:paraId="510B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675" w:type="dxa"/>
            <w:noWrap w:val="0"/>
            <w:vAlign w:val="center"/>
          </w:tcPr>
          <w:p w14:paraId="28EF3768">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992" w:type="dxa"/>
            <w:noWrap w:val="0"/>
            <w:vAlign w:val="center"/>
          </w:tcPr>
          <w:p w14:paraId="5715C810">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w:t>
            </w:r>
          </w:p>
        </w:tc>
        <w:tc>
          <w:tcPr>
            <w:tcW w:w="1418" w:type="dxa"/>
            <w:noWrap w:val="0"/>
            <w:vAlign w:val="center"/>
          </w:tcPr>
          <w:p w14:paraId="1BC35214">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7032" w:type="dxa"/>
            <w:noWrap w:val="0"/>
            <w:vAlign w:val="center"/>
          </w:tcPr>
          <w:p w14:paraId="35657C5C">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本招标文件是根据《中华人民共和国政府采购法》、《中华人民共和国政府采购法实施条例》及</w:t>
            </w:r>
            <w:r>
              <w:rPr>
                <w:rStyle w:val="21"/>
                <w:rFonts w:hint="eastAsia" w:ascii="宋体" w:hAnsi="宋体" w:eastAsia="宋体" w:cs="宋体"/>
                <w:b w:val="0"/>
                <w:color w:val="auto"/>
                <w:sz w:val="21"/>
                <w:szCs w:val="21"/>
                <w:highlight w:val="none"/>
              </w:rPr>
              <w:t>财政部令第87号</w:t>
            </w:r>
            <w:r>
              <w:rPr>
                <w:rFonts w:hint="eastAsia" w:ascii="宋体" w:hAnsi="宋体" w:eastAsia="宋体" w:cs="宋体"/>
                <w:color w:val="auto"/>
                <w:sz w:val="21"/>
                <w:szCs w:val="21"/>
                <w:highlight w:val="none"/>
              </w:rPr>
              <w:t>《政府采购货物和服务招标投标管理办法》等相关规定编制，本招标文件的解释权属于采购代理机构。</w:t>
            </w:r>
          </w:p>
        </w:tc>
      </w:tr>
      <w:tr w14:paraId="4F60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675" w:type="dxa"/>
            <w:noWrap w:val="0"/>
            <w:vAlign w:val="center"/>
          </w:tcPr>
          <w:p w14:paraId="381D8371">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992" w:type="dxa"/>
            <w:noWrap w:val="0"/>
            <w:vAlign w:val="center"/>
          </w:tcPr>
          <w:p w14:paraId="408463A1">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38</w:t>
            </w:r>
          </w:p>
        </w:tc>
        <w:tc>
          <w:tcPr>
            <w:tcW w:w="1418" w:type="dxa"/>
            <w:noWrap w:val="0"/>
            <w:vAlign w:val="center"/>
          </w:tcPr>
          <w:p w14:paraId="3BC4EF37">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position w:val="10"/>
                <w:sz w:val="21"/>
                <w:szCs w:val="21"/>
                <w:highlight w:val="none"/>
              </w:rPr>
            </w:pPr>
            <w:r>
              <w:rPr>
                <w:rFonts w:hint="eastAsia" w:ascii="宋体" w:hAnsi="宋体" w:eastAsia="宋体" w:cs="宋体"/>
                <w:color w:val="auto"/>
                <w:sz w:val="21"/>
                <w:szCs w:val="21"/>
                <w:highlight w:val="none"/>
              </w:rPr>
              <w:t>监督管理机构</w:t>
            </w:r>
          </w:p>
        </w:tc>
        <w:tc>
          <w:tcPr>
            <w:tcW w:w="7032" w:type="dxa"/>
            <w:noWrap w:val="0"/>
            <w:vAlign w:val="center"/>
          </w:tcPr>
          <w:p w14:paraId="2F301B3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全州县国有资金投资项目招标投标管理办公室 电话：0773-4818182</w:t>
            </w:r>
          </w:p>
          <w:p w14:paraId="137C432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全州县政府采购管理办公室   电话：0773-4814807</w:t>
            </w:r>
          </w:p>
        </w:tc>
      </w:tr>
    </w:tbl>
    <w:p w14:paraId="4F8434F1">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26796DBA">
      <w:pPr>
        <w:keepNext w:val="0"/>
        <w:keepLines w:val="0"/>
        <w:pageBreakBefore w:val="0"/>
        <w:kinsoku/>
        <w:wordWrap/>
        <w:overflowPunct/>
        <w:topLinePunct w:val="0"/>
        <w:bidi w:val="0"/>
        <w:adjustRightInd w:val="0"/>
        <w:snapToGrid w:val="0"/>
        <w:spacing w:line="320" w:lineRule="exact"/>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一、总则</w:t>
      </w:r>
    </w:p>
    <w:p w14:paraId="04A89E69">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1、项目名称及项目编号</w:t>
      </w:r>
    </w:p>
    <w:p w14:paraId="7757CA2F">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项目名称：</w:t>
      </w:r>
      <w:r>
        <w:rPr>
          <w:rFonts w:hint="eastAsia" w:ascii="宋体" w:hAnsi="宋体" w:eastAsia="宋体" w:cs="宋体"/>
          <w:color w:val="auto"/>
          <w:kern w:val="2"/>
          <w:sz w:val="21"/>
          <w:szCs w:val="21"/>
          <w:highlight w:val="none"/>
          <w:lang w:eastAsia="zh-CN"/>
        </w:rPr>
        <w:t>全州县2023-2026年松材线虫病疫情防控绩效承包项目</w:t>
      </w:r>
      <w:r>
        <w:rPr>
          <w:rFonts w:hint="eastAsia" w:ascii="宋体" w:hAnsi="宋体" w:eastAsia="宋体" w:cs="宋体"/>
          <w:color w:val="auto"/>
          <w:kern w:val="2"/>
          <w:sz w:val="21"/>
          <w:szCs w:val="21"/>
          <w:highlight w:val="none"/>
        </w:rPr>
        <w:t xml:space="preserve"> </w:t>
      </w:r>
    </w:p>
    <w:p w14:paraId="68F92BF2">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项目编号：GLZC2024-G3-240255-GXGX</w:t>
      </w:r>
    </w:p>
    <w:p w14:paraId="7247DC85">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2、适应范围</w:t>
      </w:r>
    </w:p>
    <w:p w14:paraId="4F6C1AA0">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本招标文件适用本招标采购项目的招标、投标、评标、合同履约、验收、付款等行为（法律、法规另有规定的，从其规定）。</w:t>
      </w:r>
    </w:p>
    <w:p w14:paraId="01272E1B">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3、定义</w:t>
      </w:r>
    </w:p>
    <w:p w14:paraId="1CC6E2FB">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3.1“招标采购单位”是指组织本次招标的采购人和采购代理机构。</w:t>
      </w:r>
    </w:p>
    <w:p w14:paraId="0280A832">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3.2“投标人”是指向招标方提交投标文件的供应商或自然人或其他组织。</w:t>
      </w:r>
    </w:p>
    <w:p w14:paraId="35E77814">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3.3“货物”系指按招标文件规定，投标人须向采购人提供的一切设备、保险、税金、备品备件、工具、手册及其它有关技术资料和材料。</w:t>
      </w:r>
    </w:p>
    <w:p w14:paraId="3966B839">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3.4“服务”系指按招标文件规定，投标人须承担的安装、调试、技术协助、校准、培训、技术指导以及其他类似的义务。</w:t>
      </w:r>
    </w:p>
    <w:p w14:paraId="0418669B">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3.5“项目”系指按招标文件规定向采购人提供的货物和服务。</w:t>
      </w:r>
    </w:p>
    <w:p w14:paraId="6D0EFBB7">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3.6“书面形式”包括信函、传真、电报等。</w:t>
      </w:r>
    </w:p>
    <w:p w14:paraId="580AC7FD">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3.</w:t>
      </w:r>
      <w:r>
        <w:rPr>
          <w:rFonts w:hint="eastAsia" w:ascii="宋体" w:hAnsi="宋体" w:eastAsia="宋体" w:cs="宋体"/>
          <w:b/>
          <w:bCs/>
          <w:color w:val="auto"/>
          <w:kern w:val="2"/>
          <w:sz w:val="21"/>
          <w:szCs w:val="21"/>
          <w:highlight w:val="none"/>
          <w:lang w:val="en-US" w:eastAsia="zh-CN"/>
        </w:rPr>
        <w:t>7</w:t>
      </w:r>
      <w:r>
        <w:rPr>
          <w:rFonts w:hint="eastAsia" w:ascii="宋体" w:hAnsi="宋体" w:eastAsia="宋体" w:cs="宋体"/>
          <w:b/>
          <w:bCs/>
          <w:color w:val="auto"/>
          <w:kern w:val="2"/>
          <w:sz w:val="21"/>
          <w:szCs w:val="21"/>
          <w:highlight w:val="none"/>
        </w:rPr>
        <w:t>实质性要求：本服务采购需求中所有内容均为实质性要求。</w:t>
      </w:r>
    </w:p>
    <w:p w14:paraId="475AA951">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4、招标方式</w:t>
      </w:r>
    </w:p>
    <w:p w14:paraId="147D2D76">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公开招标方式。</w:t>
      </w:r>
    </w:p>
    <w:p w14:paraId="20CCA571">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5、投标人资格</w:t>
      </w:r>
    </w:p>
    <w:p w14:paraId="710F0C02">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  详见《投标人须知前附表》第2条。</w:t>
      </w:r>
    </w:p>
    <w:p w14:paraId="1AF878E5">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6、投标费用</w:t>
      </w:r>
    </w:p>
    <w:p w14:paraId="2968D8E3">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本项目实行网上评审，采用电子投标文件；若投标人参与项目投标的，不论投标结果如何，均应自行承担所有与投标有关的全部费用。</w:t>
      </w:r>
    </w:p>
    <w:p w14:paraId="52048075">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7、联合体投标要求</w:t>
      </w:r>
    </w:p>
    <w:p w14:paraId="44557DE9">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本项目不接受联合体投标。</w:t>
      </w:r>
    </w:p>
    <w:p w14:paraId="432E37C7">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8、转包与分包</w:t>
      </w:r>
    </w:p>
    <w:p w14:paraId="11A508CB">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8.1本项目不允许转包。</w:t>
      </w:r>
    </w:p>
    <w:p w14:paraId="0F75C5F6">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8.2本项目不可以分包。</w:t>
      </w:r>
    </w:p>
    <w:p w14:paraId="68AD4AB7">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9、特别说明</w:t>
      </w:r>
    </w:p>
    <w:p w14:paraId="4BD02D1E">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9.1提供相同品牌产品且通过资格审查、符合性审查的不同投标人参加同一合同项下投标的，按一家投标人计算，评审后得分最高的同品牌投标人获得中标供应商推荐资格；评审得分相同的，评标价最低的同品牌投标人获得中标供应商推荐资格；评标价也相同的，由评标委员会以抽签方式确定中标候选供应商。其他同品牌投标人不作为中标候选供应商。</w:t>
      </w:r>
    </w:p>
    <w:p w14:paraId="1D3CB8DA">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多家投标人提供的核心产品品牌相同的，按前款规定处理。</w:t>
      </w:r>
    </w:p>
    <w:p w14:paraId="3ED7546A">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9.2关联供应商不得参加同一合同项下政府采购活动，否则投标文件将被视为无效：</w:t>
      </w:r>
    </w:p>
    <w:p w14:paraId="29227B5C">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（1）单位负责人为同一人或者存在直接控股、管理关系的不同供应商，不得参加同一合同项下的政府采购活动。</w:t>
      </w:r>
    </w:p>
    <w:p w14:paraId="11605DF1">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（2）为本采购项目提供整体设计、规范编制或者项目管理、监理、检测等服务的供应商，不得再参加本次采购活动。</w:t>
      </w:r>
    </w:p>
    <w:p w14:paraId="5BFBA06D">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9.3投标人应仔细阅读招标文件的所有内容，按照招标文件的要求提交投标文件，并对所提供的全部资料的真实性承担法律责任。</w:t>
      </w:r>
    </w:p>
    <w:p w14:paraId="2A9B38A4">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9.4投标人在投标活动中提供任何虚假材料，其投标无效，并报监管部门查处；中标后发现的，中标供应商须依照《中华人民共和国消费者权益保护法》赔偿采购人，且民事赔偿并不免除违法投标人的行政与刑事责任。</w:t>
      </w:r>
    </w:p>
    <w:p w14:paraId="6EAACA0F">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10、询问、质疑和投诉</w:t>
      </w:r>
    </w:p>
    <w:p w14:paraId="5EB21E16">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10.1投标人对政府采购活动事项有疑问的，可以向采购人、采购代理机构提出询问。</w:t>
      </w:r>
      <w:r>
        <w:rPr>
          <w:rFonts w:hint="eastAsia" w:ascii="宋体" w:hAnsi="宋体" w:eastAsia="宋体" w:cs="宋体"/>
          <w:color w:val="auto"/>
          <w:kern w:val="2"/>
          <w:sz w:val="21"/>
          <w:szCs w:val="21"/>
          <w:highlight w:val="none"/>
        </w:rPr>
        <w:tab/>
      </w:r>
    </w:p>
    <w:p w14:paraId="6D46CD55">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10.2投标人认为招标文件使自己的合法权益受到损害的，应当在招标公告期限届满之日起7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采购代理机构应认真做好质疑处理工作。</w:t>
      </w:r>
    </w:p>
    <w:p w14:paraId="2B61D213">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10.3投标人对采购代理机构的答复不满意或者采购代理机构未在规定的时间内作出答复的，可以在答复期满后十五个工作日内向全州县政府采购管理办公室投诉。</w:t>
      </w:r>
    </w:p>
    <w:p w14:paraId="4433EFF9">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10.4质疑、投诉应当采用书面形式，质疑书、投诉书实行实名制，均应明确阐述招标文件、招标过程或中标结果中使自己合法权益受到损害的实质性内容，提供相关事实、依据和证据及其来源或线索，必要的证明材料，便于有关单位调查、答复和处理。质疑函格式详见附件1。</w:t>
      </w:r>
    </w:p>
    <w:p w14:paraId="741D18FC">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10.5质疑联系部门：广西国兴项目管理有限公司</w:t>
      </w:r>
      <w:bookmarkStart w:id="71" w:name="_GoBack"/>
      <w:bookmarkEnd w:id="71"/>
      <w:r>
        <w:rPr>
          <w:rFonts w:hint="eastAsia" w:ascii="宋体" w:hAnsi="宋体" w:eastAsia="宋体" w:cs="宋体"/>
          <w:color w:val="auto"/>
          <w:kern w:val="2"/>
          <w:sz w:val="21"/>
          <w:szCs w:val="21"/>
          <w:highlight w:val="none"/>
        </w:rPr>
        <w:t xml:space="preserve">    联系电话：15296810982；</w:t>
      </w:r>
    </w:p>
    <w:p w14:paraId="0E8A5779">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10.6投诉联系部门：</w:t>
      </w:r>
      <w:r>
        <w:rPr>
          <w:rFonts w:hint="eastAsia" w:ascii="宋体" w:hAnsi="宋体" w:eastAsia="宋体" w:cs="宋体"/>
          <w:color w:val="auto"/>
          <w:sz w:val="21"/>
          <w:szCs w:val="21"/>
        </w:rPr>
        <w:t>全州县政府采购管理办公室    电话：0773-4814807</w:t>
      </w:r>
      <w:r>
        <w:rPr>
          <w:rFonts w:hint="eastAsia" w:ascii="宋体" w:hAnsi="宋体" w:eastAsia="宋体" w:cs="宋体"/>
          <w:color w:val="auto"/>
          <w:kern w:val="2"/>
          <w:sz w:val="21"/>
          <w:szCs w:val="21"/>
          <w:highlight w:val="none"/>
        </w:rPr>
        <w:t>；</w:t>
      </w:r>
    </w:p>
    <w:p w14:paraId="21FC1A86">
      <w:pPr>
        <w:keepNext w:val="0"/>
        <w:keepLines w:val="0"/>
        <w:pageBreakBefore w:val="0"/>
        <w:tabs>
          <w:tab w:val="left" w:pos="2190"/>
        </w:tabs>
        <w:kinsoku/>
        <w:wordWrap/>
        <w:overflowPunct/>
        <w:topLinePunct w:val="0"/>
        <w:bidi w:val="0"/>
        <w:adjustRightInd w:val="0"/>
        <w:snapToGrid w:val="0"/>
        <w:spacing w:line="320" w:lineRule="exact"/>
        <w:ind w:firstLine="435"/>
        <w:jc w:val="center"/>
        <w:textAlignment w:val="auto"/>
        <w:outlineLvl w:val="9"/>
        <w:rPr>
          <w:rFonts w:hint="eastAsia" w:ascii="宋体" w:hAnsi="宋体" w:eastAsia="宋体" w:cs="宋体"/>
          <w:b/>
          <w:color w:val="auto"/>
          <w:sz w:val="28"/>
          <w:szCs w:val="28"/>
          <w:highlight w:val="none"/>
        </w:rPr>
      </w:pPr>
    </w:p>
    <w:p w14:paraId="0ECB3746">
      <w:pPr>
        <w:keepNext w:val="0"/>
        <w:keepLines w:val="0"/>
        <w:pageBreakBefore w:val="0"/>
        <w:tabs>
          <w:tab w:val="left" w:pos="2190"/>
        </w:tabs>
        <w:kinsoku/>
        <w:wordWrap/>
        <w:overflowPunct/>
        <w:topLinePunct w:val="0"/>
        <w:bidi w:val="0"/>
        <w:adjustRightInd w:val="0"/>
        <w:snapToGrid w:val="0"/>
        <w:spacing w:line="320" w:lineRule="exact"/>
        <w:ind w:firstLine="435"/>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二、招标文件</w:t>
      </w:r>
    </w:p>
    <w:p w14:paraId="67A7DCA2">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11、招标文件的构成</w:t>
      </w:r>
    </w:p>
    <w:p w14:paraId="30A1F354">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（1）招标公告；</w:t>
      </w:r>
    </w:p>
    <w:p w14:paraId="4BD47830">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（2）投标人须知；</w:t>
      </w:r>
    </w:p>
    <w:p w14:paraId="0BEF55AA">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w:t>
      </w:r>
      <w:r>
        <w:rPr>
          <w:rFonts w:hint="eastAsia" w:ascii="宋体" w:hAnsi="宋体" w:eastAsia="宋体" w:cs="宋体"/>
          <w:color w:val="auto"/>
          <w:kern w:val="2"/>
          <w:sz w:val="21"/>
          <w:szCs w:val="21"/>
          <w:highlight w:val="none"/>
          <w:lang w:val="en-US" w:eastAsia="zh-CN"/>
        </w:rPr>
        <w:t>服务</w:t>
      </w:r>
      <w:r>
        <w:rPr>
          <w:rFonts w:hint="eastAsia" w:ascii="宋体" w:hAnsi="宋体" w:eastAsia="宋体" w:cs="宋体"/>
          <w:color w:val="auto"/>
          <w:kern w:val="2"/>
          <w:sz w:val="21"/>
          <w:szCs w:val="21"/>
          <w:highlight w:val="none"/>
          <w:lang w:eastAsia="zh-CN"/>
        </w:rPr>
        <w:t>采购需求</w:t>
      </w:r>
      <w:r>
        <w:rPr>
          <w:rFonts w:hint="eastAsia" w:ascii="宋体" w:hAnsi="宋体" w:eastAsia="宋体" w:cs="宋体"/>
          <w:color w:val="auto"/>
          <w:kern w:val="2"/>
          <w:sz w:val="21"/>
          <w:szCs w:val="21"/>
          <w:highlight w:val="none"/>
        </w:rPr>
        <w:t>；</w:t>
      </w:r>
    </w:p>
    <w:p w14:paraId="68810B33">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（4）评标办法；</w:t>
      </w:r>
    </w:p>
    <w:p w14:paraId="0B82ECFC">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（5）采购合同（合同主要条款及格式）；</w:t>
      </w:r>
    </w:p>
    <w:p w14:paraId="4B5BA1BF">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（6）投标文件格式。</w:t>
      </w:r>
    </w:p>
    <w:p w14:paraId="4C8213B9">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12、招标文件的澄清与修改</w:t>
      </w:r>
    </w:p>
    <w:p w14:paraId="43D9BF6C">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12.1投标人应认真阅读招标文件，发现其中有误或有不合理要求的，投标人必须在招标公告期限届满之日起7个工作日内以书面形式要求采购代理机构澄清。</w:t>
      </w:r>
    </w:p>
    <w:p w14:paraId="11C2F1BC">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12.2采购代理机构可以对已发出的招标文件进行必要澄清、修改。澄清或者修改的内容可能影响投标文件编制的，代理机构应当在投标截止时间至少十五日前在本招标项目招标公告发布的同一媒体上发布更正公告</w:t>
      </w:r>
      <w:r>
        <w:rPr>
          <w:rFonts w:hint="eastAsia" w:ascii="宋体" w:hAnsi="宋体" w:eastAsia="宋体" w:cs="宋体"/>
          <w:color w:val="auto"/>
          <w:kern w:val="2"/>
          <w:sz w:val="21"/>
          <w:szCs w:val="21"/>
          <w:highlight w:val="none"/>
          <w:lang w:eastAsia="zh-CN"/>
        </w:rPr>
        <w:t>（不涉及招标文件实质性内容修改的除外）</w:t>
      </w:r>
      <w:r>
        <w:rPr>
          <w:rFonts w:hint="eastAsia" w:ascii="宋体" w:hAnsi="宋体" w:eastAsia="宋体" w:cs="宋体"/>
          <w:color w:val="auto"/>
          <w:kern w:val="2"/>
          <w:sz w:val="21"/>
          <w:szCs w:val="21"/>
          <w:highlight w:val="none"/>
        </w:rPr>
        <w:t>，投标人应自行登录招标公告发布的相关网站查询，不足十五日的，应当顺延首次投标文件递交截止时间。</w:t>
      </w:r>
    </w:p>
    <w:p w14:paraId="54684AF6">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12.3采购代理机构在招标公告发布的相关网站发布更正公告的同时，视同投标人已知晓招标文件的澄清或者修改，投标人应将澄清或者修改的内容考虑在投标文件中。投标人在投标文件递交截止前未登录招标公告发布的相关网站查看澄清或者修改的，造成供应商的投标文件不符合招标文件要求或废标的，由投标人自行承担责任。</w:t>
      </w:r>
    </w:p>
    <w:p w14:paraId="3F455FB0">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12.4投标人应实时关注相关网站了解澄清、修改等与项目有关的内容，如因投标人未及时登录相关网站了解澄清、修改等与项目有关的内容，从而导致投标无效的，由投标人自行承担责任。</w:t>
      </w:r>
    </w:p>
    <w:p w14:paraId="73EE6834">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12.5澄清、答复、修改、补充的内容为招标文件的组成部分。当澄清、答复、修改、补充通知就同一内容的表述不一致时，以最后发出的文件为准。</w:t>
      </w:r>
    </w:p>
    <w:p w14:paraId="4E25821C">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12.6招标文件的澄清、答复、修改或补充都应该通过本项目采购代理机构以法定形式发布，采购人非通过本机构，不得擅自澄清、答复、修改或补充招标文件。</w:t>
      </w:r>
    </w:p>
    <w:p w14:paraId="0F01DFBE">
      <w:pPr>
        <w:keepNext w:val="0"/>
        <w:keepLines w:val="0"/>
        <w:pageBreakBefore w:val="0"/>
        <w:tabs>
          <w:tab w:val="left" w:pos="2190"/>
        </w:tabs>
        <w:kinsoku/>
        <w:wordWrap/>
        <w:overflowPunct/>
        <w:topLinePunct w:val="0"/>
        <w:bidi w:val="0"/>
        <w:adjustRightInd w:val="0"/>
        <w:snapToGrid w:val="0"/>
        <w:spacing w:line="320" w:lineRule="exact"/>
        <w:ind w:firstLine="435"/>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三、投标文件的编制</w:t>
      </w:r>
    </w:p>
    <w:p w14:paraId="08504E50">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13、投标文件的组成及要求</w:t>
      </w:r>
    </w:p>
    <w:p w14:paraId="3633B265">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13.1本项目实行电子投标，投标人应提交电子投标文件；电子投标文件应按照本招标文件要求及</w:t>
      </w:r>
      <w:r>
        <w:rPr>
          <w:rFonts w:hint="eastAsia" w:ascii="宋体" w:hAnsi="宋体" w:eastAsia="宋体" w:cs="宋体"/>
          <w:b/>
          <w:bCs/>
          <w:color w:val="auto"/>
          <w:kern w:val="2"/>
          <w:sz w:val="21"/>
          <w:szCs w:val="21"/>
          <w:highlight w:val="none"/>
          <w:lang w:eastAsia="zh-CN"/>
        </w:rPr>
        <w:t>广西政府采购云平台</w:t>
      </w:r>
      <w:r>
        <w:rPr>
          <w:rFonts w:hint="eastAsia" w:ascii="宋体" w:hAnsi="宋体" w:eastAsia="宋体" w:cs="宋体"/>
          <w:b/>
          <w:bCs/>
          <w:color w:val="auto"/>
          <w:kern w:val="2"/>
          <w:sz w:val="21"/>
          <w:szCs w:val="21"/>
          <w:highlight w:val="none"/>
        </w:rPr>
        <w:t>平台要求编辑、制作、加密并递交。</w:t>
      </w:r>
    </w:p>
    <w:p w14:paraId="310DB25B">
      <w:pPr>
        <w:keepNext w:val="0"/>
        <w:keepLines w:val="0"/>
        <w:pageBreakBefore w:val="0"/>
        <w:widowControl w:val="0"/>
        <w:kinsoku/>
        <w:wordWrap w:val="0"/>
        <w:overflowPunct/>
        <w:topLinePunct w:val="0"/>
        <w:autoSpaceDE/>
        <w:autoSpaceDN/>
        <w:bidi w:val="0"/>
        <w:adjustRightInd/>
        <w:snapToGrid/>
        <w:spacing w:after="0" w:line="380" w:lineRule="exact"/>
        <w:ind w:firstLine="437"/>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具体操作流程可参考《政府采购项目电子交易管理操作指南-供应商》指南可在 “http://www.ccgp-guangxi.gov.cn/PurchaseAdvisory/ImportantNotice/2866753.html”下载。</w:t>
      </w:r>
    </w:p>
    <w:p w14:paraId="18FE98E1">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13.2投标文件的组成（格式见第六章投标文件格式）</w:t>
      </w:r>
    </w:p>
    <w:p w14:paraId="14A7D7E3">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13.2.1资格性响应证明材料：</w:t>
      </w:r>
    </w:p>
    <w:p w14:paraId="48E701A1">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）投标人相应的法定代表人或负责人或自然人身份证正反面扫描件</w:t>
      </w:r>
      <w:r>
        <w:rPr>
          <w:rFonts w:hint="eastAsia" w:ascii="宋体" w:hAnsi="宋体" w:eastAsia="宋体" w:cs="宋体"/>
          <w:b/>
          <w:bCs/>
          <w:color w:val="auto"/>
          <w:kern w:val="2"/>
          <w:sz w:val="21"/>
          <w:szCs w:val="21"/>
          <w:highlight w:val="none"/>
        </w:rPr>
        <w:t>（必须提供）；</w:t>
      </w:r>
    </w:p>
    <w:p w14:paraId="0B06200A">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）投标人的授权委托书原件（格式见附件）、委托代理人身份证正反面扫描件以及由县级以上（含县级）社会养老保险经办机构出具的投标人为委托代理人交纳</w:t>
      </w:r>
      <w:r>
        <w:rPr>
          <w:rFonts w:hint="eastAsia" w:ascii="宋体" w:hAnsi="宋体" w:eastAsia="宋体" w:cs="宋体"/>
          <w:color w:val="auto"/>
          <w:kern w:val="2"/>
          <w:sz w:val="21"/>
          <w:szCs w:val="21"/>
          <w:highlight w:val="none"/>
          <w:lang w:eastAsia="zh-CN"/>
        </w:rPr>
        <w:t>的</w:t>
      </w:r>
      <w:r>
        <w:rPr>
          <w:rFonts w:hint="eastAsia" w:ascii="宋体" w:hAnsi="宋体" w:eastAsia="宋体" w:cs="宋体"/>
          <w:color w:val="auto"/>
          <w:kern w:val="2"/>
          <w:sz w:val="21"/>
          <w:szCs w:val="21"/>
          <w:highlight w:val="none"/>
        </w:rPr>
        <w:t>202</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年以来任意一个月社保证明扫描件【自然人投标的应提供由县级以上（含县级）社会养老保险经办机构出具的自然人本人及委托代理人所交纳的202</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年以来任意一个月社保证明扫描件】</w:t>
      </w:r>
      <w:r>
        <w:rPr>
          <w:rFonts w:hint="eastAsia" w:ascii="宋体" w:hAnsi="宋体" w:eastAsia="宋体" w:cs="宋体"/>
          <w:b/>
          <w:bCs/>
          <w:color w:val="auto"/>
          <w:kern w:val="2"/>
          <w:sz w:val="21"/>
          <w:szCs w:val="21"/>
          <w:highlight w:val="none"/>
        </w:rPr>
        <w:t xml:space="preserve">（委托代理时必须提供；若为新成立的企业，请根据实际情况提供）； </w:t>
      </w:r>
    </w:p>
    <w:p w14:paraId="4205CDE1">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）投标人的法人或者其他组织营业执照等证明文件扫描件</w:t>
      </w:r>
      <w:r>
        <w:rPr>
          <w:rFonts w:hint="eastAsia" w:ascii="宋体" w:hAnsi="宋体" w:eastAsia="宋体" w:cs="宋体"/>
          <w:b/>
          <w:bCs/>
          <w:color w:val="auto"/>
          <w:kern w:val="2"/>
          <w:sz w:val="21"/>
          <w:szCs w:val="21"/>
          <w:highlight w:val="none"/>
        </w:rPr>
        <w:t>（必须提供，自然人除外）；</w:t>
      </w:r>
    </w:p>
    <w:p w14:paraId="5E40E08F">
      <w:pPr>
        <w:widowControl w:val="0"/>
        <w:adjustRightInd/>
        <w:snapToGrid/>
        <w:spacing w:after="0" w:line="380" w:lineRule="exact"/>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0AEBA860">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w:t>
      </w:r>
      <w:r>
        <w:rPr>
          <w:rFonts w:hint="eastAsia" w:ascii="宋体" w:hAnsi="宋体" w:eastAsia="宋体" w:cs="宋体"/>
          <w:color w:val="auto"/>
          <w:kern w:val="2"/>
          <w:sz w:val="21"/>
          <w:szCs w:val="21"/>
          <w:highlight w:val="none"/>
          <w:lang w:val="en-US" w:eastAsia="zh-CN"/>
        </w:rPr>
        <w:t>投标人</w:t>
      </w:r>
      <w:r>
        <w:rPr>
          <w:rFonts w:hint="eastAsia" w:ascii="宋体" w:hAnsi="宋体" w:eastAsia="宋体" w:cs="宋体"/>
          <w:color w:val="auto"/>
          <w:kern w:val="2"/>
          <w:sz w:val="21"/>
          <w:szCs w:val="21"/>
          <w:highlight w:val="none"/>
        </w:rPr>
        <w:t>2022年度以来任意一个年度内的财务状况报告或2023年以来其基本开户银行出具的资信证明</w:t>
      </w:r>
      <w:r>
        <w:rPr>
          <w:rFonts w:hint="eastAsia" w:ascii="宋体" w:hAnsi="宋体" w:eastAsia="宋体" w:cs="宋体"/>
          <w:color w:val="auto"/>
          <w:kern w:val="2"/>
          <w:sz w:val="21"/>
          <w:szCs w:val="21"/>
          <w:highlight w:val="none"/>
          <w:lang w:val="en-US" w:eastAsia="zh-CN"/>
        </w:rPr>
        <w:t>扫描</w:t>
      </w:r>
      <w:r>
        <w:rPr>
          <w:rFonts w:hint="eastAsia" w:ascii="宋体" w:hAnsi="宋体" w:eastAsia="宋体" w:cs="宋体"/>
          <w:color w:val="auto"/>
          <w:kern w:val="2"/>
          <w:sz w:val="21"/>
          <w:szCs w:val="21"/>
          <w:highlight w:val="none"/>
        </w:rPr>
        <w:t>件</w:t>
      </w:r>
      <w:r>
        <w:rPr>
          <w:rFonts w:hint="eastAsia" w:ascii="宋体" w:hAnsi="宋体" w:eastAsia="宋体" w:cs="宋体"/>
          <w:b/>
          <w:bCs/>
          <w:color w:val="auto"/>
          <w:kern w:val="2"/>
          <w:sz w:val="21"/>
          <w:szCs w:val="21"/>
          <w:highlight w:val="none"/>
        </w:rPr>
        <w:t>（必须提供）；</w:t>
      </w:r>
    </w:p>
    <w:p w14:paraId="385AFE45">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val="0"/>
          <w:bCs w:val="0"/>
          <w:color w:val="auto"/>
          <w:kern w:val="2"/>
          <w:sz w:val="21"/>
          <w:szCs w:val="21"/>
          <w:highlight w:val="none"/>
        </w:rPr>
        <w:t>（</w:t>
      </w:r>
      <w:r>
        <w:rPr>
          <w:rFonts w:hint="eastAsia" w:ascii="宋体" w:hAnsi="宋体" w:eastAsia="宋体" w:cs="宋体"/>
          <w:b w:val="0"/>
          <w:bCs w:val="0"/>
          <w:color w:val="auto"/>
          <w:kern w:val="2"/>
          <w:sz w:val="21"/>
          <w:szCs w:val="21"/>
          <w:highlight w:val="none"/>
          <w:lang w:val="en-US" w:eastAsia="zh-CN"/>
        </w:rPr>
        <w:t>5</w:t>
      </w:r>
      <w:r>
        <w:rPr>
          <w:rFonts w:hint="eastAsia" w:ascii="宋体" w:hAnsi="宋体" w:eastAsia="宋体" w:cs="宋体"/>
          <w:b w:val="0"/>
          <w:bCs w:val="0"/>
          <w:color w:val="auto"/>
          <w:kern w:val="2"/>
          <w:sz w:val="21"/>
          <w:szCs w:val="21"/>
          <w:highlight w:val="none"/>
        </w:rPr>
        <w:t>）投标人202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年任意一个月依法缴纳税收或依法免税的相关材料</w:t>
      </w:r>
      <w:r>
        <w:rPr>
          <w:rFonts w:hint="eastAsia" w:ascii="宋体" w:hAnsi="宋体" w:eastAsia="宋体" w:cs="宋体"/>
          <w:color w:val="auto"/>
          <w:kern w:val="2"/>
          <w:sz w:val="21"/>
          <w:szCs w:val="21"/>
          <w:highlight w:val="none"/>
        </w:rPr>
        <w:t>扫描件</w:t>
      </w:r>
      <w:r>
        <w:rPr>
          <w:rFonts w:hint="eastAsia" w:ascii="宋体" w:hAnsi="宋体" w:eastAsia="宋体" w:cs="宋体"/>
          <w:b/>
          <w:bCs/>
          <w:color w:val="auto"/>
          <w:kern w:val="2"/>
          <w:sz w:val="21"/>
          <w:szCs w:val="21"/>
          <w:highlight w:val="none"/>
        </w:rPr>
        <w:t>（必须提供）；</w:t>
      </w:r>
    </w:p>
    <w:p w14:paraId="3DAEAE7B">
      <w:pPr>
        <w:widowControl w:val="0"/>
        <w:adjustRightInd/>
        <w:snapToGrid/>
        <w:spacing w:after="0" w:line="380" w:lineRule="exact"/>
        <w:ind w:firstLine="435"/>
        <w:jc w:val="both"/>
        <w:rPr>
          <w:rFonts w:hint="eastAsia" w:ascii="宋体" w:hAnsi="宋体" w:eastAsia="宋体" w:cs="宋体"/>
          <w:b w:val="0"/>
          <w:bCs w:val="0"/>
          <w:color w:val="auto"/>
          <w:kern w:val="2"/>
          <w:sz w:val="21"/>
          <w:szCs w:val="21"/>
          <w:highlight w:val="none"/>
          <w:lang w:eastAsia="zh-CN"/>
        </w:rPr>
      </w:pPr>
      <w:r>
        <w:rPr>
          <w:rFonts w:hint="eastAsia" w:ascii="宋体" w:hAnsi="宋体" w:eastAsia="宋体" w:cs="宋体"/>
          <w:b w:val="0"/>
          <w:bCs w:val="0"/>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rPr>
        <w:t>6</w:t>
      </w:r>
      <w:r>
        <w:rPr>
          <w:rFonts w:hint="eastAsia" w:ascii="宋体" w:hAnsi="宋体" w:eastAsia="宋体" w:cs="宋体"/>
          <w:b w:val="0"/>
          <w:bCs w:val="0"/>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rPr>
        <w:t>投标人</w:t>
      </w:r>
      <w:r>
        <w:rPr>
          <w:rFonts w:hint="eastAsia" w:ascii="宋体" w:hAnsi="宋体" w:eastAsia="宋体" w:cs="宋体"/>
          <w:b w:val="0"/>
          <w:bCs w:val="0"/>
          <w:color w:val="auto"/>
          <w:kern w:val="2"/>
          <w:sz w:val="21"/>
          <w:szCs w:val="21"/>
          <w:highlight w:val="none"/>
          <w:lang w:eastAsia="zh-CN"/>
        </w:rPr>
        <w:t>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lang w:eastAsia="zh-CN"/>
        </w:rPr>
        <w:t>年任意一个月依法缴纳社会保障资金的相关证明材料</w:t>
      </w:r>
      <w:r>
        <w:rPr>
          <w:rFonts w:hint="eastAsia" w:ascii="宋体" w:hAnsi="宋体" w:eastAsia="宋体" w:cs="宋体"/>
          <w:color w:val="auto"/>
          <w:kern w:val="2"/>
          <w:sz w:val="21"/>
          <w:szCs w:val="21"/>
          <w:highlight w:val="none"/>
        </w:rPr>
        <w:t>扫描件</w:t>
      </w:r>
      <w:r>
        <w:rPr>
          <w:rFonts w:hint="eastAsia" w:ascii="宋体" w:hAnsi="宋体" w:eastAsia="宋体" w:cs="宋体"/>
          <w:b/>
          <w:bCs/>
          <w:color w:val="auto"/>
          <w:kern w:val="2"/>
          <w:sz w:val="21"/>
          <w:szCs w:val="21"/>
          <w:highlight w:val="none"/>
          <w:lang w:eastAsia="zh-CN"/>
        </w:rPr>
        <w:t>（必须提供）</w:t>
      </w:r>
      <w:r>
        <w:rPr>
          <w:rFonts w:hint="eastAsia" w:ascii="宋体" w:hAnsi="宋体" w:eastAsia="宋体" w:cs="宋体"/>
          <w:b w:val="0"/>
          <w:bCs w:val="0"/>
          <w:color w:val="auto"/>
          <w:kern w:val="2"/>
          <w:sz w:val="21"/>
          <w:szCs w:val="21"/>
          <w:highlight w:val="none"/>
          <w:lang w:eastAsia="zh-CN"/>
        </w:rPr>
        <w:t>；</w:t>
      </w:r>
    </w:p>
    <w:p w14:paraId="7DBEF1E7">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投标人</w:t>
      </w:r>
      <w:r>
        <w:rPr>
          <w:rFonts w:hint="eastAsia" w:ascii="宋体" w:hAnsi="宋体" w:eastAsia="宋体" w:cs="宋体"/>
          <w:color w:val="auto"/>
          <w:kern w:val="2"/>
          <w:sz w:val="21"/>
          <w:szCs w:val="21"/>
          <w:highlight w:val="none"/>
        </w:rPr>
        <w:t>参加政府采购活动前三年内在经营活动中没有重大违法记录及有关信用信息的书面声明</w:t>
      </w:r>
      <w:r>
        <w:rPr>
          <w:rFonts w:hint="eastAsia" w:ascii="宋体" w:hAnsi="宋体" w:eastAsia="宋体" w:cs="宋体"/>
          <w:b/>
          <w:bCs/>
          <w:color w:val="auto"/>
          <w:kern w:val="2"/>
          <w:sz w:val="21"/>
          <w:szCs w:val="21"/>
          <w:highlight w:val="none"/>
        </w:rPr>
        <w:t>（格式见附件，必须提供）；</w:t>
      </w:r>
    </w:p>
    <w:p w14:paraId="7041A405">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 xml:space="preserve"> 13.2.2商务、技术性响应及其他证明材料：</w:t>
      </w:r>
    </w:p>
    <w:p w14:paraId="2A32866A">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符合性响应证明材料：</w:t>
      </w:r>
    </w:p>
    <w:p w14:paraId="1BA56B65">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（1）投标报价表</w:t>
      </w:r>
      <w:r>
        <w:rPr>
          <w:rFonts w:hint="eastAsia" w:ascii="宋体" w:hAnsi="宋体" w:eastAsia="宋体" w:cs="宋体"/>
          <w:b/>
          <w:bCs/>
          <w:color w:val="auto"/>
          <w:kern w:val="2"/>
          <w:sz w:val="21"/>
          <w:szCs w:val="21"/>
          <w:highlight w:val="none"/>
        </w:rPr>
        <w:t>（必须提供）；</w:t>
      </w:r>
    </w:p>
    <w:p w14:paraId="39A1D5A3">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（2）服务采购需求</w:t>
      </w:r>
      <w:r>
        <w:rPr>
          <w:rFonts w:hint="eastAsia" w:ascii="宋体" w:hAnsi="宋体" w:eastAsia="宋体" w:cs="宋体"/>
          <w:color w:val="auto"/>
          <w:kern w:val="2"/>
          <w:sz w:val="21"/>
          <w:szCs w:val="21"/>
          <w:highlight w:val="none"/>
          <w:lang w:val="en-US" w:eastAsia="zh-CN"/>
        </w:rPr>
        <w:t>响应</w:t>
      </w:r>
      <w:r>
        <w:rPr>
          <w:rFonts w:hint="eastAsia" w:ascii="宋体" w:hAnsi="宋体" w:eastAsia="宋体" w:cs="宋体"/>
          <w:color w:val="auto"/>
          <w:kern w:val="2"/>
          <w:sz w:val="21"/>
          <w:szCs w:val="21"/>
          <w:highlight w:val="none"/>
        </w:rPr>
        <w:t>表</w:t>
      </w:r>
      <w:r>
        <w:rPr>
          <w:rFonts w:hint="eastAsia" w:ascii="宋体" w:hAnsi="宋体" w:eastAsia="宋体" w:cs="宋体"/>
          <w:b/>
          <w:bCs/>
          <w:color w:val="auto"/>
          <w:kern w:val="2"/>
          <w:sz w:val="21"/>
          <w:szCs w:val="21"/>
          <w:highlight w:val="none"/>
        </w:rPr>
        <w:t>（必须提供）；</w:t>
      </w:r>
    </w:p>
    <w:p w14:paraId="5918E4CF">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项目实施</w:t>
      </w:r>
      <w:r>
        <w:rPr>
          <w:rFonts w:hint="eastAsia" w:ascii="宋体" w:hAnsi="宋体" w:eastAsia="宋体" w:cs="宋体"/>
          <w:color w:val="auto"/>
          <w:kern w:val="2"/>
          <w:sz w:val="21"/>
          <w:szCs w:val="21"/>
          <w:highlight w:val="none"/>
        </w:rPr>
        <w:t>方案</w:t>
      </w:r>
      <w:r>
        <w:rPr>
          <w:rFonts w:hint="eastAsia" w:ascii="宋体" w:hAnsi="宋体" w:eastAsia="宋体" w:cs="宋体"/>
          <w:b/>
          <w:bCs/>
          <w:color w:val="auto"/>
          <w:kern w:val="2"/>
          <w:sz w:val="21"/>
          <w:szCs w:val="21"/>
          <w:highlight w:val="none"/>
        </w:rPr>
        <w:t>（必须提供，根据本项目采购需求及评标办法自行编写）</w:t>
      </w:r>
    </w:p>
    <w:p w14:paraId="3E6C93E6">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服务</w:t>
      </w:r>
      <w:r>
        <w:rPr>
          <w:rFonts w:hint="eastAsia" w:ascii="宋体" w:hAnsi="宋体" w:eastAsia="宋体" w:cs="宋体"/>
          <w:color w:val="auto"/>
          <w:kern w:val="2"/>
          <w:sz w:val="21"/>
          <w:szCs w:val="21"/>
          <w:highlight w:val="none"/>
          <w:lang w:eastAsia="zh-CN"/>
        </w:rPr>
        <w:t>采购需求</w:t>
      </w:r>
      <w:r>
        <w:rPr>
          <w:rFonts w:hint="eastAsia" w:ascii="宋体" w:hAnsi="宋体" w:eastAsia="宋体" w:cs="宋体"/>
          <w:color w:val="auto"/>
          <w:kern w:val="2"/>
          <w:sz w:val="21"/>
          <w:szCs w:val="21"/>
          <w:highlight w:val="none"/>
        </w:rPr>
        <w:t>”中要求必须提供的有效证明文件</w:t>
      </w:r>
      <w:r>
        <w:rPr>
          <w:rFonts w:hint="eastAsia" w:ascii="宋体" w:hAnsi="宋体" w:eastAsia="宋体" w:cs="宋体"/>
          <w:b/>
          <w:bCs/>
          <w:color w:val="auto"/>
          <w:kern w:val="2"/>
          <w:sz w:val="21"/>
          <w:szCs w:val="21"/>
          <w:highlight w:val="none"/>
        </w:rPr>
        <w:t>（按其要求提供）；</w:t>
      </w:r>
    </w:p>
    <w:p w14:paraId="7EC57262">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）投标人202</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年1月1日以来具有同类服务项目业绩【无不良记录，以中标（成交）通知书或采购合同（协议）复印件为准（能清晰反映所服务名称、内容）】</w:t>
      </w:r>
      <w:r>
        <w:rPr>
          <w:rFonts w:hint="eastAsia" w:ascii="宋体" w:hAnsi="宋体" w:eastAsia="宋体" w:cs="宋体"/>
          <w:b/>
          <w:bCs/>
          <w:color w:val="auto"/>
          <w:kern w:val="2"/>
          <w:sz w:val="21"/>
          <w:szCs w:val="21"/>
          <w:highlight w:val="none"/>
        </w:rPr>
        <w:t>（如有，请提供）；</w:t>
      </w:r>
    </w:p>
    <w:p w14:paraId="662C7A06">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）项目拟投入人员一览表</w:t>
      </w:r>
      <w:r>
        <w:rPr>
          <w:rFonts w:hint="eastAsia" w:ascii="宋体" w:hAnsi="宋体" w:eastAsia="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rPr>
        <w:t>如有，请提供</w:t>
      </w:r>
      <w:r>
        <w:rPr>
          <w:rFonts w:hint="eastAsia" w:ascii="宋体" w:hAnsi="宋体" w:eastAsia="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rPr>
        <w:t>；</w:t>
      </w:r>
    </w:p>
    <w:p w14:paraId="12B3932C">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）投标人相关获奖证书、认证证书等复印件</w:t>
      </w:r>
      <w:r>
        <w:rPr>
          <w:rFonts w:hint="eastAsia" w:ascii="宋体" w:hAnsi="宋体" w:eastAsia="宋体" w:cs="宋体"/>
          <w:b/>
          <w:bCs/>
          <w:color w:val="auto"/>
          <w:kern w:val="2"/>
          <w:sz w:val="21"/>
          <w:szCs w:val="21"/>
          <w:highlight w:val="none"/>
        </w:rPr>
        <w:t>（如有，请提供）；</w:t>
      </w:r>
    </w:p>
    <w:p w14:paraId="5F99052B">
      <w:pPr>
        <w:widowControl w:val="0"/>
        <w:adjustRightInd/>
        <w:snapToGrid/>
        <w:spacing w:after="0" w:line="380" w:lineRule="exact"/>
        <w:ind w:firstLine="435"/>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投标人承接本项目全部服务且投标人为符合政策要求的中小企业的，提供《中小企业声明函》；属于监狱企业的，提供由省级以上监狱管理局、戒毒管理局(含新疆生产建设兵团)出具的属于监狱企业的证明文件</w:t>
      </w:r>
      <w:r>
        <w:rPr>
          <w:rFonts w:hint="eastAsia" w:ascii="宋体" w:hAnsi="宋体" w:eastAsia="宋体" w:cs="宋体"/>
          <w:b/>
          <w:bCs/>
          <w:color w:val="auto"/>
          <w:kern w:val="2"/>
          <w:sz w:val="21"/>
          <w:szCs w:val="21"/>
          <w:highlight w:val="none"/>
        </w:rPr>
        <w:t>（如有，请提供）；</w:t>
      </w:r>
    </w:p>
    <w:p w14:paraId="1374C644">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9</w:t>
      </w:r>
      <w:r>
        <w:rPr>
          <w:rFonts w:hint="eastAsia" w:ascii="宋体" w:hAnsi="宋体" w:eastAsia="宋体" w:cs="宋体"/>
          <w:color w:val="auto"/>
          <w:kern w:val="2"/>
          <w:sz w:val="21"/>
          <w:szCs w:val="21"/>
          <w:highlight w:val="none"/>
        </w:rPr>
        <w:t>）符合条件的残疾人福利性单位在参加政府采购活动时，提供《残疾人福利性单位声明函》，并对声明的真实性负责</w:t>
      </w:r>
      <w:r>
        <w:rPr>
          <w:rFonts w:hint="eastAsia" w:ascii="宋体" w:hAnsi="宋体" w:eastAsia="宋体" w:cs="宋体"/>
          <w:b/>
          <w:bCs/>
          <w:color w:val="auto"/>
          <w:kern w:val="2"/>
          <w:sz w:val="21"/>
          <w:szCs w:val="21"/>
          <w:highlight w:val="none"/>
        </w:rPr>
        <w:t>（如有，请提供）；</w:t>
      </w:r>
    </w:p>
    <w:p w14:paraId="14993D5E">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）投标人可结合本项目的评标办法视自身情况自行提交相关证明材料</w:t>
      </w:r>
      <w:r>
        <w:rPr>
          <w:rFonts w:hint="eastAsia" w:ascii="宋体" w:hAnsi="宋体" w:eastAsia="宋体" w:cs="宋体"/>
          <w:b/>
          <w:bCs/>
          <w:color w:val="auto"/>
          <w:kern w:val="2"/>
          <w:sz w:val="21"/>
          <w:szCs w:val="21"/>
          <w:highlight w:val="none"/>
        </w:rPr>
        <w:t>（如有，请提供）。</w:t>
      </w:r>
    </w:p>
    <w:p w14:paraId="333B117D">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投标人提供的以上相关证明材料应真实有效，属于“必须提供”的文件必须于本项目截标前作为投标文件的一部分提交，并加盖投标人公章（CA签章）/自然人签字或加盖个人CA签章，否则投标无效。</w:t>
      </w:r>
    </w:p>
    <w:p w14:paraId="721E91AC">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13.3投标人应按招标文件第六章投标文件格式编制投标文件。</w:t>
      </w:r>
    </w:p>
    <w:p w14:paraId="5777C1EB">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13.4投标文件应当对招标文件提出的要求和条件作出明确响应。</w:t>
      </w:r>
    </w:p>
    <w:p w14:paraId="7AEA8930">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特别说明：</w:t>
      </w:r>
    </w:p>
    <w:p w14:paraId="2CA8E034">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投标文件（电子投标文件）中须加盖投标人公章部分均采用CA电子签章。若投标文件中有专门标注的某关联点，并要求投标人在电子投标系统中作出投标响应，如投标人未对关联点进行响应或者在投标文件其它内容中进行描述，造成电子评审不能查询到的责任由投标人自行承担。</w:t>
      </w:r>
    </w:p>
    <w:p w14:paraId="0595E189">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（2）招标文件中要求由法定代表人（负责人）或委托代理人签字的部分必须签字（然后扫描或者拍照做成PDF格式上传）或加盖个人CA签章，无签字或个人CA签章的，视为投标无效。</w:t>
      </w:r>
    </w:p>
    <w:p w14:paraId="28945A95">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14、投标文件的语言及计量</w:t>
      </w:r>
    </w:p>
    <w:p w14:paraId="70FA15A6">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14.1投标文件以及投标人与招标采购单位就有关投标事宜的所有来往函电，均应以中文汉语书写。投标人提交的支持文件和印刷的文献可以使用别的语言，但其相应内容必须附有中文翻译文本，在解释投标文件时以中文翻译文本为主。</w:t>
      </w:r>
    </w:p>
    <w:p w14:paraId="3BD044FF">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14.2投标计量单位，招标文件已有明确规定的，使用招标文件规定的计量单位；招标文件没有规定的，应采用中华人民共和国法定计量单位（货币单位：人民币元），否则视同未响应。</w:t>
      </w:r>
    </w:p>
    <w:p w14:paraId="6F478170">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15、投标报价及采购预算金额</w:t>
      </w:r>
    </w:p>
    <w:p w14:paraId="4108B1FE">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15.1本项目采购预算金额：人民币</w:t>
      </w:r>
      <w:r>
        <w:rPr>
          <w:rFonts w:hint="eastAsia" w:ascii="宋体" w:hAnsi="宋体" w:eastAsia="宋体" w:cs="宋体"/>
          <w:b/>
          <w:bCs/>
          <w:color w:val="auto"/>
          <w:kern w:val="2"/>
          <w:sz w:val="21"/>
          <w:szCs w:val="21"/>
          <w:highlight w:val="none"/>
          <w:lang w:val="en-US" w:eastAsia="zh-CN"/>
        </w:rPr>
        <w:t>肆仟肆佰柒拾壹万壹仟壹佰肆拾元整（￥44711140.00</w:t>
      </w:r>
      <w:r>
        <w:rPr>
          <w:rFonts w:hint="eastAsia" w:ascii="宋体" w:hAnsi="宋体" w:eastAsia="宋体" w:cs="宋体"/>
          <w:b/>
          <w:bCs/>
          <w:color w:val="auto"/>
          <w:kern w:val="2"/>
          <w:sz w:val="21"/>
          <w:szCs w:val="21"/>
          <w:highlight w:val="none"/>
        </w:rPr>
        <w:t>元</w:t>
      </w:r>
      <w:r>
        <w:rPr>
          <w:rFonts w:hint="eastAsia" w:ascii="宋体" w:hAnsi="宋体" w:eastAsia="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rPr>
        <w:t>，</w:t>
      </w:r>
      <w:r>
        <w:rPr>
          <w:rFonts w:hint="eastAsia" w:ascii="宋体" w:hAnsi="宋体" w:eastAsia="宋体" w:cs="宋体"/>
          <w:b w:val="0"/>
          <w:bCs w:val="0"/>
          <w:color w:val="auto"/>
          <w:kern w:val="2"/>
          <w:sz w:val="21"/>
          <w:szCs w:val="21"/>
          <w:highlight w:val="none"/>
        </w:rPr>
        <w:t>投标报价超出采购预算金额的，作投标无效处理。</w:t>
      </w:r>
    </w:p>
    <w:p w14:paraId="13DC72D7">
      <w:pPr>
        <w:widowControl w:val="0"/>
        <w:adjustRightInd/>
        <w:snapToGrid/>
        <w:spacing w:after="0" w:line="380" w:lineRule="exact"/>
        <w:ind w:firstLine="435"/>
        <w:jc w:val="both"/>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15.2投标报价</w:t>
      </w:r>
    </w:p>
    <w:p w14:paraId="28195E52">
      <w:pPr>
        <w:widowControl w:val="0"/>
        <w:adjustRightInd/>
        <w:snapToGrid/>
        <w:spacing w:after="0" w:line="380" w:lineRule="exact"/>
        <w:ind w:firstLine="435"/>
        <w:jc w:val="both"/>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15.2.1投标报价必须按招标文件中第六章“投标文件（格式）”填写，投标报价超过采购预算金额的，投标文件按无效处理。</w:t>
      </w:r>
    </w:p>
    <w:p w14:paraId="4D3BB7EA">
      <w:pPr>
        <w:widowControl w:val="0"/>
        <w:adjustRightInd/>
        <w:snapToGrid/>
        <w:spacing w:after="0" w:line="380" w:lineRule="exact"/>
        <w:ind w:firstLine="435"/>
        <w:jc w:val="both"/>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15.2.2投标人必须就《服务采购需求》中所列所有内容作完整唯一报价，否则，其投标将被拒绝；投标文件只允许有一个报价，有选择的或有条件的报价将不予接受。</w:t>
      </w:r>
    </w:p>
    <w:p w14:paraId="23094774">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16、投标有效期</w:t>
      </w:r>
    </w:p>
    <w:p w14:paraId="0355A70B">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16.1投标有效期：投标截止时间之日起90天，有效期不足的投标文件将被拒绝。</w:t>
      </w:r>
    </w:p>
    <w:p w14:paraId="64E6379C">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16.2出现特殊情况下，需要延长投标有效期的，采购代理机构以书面形式通知所有投标人延长投标有效期。投标人同意延长的，投标文件为有效文件，但不能修改投标文件。投标人拒绝延长的，其投标无效。</w:t>
      </w:r>
    </w:p>
    <w:p w14:paraId="16624EFE">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17、投标文件的制作</w:t>
      </w:r>
    </w:p>
    <w:p w14:paraId="610EE40B">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17.1 电子投标文件中须加盖投标人公章部分均采用 CA 电子签章，并根据“政府采购项目电子交易管理操作指南-供应商” 及本招标文件规定的格式和顺序编制电子投标文件并进行关联定位，以便评标委员会在评审时，点击评审项可直接定位到该评审项内容。如对招标文件的某项要求，投标人的电子投标文件未能关联定位提供相应的内容与其对应，则评标委员会在评审时如做出对投标人不利的评审判断或结果由投标人自行承担。电子投标文件如内容不完整、编排混乱导致投标文件被误读、 漏读，或者在按招标文件规定的部位查找不到相关内容的，由投标人自行承担。</w:t>
      </w:r>
    </w:p>
    <w:p w14:paraId="0D32049E">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17.2 投标人的法定代表人（负责人）或授权代表持有</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个人CA签章的，应在投标文件中涉及到签字的位置使用个人CA签章，没有办理</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 xml:space="preserve">个人CA签章的可在投标文件中涉及到签字的位置手写签字后扫描或者拍照做成 PDF 的格式上传即可。 </w:t>
      </w:r>
    </w:p>
    <w:p w14:paraId="41C44556">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17.3 投标文件不得涂改，若有修改错漏处，须由法定代表人（负责人）或授权委托人签字（或个人CA签章）。投标文件因字迹潦草或表达不清所引起的后果由投标人负责。</w:t>
      </w:r>
    </w:p>
    <w:p w14:paraId="414B1B4B">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17.4特别说明：</w:t>
      </w:r>
    </w:p>
    <w:p w14:paraId="291EC6C6">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17.4.1各投标人应在投标截止前确保成为</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 xml:space="preserve">平台正式注册入库供应商，并完成CA数字证书申领。因未注册入库、未办理CA数字证书等原因造成无法投标或投标失败等后果由投标人自行承担。 </w:t>
      </w:r>
    </w:p>
    <w:p w14:paraId="29670F64">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17.4.2投标人将</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电子交易客户端下载、安装完成后，可通过账号密码或CA登录客户端进行投标文件制作。客户端请至网站下载专区查看，如有问题可拨打</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 xml:space="preserve">客户服务热线 </w:t>
      </w:r>
      <w:r>
        <w:rPr>
          <w:rFonts w:hint="eastAsia" w:ascii="宋体" w:hAnsi="宋体" w:eastAsia="宋体" w:cs="宋体"/>
          <w:color w:val="auto"/>
          <w:kern w:val="2"/>
          <w:sz w:val="21"/>
          <w:szCs w:val="21"/>
          <w:highlight w:val="none"/>
          <w:lang w:eastAsia="zh-CN"/>
        </w:rPr>
        <w:t>95763</w:t>
      </w:r>
      <w:r>
        <w:rPr>
          <w:rFonts w:hint="eastAsia" w:ascii="宋体" w:hAnsi="宋体" w:eastAsia="宋体" w:cs="宋体"/>
          <w:color w:val="auto"/>
          <w:kern w:val="2"/>
          <w:sz w:val="21"/>
          <w:szCs w:val="21"/>
          <w:highlight w:val="none"/>
        </w:rPr>
        <w:t xml:space="preserve"> 进行咨询。</w:t>
      </w:r>
    </w:p>
    <w:p w14:paraId="450F00D1">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18、投标文件的补充、修改和撤回</w:t>
      </w:r>
    </w:p>
    <w:p w14:paraId="7BC608DF">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18.1投标文件递交截止时间前可以撤回电子投标文件。补充或者修改电子投标文件的，应当先行撤回原文件，补充、修改后重新上传递交，在投标文件递交截止时间前未完成传输的，视为撤回投标文件。</w:t>
      </w:r>
    </w:p>
    <w:p w14:paraId="72A592F9">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18.2在投标文件递交截止时间后的投标文件有效期内，供应商不得撤回其投标文件。</w:t>
      </w:r>
    </w:p>
    <w:p w14:paraId="0ED183EA">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19、投标文件的递交和解密</w:t>
      </w:r>
    </w:p>
    <w:p w14:paraId="23E1DBB4">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19.1提交投标文件截止时间：详见《投标人须知前附表》第8条。</w:t>
      </w:r>
    </w:p>
    <w:p w14:paraId="4D19CAA6">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19.2投标文件递交地点：详见《投标人须知前附表》第9条。</w:t>
      </w:r>
    </w:p>
    <w:p w14:paraId="6B6187F7">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19.3投标文件解密：详见《投标人须知前附表》第10条。</w:t>
      </w:r>
    </w:p>
    <w:p w14:paraId="2038FCB9">
      <w:pPr>
        <w:keepNext w:val="0"/>
        <w:keepLines w:val="0"/>
        <w:pageBreakBefore w:val="0"/>
        <w:kinsoku/>
        <w:wordWrap/>
        <w:overflowPunct/>
        <w:topLinePunct w:val="0"/>
        <w:bidi w:val="0"/>
        <w:adjustRightInd w:val="0"/>
        <w:snapToGrid w:val="0"/>
        <w:spacing w:line="320" w:lineRule="exact"/>
        <w:ind w:firstLine="420" w:firstLineChars="200"/>
        <w:textAlignment w:val="auto"/>
        <w:rPr>
          <w:rFonts w:hint="eastAsia" w:ascii="宋体" w:hAnsi="宋体" w:eastAsia="宋体" w:cs="宋体"/>
          <w:color w:val="auto"/>
          <w:sz w:val="21"/>
          <w:szCs w:val="20"/>
          <w:highlight w:val="none"/>
        </w:rPr>
      </w:pPr>
      <w:r>
        <w:rPr>
          <w:rFonts w:hint="eastAsia" w:ascii="宋体" w:hAnsi="宋体" w:eastAsia="宋体" w:cs="宋体"/>
          <w:color w:val="auto"/>
          <w:sz w:val="21"/>
          <w:szCs w:val="20"/>
          <w:highlight w:val="none"/>
        </w:rPr>
        <w:t>19.4 除招标文件另有规定外，投标人所递交的投标文件不予退还。</w:t>
      </w:r>
    </w:p>
    <w:p w14:paraId="0E010B8F">
      <w:pPr>
        <w:keepNext w:val="0"/>
        <w:keepLines w:val="0"/>
        <w:pageBreakBefore w:val="0"/>
        <w:tabs>
          <w:tab w:val="left" w:pos="1305"/>
        </w:tabs>
        <w:kinsoku/>
        <w:wordWrap/>
        <w:overflowPunct/>
        <w:topLinePunct w:val="0"/>
        <w:bidi w:val="0"/>
        <w:adjustRightInd w:val="0"/>
        <w:snapToGrid w:val="0"/>
        <w:spacing w:line="320" w:lineRule="exact"/>
        <w:ind w:firstLine="562" w:firstLineChars="200"/>
        <w:jc w:val="center"/>
        <w:textAlignment w:val="auto"/>
        <w:outlineLvl w:val="9"/>
        <w:rPr>
          <w:rFonts w:hint="eastAsia" w:ascii="宋体" w:hAnsi="宋体" w:eastAsia="宋体" w:cs="宋体"/>
          <w:b/>
          <w:color w:val="auto"/>
          <w:sz w:val="28"/>
          <w:szCs w:val="28"/>
          <w:highlight w:val="none"/>
        </w:rPr>
      </w:pPr>
    </w:p>
    <w:p w14:paraId="645867F4">
      <w:pPr>
        <w:keepNext w:val="0"/>
        <w:keepLines w:val="0"/>
        <w:pageBreakBefore w:val="0"/>
        <w:tabs>
          <w:tab w:val="left" w:pos="1305"/>
        </w:tabs>
        <w:kinsoku/>
        <w:wordWrap/>
        <w:overflowPunct/>
        <w:topLinePunct w:val="0"/>
        <w:bidi w:val="0"/>
        <w:adjustRightInd w:val="0"/>
        <w:snapToGrid w:val="0"/>
        <w:spacing w:line="320" w:lineRule="exact"/>
        <w:ind w:firstLine="562" w:firstLineChars="200"/>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四、开标</w:t>
      </w:r>
    </w:p>
    <w:p w14:paraId="73527E67">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lang w:eastAsia="zh-CN"/>
        </w:rPr>
      </w:pPr>
      <w:r>
        <w:rPr>
          <w:rFonts w:hint="eastAsia" w:ascii="宋体" w:hAnsi="宋体" w:eastAsia="宋体" w:cs="宋体"/>
          <w:b/>
          <w:bCs/>
          <w:color w:val="auto"/>
          <w:kern w:val="2"/>
          <w:sz w:val="21"/>
          <w:szCs w:val="21"/>
          <w:highlight w:val="none"/>
        </w:rPr>
        <w:t>20、开标的时间和地点</w:t>
      </w:r>
      <w:r>
        <w:rPr>
          <w:rFonts w:hint="eastAsia" w:ascii="宋体" w:hAnsi="宋体" w:eastAsia="宋体" w:cs="宋体"/>
          <w:b/>
          <w:bCs/>
          <w:color w:val="auto"/>
          <w:kern w:val="2"/>
          <w:sz w:val="21"/>
          <w:szCs w:val="21"/>
          <w:highlight w:val="none"/>
          <w:lang w:eastAsia="zh-CN"/>
        </w:rPr>
        <w:t>、评标地点</w:t>
      </w:r>
    </w:p>
    <w:p w14:paraId="25ABD15C">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20.1开标时间：详见《投标人须知前附表》第11条；</w:t>
      </w:r>
    </w:p>
    <w:p w14:paraId="4D6E0882">
      <w:pPr>
        <w:widowControl w:val="0"/>
        <w:adjustRightInd/>
        <w:snapToGrid/>
        <w:spacing w:after="0" w:line="380" w:lineRule="exact"/>
        <w:ind w:firstLine="435"/>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20.2开标地点：详见《投标人须知前附表》第11条</w:t>
      </w:r>
      <w:r>
        <w:rPr>
          <w:rFonts w:hint="eastAsia" w:ascii="宋体" w:hAnsi="宋体" w:eastAsia="宋体" w:cs="宋体"/>
          <w:color w:val="auto"/>
          <w:kern w:val="2"/>
          <w:sz w:val="21"/>
          <w:szCs w:val="21"/>
          <w:highlight w:val="none"/>
          <w:lang w:eastAsia="zh-CN"/>
        </w:rPr>
        <w:t>；</w:t>
      </w:r>
    </w:p>
    <w:p w14:paraId="1AB34394">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本项目使用电子开标，并通过</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平台实行在线解密开启。</w:t>
      </w:r>
    </w:p>
    <w:p w14:paraId="4AFB8941">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20.</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投标人可以由法定代表人（负责人、自然人）或其委托代理人出席开标会议。</w:t>
      </w:r>
    </w:p>
    <w:p w14:paraId="0EAFAB6F">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20.</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投标人少于3家的，不得开标，采购人或者采购代理机构应当重新组织采购。</w:t>
      </w:r>
    </w:p>
    <w:p w14:paraId="70301A8A">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20.5 评标地点：详见《投标人须知前附表》第11条。</w:t>
      </w:r>
    </w:p>
    <w:p w14:paraId="3DF9503B">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21、开标程序</w:t>
      </w:r>
    </w:p>
    <w:p w14:paraId="77319B36">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21.1开标的准备工作由采购代理机构负责落实；</w:t>
      </w:r>
    </w:p>
    <w:p w14:paraId="07520417">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21.2采购代理机构将按照招标文件规定的时间通过“政府采购云平台”组织开标、开启投标文件，所有投标人均应当准时在线参加。投标人如不参加开标会的，视同认可开标结果，事后不得对采购相关人员、开标过程和开标结果提出异议，同时投标人因未在线参加开标而导致投标文件无法按时解密等一切后果由投标人自己承担。</w:t>
      </w:r>
    </w:p>
    <w:p w14:paraId="56F7EB6A">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21.3开标程序</w:t>
      </w:r>
    </w:p>
    <w:p w14:paraId="5F2E0E35">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21.3.1系统向各投标人发出电子加密投标文件【开始解密】通知，由投标人按招标文件规定的时间内对投标文件进行自行解密。若投标人在规定时间内无法解密或解密失败或超时解密的，系统默认自动放弃，投标文件按投标无效处理。在线解密时间为30分钟。</w:t>
      </w:r>
    </w:p>
    <w:p w14:paraId="3A5FB4CE">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21.3.2投标文件解密结束后，开标活动组织人员在线开启投标文件。</w:t>
      </w:r>
    </w:p>
    <w:p w14:paraId="732D689C">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.3开启投标人报价文件，电子开标大厅记录显示并记录投标人投标报价表（开标一览表）的投标报价、折扣等。</w:t>
      </w:r>
    </w:p>
    <w:p w14:paraId="0CB31FE3">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.4开标结束后，投标人线上确认投标报价。</w:t>
      </w:r>
    </w:p>
    <w:p w14:paraId="22F8E58F">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0663776C">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21.3.6</w:t>
      </w:r>
      <w:r>
        <w:rPr>
          <w:rFonts w:hint="eastAsia" w:ascii="宋体" w:hAnsi="宋体" w:eastAsia="宋体" w:cs="宋体"/>
          <w:color w:val="auto"/>
          <w:kern w:val="2"/>
          <w:sz w:val="21"/>
          <w:szCs w:val="21"/>
          <w:highlight w:val="none"/>
        </w:rPr>
        <w:t>开标结束后，如发现开标结果与</w:t>
      </w:r>
      <w:r>
        <w:rPr>
          <w:rFonts w:hint="eastAsia" w:ascii="宋体" w:hAnsi="宋体" w:eastAsia="宋体" w:cs="宋体"/>
          <w:color w:val="auto"/>
          <w:kern w:val="2"/>
          <w:sz w:val="21"/>
          <w:szCs w:val="21"/>
          <w:highlight w:val="none"/>
          <w:lang w:eastAsia="zh-CN"/>
        </w:rPr>
        <w:t>投标</w:t>
      </w:r>
      <w:r>
        <w:rPr>
          <w:rFonts w:hint="eastAsia" w:ascii="宋体" w:hAnsi="宋体" w:eastAsia="宋体" w:cs="宋体"/>
          <w:color w:val="auto"/>
          <w:kern w:val="2"/>
          <w:sz w:val="21"/>
          <w:szCs w:val="21"/>
          <w:highlight w:val="none"/>
        </w:rPr>
        <w:t>文件不一致者，由评标委员会根据</w:t>
      </w:r>
      <w:r>
        <w:rPr>
          <w:rFonts w:hint="eastAsia" w:ascii="宋体" w:hAnsi="宋体" w:eastAsia="宋体" w:cs="宋体"/>
          <w:color w:val="auto"/>
          <w:kern w:val="2"/>
          <w:sz w:val="21"/>
          <w:szCs w:val="21"/>
          <w:highlight w:val="none"/>
          <w:lang w:eastAsia="zh-CN"/>
        </w:rPr>
        <w:t>投标</w:t>
      </w:r>
      <w:r>
        <w:rPr>
          <w:rFonts w:hint="eastAsia" w:ascii="宋体" w:hAnsi="宋体" w:eastAsia="宋体" w:cs="宋体"/>
          <w:color w:val="auto"/>
          <w:kern w:val="2"/>
          <w:sz w:val="21"/>
          <w:szCs w:val="21"/>
          <w:highlight w:val="none"/>
        </w:rPr>
        <w:t>文件内容进行修正。</w:t>
      </w:r>
    </w:p>
    <w:p w14:paraId="628CAF07">
      <w:pPr>
        <w:keepNext w:val="0"/>
        <w:keepLines w:val="0"/>
        <w:pageBreakBefore w:val="0"/>
        <w:kinsoku/>
        <w:wordWrap/>
        <w:overflowPunct/>
        <w:topLinePunct w:val="0"/>
        <w:bidi w:val="0"/>
        <w:adjustRightInd w:val="0"/>
        <w:snapToGrid w:val="0"/>
        <w:spacing w:line="320" w:lineRule="exact"/>
        <w:ind w:firstLine="42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bCs/>
          <w:color w:val="auto"/>
          <w:sz w:val="21"/>
          <w:szCs w:val="20"/>
          <w:highlight w:val="none"/>
        </w:rPr>
        <w:t>特别说明：如遇“政府采购云平台”电子化开标或评审程序调整的，按调整后程序执行。</w:t>
      </w:r>
    </w:p>
    <w:p w14:paraId="1856AB8F">
      <w:pPr>
        <w:keepNext w:val="0"/>
        <w:keepLines w:val="0"/>
        <w:pageBreakBefore w:val="0"/>
        <w:tabs>
          <w:tab w:val="left" w:pos="1305"/>
        </w:tabs>
        <w:kinsoku/>
        <w:wordWrap/>
        <w:overflowPunct/>
        <w:topLinePunct w:val="0"/>
        <w:bidi w:val="0"/>
        <w:adjustRightInd w:val="0"/>
        <w:snapToGrid w:val="0"/>
        <w:spacing w:line="320" w:lineRule="exact"/>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五、资格性审查</w:t>
      </w:r>
    </w:p>
    <w:p w14:paraId="63440CE0">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22、资格性审查</w:t>
      </w:r>
    </w:p>
    <w:p w14:paraId="4EE152D6">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22.1公开招标采购项目开标结束后，采购人或者采购代理机构应当依法对投标人的资格进行审查。合格投标人不足3家的，不得评标。</w:t>
      </w:r>
    </w:p>
    <w:p w14:paraId="046EA097">
      <w:pPr>
        <w:widowControl w:val="0"/>
        <w:adjustRightInd/>
        <w:snapToGrid/>
        <w:spacing w:after="0" w:line="380" w:lineRule="exact"/>
        <w:ind w:firstLine="435"/>
        <w:jc w:val="both"/>
        <w:rPr>
          <w:rFonts w:hint="eastAsia" w:ascii="宋体" w:hAnsi="宋体" w:eastAsia="宋体" w:cs="宋体"/>
          <w:b/>
          <w:bCs/>
          <w:color w:val="auto"/>
          <w:szCs w:val="21"/>
          <w:highlight w:val="none"/>
        </w:rPr>
      </w:pPr>
      <w:r>
        <w:rPr>
          <w:rFonts w:hint="eastAsia" w:ascii="宋体" w:hAnsi="宋体" w:eastAsia="宋体" w:cs="宋体"/>
          <w:b/>
          <w:bCs/>
          <w:color w:val="auto"/>
          <w:kern w:val="2"/>
          <w:sz w:val="21"/>
          <w:szCs w:val="21"/>
          <w:highlight w:val="none"/>
        </w:rPr>
        <w:t>22.2采购人或采购代理机构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w:t>
      </w:r>
    </w:p>
    <w:p w14:paraId="1014BB02">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查询渠道：《国家企业信用信息公示系统》（网址：</w:t>
      </w:r>
      <w:r>
        <w:rPr>
          <w:rFonts w:hint="eastAsia" w:ascii="宋体" w:hAnsi="宋体" w:eastAsia="宋体" w:cs="宋体"/>
          <w:color w:val="auto"/>
          <w:kern w:val="2"/>
          <w:sz w:val="21"/>
          <w:szCs w:val="21"/>
          <w:highlight w:val="none"/>
        </w:rPr>
        <w:fldChar w:fldCharType="begin"/>
      </w:r>
      <w:r>
        <w:rPr>
          <w:rFonts w:hint="eastAsia" w:ascii="宋体" w:hAnsi="宋体" w:eastAsia="宋体" w:cs="宋体"/>
          <w:color w:val="auto"/>
          <w:kern w:val="2"/>
          <w:sz w:val="21"/>
          <w:szCs w:val="21"/>
          <w:highlight w:val="none"/>
        </w:rPr>
        <w:instrText xml:space="preserve"> HYPERLINK "http://www.gsxt.gov.cn/index.html" </w:instrText>
      </w:r>
      <w:r>
        <w:rPr>
          <w:rFonts w:hint="eastAsia" w:ascii="宋体" w:hAnsi="宋体" w:eastAsia="宋体" w:cs="宋体"/>
          <w:color w:val="auto"/>
          <w:kern w:val="2"/>
          <w:sz w:val="21"/>
          <w:szCs w:val="21"/>
          <w:highlight w:val="none"/>
        </w:rPr>
        <w:fldChar w:fldCharType="separate"/>
      </w:r>
      <w:r>
        <w:rPr>
          <w:rFonts w:hint="eastAsia" w:ascii="宋体" w:hAnsi="宋体" w:eastAsia="宋体" w:cs="宋体"/>
          <w:color w:val="auto"/>
          <w:kern w:val="2"/>
          <w:sz w:val="21"/>
          <w:szCs w:val="21"/>
          <w:highlight w:val="none"/>
        </w:rPr>
        <w:t>http://www.gsxt.gov.cn/index.html</w:t>
      </w:r>
      <w:r>
        <w:rPr>
          <w:rFonts w:hint="eastAsia" w:ascii="宋体" w:hAnsi="宋体" w:eastAsia="宋体" w:cs="宋体"/>
          <w:color w:val="auto"/>
          <w:kern w:val="2"/>
          <w:sz w:val="21"/>
          <w:szCs w:val="21"/>
          <w:highlight w:val="none"/>
        </w:rPr>
        <w:fldChar w:fldCharType="end"/>
      </w:r>
      <w:r>
        <w:rPr>
          <w:rFonts w:hint="eastAsia" w:ascii="宋体" w:hAnsi="宋体" w:eastAsia="宋体" w:cs="宋体"/>
          <w:color w:val="auto"/>
          <w:kern w:val="2"/>
          <w:sz w:val="21"/>
          <w:szCs w:val="21"/>
          <w:highlight w:val="none"/>
        </w:rPr>
        <w:t>）</w:t>
      </w:r>
    </w:p>
    <w:p w14:paraId="208AA3E8">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审查流程：</w:t>
      </w:r>
    </w:p>
    <w:p w14:paraId="5BC2CC51">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（1）进入《国家企业信用信息公示系统》（网址：http://www.gsxt.gov.cn/index.html），输入企业名称，进入企业信息主页面；</w:t>
      </w:r>
    </w:p>
    <w:p w14:paraId="726B53E8">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（2）查看主页“股东及出资信息”栏，或年报中的“股东及出资信息”栏信息；</w:t>
      </w:r>
    </w:p>
    <w:p w14:paraId="62F3129E">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（3）将各投标人的股东及出资信息进行比对，得出审查结论；</w:t>
      </w:r>
    </w:p>
    <w:p w14:paraId="5CF07C5F">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（4）将相关资料作为评审资料打印存档。</w:t>
      </w:r>
    </w:p>
    <w:p w14:paraId="00360065">
      <w:pPr>
        <w:pStyle w:val="13"/>
        <w:keepNext w:val="0"/>
        <w:keepLines w:val="0"/>
        <w:pageBreakBefore w:val="0"/>
        <w:kinsoku/>
        <w:wordWrap/>
        <w:overflowPunct/>
        <w:topLinePunct w:val="0"/>
        <w:bidi w:val="0"/>
        <w:adjustRightInd w:val="0"/>
        <w:snapToGrid w:val="0"/>
        <w:spacing w:line="320" w:lineRule="exact"/>
        <w:ind w:firstLine="413" w:firstLineChars="196"/>
        <w:textAlignment w:val="auto"/>
        <w:outlineLvl w:val="1"/>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22.3对未通过资格性审查的投标人，采购人或者采购代理机构应当以电话或通过</w:t>
      </w:r>
      <w:r>
        <w:rPr>
          <w:rFonts w:hint="eastAsia" w:ascii="宋体" w:hAnsi="宋体" w:eastAsia="宋体" w:cs="宋体"/>
          <w:b/>
          <w:color w:val="auto"/>
          <w:szCs w:val="21"/>
          <w:highlight w:val="none"/>
          <w:lang w:eastAsia="zh-CN"/>
        </w:rPr>
        <w:t>“广西政府采购云平台”</w:t>
      </w:r>
      <w:r>
        <w:rPr>
          <w:rFonts w:hint="eastAsia" w:ascii="宋体" w:hAnsi="宋体" w:eastAsia="宋体" w:cs="宋体"/>
          <w:b/>
          <w:color w:val="auto"/>
          <w:szCs w:val="21"/>
          <w:highlight w:val="none"/>
        </w:rPr>
        <w:t>平台告知投标人未通过的原因并做相应记录。</w:t>
      </w:r>
    </w:p>
    <w:p w14:paraId="595D60FD">
      <w:pPr>
        <w:keepNext w:val="0"/>
        <w:keepLines w:val="0"/>
        <w:pageBreakBefore w:val="0"/>
        <w:tabs>
          <w:tab w:val="center" w:pos="4411"/>
          <w:tab w:val="left" w:pos="5475"/>
        </w:tabs>
        <w:kinsoku/>
        <w:wordWrap/>
        <w:overflowPunct/>
        <w:topLinePunct w:val="0"/>
        <w:bidi w:val="0"/>
        <w:adjustRightInd w:val="0"/>
        <w:snapToGrid w:val="0"/>
        <w:spacing w:line="320" w:lineRule="exact"/>
        <w:jc w:val="center"/>
        <w:textAlignment w:val="auto"/>
        <w:outlineLvl w:val="9"/>
        <w:rPr>
          <w:rFonts w:hint="eastAsia" w:ascii="宋体" w:hAnsi="宋体" w:eastAsia="宋体" w:cs="宋体"/>
          <w:b/>
          <w:color w:val="auto"/>
          <w:sz w:val="28"/>
          <w:szCs w:val="28"/>
          <w:highlight w:val="none"/>
        </w:rPr>
      </w:pPr>
    </w:p>
    <w:p w14:paraId="00DDB9D8">
      <w:pPr>
        <w:keepNext w:val="0"/>
        <w:keepLines w:val="0"/>
        <w:pageBreakBefore w:val="0"/>
        <w:tabs>
          <w:tab w:val="center" w:pos="4411"/>
          <w:tab w:val="left" w:pos="5475"/>
        </w:tabs>
        <w:kinsoku/>
        <w:wordWrap/>
        <w:overflowPunct/>
        <w:topLinePunct w:val="0"/>
        <w:bidi w:val="0"/>
        <w:adjustRightInd w:val="0"/>
        <w:snapToGrid w:val="0"/>
        <w:spacing w:line="320" w:lineRule="exact"/>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六、评标</w:t>
      </w:r>
    </w:p>
    <w:p w14:paraId="5710EC53">
      <w:pPr>
        <w:keepNext w:val="0"/>
        <w:keepLines w:val="0"/>
        <w:pageBreakBefore w:val="0"/>
        <w:tabs>
          <w:tab w:val="center" w:pos="4411"/>
          <w:tab w:val="left" w:pos="5475"/>
        </w:tabs>
        <w:kinsoku/>
        <w:wordWrap/>
        <w:overflowPunct/>
        <w:topLinePunct w:val="0"/>
        <w:bidi w:val="0"/>
        <w:adjustRightInd w:val="0"/>
        <w:snapToGrid w:val="0"/>
        <w:spacing w:line="320" w:lineRule="exact"/>
        <w:ind w:firstLine="442" w:firstLineChars="200"/>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23、评标委员会组成</w:t>
      </w:r>
    </w:p>
    <w:p w14:paraId="64C8AA5F">
      <w:pPr>
        <w:widowControl w:val="0"/>
        <w:adjustRightInd/>
        <w:snapToGrid/>
        <w:spacing w:after="0" w:line="380" w:lineRule="exact"/>
        <w:ind w:firstLine="435"/>
        <w:jc w:val="both"/>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评标委员会由采购人代表和有关技术、经济等方面的专家组成，成员人数共7人，其中采购人代表2人，技术、经济等专家 5人。</w:t>
      </w:r>
    </w:p>
    <w:p w14:paraId="724C81D1">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rPr>
        <w:t>24、评标办法</w:t>
      </w:r>
    </w:p>
    <w:p w14:paraId="30D5DB40">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24.1评标办法：综合评分法，具体评标内容及标准详见第四章。</w:t>
      </w:r>
    </w:p>
    <w:p w14:paraId="7FA320E6">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24.2评标委员会应按招标文件进行评标，不得擅自更改评标办法。　　　　　　　　　　　　　　　　　　　　　　　　　　　　　　　　　　　　　　　　　　　　　　　　　　　　　　　　　　</w:t>
      </w:r>
    </w:p>
    <w:p w14:paraId="31EA8CAE">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25、评标</w:t>
      </w:r>
    </w:p>
    <w:p w14:paraId="542D93F0">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25.1采购代理机构负责评标组织工作；评标委员会自行登录评标系统阅读评标工作职责与纪律，确认回避原则，评标委员会推选评标组长，采购人代表不得担任组长；公布投标人名单；在评标期间由</w:t>
      </w:r>
      <w:r>
        <w:rPr>
          <w:rFonts w:hint="eastAsia" w:ascii="宋体" w:hAnsi="宋体" w:eastAsia="宋体" w:cs="宋体"/>
          <w:color w:val="auto"/>
          <w:kern w:val="2"/>
          <w:sz w:val="21"/>
          <w:szCs w:val="21"/>
          <w:highlight w:val="none"/>
          <w:lang w:val="en-US" w:eastAsia="zh-CN"/>
        </w:rPr>
        <w:t>全州县</w:t>
      </w:r>
      <w:r>
        <w:rPr>
          <w:rFonts w:hint="eastAsia" w:ascii="宋体" w:hAnsi="宋体" w:eastAsia="宋体" w:cs="宋体"/>
          <w:color w:val="auto"/>
          <w:kern w:val="2"/>
          <w:sz w:val="21"/>
          <w:szCs w:val="21"/>
          <w:highlight w:val="none"/>
        </w:rPr>
        <w:t>公共资源交易中心采取必要的通讯管理措施并保证评标活动不受外界干扰；采购代理机构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p>
    <w:p w14:paraId="2A270548">
      <w:pPr>
        <w:widowControl w:val="0"/>
        <w:adjustRightInd/>
        <w:snapToGrid/>
        <w:spacing w:after="0" w:line="360" w:lineRule="auto"/>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25.2评标委员会负责具体评标事务；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6321505D">
      <w:pPr>
        <w:widowControl w:val="0"/>
        <w:adjustRightInd/>
        <w:snapToGrid/>
        <w:spacing w:after="0" w:line="360" w:lineRule="auto"/>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25.3在评标过程中，评标委员会任何人不得对某个投标人发表任何倾向性意见，不得向其他专家评委明示或者暗示自己的评审意见。</w:t>
      </w:r>
    </w:p>
    <w:p w14:paraId="26915AC5">
      <w:pPr>
        <w:widowControl w:val="0"/>
        <w:adjustRightInd/>
        <w:snapToGrid/>
        <w:spacing w:after="0" w:line="360" w:lineRule="auto"/>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25.4评标委员会应当对符合资格的投标人的投标文件进行符合性审查，以确定其是否满足招标文件的实质性要求。</w:t>
      </w:r>
    </w:p>
    <w:p w14:paraId="0741CDC6">
      <w:pPr>
        <w:pStyle w:val="13"/>
        <w:keepNext w:val="0"/>
        <w:keepLines w:val="0"/>
        <w:pageBreakBefore w:val="0"/>
        <w:kinsoku/>
        <w:wordWrap/>
        <w:overflowPunct/>
        <w:topLinePunct w:val="0"/>
        <w:bidi w:val="0"/>
        <w:adjustRightInd w:val="0"/>
        <w:snapToGrid w:val="0"/>
        <w:spacing w:line="360" w:lineRule="auto"/>
        <w:ind w:firstLine="413" w:firstLineChars="196"/>
        <w:textAlignment w:val="auto"/>
        <w:outlineLvl w:val="1"/>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对未通过符合性审查的投标人，评标委员会应当以电话或通过</w:t>
      </w:r>
      <w:r>
        <w:rPr>
          <w:rFonts w:hint="eastAsia" w:ascii="宋体" w:hAnsi="宋体" w:eastAsia="宋体" w:cs="宋体"/>
          <w:b/>
          <w:color w:val="auto"/>
          <w:szCs w:val="21"/>
          <w:highlight w:val="none"/>
          <w:lang w:eastAsia="zh-CN"/>
        </w:rPr>
        <w:t>“广西政府采购云平台”</w:t>
      </w:r>
      <w:r>
        <w:rPr>
          <w:rFonts w:hint="eastAsia" w:ascii="宋体" w:hAnsi="宋体" w:eastAsia="宋体" w:cs="宋体"/>
          <w:b/>
          <w:color w:val="auto"/>
          <w:szCs w:val="21"/>
          <w:highlight w:val="none"/>
        </w:rPr>
        <w:t>平台告知投标人未通过的原因并做相应记录。</w:t>
      </w:r>
    </w:p>
    <w:p w14:paraId="1FE79B68">
      <w:pPr>
        <w:widowControl w:val="0"/>
        <w:adjustRightInd/>
        <w:snapToGrid/>
        <w:spacing w:after="0" w:line="360" w:lineRule="auto"/>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25.5对于投标文件中含义不明确、同类问题表述不一致或者有明显文字和计算错误的内容，评标委员会应当以书面形式要求投标人作出必要的澄清、说明或者补正。</w:t>
      </w:r>
    </w:p>
    <w:p w14:paraId="046FE04A">
      <w:pPr>
        <w:widowControl w:val="0"/>
        <w:adjustRightInd/>
        <w:snapToGrid/>
        <w:spacing w:after="0" w:line="360" w:lineRule="auto"/>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人的澄清、说明或者补正应当采用书面形式，并加盖投标人公章（CA签章），或者由法定代表人或其授权的代表签字或个人公章CA签章。投标人的澄清、说明或者补正不得超出投标文件的范围或者改变投标文件的实质性内容。</w:t>
      </w:r>
    </w:p>
    <w:p w14:paraId="007929C9">
      <w:pPr>
        <w:widowControl w:val="0"/>
        <w:adjustRightInd/>
        <w:snapToGrid/>
        <w:spacing w:after="0" w:line="360" w:lineRule="auto"/>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25.6评标委员会应当按照招标文件中规定的评标方法和标准，对符合性审查合格的投标文件进行商务和技术评估，综合比较与评价。</w:t>
      </w:r>
    </w:p>
    <w:p w14:paraId="03860AD4">
      <w:pPr>
        <w:pStyle w:val="17"/>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ind w:firstLine="422" w:firstLineChars="200"/>
        <w:textAlignment w:val="auto"/>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25.7投标文件报价出现前后不一致的，除招标文件另有规定外，按照下列规定修正：</w:t>
      </w:r>
    </w:p>
    <w:p w14:paraId="2AFF71BA">
      <w:pPr>
        <w:pStyle w:val="17"/>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（1）投标文件中投标报价表内容与投标文件中相应内容不一致的，以投标报价表为准；</w:t>
      </w:r>
    </w:p>
    <w:p w14:paraId="73A6F805">
      <w:pPr>
        <w:pStyle w:val="17"/>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（2）大写金额和小写金额不一致的，以大写金额为准；</w:t>
      </w:r>
    </w:p>
    <w:p w14:paraId="4D9A2321">
      <w:pPr>
        <w:pStyle w:val="17"/>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（3）单价金额小数点或者百分比有明显错位的，以报价表的总价为准，并修改单价；</w:t>
      </w:r>
    </w:p>
    <w:p w14:paraId="4D8B948B">
      <w:pPr>
        <w:pStyle w:val="17"/>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（4）总价金额与按单价汇总金额不一致的，以单价金额计算结果为准。</w:t>
      </w:r>
    </w:p>
    <w:p w14:paraId="50A1C3D3">
      <w:pPr>
        <w:pStyle w:val="17"/>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textAlignment w:val="auto"/>
        <w:rPr>
          <w:rFonts w:hint="eastAsia" w:ascii="宋体" w:hAnsi="宋体" w:eastAsia="宋体" w:cs="宋体"/>
          <w:b/>
          <w:color w:val="auto"/>
          <w:kern w:val="2"/>
          <w:sz w:val="21"/>
          <w:szCs w:val="21"/>
          <w:highlight w:val="none"/>
        </w:rPr>
      </w:pPr>
      <w:r>
        <w:rPr>
          <w:rFonts w:hint="eastAsia" w:ascii="宋体" w:hAnsi="宋体" w:eastAsia="宋体" w:cs="宋体"/>
          <w:color w:val="auto"/>
          <w:kern w:val="2"/>
          <w:sz w:val="21"/>
          <w:szCs w:val="21"/>
          <w:highlight w:val="none"/>
        </w:rPr>
        <w:t>　　</w:t>
      </w:r>
      <w:r>
        <w:rPr>
          <w:rFonts w:hint="eastAsia" w:ascii="宋体" w:hAnsi="宋体" w:eastAsia="宋体" w:cs="宋体"/>
          <w:b/>
          <w:color w:val="auto"/>
          <w:kern w:val="2"/>
          <w:sz w:val="21"/>
          <w:szCs w:val="21"/>
          <w:highlight w:val="none"/>
        </w:rPr>
        <w:t>同时出现两种以上不一致的，按照前款规定的顺序修正。修正后的报价（不得超出投标文件的范围或者改变投标文件的实质性内容）经投标人确认后产生约束力，投标人不确认的，其投标无效。</w:t>
      </w:r>
    </w:p>
    <w:p w14:paraId="4AFC5BD6">
      <w:pPr>
        <w:pStyle w:val="13"/>
        <w:keepNext w:val="0"/>
        <w:keepLines w:val="0"/>
        <w:pageBreakBefore w:val="0"/>
        <w:kinsoku/>
        <w:wordWrap/>
        <w:overflowPunct/>
        <w:topLinePunct w:val="0"/>
        <w:bidi w:val="0"/>
        <w:adjustRightInd w:val="0"/>
        <w:snapToGrid w:val="0"/>
        <w:spacing w:line="360" w:lineRule="auto"/>
        <w:ind w:firstLine="413" w:firstLineChars="196"/>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25.8评标委员会认为投标人的报价明显低于其他通过符合性审查投标人的报价，有可能影响产品质量或者不能诚信履约的，应当要求其在评标现场合理的时间内提供书面说明，必要时提交相关证明材料（通过</w:t>
      </w:r>
      <w:r>
        <w:rPr>
          <w:rFonts w:hint="eastAsia" w:ascii="宋体" w:hAnsi="宋体" w:eastAsia="宋体" w:cs="宋体"/>
          <w:b/>
          <w:color w:val="auto"/>
          <w:szCs w:val="21"/>
          <w:highlight w:val="none"/>
          <w:lang w:eastAsia="zh-CN"/>
        </w:rPr>
        <w:t>“广西政府采购云平台”</w:t>
      </w:r>
      <w:r>
        <w:rPr>
          <w:rFonts w:hint="eastAsia" w:ascii="宋体" w:hAnsi="宋体" w:eastAsia="宋体" w:cs="宋体"/>
          <w:b/>
          <w:color w:val="auto"/>
          <w:szCs w:val="21"/>
          <w:highlight w:val="none"/>
        </w:rPr>
        <w:t>平台提交）；投标人不能证明其报价合理性的，评标委员会应当将其作为无效投标处理。</w:t>
      </w:r>
    </w:p>
    <w:p w14:paraId="15745E2D">
      <w:pPr>
        <w:pStyle w:val="13"/>
        <w:keepNext w:val="0"/>
        <w:keepLines w:val="0"/>
        <w:pageBreakBefore w:val="0"/>
        <w:kinsoku/>
        <w:wordWrap/>
        <w:overflowPunct/>
        <w:topLinePunct w:val="0"/>
        <w:bidi w:val="0"/>
        <w:adjustRightInd w:val="0"/>
        <w:snapToGrid w:val="0"/>
        <w:spacing w:line="360" w:lineRule="auto"/>
        <w:ind w:firstLine="411" w:firstLineChars="196"/>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25.9评标委员会成员对需要共同认定的事项存在争议的，应当按照少数服从多数的原则作出结论。持不同意见的评标委员会成员应当在评标报告上签署不同意见及理由，否则视为同意评标报告。</w:t>
      </w:r>
    </w:p>
    <w:p w14:paraId="30CE7E7C">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25.10评标结果汇总完成后，除下列情形外，任何人不得修改评标结果：</w:t>
      </w:r>
    </w:p>
    <w:p w14:paraId="752EB5A8">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（一）分值汇总计算错误的；</w:t>
      </w:r>
    </w:p>
    <w:p w14:paraId="12B6C936">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（二）分项评分超出评分标准范围的；</w:t>
      </w:r>
    </w:p>
    <w:p w14:paraId="25EE3A9A">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（三）评标委员会成员对客观评审因素评分不一致的；</w:t>
      </w:r>
    </w:p>
    <w:p w14:paraId="109D7453">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（四）经评标委员会认定评分畸高、畸低的。</w:t>
      </w:r>
    </w:p>
    <w:p w14:paraId="705918FC">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4D768E0C">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投标人对本条第一款情形提出质疑的，采购人或者采购代理机构可以组织原评标委员会进行重新评审，重新评审改变评标结果的，应当书面报告本级财政部门。</w:t>
      </w:r>
    </w:p>
    <w:p w14:paraId="4DB3D3F1">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25.11采购代理机构发现评标委员会有明显的违规倾向或歧视现象，或不按评标办法进行，或其他不正常行为的，应当及时制止。如制止无效，应及时向全州县政府采购管理办公室报告。</w:t>
      </w:r>
    </w:p>
    <w:p w14:paraId="4A7469EB">
      <w:pPr>
        <w:pStyle w:val="13"/>
        <w:keepNext w:val="0"/>
        <w:keepLines w:val="0"/>
        <w:pageBreakBefore w:val="0"/>
        <w:tabs>
          <w:tab w:val="left" w:pos="4214"/>
        </w:tabs>
        <w:kinsoku/>
        <w:wordWrap/>
        <w:overflowPunct/>
        <w:topLinePunct w:val="0"/>
        <w:bidi w:val="0"/>
        <w:adjustRightInd w:val="0"/>
        <w:snapToGrid w:val="0"/>
        <w:spacing w:line="360" w:lineRule="auto"/>
        <w:ind w:firstLine="422" w:firstLineChars="200"/>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26</w:t>
      </w:r>
      <w:r>
        <w:rPr>
          <w:rFonts w:hint="eastAsia" w:ascii="宋体" w:hAnsi="宋体" w:eastAsia="宋体" w:cs="宋体"/>
          <w:color w:val="auto"/>
          <w:highlight w:val="none"/>
        </w:rPr>
        <w:t>、</w:t>
      </w:r>
      <w:r>
        <w:rPr>
          <w:rFonts w:hint="eastAsia" w:ascii="宋体" w:hAnsi="宋体" w:eastAsia="宋体" w:cs="宋体"/>
          <w:b/>
          <w:color w:val="auto"/>
          <w:highlight w:val="none"/>
        </w:rPr>
        <w:t>推荐及确定中标候选供应商原则</w:t>
      </w:r>
    </w:p>
    <w:p w14:paraId="4BAF6180">
      <w:pPr>
        <w:pStyle w:val="13"/>
        <w:keepNext w:val="0"/>
        <w:keepLines w:val="0"/>
        <w:pageBreakBefore w:val="0"/>
        <w:tabs>
          <w:tab w:val="left" w:pos="4214"/>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评标委员会根据综合得分由高到低排列次序；若得分相同时，按投标报价由低到高顺序排列；若相同的，则依次按技术分、项目实施方案分、履约能力得分、售后服务能力由高到低的顺序排列并推荐中标候选供应商</w:t>
      </w:r>
      <w:r>
        <w:rPr>
          <w:rFonts w:hint="eastAsia" w:ascii="宋体" w:hAnsi="宋体" w:eastAsia="宋体" w:cs="宋体"/>
          <w:color w:val="auto"/>
          <w:sz w:val="22"/>
          <w:szCs w:val="22"/>
          <w:highlight w:val="none"/>
        </w:rPr>
        <w:t>。</w:t>
      </w:r>
    </w:p>
    <w:p w14:paraId="04EF0510">
      <w:pPr>
        <w:pStyle w:val="13"/>
        <w:keepNext w:val="0"/>
        <w:keepLines w:val="0"/>
        <w:pageBreakBefore w:val="0"/>
        <w:tabs>
          <w:tab w:val="left" w:pos="4214"/>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26.2评标委员会可推荐前三名为中标候选人，采购人应当确定评标委员会推荐排名第一的中标候选人为中标人。</w:t>
      </w:r>
    </w:p>
    <w:p w14:paraId="6A8DEC74">
      <w:pPr>
        <w:pStyle w:val="13"/>
        <w:keepNext w:val="0"/>
        <w:keepLines w:val="0"/>
        <w:pageBreakBefore w:val="0"/>
        <w:kinsoku/>
        <w:wordWrap/>
        <w:overflowPunct/>
        <w:topLinePunct w:val="0"/>
        <w:bidi w:val="0"/>
        <w:adjustRightInd w:val="0"/>
        <w:snapToGrid w:val="0"/>
        <w:spacing w:line="360" w:lineRule="auto"/>
        <w:ind w:firstLine="447" w:firstLineChars="213"/>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26.3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或重新招标，并依此类推。</w:t>
      </w:r>
    </w:p>
    <w:p w14:paraId="74016E5D">
      <w:pPr>
        <w:widowControl w:val="0"/>
        <w:adjustRightInd/>
        <w:snapToGrid/>
        <w:spacing w:after="0" w:line="360" w:lineRule="auto"/>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27、属于下列情况之一者，投标无效：</w:t>
      </w:r>
    </w:p>
    <w:p w14:paraId="56044458">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（1）未按照招标文件规定要求签字、盖章的；</w:t>
      </w:r>
    </w:p>
    <w:p w14:paraId="3062B575">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（2）报价超过招标文件中规定的预算金额的；</w:t>
      </w:r>
    </w:p>
    <w:p w14:paraId="31EF470D">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（3）不具备招标文件中规定的资格要求的；</w:t>
      </w:r>
    </w:p>
    <w:p w14:paraId="7D0346FE">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（4）投标文件含有采购人不能接受的附加条件的；</w:t>
      </w:r>
    </w:p>
    <w:p w14:paraId="66ECC238">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（5）投标文件未按招标文件的内容和要求编制，或提供虚假或无效材料的；</w:t>
      </w:r>
    </w:p>
    <w:p w14:paraId="06B50201">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（6）投标文件有效期、服务期、售后服务不能满足招标文件要求的；</w:t>
      </w:r>
    </w:p>
    <w:p w14:paraId="48CEBA0A">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（7）投标人未就“服务采购需求”中所有内容作完整唯一报价的；</w:t>
      </w:r>
    </w:p>
    <w:p w14:paraId="40C80660">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（8）未完全响应招标文件实质性要求的；</w:t>
      </w:r>
    </w:p>
    <w:p w14:paraId="7EF188D5">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（9）单位负责人为同一人或者存在直接控股、管理关系的不同投标人参加同一合同项下分标或未划分分标的同一合同项下的政府采购活动；</w:t>
      </w:r>
    </w:p>
    <w:p w14:paraId="4C884094">
      <w:pPr>
        <w:keepNext w:val="0"/>
        <w:keepLines w:val="0"/>
        <w:widowControl/>
        <w:suppressLineNumbers w:val="0"/>
        <w:ind w:firstLine="420" w:firstLineChars="200"/>
        <w:jc w:val="left"/>
        <w:rPr>
          <w:rFonts w:hint="eastAsia" w:ascii="宋体" w:hAnsi="宋体" w:eastAsia="宋体" w:cs="宋体"/>
          <w:b w:val="0"/>
          <w:bCs w:val="0"/>
          <w:color w:val="auto"/>
          <w:kern w:val="2"/>
          <w:sz w:val="22"/>
          <w:szCs w:val="22"/>
          <w:highlight w:val="none"/>
          <w:lang w:val="en-US" w:eastAsia="zh-CN"/>
        </w:rPr>
      </w:pPr>
      <w:r>
        <w:rPr>
          <w:rFonts w:hint="eastAsia" w:ascii="宋体" w:hAnsi="宋体" w:eastAsia="宋体" w:cs="宋体"/>
          <w:b w:val="0"/>
          <w:bCs w:val="0"/>
          <w:color w:val="auto"/>
          <w:kern w:val="0"/>
          <w:sz w:val="21"/>
          <w:szCs w:val="21"/>
          <w:lang w:val="en-US" w:eastAsia="zh-CN" w:bidi="ar"/>
        </w:rPr>
        <w:t>（10）投标人至投标截止时间前近三年内有围标、窜标受到处罚情形的或者有重大违法记录的；</w:t>
      </w:r>
    </w:p>
    <w:p w14:paraId="6FF3220E">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（11）法律、法规和招标文件规定的其他无效情形。</w:t>
      </w:r>
    </w:p>
    <w:p w14:paraId="1A295800">
      <w:pPr>
        <w:widowControl w:val="0"/>
        <w:adjustRightInd/>
        <w:snapToGrid/>
        <w:spacing w:after="0" w:line="360" w:lineRule="auto"/>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28、投标人有下列情形之一的，视为串通投标，投标文件将被视为无效：</w:t>
      </w:r>
    </w:p>
    <w:p w14:paraId="13ADB1C6">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（1）不同投标人的投标文件由同一单位或者个人编制；或不同投标人报名的IP地址一致的；</w:t>
      </w:r>
    </w:p>
    <w:p w14:paraId="4A00764F">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（2）不同投标人委托同一单位或者个人办理投标事宜；</w:t>
      </w:r>
    </w:p>
    <w:p w14:paraId="487B56FC">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（3）不同的投标人的投标文件载明的项目管理员或者联系人员为同一个人；</w:t>
      </w:r>
    </w:p>
    <w:p w14:paraId="0EAB7F92">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 xml:space="preserve">（4）不同投标人的投标文件异常一致或投标报价呈规律性差异； </w:t>
      </w:r>
    </w:p>
    <w:p w14:paraId="451EEB6E">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（5）不同投标人的投标文件相互混装。</w:t>
      </w:r>
    </w:p>
    <w:p w14:paraId="06EB07EC">
      <w:pPr>
        <w:widowControl w:val="0"/>
        <w:adjustRightInd/>
        <w:snapToGrid/>
        <w:spacing w:after="0" w:line="360" w:lineRule="auto"/>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29、属于下列情形之一的，应予废标：</w:t>
      </w:r>
    </w:p>
    <w:p w14:paraId="2167036E">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（1）符合专业条件的供应商或者对招标文件作实质响应的供应商不足3家的；</w:t>
      </w:r>
    </w:p>
    <w:p w14:paraId="3CAF6A02">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（2）出现影响采购公正的违法、违规行为的；</w:t>
      </w:r>
    </w:p>
    <w:p w14:paraId="6CF7E904">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（3）采购文件内容违反国家有关强制性规定的；</w:t>
      </w:r>
    </w:p>
    <w:p w14:paraId="546CAB67">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（4）因重大变故，采购任务取消的。</w:t>
      </w:r>
    </w:p>
    <w:p w14:paraId="735E42CF">
      <w:pPr>
        <w:widowControl w:val="0"/>
        <w:adjustRightInd/>
        <w:snapToGrid/>
        <w:spacing w:after="0" w:line="360" w:lineRule="auto"/>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30、开标、评标过程的监控</w:t>
      </w:r>
    </w:p>
    <w:p w14:paraId="0F68A99F">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本项目开标、评标过程实行全程录音、录像监控，投标人在评标过程中所进行的试图影响评标结果的不公正活动，可能导致其投标被拒绝。</w:t>
      </w:r>
    </w:p>
    <w:p w14:paraId="54FEF8E5">
      <w:pPr>
        <w:widowControl w:val="0"/>
        <w:adjustRightInd/>
        <w:snapToGrid/>
        <w:spacing w:after="0" w:line="360" w:lineRule="auto"/>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31、中标人信用信息查询</w:t>
      </w:r>
    </w:p>
    <w:p w14:paraId="5BFF4017">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根据《关于做好政府采购有关信用主体标识码登记及在政府采购活动中查询使用信用记录有关问题的通知》桂财采〔2016〕37号的通知，采购代理机构对中标人进行信用查询：</w:t>
      </w:r>
    </w:p>
    <w:p w14:paraId="48DA38E3">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（1）查询渠道：“信用中国”网站（www.creditchina.gov.cn）、中国政府采购网（www.ccgp.gov.cn）等；</w:t>
      </w:r>
    </w:p>
    <w:p w14:paraId="18D230B2">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（2）查询截止时间：中标通知书发出前；</w:t>
      </w:r>
    </w:p>
    <w:p w14:paraId="6A4CDAAE">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（3）信用信息查询记录和证据留存方式：在查询网站中直接打印查询记录，打印材料作为采购活动资料保存；</w:t>
      </w:r>
    </w:p>
    <w:p w14:paraId="2C5F200C">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信用信息使用规则：在“信用中国”网站（www.creditchina.gov.cn）、中国政府采购网（www.ccgp.gov.cn）等渠道列入失信被执行人、重大税收违法失信主体、政府采购严重违法失信行为记录名单及其他不符合《中华人民共和国政府采购法》第二十二条规定条件的供应商，不得参与政府采购活动，取消其中标候选人资格。采购人依法按照评标报告中评标委员会推荐中标候选人排序表确定排名第二的中标候选人为中标供应商或者重新组织采购。</w:t>
      </w:r>
    </w:p>
    <w:p w14:paraId="4A61F3A2">
      <w:pPr>
        <w:widowControl w:val="0"/>
        <w:adjustRightInd/>
        <w:snapToGrid/>
        <w:spacing w:after="0" w:line="360" w:lineRule="auto"/>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32、 中标公告及中标通知书</w:t>
      </w:r>
    </w:p>
    <w:p w14:paraId="19CFBF82">
      <w:pPr>
        <w:widowControl w:val="0"/>
        <w:adjustRightInd/>
        <w:snapToGrid/>
        <w:spacing w:after="0" w:line="360" w:lineRule="auto"/>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32.1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中标公告期限为1个工作日。</w:t>
      </w:r>
    </w:p>
    <w:p w14:paraId="103E99D9">
      <w:pPr>
        <w:keepNext w:val="0"/>
        <w:keepLines w:val="0"/>
        <w:pageBreakBefore w:val="0"/>
        <w:tabs>
          <w:tab w:val="left" w:pos="1140"/>
        </w:tabs>
        <w:kinsoku/>
        <w:wordWrap/>
        <w:overflowPunct/>
        <w:topLinePunct w:val="0"/>
        <w:bidi w:val="0"/>
        <w:adjustRightInd w:val="0"/>
        <w:snapToGrid w:val="0"/>
        <w:spacing w:line="320" w:lineRule="exact"/>
        <w:ind w:left="440" w:leftChars="200"/>
        <w:jc w:val="left"/>
        <w:textAlignment w:val="auto"/>
        <w:outlineLvl w:val="9"/>
        <w:rPr>
          <w:rFonts w:hint="eastAsia" w:ascii="宋体" w:hAnsi="宋体" w:eastAsia="宋体" w:cs="宋体"/>
          <w:b/>
          <w:color w:val="auto"/>
          <w:sz w:val="28"/>
          <w:szCs w:val="28"/>
          <w:highlight w:val="none"/>
        </w:rPr>
      </w:pPr>
      <w:r>
        <w:rPr>
          <w:rFonts w:hint="eastAsia" w:ascii="宋体" w:hAnsi="宋体" w:eastAsia="宋体" w:cs="宋体"/>
          <w:color w:val="auto"/>
          <w:kern w:val="2"/>
          <w:sz w:val="21"/>
          <w:szCs w:val="21"/>
          <w:highlight w:val="none"/>
        </w:rPr>
        <w:t>32.2中标公告同时采购代理机构在线向中标供应商发出中标通知书。</w:t>
      </w:r>
    </w:p>
    <w:p w14:paraId="53BF14E9">
      <w:pPr>
        <w:keepNext w:val="0"/>
        <w:keepLines w:val="0"/>
        <w:pageBreakBefore w:val="0"/>
        <w:tabs>
          <w:tab w:val="left" w:pos="1140"/>
        </w:tabs>
        <w:kinsoku/>
        <w:wordWrap/>
        <w:overflowPunct/>
        <w:topLinePunct w:val="0"/>
        <w:bidi w:val="0"/>
        <w:adjustRightInd w:val="0"/>
        <w:snapToGrid w:val="0"/>
        <w:spacing w:line="320" w:lineRule="exact"/>
        <w:ind w:left="440" w:leftChars="200"/>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七、履约保证金及签订合同</w:t>
      </w:r>
    </w:p>
    <w:p w14:paraId="71202FD4">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33、履约保证金</w:t>
      </w:r>
    </w:p>
    <w:p w14:paraId="1036DDE3">
      <w:pPr>
        <w:widowControl w:val="0"/>
        <w:adjustRightInd/>
        <w:snapToGrid/>
        <w:spacing w:after="0" w:line="380" w:lineRule="exact"/>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33.1履约保证金：根据《桂林市财政局关于贯彻落实政府采购优化营商环境百日攻坚行动方案的通知》（市财采〔2020〕24号）第四条的规定，本项目免收履约保证金。</w:t>
      </w:r>
    </w:p>
    <w:p w14:paraId="0B75ACAB">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34、签订合同</w:t>
      </w:r>
    </w:p>
    <w:p w14:paraId="75DD0351">
      <w:pPr>
        <w:widowControl w:val="0"/>
        <w:adjustRightInd/>
        <w:snapToGrid/>
        <w:spacing w:after="0" w:line="380" w:lineRule="exact"/>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34.1签订合同时间：中标通知书发出之日起八个工作日内。中标供应商领取中标通知书后，应按规定与采购人签订合同。</w:t>
      </w:r>
    </w:p>
    <w:p w14:paraId="11FA98C6">
      <w:pPr>
        <w:widowControl w:val="0"/>
        <w:adjustRightInd/>
        <w:snapToGrid/>
        <w:spacing w:after="0" w:line="380" w:lineRule="exact"/>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34.2如中标供应商有下列情形之一的，对其处以采购金额千分之五以上千分之十以下的罚款，情节严重的，由财政部门将其列入不良行为记录名单，在一至三年内禁止参加政府采购活动，并予以通报。采购人或者采购代理机构可从评标委员会推荐的中标候选供应商中按顺序重新确定中标供应商或重新组织招标。</w:t>
      </w:r>
    </w:p>
    <w:p w14:paraId="3C7B78B6">
      <w:pPr>
        <w:pStyle w:val="13"/>
        <w:keepNext w:val="0"/>
        <w:keepLines w:val="0"/>
        <w:pageBreakBefore w:val="0"/>
        <w:kinsoku/>
        <w:wordWrap/>
        <w:overflowPunct/>
        <w:topLinePunct w:val="0"/>
        <w:bidi w:val="0"/>
        <w:adjustRightInd w:val="0"/>
        <w:snapToGrid w:val="0"/>
        <w:spacing w:line="320" w:lineRule="exact"/>
        <w:ind w:firstLine="315" w:firstLineChars="15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（1）中标后不与采购人签订合同的（不可抗力除外）；</w:t>
      </w:r>
    </w:p>
    <w:p w14:paraId="61B5AD1A">
      <w:pPr>
        <w:pStyle w:val="13"/>
        <w:keepNext w:val="0"/>
        <w:keepLines w:val="0"/>
        <w:pageBreakBefore w:val="0"/>
        <w:kinsoku/>
        <w:wordWrap/>
        <w:overflowPunct/>
        <w:topLinePunct w:val="0"/>
        <w:bidi w:val="0"/>
        <w:adjustRightInd w:val="0"/>
        <w:snapToGrid w:val="0"/>
        <w:spacing w:line="320" w:lineRule="exact"/>
        <w:ind w:left="2" w:leftChars="1" w:firstLine="315" w:firstLineChars="15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（2）将中标项目转让给他人，或者在投标文件中未说明，且未经采购人同意，将中标项目分包给他人的；</w:t>
      </w:r>
    </w:p>
    <w:p w14:paraId="4F60BC53">
      <w:pPr>
        <w:pStyle w:val="13"/>
        <w:keepNext w:val="0"/>
        <w:keepLines w:val="0"/>
        <w:pageBreakBefore w:val="0"/>
        <w:kinsoku/>
        <w:wordWrap/>
        <w:overflowPunct/>
        <w:topLinePunct w:val="0"/>
        <w:bidi w:val="0"/>
        <w:adjustRightInd w:val="0"/>
        <w:snapToGrid w:val="0"/>
        <w:spacing w:line="320" w:lineRule="exact"/>
        <w:ind w:firstLine="315" w:firstLineChars="15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（3）拒绝履行合同义务的。</w:t>
      </w:r>
    </w:p>
    <w:p w14:paraId="4E241486">
      <w:pPr>
        <w:pStyle w:val="13"/>
        <w:keepNext w:val="0"/>
        <w:keepLines w:val="0"/>
        <w:pageBreakBefore w:val="0"/>
        <w:kinsoku/>
        <w:wordWrap/>
        <w:overflowPunct/>
        <w:topLinePunct w:val="0"/>
        <w:bidi w:val="0"/>
        <w:adjustRightInd w:val="0"/>
        <w:snapToGrid w:val="0"/>
        <w:spacing w:line="320" w:lineRule="exact"/>
        <w:ind w:left="2" w:leftChars="1"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34.3合同备案存档：政府采购合同双方自签订之日起1个工作日内将合同原件</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份交采购代理机构存档。采购代理机构将政府采购合同在省级以上人民政府财政部门指定媒体上公告。</w:t>
      </w:r>
    </w:p>
    <w:p w14:paraId="13813CFA">
      <w:pPr>
        <w:rPr>
          <w:rFonts w:hint="eastAsia" w:ascii="宋体" w:hAnsi="宋体" w:eastAsia="宋体" w:cs="宋体"/>
          <w:color w:val="auto"/>
        </w:rPr>
      </w:pPr>
    </w:p>
    <w:p w14:paraId="72C57776">
      <w:pPr>
        <w:pStyle w:val="13"/>
        <w:keepNext w:val="0"/>
        <w:keepLines w:val="0"/>
        <w:pageBreakBefore w:val="0"/>
        <w:kinsoku/>
        <w:wordWrap/>
        <w:overflowPunct/>
        <w:topLinePunct w:val="0"/>
        <w:bidi w:val="0"/>
        <w:adjustRightInd w:val="0"/>
        <w:snapToGrid w:val="0"/>
        <w:spacing w:line="320" w:lineRule="exact"/>
        <w:ind w:left="3"/>
        <w:jc w:val="center"/>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八 、其他事项</w:t>
      </w:r>
    </w:p>
    <w:p w14:paraId="14D37C48">
      <w:pPr>
        <w:pStyle w:val="13"/>
        <w:keepNext w:val="0"/>
        <w:keepLines w:val="0"/>
        <w:pageBreakBefore w:val="0"/>
        <w:kinsoku/>
        <w:wordWrap/>
        <w:overflowPunct/>
        <w:topLinePunct w:val="0"/>
        <w:bidi w:val="0"/>
        <w:adjustRightInd w:val="0"/>
        <w:snapToGrid w:val="0"/>
        <w:spacing w:line="360" w:lineRule="auto"/>
        <w:ind w:firstLine="422" w:firstLineChars="200"/>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35</w:t>
      </w:r>
      <w:r>
        <w:rPr>
          <w:rFonts w:hint="eastAsia" w:ascii="宋体" w:hAnsi="宋体" w:eastAsia="宋体" w:cs="宋体"/>
          <w:b/>
          <w:color w:val="auto"/>
          <w:szCs w:val="21"/>
          <w:highlight w:val="none"/>
        </w:rPr>
        <w:t>、</w:t>
      </w:r>
      <w:r>
        <w:rPr>
          <w:rFonts w:hint="eastAsia" w:ascii="宋体" w:hAnsi="宋体" w:eastAsia="宋体" w:cs="宋体"/>
          <w:b/>
          <w:color w:val="auto"/>
          <w:highlight w:val="none"/>
        </w:rPr>
        <w:t>招标代理服务费</w:t>
      </w:r>
    </w:p>
    <w:p w14:paraId="5A1BAEE0">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 w:val="21"/>
          <w:szCs w:val="20"/>
          <w:highlight w:val="none"/>
        </w:rPr>
        <w:t>本项目的采购代理服务费：参照计价格[2002]1980号《招标代理服务收费管理暂行办法》</w:t>
      </w:r>
      <w:r>
        <w:rPr>
          <w:rFonts w:hint="eastAsia" w:ascii="宋体" w:hAnsi="宋体" w:eastAsia="宋体" w:cs="宋体"/>
          <w:color w:val="auto"/>
          <w:sz w:val="21"/>
          <w:szCs w:val="20"/>
          <w:highlight w:val="none"/>
          <w:lang w:val="en-US" w:eastAsia="zh-CN"/>
        </w:rPr>
        <w:t>服务</w:t>
      </w:r>
      <w:r>
        <w:rPr>
          <w:rFonts w:hint="eastAsia" w:ascii="宋体" w:hAnsi="宋体" w:eastAsia="宋体" w:cs="宋体"/>
          <w:color w:val="auto"/>
          <w:sz w:val="21"/>
          <w:szCs w:val="20"/>
          <w:highlight w:val="none"/>
        </w:rPr>
        <w:t>类收费标准计取。在领取中标通知书前，由中标人向</w:t>
      </w:r>
      <w:r>
        <w:rPr>
          <w:rFonts w:hint="eastAsia" w:ascii="宋体" w:hAnsi="宋体" w:eastAsia="宋体" w:cs="宋体"/>
          <w:color w:val="auto"/>
          <w:sz w:val="21"/>
          <w:szCs w:val="20"/>
          <w:highlight w:val="none"/>
          <w:lang w:val="en-US" w:eastAsia="zh-CN"/>
        </w:rPr>
        <w:t>广西国兴项目管理有限公司</w:t>
      </w:r>
      <w:r>
        <w:rPr>
          <w:rFonts w:hint="eastAsia" w:ascii="宋体" w:hAnsi="宋体" w:eastAsia="宋体" w:cs="宋体"/>
          <w:color w:val="auto"/>
          <w:sz w:val="21"/>
          <w:szCs w:val="20"/>
          <w:highlight w:val="none"/>
        </w:rPr>
        <w:t xml:space="preserve">一次性付清代理服务费。  </w:t>
      </w:r>
      <w:r>
        <w:rPr>
          <w:rFonts w:hint="eastAsia" w:ascii="宋体" w:hAnsi="宋体" w:eastAsia="宋体" w:cs="宋体"/>
          <w:color w:val="auto"/>
          <w:szCs w:val="21"/>
          <w:highlight w:val="none"/>
        </w:rPr>
        <w:t xml:space="preserve">      </w:t>
      </w:r>
    </w:p>
    <w:p w14:paraId="24077A54">
      <w:pPr>
        <w:keepNext w:val="0"/>
        <w:keepLines w:val="0"/>
        <w:pageBreakBefore w:val="0"/>
        <w:kinsoku/>
        <w:wordWrap/>
        <w:overflowPunct/>
        <w:topLinePunct w:val="0"/>
        <w:bidi w:val="0"/>
        <w:adjustRightInd w:val="0"/>
        <w:snapToGrid w:val="0"/>
        <w:spacing w:line="32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招标代理服务收费标准</w:t>
      </w:r>
    </w:p>
    <w:tbl>
      <w:tblPr>
        <w:tblStyle w:val="19"/>
        <w:tblW w:w="9006" w:type="dxa"/>
        <w:tblInd w:w="1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19FA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noWrap w:val="0"/>
            <w:vAlign w:val="top"/>
          </w:tcPr>
          <w:p w14:paraId="634CA177">
            <w:pPr>
              <w:pStyle w:val="13"/>
              <w:keepNext w:val="0"/>
              <w:keepLines w:val="0"/>
              <w:pageBreakBefore w:val="0"/>
              <w:kinsoku/>
              <w:wordWrap/>
              <w:overflowPunct/>
              <w:topLinePunct w:val="0"/>
              <w:bidi w:val="0"/>
              <w:adjustRightInd w:val="0"/>
              <w:snapToGrid w:val="0"/>
              <w:spacing w:line="320" w:lineRule="exact"/>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-61595</wp:posOffset>
                      </wp:positionH>
                      <wp:positionV relativeFrom="paragraph">
                        <wp:posOffset>10795</wp:posOffset>
                      </wp:positionV>
                      <wp:extent cx="1781810" cy="295910"/>
                      <wp:effectExtent l="635" t="4445" r="8255" b="23495"/>
                      <wp:wrapNone/>
                      <wp:docPr id="3" name="直接连接符 3"/>
                      <wp:cNvGraphicFramePr/>
                      <a:graphic xmlns:a="http://schemas.openxmlformats.org/drawingml/2006/main">
                        <a:graphicData uri="http://schemas.microsoft.com/office/word/2010/wordprocessingShape">
                          <wps:wsp>
                            <wps:cNvCnPr/>
                            <wps:spPr>
                              <a:xfrm>
                                <a:off x="0" y="0"/>
                                <a:ext cx="1781810" cy="2959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85pt;margin-top:0.85pt;height:23.3pt;width:140.3pt;z-index:251665408;mso-width-relative:page;mso-height-relative:page;" filled="f" stroked="t" coordsize="21600,21600" o:gfxdata="UEsDBAoAAAAAAIdO4kAAAAAAAAAAAAAAAAAEAAAAZHJzL1BLAwQUAAAACACHTuJAJ4OcLtYAAAAH&#10;AQAADwAAAGRycy9kb3ducmV2LnhtbE2OzU7DMBCE70i8g7VIXKrWbopoG+L0AOTGhQLiuo2XJCJe&#10;p7H7A0/PcoLTaGdGs1+xOfteHWmMXWAL85kBRVwH13Fj4fWlmq5AxYTssA9MFr4owqa8vCgwd+HE&#10;z3TcpkbJCMccLbQpDbnWsW7JY5yFgViyjzB6THKOjXYjnmTc9zoz5lZ77Fg+tDjQfUv15/bgLcTq&#10;jfbV96SemPdFEyjbPzw9orXXV3NzByrROf2V4Rdf0KEUpl04sIuqtzBdL6UpvojE2dKsQe0s3KwW&#10;oMtC/+cvfwBQSwMEFAAAAAgAh07iQIYmgkz4AQAA6QMAAA4AAABkcnMvZTJvRG9jLnhtbK1TTY7T&#10;MBTeI3EHy3uapqNCGzWdxZRhg6AScIBX20ks+U+227SX4AJI7GDFkj23meEYPDuhA8OmC7Jwnv0+&#10;f37f5+fV9VErchA+SGtqWk6mlAjDLJemremH97fPFpSECIaDskbU9CQCvV4/fbLqXSVmtrOKC0+Q&#10;xISqdzXtYnRVUQTWCQ1hYp0wmGys1xBx6tuCe+iRXatiNp0+L3rrufOWiRBwdTMk6cjoLyG0TSOZ&#10;2Fi218LEgdULBRElhU66QNe52qYRLL5tmiAiUTVFpTGPeAjGuzQW6xVUrQfXSTaWAJeU8EiTBmnw&#10;0DPVBiKQvZf/UGnJvA22iRNmdTEIyY6ginL6yJt3HTiRtaDVwZ1ND/+Plr05bD2RvKZXlBjQeOH3&#10;n77fffzy88dnHO+/fSVXyaTehQqxN2brx1lwW58UHxuv0x+1kGM29nQ2VhwjYbhYvliUixI9Z5ib&#10;LedLjJGmeNjtfIivhNUkBTVV0iThUMHhdYgD9DckLStD+pou57M5cgJ2YYO3j6F2qCSYNu8NVkl+&#10;K5VKO4JvdzfKkwOkTsjfWMJfsHTIBkI34HIqwaDqBPCXhpN4cuiRwadBUwlacEqUwJeUooyMINUl&#10;SFSvDJqQrB3MTNHO8hPeyN552XboRJmrTBnsgGzZ2K2pxf6cZ6aHF7r+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eDnC7WAAAABwEAAA8AAAAAAAAAAQAgAAAAIgAAAGRycy9kb3ducmV2LnhtbFBL&#10;AQIUABQAAAAIAIdO4kCGJoJM+AEAAOkDAAAOAAAAAAAAAAEAIAAAACUBAABkcnMvZTJvRG9jLnht&#10;bFBLBQYAAAAABgAGAFkBAACPBQAAAAA=&#10;">
                      <v:fill on="f" focussize="0,0"/>
                      <v:stroke color="#000000" joinstyle="round"/>
                      <v:imagedata o:title=""/>
                      <o:lock v:ext="edit" aspectratio="f"/>
                    </v:line>
                  </w:pict>
                </mc:Fallback>
              </mc:AlternateContent>
            </w:r>
            <w:r>
              <w:rPr>
                <w:rFonts w:hint="eastAsia" w:ascii="宋体" w:hAnsi="宋体" w:eastAsia="宋体" w:cs="宋体"/>
                <w:color w:val="auto"/>
                <w:highlight w:val="none"/>
              </w:rPr>
              <w:t>折扣           服务类型</w:t>
            </w:r>
          </w:p>
          <w:p w14:paraId="601B38FC">
            <w:pPr>
              <w:pStyle w:val="13"/>
              <w:keepNext w:val="0"/>
              <w:keepLines w:val="0"/>
              <w:pageBreakBefore w:val="0"/>
              <w:kinsoku/>
              <w:wordWrap/>
              <w:overflowPunct/>
              <w:topLinePunct w:val="0"/>
              <w:bidi w:val="0"/>
              <w:adjustRightInd w:val="0"/>
              <w:snapToGrid w:val="0"/>
              <w:spacing w:line="320" w:lineRule="exact"/>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1" name="直接连接符 1"/>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pt;margin-top:3.1pt;height:31.2pt;width:144pt;z-index:251666432;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B4y8Fj6AQAA6QMAAA4AAABkcnMvZTJvRG9jLnhtbK1TzY7T&#10;MBC+I/EOlu80aWFX3ajpHrYsFwSVgAeYOk5iyX/yuE37ErwAEjc4ceTO2+zyGIyd0oXl0gM5OGPP&#10;+Jv5Ps8srvdGs50MqJyt+XRSciatcI2yXc0/vL99NucMI9gGtLOy5geJ/Hr59Mli8JWcud7pRgZG&#10;IBarwde8j9FXRYGilwZw4ry05GxdMBBpG7qiCTAQutHFrCwvi8GFxgcnJCKdrkYnPyKGcwBd2yoh&#10;V05sjbRxRA1SQyRK2CuPfJmrbVsp4tu2RRmZrjkxjXmlJGRv0losF1B1AXyvxLEEOKeER5wMKEtJ&#10;T1AriMC2Qf0DZZQIDl0bJ8KZYiSSFSEW0/KRNu968DJzIanRn0TH/wcr3uzWgamGOoEzC4Ye/P7T&#10;97uPX37++Ezr/bevbJpEGjxWFHtj1+G4Q78OifG+DSb9iQvbZ2EPJ2HlPjJBh9P5bD4vSXNBvudX&#10;l7MXWfni4bYPGF9JZ1gyaq6VTcShgt1rjJSRQn+HpGNt2VDzq4vZBWECdWFLr0+m8cQEbZfvotOq&#10;uVVapxsYus2NDmwHqRPyl3gR7l9hKckKsB/jsmvskV5C89I2LB48aWRpNHgqwciGMy1pkpJFgFBF&#10;UPqcSEqtLVWQpB3FTNbGNQd6ka0PqutJiax+jqEOyPUeuzW12J/7jPQwoc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A6vRNYAAAAIAQAADwAAAAAAAAABACAAAAAiAAAAZHJzL2Rvd25yZXYueG1s&#10;UEsBAhQAFAAAAAgAh07iQB4y8Fj6AQAA6QMAAA4AAAAAAAAAAQAgAAAAJQEAAGRycy9lMm9Eb2Mu&#10;eG1sUEsFBgAAAAAGAAYAWQEAAJEFAAAAAA==&#10;">
                      <v:fill on="f" focussize="0,0"/>
                      <v:stroke color="#000000" joinstyle="round"/>
                      <v:imagedata o:title=""/>
                      <o:lock v:ext="edit" aspectratio="f"/>
                    </v:line>
                  </w:pict>
                </mc:Fallback>
              </mc:AlternateContent>
            </w:r>
          </w:p>
          <w:p w14:paraId="1839AA55">
            <w:pPr>
              <w:pStyle w:val="13"/>
              <w:keepNext w:val="0"/>
              <w:keepLines w:val="0"/>
              <w:pageBreakBefore w:val="0"/>
              <w:kinsoku/>
              <w:wordWrap/>
              <w:overflowPunct/>
              <w:topLinePunct w:val="0"/>
              <w:bidi w:val="0"/>
              <w:adjustRightInd w:val="0"/>
              <w:snapToGrid w:val="0"/>
              <w:spacing w:line="320" w:lineRule="exact"/>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w:t>中标金额（万元）</w:t>
            </w:r>
          </w:p>
        </w:tc>
        <w:tc>
          <w:tcPr>
            <w:tcW w:w="1841" w:type="dxa"/>
            <w:noWrap w:val="0"/>
            <w:vAlign w:val="center"/>
          </w:tcPr>
          <w:p w14:paraId="24C63B7F">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货物招标</w:t>
            </w:r>
          </w:p>
        </w:tc>
        <w:tc>
          <w:tcPr>
            <w:tcW w:w="1992" w:type="dxa"/>
            <w:noWrap w:val="0"/>
            <w:vAlign w:val="center"/>
          </w:tcPr>
          <w:p w14:paraId="25EF7909">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服务招标</w:t>
            </w:r>
          </w:p>
        </w:tc>
        <w:tc>
          <w:tcPr>
            <w:tcW w:w="2293" w:type="dxa"/>
            <w:noWrap w:val="0"/>
            <w:vAlign w:val="center"/>
          </w:tcPr>
          <w:p w14:paraId="1E0C7CB9">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工程招标</w:t>
            </w:r>
          </w:p>
        </w:tc>
      </w:tr>
      <w:tr w14:paraId="18CC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noWrap w:val="0"/>
            <w:vAlign w:val="top"/>
          </w:tcPr>
          <w:p w14:paraId="549E788F">
            <w:pPr>
              <w:pStyle w:val="13"/>
              <w:keepNext w:val="0"/>
              <w:keepLines w:val="0"/>
              <w:pageBreakBefore w:val="0"/>
              <w:kinsoku/>
              <w:wordWrap/>
              <w:overflowPunct/>
              <w:topLinePunct w:val="0"/>
              <w:bidi w:val="0"/>
              <w:adjustRightInd w:val="0"/>
              <w:snapToGrid w:val="0"/>
              <w:spacing w:line="320" w:lineRule="exact"/>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w:t>100以下</w:t>
            </w:r>
          </w:p>
        </w:tc>
        <w:tc>
          <w:tcPr>
            <w:tcW w:w="1841" w:type="dxa"/>
            <w:noWrap w:val="0"/>
            <w:vAlign w:val="top"/>
          </w:tcPr>
          <w:p w14:paraId="4DD8CF09">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1992" w:type="dxa"/>
            <w:noWrap w:val="0"/>
            <w:vAlign w:val="top"/>
          </w:tcPr>
          <w:p w14:paraId="4E8256DE">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2293" w:type="dxa"/>
            <w:noWrap w:val="0"/>
            <w:vAlign w:val="top"/>
          </w:tcPr>
          <w:p w14:paraId="001EF827">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1.0%</w:t>
            </w:r>
          </w:p>
        </w:tc>
      </w:tr>
      <w:tr w14:paraId="4139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noWrap w:val="0"/>
            <w:vAlign w:val="top"/>
          </w:tcPr>
          <w:p w14:paraId="52BCFD19">
            <w:pPr>
              <w:pStyle w:val="13"/>
              <w:keepNext w:val="0"/>
              <w:keepLines w:val="0"/>
              <w:pageBreakBefore w:val="0"/>
              <w:kinsoku/>
              <w:wordWrap/>
              <w:overflowPunct/>
              <w:topLinePunct w:val="0"/>
              <w:bidi w:val="0"/>
              <w:adjustRightInd w:val="0"/>
              <w:snapToGrid w:val="0"/>
              <w:spacing w:line="320" w:lineRule="exact"/>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w:t>100-500</w:t>
            </w:r>
          </w:p>
        </w:tc>
        <w:tc>
          <w:tcPr>
            <w:tcW w:w="1841" w:type="dxa"/>
            <w:noWrap w:val="0"/>
            <w:vAlign w:val="top"/>
          </w:tcPr>
          <w:p w14:paraId="182363FA">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1992" w:type="dxa"/>
            <w:noWrap w:val="0"/>
            <w:vAlign w:val="top"/>
          </w:tcPr>
          <w:p w14:paraId="0A0450FF">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0.8%</w:t>
            </w:r>
          </w:p>
        </w:tc>
        <w:tc>
          <w:tcPr>
            <w:tcW w:w="2293" w:type="dxa"/>
            <w:noWrap w:val="0"/>
            <w:vAlign w:val="top"/>
          </w:tcPr>
          <w:p w14:paraId="197AD73A">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0.7%</w:t>
            </w:r>
          </w:p>
        </w:tc>
      </w:tr>
      <w:tr w14:paraId="7090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31E69F3C">
            <w:pPr>
              <w:pStyle w:val="13"/>
              <w:keepNext w:val="0"/>
              <w:keepLines w:val="0"/>
              <w:pageBreakBefore w:val="0"/>
              <w:kinsoku/>
              <w:wordWrap/>
              <w:overflowPunct/>
              <w:topLinePunct w:val="0"/>
              <w:bidi w:val="0"/>
              <w:adjustRightInd w:val="0"/>
              <w:snapToGrid w:val="0"/>
              <w:spacing w:line="320" w:lineRule="exact"/>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w:t>500-1000</w:t>
            </w:r>
          </w:p>
        </w:tc>
        <w:tc>
          <w:tcPr>
            <w:tcW w:w="1841" w:type="dxa"/>
            <w:noWrap w:val="0"/>
            <w:vAlign w:val="top"/>
          </w:tcPr>
          <w:p w14:paraId="4EDC13A2">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0.8%</w:t>
            </w:r>
          </w:p>
        </w:tc>
        <w:tc>
          <w:tcPr>
            <w:tcW w:w="1992" w:type="dxa"/>
            <w:noWrap w:val="0"/>
            <w:vAlign w:val="top"/>
          </w:tcPr>
          <w:p w14:paraId="2899A010">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0.45%</w:t>
            </w:r>
          </w:p>
        </w:tc>
        <w:tc>
          <w:tcPr>
            <w:tcW w:w="2293" w:type="dxa"/>
            <w:noWrap w:val="0"/>
            <w:vAlign w:val="top"/>
          </w:tcPr>
          <w:p w14:paraId="71B21EE6">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0.55%</w:t>
            </w:r>
          </w:p>
        </w:tc>
      </w:tr>
      <w:tr w14:paraId="7ECC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389233B8">
            <w:pPr>
              <w:pStyle w:val="13"/>
              <w:keepNext w:val="0"/>
              <w:keepLines w:val="0"/>
              <w:pageBreakBefore w:val="0"/>
              <w:kinsoku/>
              <w:wordWrap/>
              <w:overflowPunct/>
              <w:topLinePunct w:val="0"/>
              <w:bidi w:val="0"/>
              <w:adjustRightInd w:val="0"/>
              <w:snapToGrid w:val="0"/>
              <w:spacing w:line="320" w:lineRule="exact"/>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w:t>1000-5000</w:t>
            </w:r>
          </w:p>
        </w:tc>
        <w:tc>
          <w:tcPr>
            <w:tcW w:w="1841" w:type="dxa"/>
            <w:noWrap w:val="0"/>
            <w:vAlign w:val="top"/>
          </w:tcPr>
          <w:p w14:paraId="7BE98AD9">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0.5%</w:t>
            </w:r>
          </w:p>
        </w:tc>
        <w:tc>
          <w:tcPr>
            <w:tcW w:w="1992" w:type="dxa"/>
            <w:noWrap w:val="0"/>
            <w:vAlign w:val="top"/>
          </w:tcPr>
          <w:p w14:paraId="70FF0326">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0.25%</w:t>
            </w:r>
          </w:p>
        </w:tc>
        <w:tc>
          <w:tcPr>
            <w:tcW w:w="2293" w:type="dxa"/>
            <w:noWrap w:val="0"/>
            <w:vAlign w:val="top"/>
          </w:tcPr>
          <w:p w14:paraId="670639D2">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0.35%</w:t>
            </w:r>
          </w:p>
        </w:tc>
      </w:tr>
      <w:tr w14:paraId="2226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64E496D9">
            <w:pPr>
              <w:pStyle w:val="13"/>
              <w:keepNext w:val="0"/>
              <w:keepLines w:val="0"/>
              <w:pageBreakBefore w:val="0"/>
              <w:kinsoku/>
              <w:wordWrap/>
              <w:overflowPunct/>
              <w:topLinePunct w:val="0"/>
              <w:bidi w:val="0"/>
              <w:adjustRightInd w:val="0"/>
              <w:snapToGrid w:val="0"/>
              <w:spacing w:line="320" w:lineRule="exact"/>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w:t>5000-10000</w:t>
            </w:r>
          </w:p>
        </w:tc>
        <w:tc>
          <w:tcPr>
            <w:tcW w:w="1841" w:type="dxa"/>
            <w:noWrap w:val="0"/>
            <w:vAlign w:val="top"/>
          </w:tcPr>
          <w:p w14:paraId="4E5C6689">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0.25%</w:t>
            </w:r>
          </w:p>
        </w:tc>
        <w:tc>
          <w:tcPr>
            <w:tcW w:w="1992" w:type="dxa"/>
            <w:noWrap w:val="0"/>
            <w:vAlign w:val="top"/>
          </w:tcPr>
          <w:p w14:paraId="775B3D3D">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0.1%</w:t>
            </w:r>
          </w:p>
        </w:tc>
        <w:tc>
          <w:tcPr>
            <w:tcW w:w="2293" w:type="dxa"/>
            <w:noWrap w:val="0"/>
            <w:vAlign w:val="top"/>
          </w:tcPr>
          <w:p w14:paraId="77392C48">
            <w:pPr>
              <w:pStyle w:val="13"/>
              <w:keepNext w:val="0"/>
              <w:keepLines w:val="0"/>
              <w:pageBreakBefore w:val="0"/>
              <w:kinsoku/>
              <w:wordWrap/>
              <w:overflowPunct/>
              <w:topLinePunct w:val="0"/>
              <w:bidi w:val="0"/>
              <w:adjustRightInd w:val="0"/>
              <w:snapToGrid w:val="0"/>
              <w:spacing w:line="320" w:lineRule="exact"/>
              <w:ind w:left="25"/>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0.2%</w:t>
            </w:r>
          </w:p>
        </w:tc>
      </w:tr>
    </w:tbl>
    <w:p w14:paraId="2235BA73">
      <w:pPr>
        <w:pStyle w:val="13"/>
        <w:keepNext w:val="0"/>
        <w:keepLines w:val="0"/>
        <w:pageBreakBefore w:val="0"/>
        <w:kinsoku/>
        <w:wordWrap/>
        <w:overflowPunct/>
        <w:topLinePunct w:val="0"/>
        <w:bidi w:val="0"/>
        <w:adjustRightInd w:val="0"/>
        <w:snapToGrid w:val="0"/>
        <w:spacing w:line="360" w:lineRule="auto"/>
        <w:ind w:left="25"/>
        <w:textAlignment w:val="auto"/>
        <w:rPr>
          <w:rFonts w:hint="eastAsia" w:ascii="宋体" w:hAnsi="宋体" w:eastAsia="宋体" w:cs="宋体"/>
          <w:color w:val="auto"/>
          <w:highlight w:val="none"/>
        </w:rPr>
      </w:pPr>
    </w:p>
    <w:p w14:paraId="5B03AFF8">
      <w:pPr>
        <w:pStyle w:val="13"/>
        <w:keepNext w:val="0"/>
        <w:keepLines w:val="0"/>
        <w:pageBreakBefore w:val="0"/>
        <w:kinsoku/>
        <w:wordWrap/>
        <w:overflowPunct/>
        <w:topLinePunct w:val="0"/>
        <w:bidi w:val="0"/>
        <w:adjustRightInd w:val="0"/>
        <w:snapToGrid w:val="0"/>
        <w:spacing w:line="360" w:lineRule="auto"/>
        <w:ind w:left="25"/>
        <w:textAlignment w:val="auto"/>
        <w:rPr>
          <w:rFonts w:hint="eastAsia" w:ascii="宋体" w:hAnsi="宋体" w:eastAsia="宋体" w:cs="宋体"/>
          <w:color w:val="auto"/>
          <w:highlight w:val="none"/>
        </w:rPr>
      </w:pPr>
      <w:r>
        <w:rPr>
          <w:rFonts w:hint="eastAsia" w:ascii="宋体" w:hAnsi="宋体" w:eastAsia="宋体" w:cs="宋体"/>
          <w:color w:val="auto"/>
          <w:highlight w:val="none"/>
        </w:rPr>
        <w:t>注：招标代理服务收费按差额定率累进法计算。</w:t>
      </w:r>
    </w:p>
    <w:p w14:paraId="08B3A292">
      <w:pPr>
        <w:pStyle w:val="13"/>
        <w:keepNext w:val="0"/>
        <w:keepLines w:val="0"/>
        <w:pageBreakBefore w:val="0"/>
        <w:kinsoku/>
        <w:wordWrap/>
        <w:overflowPunct/>
        <w:topLinePunct w:val="0"/>
        <w:bidi w:val="0"/>
        <w:adjustRightInd w:val="0"/>
        <w:snapToGrid w:val="0"/>
        <w:spacing w:line="360" w:lineRule="auto"/>
        <w:ind w:left="2" w:leftChars="1" w:firstLine="316" w:firstLineChars="15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36、代理服务费的缴纳账户：</w:t>
      </w:r>
    </w:p>
    <w:p w14:paraId="356C60AC">
      <w:pPr>
        <w:pStyle w:val="13"/>
        <w:keepNext w:val="0"/>
        <w:keepLines w:val="0"/>
        <w:pageBreakBefore w:val="0"/>
        <w:kinsoku/>
        <w:wordWrap/>
        <w:overflowPunct/>
        <w:topLinePunct w:val="0"/>
        <w:bidi w:val="0"/>
        <w:adjustRightInd w:val="0"/>
        <w:snapToGrid w:val="0"/>
        <w:spacing w:line="360" w:lineRule="auto"/>
        <w:ind w:left="2" w:leftChars="1" w:firstLine="315" w:firstLineChars="150"/>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rPr>
        <w:t>账户名称：广西国兴项目管理有限公司</w:t>
      </w:r>
      <w:r>
        <w:rPr>
          <w:rFonts w:hint="eastAsia" w:hAnsi="宋体" w:cs="宋体"/>
          <w:b w:val="0"/>
          <w:bCs w:val="0"/>
          <w:color w:val="auto"/>
          <w:szCs w:val="21"/>
          <w:highlight w:val="none"/>
          <w:lang w:val="en-US" w:eastAsia="zh-CN"/>
        </w:rPr>
        <w:t>桂林分公司</w:t>
      </w:r>
    </w:p>
    <w:p w14:paraId="1967BBEF">
      <w:pPr>
        <w:pStyle w:val="13"/>
        <w:keepNext w:val="0"/>
        <w:keepLines w:val="0"/>
        <w:pageBreakBefore w:val="0"/>
        <w:kinsoku/>
        <w:wordWrap/>
        <w:overflowPunct/>
        <w:topLinePunct w:val="0"/>
        <w:bidi w:val="0"/>
        <w:adjustRightInd w:val="0"/>
        <w:snapToGrid w:val="0"/>
        <w:spacing w:line="360" w:lineRule="auto"/>
        <w:ind w:left="2" w:leftChars="1" w:firstLine="315" w:firstLineChars="15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开户银行：桂林银行股份有限公司临桂支行</w:t>
      </w:r>
    </w:p>
    <w:p w14:paraId="4EFC9E3C">
      <w:pPr>
        <w:pStyle w:val="13"/>
        <w:keepNext w:val="0"/>
        <w:keepLines w:val="0"/>
        <w:pageBreakBefore w:val="0"/>
        <w:kinsoku/>
        <w:wordWrap/>
        <w:overflowPunct/>
        <w:topLinePunct w:val="0"/>
        <w:bidi w:val="0"/>
        <w:adjustRightInd w:val="0"/>
        <w:snapToGrid w:val="0"/>
        <w:spacing w:line="360" w:lineRule="auto"/>
        <w:ind w:left="2" w:leftChars="1" w:firstLine="315" w:firstLineChars="15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银行账号：660000021548700019</w:t>
      </w:r>
    </w:p>
    <w:p w14:paraId="5304AA9B">
      <w:pPr>
        <w:pStyle w:val="13"/>
        <w:keepNext w:val="0"/>
        <w:keepLines w:val="0"/>
        <w:pageBreakBefore w:val="0"/>
        <w:kinsoku/>
        <w:wordWrap/>
        <w:overflowPunct/>
        <w:topLinePunct w:val="0"/>
        <w:bidi w:val="0"/>
        <w:adjustRightInd w:val="0"/>
        <w:snapToGrid w:val="0"/>
        <w:spacing w:line="360" w:lineRule="auto"/>
        <w:ind w:left="2" w:leftChars="1" w:firstLine="316" w:firstLineChars="15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37、解释权：</w:t>
      </w:r>
      <w:r>
        <w:rPr>
          <w:rFonts w:hint="eastAsia" w:ascii="宋体" w:hAnsi="宋体" w:eastAsia="宋体" w:cs="宋体"/>
          <w:color w:val="auto"/>
          <w:szCs w:val="21"/>
          <w:highlight w:val="none"/>
        </w:rPr>
        <w:t>本招标文件是根据《中华人民共和国政府采购法》、《中华人民共和国政府采购法实施条例》、财政部令第87号《政府采购货物和服务招标投标管理办法》和政府采购管理有关规定编制，本招标文件的解释权属于采购代理机构。</w:t>
      </w:r>
    </w:p>
    <w:p w14:paraId="18D47240">
      <w:pPr>
        <w:pStyle w:val="13"/>
        <w:keepNext w:val="0"/>
        <w:keepLines w:val="0"/>
        <w:pageBreakBefore w:val="0"/>
        <w:kinsoku/>
        <w:wordWrap/>
        <w:overflowPunct/>
        <w:topLinePunct w:val="0"/>
        <w:bidi w:val="0"/>
        <w:adjustRightInd w:val="0"/>
        <w:snapToGrid w:val="0"/>
        <w:spacing w:line="360" w:lineRule="auto"/>
        <w:ind w:left="2" w:leftChars="1" w:firstLine="316" w:firstLineChars="15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38、监督管理机构</w:t>
      </w:r>
      <w:r>
        <w:rPr>
          <w:rFonts w:hint="eastAsia" w:ascii="宋体" w:hAnsi="宋体" w:eastAsia="宋体" w:cs="宋体"/>
          <w:color w:val="auto"/>
          <w:szCs w:val="21"/>
          <w:highlight w:val="none"/>
        </w:rPr>
        <w:t>：</w:t>
      </w:r>
    </w:p>
    <w:p w14:paraId="77221362">
      <w:pPr>
        <w:pStyle w:val="13"/>
        <w:keepNext w:val="0"/>
        <w:keepLines w:val="0"/>
        <w:pageBreakBefore w:val="0"/>
        <w:kinsoku/>
        <w:wordWrap/>
        <w:overflowPunct/>
        <w:topLinePunct w:val="0"/>
        <w:bidi w:val="0"/>
        <w:adjustRightInd w:val="0"/>
        <w:snapToGrid w:val="0"/>
        <w:spacing w:line="360" w:lineRule="auto"/>
        <w:ind w:left="2" w:leftChars="1" w:firstLine="315" w:firstLineChars="150"/>
        <w:textAlignment w:val="auto"/>
        <w:rPr>
          <w:rFonts w:hint="eastAsia" w:ascii="宋体" w:hAnsi="宋体" w:eastAsia="宋体" w:cs="宋体"/>
          <w:color w:val="auto"/>
          <w:szCs w:val="21"/>
          <w:highlight w:val="none"/>
        </w:rPr>
      </w:pPr>
      <w:r>
        <w:rPr>
          <w:rFonts w:hint="eastAsia" w:ascii="宋体" w:hAnsi="宋体" w:eastAsia="宋体" w:cs="宋体"/>
          <w:color w:val="auto"/>
          <w:sz w:val="21"/>
          <w:szCs w:val="21"/>
        </w:rPr>
        <w:t>全州县国有资金投资项目招标投标管理办公室</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电话：0773-4818182</w:t>
      </w:r>
    </w:p>
    <w:p w14:paraId="3CA112FC">
      <w:pPr>
        <w:pStyle w:val="13"/>
        <w:keepNext w:val="0"/>
        <w:keepLines w:val="0"/>
        <w:pageBreakBefore w:val="0"/>
        <w:kinsoku/>
        <w:wordWrap/>
        <w:overflowPunct/>
        <w:topLinePunct w:val="0"/>
        <w:bidi w:val="0"/>
        <w:adjustRightInd w:val="0"/>
        <w:snapToGrid w:val="0"/>
        <w:spacing w:line="360" w:lineRule="auto"/>
        <w:ind w:left="2" w:leftChars="1" w:firstLine="315" w:firstLineChars="150"/>
        <w:textAlignment w:val="auto"/>
        <w:rPr>
          <w:rFonts w:hint="eastAsia" w:ascii="宋体" w:hAnsi="宋体" w:eastAsia="宋体" w:cs="宋体"/>
          <w:color w:val="auto"/>
          <w:kern w:val="0"/>
        </w:rPr>
      </w:pPr>
      <w:r>
        <w:rPr>
          <w:rFonts w:hint="eastAsia" w:ascii="宋体" w:hAnsi="宋体" w:eastAsia="宋体" w:cs="宋体"/>
          <w:color w:val="auto"/>
          <w:szCs w:val="21"/>
          <w:highlight w:val="none"/>
        </w:rPr>
        <w:t xml:space="preserve">全州县政府采购管理办公室       电话：0773-4814807  </w:t>
      </w:r>
    </w:p>
    <w:p w14:paraId="2C531418">
      <w:pPr>
        <w:pStyle w:val="13"/>
        <w:keepNext w:val="0"/>
        <w:keepLines w:val="0"/>
        <w:pageBreakBefore w:val="0"/>
        <w:kinsoku/>
        <w:wordWrap/>
        <w:overflowPunct/>
        <w:topLinePunct w:val="0"/>
        <w:bidi w:val="0"/>
        <w:adjustRightInd w:val="0"/>
        <w:snapToGrid w:val="0"/>
        <w:spacing w:line="360" w:lineRule="auto"/>
        <w:ind w:left="2" w:leftChars="1" w:firstLine="316" w:firstLineChars="15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w:t>
      </w:r>
      <w:r>
        <w:rPr>
          <w:rFonts w:hint="eastAsia" w:ascii="宋体" w:hAnsi="宋体" w:eastAsia="宋体" w:cs="宋体"/>
          <w:b/>
          <w:bCs/>
          <w:color w:val="auto"/>
          <w:szCs w:val="21"/>
          <w:highlight w:val="none"/>
          <w:lang w:val="en-US" w:eastAsia="zh-CN"/>
        </w:rPr>
        <w:t>9</w:t>
      </w:r>
      <w:r>
        <w:rPr>
          <w:rFonts w:hint="eastAsia" w:ascii="宋体" w:hAnsi="宋体" w:eastAsia="宋体" w:cs="宋体"/>
          <w:b/>
          <w:bCs/>
          <w:color w:val="auto"/>
          <w:szCs w:val="21"/>
          <w:highlight w:val="none"/>
        </w:rPr>
        <w:t>.根据中国人民银行桂林市中心支行 桂林市财政局关于转发《中国人民银行南宁中心支行广西壮族自治区财政厅关于推广线上“政采贷”融资模式的通知》的通知【桂人银发（2021）246号】，支持银行金融机构与政府采购供应商开展线上“政采贷”业务，具体内容详见《广西线上“政采贷”政策告知函》。</w:t>
      </w:r>
    </w:p>
    <w:p w14:paraId="570E5D0C">
      <w:pPr>
        <w:spacing w:line="360" w:lineRule="exact"/>
        <w:jc w:val="center"/>
        <w:outlineLvl w:val="9"/>
        <w:rPr>
          <w:rFonts w:hint="eastAsia" w:ascii="宋体" w:hAnsi="宋体" w:eastAsia="宋体" w:cs="宋体"/>
          <w:b/>
          <w:color w:val="auto"/>
          <w:sz w:val="32"/>
          <w:szCs w:val="32"/>
          <w:highlight w:val="none"/>
        </w:rPr>
      </w:pPr>
      <w:r>
        <w:rPr>
          <w:rFonts w:hint="eastAsia" w:ascii="宋体" w:hAnsi="宋体" w:eastAsia="宋体" w:cs="宋体"/>
          <w:color w:val="auto"/>
          <w:highlight w:val="none"/>
        </w:rPr>
        <w:drawing>
          <wp:anchor distT="0" distB="0" distL="114300" distR="114300" simplePos="0" relativeHeight="251667456" behindDoc="0" locked="0" layoutInCell="1" allowOverlap="1">
            <wp:simplePos x="0" y="0"/>
            <wp:positionH relativeFrom="column">
              <wp:posOffset>227965</wp:posOffset>
            </wp:positionH>
            <wp:positionV relativeFrom="paragraph">
              <wp:posOffset>144780</wp:posOffset>
            </wp:positionV>
            <wp:extent cx="5859145" cy="6999605"/>
            <wp:effectExtent l="0" t="0" r="0" b="10795"/>
            <wp:wrapSquare wrapText="bothSides"/>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6"/>
                    <a:srcRect t="13455" r="-1129" b="25998"/>
                    <a:stretch>
                      <a:fillRect/>
                    </a:stretch>
                  </pic:blipFill>
                  <pic:spPr>
                    <a:xfrm>
                      <a:off x="0" y="0"/>
                      <a:ext cx="5859145" cy="6999605"/>
                    </a:xfrm>
                    <a:prstGeom prst="rect">
                      <a:avLst/>
                    </a:prstGeom>
                    <a:noFill/>
                    <a:ln>
                      <a:noFill/>
                    </a:ln>
                  </pic:spPr>
                </pic:pic>
              </a:graphicData>
            </a:graphic>
          </wp:anchor>
        </w:drawing>
      </w:r>
    </w:p>
    <w:p w14:paraId="044C2E5A">
      <w:pPr>
        <w:spacing w:line="360" w:lineRule="exact"/>
        <w:jc w:val="center"/>
        <w:outlineLvl w:val="9"/>
        <w:rPr>
          <w:rFonts w:hint="eastAsia" w:ascii="宋体" w:hAnsi="宋体" w:eastAsia="宋体" w:cs="宋体"/>
          <w:b/>
          <w:color w:val="auto"/>
          <w:sz w:val="32"/>
          <w:szCs w:val="32"/>
          <w:highlight w:val="none"/>
        </w:rPr>
      </w:pPr>
    </w:p>
    <w:p w14:paraId="5149BFEB">
      <w:pPr>
        <w:spacing w:line="360" w:lineRule="exact"/>
        <w:jc w:val="center"/>
        <w:outlineLvl w:val="9"/>
        <w:rPr>
          <w:rFonts w:hint="eastAsia" w:ascii="宋体" w:hAnsi="宋体" w:eastAsia="宋体" w:cs="宋体"/>
          <w:b/>
          <w:color w:val="auto"/>
          <w:sz w:val="32"/>
          <w:szCs w:val="32"/>
          <w:highlight w:val="none"/>
        </w:rPr>
      </w:pPr>
    </w:p>
    <w:p w14:paraId="3FAC84FC">
      <w:pPr>
        <w:pStyle w:val="2"/>
        <w:ind w:left="0" w:leftChars="0" w:firstLine="0" w:firstLineChars="0"/>
        <w:rPr>
          <w:rFonts w:hint="eastAsia" w:ascii="宋体" w:hAnsi="宋体" w:eastAsia="宋体" w:cs="宋体"/>
          <w:b/>
          <w:color w:val="auto"/>
          <w:sz w:val="28"/>
          <w:szCs w:val="28"/>
          <w:highlight w:val="none"/>
        </w:rPr>
      </w:pPr>
    </w:p>
    <w:p w14:paraId="29578B57">
      <w:pPr>
        <w:pStyle w:val="2"/>
        <w:ind w:left="0" w:leftChars="0" w:firstLine="0" w:firstLineChars="0"/>
        <w:rPr>
          <w:rFonts w:hint="eastAsia" w:ascii="宋体" w:hAnsi="宋体" w:eastAsia="宋体" w:cs="宋体"/>
          <w:color w:val="auto"/>
        </w:rPr>
      </w:pPr>
    </w:p>
    <w:p w14:paraId="324EBAE3">
      <w:pPr>
        <w:pStyle w:val="2"/>
        <w:numPr>
          <w:ilvl w:val="0"/>
          <w:numId w:val="1"/>
        </w:numPr>
        <w:ind w:firstLine="480"/>
        <w:jc w:val="center"/>
        <w:rPr>
          <w:rFonts w:hint="eastAsia" w:ascii="宋体" w:hAnsi="宋体" w:eastAsia="宋体" w:cs="宋体"/>
          <w:b/>
          <w:bCs/>
          <w:color w:val="auto"/>
          <w:sz w:val="28"/>
          <w:szCs w:val="28"/>
          <w:lang w:val="zh-CN" w:eastAsia="zh-CN" w:bidi="zh-CN"/>
        </w:rPr>
      </w:pPr>
      <w:r>
        <w:rPr>
          <w:rFonts w:hint="eastAsia" w:ascii="宋体" w:hAnsi="宋体" w:eastAsia="宋体" w:cs="宋体"/>
          <w:b/>
          <w:bCs/>
          <w:color w:val="auto"/>
          <w:sz w:val="28"/>
          <w:szCs w:val="28"/>
          <w:lang w:val="zh-CN" w:eastAsia="zh-CN" w:bidi="zh-CN"/>
        </w:rPr>
        <w:t xml:space="preserve"> </w:t>
      </w:r>
      <w:r>
        <w:rPr>
          <w:rFonts w:hint="eastAsia" w:ascii="宋体" w:hAnsi="宋体" w:eastAsia="宋体" w:cs="宋体"/>
          <w:b/>
          <w:bCs/>
          <w:color w:val="auto"/>
          <w:sz w:val="28"/>
          <w:szCs w:val="28"/>
          <w:lang w:val="en-US" w:eastAsia="zh-CN" w:bidi="zh-CN"/>
        </w:rPr>
        <w:t>服务</w:t>
      </w:r>
      <w:r>
        <w:rPr>
          <w:rFonts w:hint="eastAsia" w:ascii="宋体" w:hAnsi="宋体" w:eastAsia="宋体" w:cs="宋体"/>
          <w:b/>
          <w:bCs/>
          <w:color w:val="auto"/>
          <w:sz w:val="28"/>
          <w:szCs w:val="28"/>
          <w:lang w:val="zh-CN" w:eastAsia="zh-CN" w:bidi="zh-CN"/>
        </w:rPr>
        <w:t>采购需求</w:t>
      </w:r>
    </w:p>
    <w:p w14:paraId="7C677A4D">
      <w:pPr>
        <w:pStyle w:val="10"/>
        <w:ind w:left="0" w:leftChars="0" w:firstLine="0" w:firstLineChars="0"/>
        <w:rPr>
          <w:rFonts w:hint="eastAsia" w:ascii="宋体" w:hAnsi="宋体" w:eastAsia="宋体" w:cs="宋体"/>
          <w:b/>
          <w:bCs/>
          <w:color w:val="auto"/>
          <w:sz w:val="21"/>
          <w:szCs w:val="21"/>
          <w:lang w:val="en-US" w:eastAsia="zh-CN" w:bidi="zh-CN"/>
        </w:rPr>
      </w:pPr>
      <w:r>
        <w:rPr>
          <w:rFonts w:hint="eastAsia" w:ascii="宋体" w:hAnsi="宋体" w:eastAsia="宋体" w:cs="宋体"/>
          <w:b/>
          <w:bCs/>
          <w:color w:val="auto"/>
          <w:sz w:val="21"/>
          <w:szCs w:val="21"/>
          <w:lang w:val="en-US" w:eastAsia="zh-CN" w:bidi="zh-CN"/>
        </w:rPr>
        <w:t>一、项目概况：</w:t>
      </w:r>
    </w:p>
    <w:p w14:paraId="3C3DB09E">
      <w:pPr>
        <w:pStyle w:val="10"/>
        <w:ind w:left="0" w:leftChars="0" w:firstLine="422" w:firstLineChars="200"/>
        <w:rPr>
          <w:rFonts w:hint="eastAsia" w:ascii="宋体" w:hAnsi="宋体" w:eastAsia="宋体" w:cs="宋体"/>
          <w:b w:val="0"/>
          <w:bCs w:val="0"/>
          <w:color w:val="auto"/>
          <w:sz w:val="21"/>
          <w:szCs w:val="21"/>
          <w:lang w:val="en-US" w:eastAsia="zh-CN" w:bidi="zh-CN"/>
        </w:rPr>
      </w:pPr>
      <w:r>
        <w:rPr>
          <w:rFonts w:hint="eastAsia" w:ascii="宋体" w:hAnsi="宋体" w:eastAsia="宋体" w:cs="宋体"/>
          <w:b/>
          <w:bCs/>
          <w:color w:val="auto"/>
          <w:sz w:val="21"/>
          <w:szCs w:val="21"/>
          <w:lang w:val="en-US" w:eastAsia="zh-CN" w:bidi="zh-CN"/>
        </w:rPr>
        <w:t>1、项目名称：</w:t>
      </w:r>
      <w:r>
        <w:rPr>
          <w:rFonts w:hint="eastAsia" w:ascii="宋体" w:hAnsi="宋体" w:eastAsia="宋体" w:cs="宋体"/>
          <w:b w:val="0"/>
          <w:bCs w:val="0"/>
          <w:color w:val="auto"/>
          <w:sz w:val="21"/>
          <w:szCs w:val="21"/>
          <w:lang w:val="en-US" w:eastAsia="zh-CN" w:bidi="zh-CN"/>
        </w:rPr>
        <w:t xml:space="preserve">全州县2023-2026年松材线虫病疫情防控绩效承包项目 </w:t>
      </w:r>
    </w:p>
    <w:p w14:paraId="7C6EEF38">
      <w:pPr>
        <w:pStyle w:val="10"/>
        <w:ind w:left="0" w:leftChars="0" w:firstLine="422" w:firstLineChars="200"/>
        <w:rPr>
          <w:rFonts w:hint="default" w:ascii="宋体" w:hAnsi="宋体" w:eastAsia="宋体" w:cs="宋体"/>
          <w:b/>
          <w:bCs/>
          <w:color w:val="auto"/>
          <w:sz w:val="21"/>
          <w:szCs w:val="21"/>
          <w:lang w:val="en-US" w:eastAsia="zh-CN" w:bidi="zh-CN"/>
        </w:rPr>
      </w:pPr>
      <w:r>
        <w:rPr>
          <w:rFonts w:hint="eastAsia" w:ascii="宋体" w:hAnsi="宋体" w:eastAsia="宋体" w:cs="宋体"/>
          <w:b/>
          <w:bCs/>
          <w:color w:val="auto"/>
          <w:sz w:val="21"/>
          <w:szCs w:val="21"/>
          <w:lang w:val="en-US" w:eastAsia="zh-CN" w:bidi="zh-CN"/>
        </w:rPr>
        <w:t xml:space="preserve">   项目编号：</w:t>
      </w:r>
      <w:r>
        <w:rPr>
          <w:rFonts w:hint="eastAsia" w:ascii="宋体" w:hAnsi="宋体" w:eastAsia="宋体" w:cs="宋体"/>
          <w:b w:val="0"/>
          <w:bCs w:val="0"/>
          <w:color w:val="auto"/>
          <w:sz w:val="21"/>
          <w:szCs w:val="21"/>
          <w:lang w:val="en-US" w:eastAsia="zh-CN" w:bidi="zh-CN"/>
        </w:rPr>
        <w:t>GLZC2024-G3-240255-GXGX</w:t>
      </w:r>
    </w:p>
    <w:p w14:paraId="143CE882">
      <w:pPr>
        <w:pStyle w:val="10"/>
        <w:ind w:left="0" w:leftChars="0" w:firstLine="422" w:firstLineChars="200"/>
        <w:rPr>
          <w:rFonts w:hint="eastAsia" w:ascii="宋体" w:hAnsi="宋体" w:eastAsia="宋体" w:cs="宋体"/>
          <w:b w:val="0"/>
          <w:bCs w:val="0"/>
          <w:color w:val="auto"/>
          <w:sz w:val="21"/>
          <w:szCs w:val="21"/>
          <w:lang w:val="en-US" w:eastAsia="zh-CN" w:bidi="zh-CN"/>
        </w:rPr>
      </w:pPr>
      <w:r>
        <w:rPr>
          <w:rFonts w:hint="eastAsia" w:ascii="宋体" w:hAnsi="宋体" w:eastAsia="宋体" w:cs="宋体"/>
          <w:b/>
          <w:bCs/>
          <w:color w:val="auto"/>
          <w:sz w:val="21"/>
          <w:szCs w:val="21"/>
          <w:lang w:val="en-US" w:eastAsia="zh-CN" w:bidi="zh-CN"/>
        </w:rPr>
        <w:t>2、项目背景</w:t>
      </w:r>
    </w:p>
    <w:p w14:paraId="736CDF07">
      <w:pPr>
        <w:pStyle w:val="10"/>
        <w:ind w:left="0" w:leftChars="0" w:firstLine="420" w:firstLineChars="200"/>
        <w:rPr>
          <w:rFonts w:hint="eastAsia" w:ascii="宋体" w:hAnsi="宋体" w:eastAsia="宋体" w:cs="宋体"/>
          <w:b w:val="0"/>
          <w:bCs w:val="0"/>
          <w:color w:val="auto"/>
          <w:sz w:val="21"/>
          <w:szCs w:val="21"/>
          <w:lang w:val="en-US" w:eastAsia="zh-CN" w:bidi="zh-CN"/>
        </w:rPr>
      </w:pPr>
      <w:r>
        <w:rPr>
          <w:rFonts w:hint="eastAsia" w:ascii="宋体" w:hAnsi="宋体" w:eastAsia="宋体" w:cs="宋体"/>
          <w:b w:val="0"/>
          <w:bCs w:val="0"/>
          <w:color w:val="auto"/>
          <w:sz w:val="21"/>
          <w:szCs w:val="21"/>
          <w:lang w:val="en-US" w:eastAsia="zh-CN" w:bidi="zh-CN"/>
        </w:rPr>
        <w:t>（1）林地资源现状</w:t>
      </w:r>
    </w:p>
    <w:p w14:paraId="19318A59">
      <w:pPr>
        <w:keepNext w:val="0"/>
        <w:keepLines w:val="0"/>
        <w:pageBreakBefore w:val="0"/>
        <w:widowControl/>
        <w:kinsoku/>
        <w:wordWrap/>
        <w:overflowPunct/>
        <w:topLinePunct w:val="0"/>
        <w:autoSpaceDE/>
        <w:autoSpaceDN/>
        <w:bidi w:val="0"/>
        <w:adjustRightInd w:val="0"/>
        <w:snapToGrid w:val="0"/>
        <w:spacing w:before="91" w:after="0" w:line="399" w:lineRule="auto"/>
        <w:ind w:left="125" w:right="45" w:firstLine="573"/>
        <w:jc w:val="both"/>
        <w:textAlignment w:val="auto"/>
        <w:rPr>
          <w:rFonts w:hint="eastAsia" w:ascii="宋体" w:hAnsi="宋体" w:eastAsia="宋体" w:cs="宋体"/>
          <w:color w:val="auto"/>
          <w:sz w:val="21"/>
          <w:szCs w:val="21"/>
        </w:rPr>
      </w:pPr>
      <w:r>
        <w:rPr>
          <w:rFonts w:hint="eastAsia" w:ascii="宋体" w:hAnsi="宋体" w:eastAsia="宋体" w:cs="宋体"/>
          <w:color w:val="auto"/>
          <w:spacing w:val="-16"/>
          <w:sz w:val="21"/>
          <w:szCs w:val="21"/>
        </w:rPr>
        <w:t>全</w:t>
      </w:r>
      <w:r>
        <w:rPr>
          <w:rFonts w:hint="eastAsia" w:ascii="宋体" w:hAnsi="宋体" w:eastAsia="宋体" w:cs="宋体"/>
          <w:color w:val="auto"/>
          <w:spacing w:val="-74"/>
          <w:sz w:val="21"/>
          <w:szCs w:val="21"/>
        </w:rPr>
        <w:t xml:space="preserve"> </w:t>
      </w:r>
      <w:r>
        <w:rPr>
          <w:rFonts w:hint="eastAsia" w:ascii="宋体" w:hAnsi="宋体" w:eastAsia="宋体" w:cs="宋体"/>
          <w:color w:val="auto"/>
          <w:spacing w:val="-16"/>
          <w:sz w:val="21"/>
          <w:szCs w:val="21"/>
        </w:rPr>
        <w:t>州</w:t>
      </w:r>
      <w:r>
        <w:rPr>
          <w:rFonts w:hint="eastAsia" w:ascii="宋体" w:hAnsi="宋体" w:eastAsia="宋体" w:cs="宋体"/>
          <w:color w:val="auto"/>
          <w:spacing w:val="-83"/>
          <w:sz w:val="21"/>
          <w:szCs w:val="21"/>
        </w:rPr>
        <w:t xml:space="preserve"> </w:t>
      </w:r>
      <w:r>
        <w:rPr>
          <w:rFonts w:hint="eastAsia" w:ascii="宋体" w:hAnsi="宋体" w:eastAsia="宋体" w:cs="宋体"/>
          <w:color w:val="auto"/>
          <w:spacing w:val="-16"/>
          <w:sz w:val="21"/>
          <w:szCs w:val="21"/>
        </w:rPr>
        <w:t>县</w:t>
      </w:r>
      <w:r>
        <w:rPr>
          <w:rFonts w:hint="eastAsia" w:ascii="宋体" w:hAnsi="宋体" w:eastAsia="宋体" w:cs="宋体"/>
          <w:color w:val="auto"/>
          <w:spacing w:val="-84"/>
          <w:sz w:val="21"/>
          <w:szCs w:val="21"/>
        </w:rPr>
        <w:t xml:space="preserve"> </w:t>
      </w:r>
      <w:r>
        <w:rPr>
          <w:rFonts w:hint="eastAsia" w:ascii="宋体" w:hAnsi="宋体" w:eastAsia="宋体" w:cs="宋体"/>
          <w:color w:val="auto"/>
          <w:spacing w:val="-16"/>
          <w:sz w:val="21"/>
          <w:szCs w:val="21"/>
        </w:rPr>
        <w:t>林</w:t>
      </w:r>
      <w:r>
        <w:rPr>
          <w:rFonts w:hint="eastAsia" w:ascii="宋体" w:hAnsi="宋体" w:eastAsia="宋体" w:cs="宋体"/>
          <w:color w:val="auto"/>
          <w:spacing w:val="-82"/>
          <w:sz w:val="21"/>
          <w:szCs w:val="21"/>
        </w:rPr>
        <w:t xml:space="preserve"> </w:t>
      </w:r>
      <w:r>
        <w:rPr>
          <w:rFonts w:hint="eastAsia" w:ascii="宋体" w:hAnsi="宋体" w:eastAsia="宋体" w:cs="宋体"/>
          <w:color w:val="auto"/>
          <w:spacing w:val="-16"/>
          <w:sz w:val="21"/>
          <w:szCs w:val="21"/>
        </w:rPr>
        <w:t>地</w:t>
      </w:r>
      <w:r>
        <w:rPr>
          <w:rFonts w:hint="eastAsia" w:ascii="宋体" w:hAnsi="宋体" w:eastAsia="宋体" w:cs="宋体"/>
          <w:color w:val="auto"/>
          <w:spacing w:val="-80"/>
          <w:sz w:val="21"/>
          <w:szCs w:val="21"/>
        </w:rPr>
        <w:t xml:space="preserve"> </w:t>
      </w:r>
      <w:r>
        <w:rPr>
          <w:rFonts w:hint="eastAsia" w:ascii="宋体" w:hAnsi="宋体" w:eastAsia="宋体" w:cs="宋体"/>
          <w:color w:val="auto"/>
          <w:spacing w:val="-16"/>
          <w:sz w:val="21"/>
          <w:szCs w:val="21"/>
        </w:rPr>
        <w:t>面</w:t>
      </w:r>
      <w:r>
        <w:rPr>
          <w:rFonts w:hint="eastAsia" w:ascii="宋体" w:hAnsi="宋体" w:eastAsia="宋体" w:cs="宋体"/>
          <w:color w:val="auto"/>
          <w:spacing w:val="-81"/>
          <w:sz w:val="21"/>
          <w:szCs w:val="21"/>
        </w:rPr>
        <w:t xml:space="preserve"> </w:t>
      </w:r>
      <w:r>
        <w:rPr>
          <w:rFonts w:hint="eastAsia" w:ascii="宋体" w:hAnsi="宋体" w:eastAsia="宋体" w:cs="宋体"/>
          <w:color w:val="auto"/>
          <w:spacing w:val="-16"/>
          <w:sz w:val="21"/>
          <w:szCs w:val="21"/>
        </w:rPr>
        <w:t>积 417.16万</w:t>
      </w:r>
      <w:r>
        <w:rPr>
          <w:rFonts w:hint="eastAsia" w:ascii="宋体" w:hAnsi="宋体" w:eastAsia="宋体" w:cs="宋体"/>
          <w:color w:val="auto"/>
          <w:spacing w:val="-77"/>
          <w:sz w:val="21"/>
          <w:szCs w:val="21"/>
        </w:rPr>
        <w:t xml:space="preserve"> </w:t>
      </w:r>
      <w:r>
        <w:rPr>
          <w:rFonts w:hint="eastAsia" w:ascii="宋体" w:hAnsi="宋体" w:eastAsia="宋体" w:cs="宋体"/>
          <w:color w:val="auto"/>
          <w:spacing w:val="-16"/>
          <w:sz w:val="21"/>
          <w:szCs w:val="21"/>
        </w:rPr>
        <w:t>亩</w:t>
      </w:r>
      <w:r>
        <w:rPr>
          <w:rFonts w:hint="eastAsia" w:ascii="宋体" w:hAnsi="宋体" w:eastAsia="宋体" w:cs="宋体"/>
          <w:color w:val="auto"/>
          <w:spacing w:val="-37"/>
          <w:sz w:val="21"/>
          <w:szCs w:val="21"/>
        </w:rPr>
        <w:t xml:space="preserve"> </w:t>
      </w:r>
      <w:r>
        <w:rPr>
          <w:rFonts w:hint="eastAsia" w:ascii="宋体" w:hAnsi="宋体" w:eastAsia="宋体" w:cs="宋体"/>
          <w:color w:val="auto"/>
          <w:spacing w:val="-16"/>
          <w:sz w:val="21"/>
          <w:szCs w:val="21"/>
        </w:rPr>
        <w:t>占</w:t>
      </w:r>
      <w:r>
        <w:rPr>
          <w:rFonts w:hint="eastAsia" w:ascii="宋体" w:hAnsi="宋体" w:eastAsia="宋体" w:cs="宋体"/>
          <w:color w:val="auto"/>
          <w:spacing w:val="-77"/>
          <w:sz w:val="21"/>
          <w:szCs w:val="21"/>
        </w:rPr>
        <w:t xml:space="preserve"> </w:t>
      </w:r>
      <w:r>
        <w:rPr>
          <w:rFonts w:hint="eastAsia" w:ascii="宋体" w:hAnsi="宋体" w:eastAsia="宋体" w:cs="宋体"/>
          <w:color w:val="auto"/>
          <w:spacing w:val="-16"/>
          <w:sz w:val="21"/>
          <w:szCs w:val="21"/>
        </w:rPr>
        <w:t>全</w:t>
      </w:r>
      <w:r>
        <w:rPr>
          <w:rFonts w:hint="eastAsia" w:ascii="宋体" w:hAnsi="宋体" w:eastAsia="宋体" w:cs="宋体"/>
          <w:color w:val="auto"/>
          <w:spacing w:val="-83"/>
          <w:sz w:val="21"/>
          <w:szCs w:val="21"/>
        </w:rPr>
        <w:t xml:space="preserve"> </w:t>
      </w:r>
      <w:r>
        <w:rPr>
          <w:rFonts w:hint="eastAsia" w:ascii="宋体" w:hAnsi="宋体" w:eastAsia="宋体" w:cs="宋体"/>
          <w:color w:val="auto"/>
          <w:spacing w:val="-16"/>
          <w:sz w:val="21"/>
          <w:szCs w:val="21"/>
        </w:rPr>
        <w:t>县</w:t>
      </w:r>
      <w:r>
        <w:rPr>
          <w:rFonts w:hint="eastAsia" w:ascii="宋体" w:hAnsi="宋体" w:eastAsia="宋体" w:cs="宋体"/>
          <w:color w:val="auto"/>
          <w:spacing w:val="-80"/>
          <w:sz w:val="21"/>
          <w:szCs w:val="21"/>
        </w:rPr>
        <w:t xml:space="preserve"> </w:t>
      </w:r>
      <w:r>
        <w:rPr>
          <w:rFonts w:hint="eastAsia" w:ascii="宋体" w:hAnsi="宋体" w:eastAsia="宋体" w:cs="宋体"/>
          <w:color w:val="auto"/>
          <w:spacing w:val="-16"/>
          <w:sz w:val="21"/>
          <w:szCs w:val="21"/>
        </w:rPr>
        <w:t>土</w:t>
      </w:r>
      <w:r>
        <w:rPr>
          <w:rFonts w:hint="eastAsia" w:ascii="宋体" w:hAnsi="宋体" w:eastAsia="宋体" w:cs="宋体"/>
          <w:color w:val="auto"/>
          <w:spacing w:val="-82"/>
          <w:sz w:val="21"/>
          <w:szCs w:val="21"/>
        </w:rPr>
        <w:t xml:space="preserve"> </w:t>
      </w:r>
      <w:r>
        <w:rPr>
          <w:rFonts w:hint="eastAsia" w:ascii="宋体" w:hAnsi="宋体" w:eastAsia="宋体" w:cs="宋体"/>
          <w:color w:val="auto"/>
          <w:spacing w:val="-16"/>
          <w:sz w:val="21"/>
          <w:szCs w:val="21"/>
        </w:rPr>
        <w:t>地</w:t>
      </w:r>
      <w:r>
        <w:rPr>
          <w:rFonts w:hint="eastAsia" w:ascii="宋体" w:hAnsi="宋体" w:eastAsia="宋体" w:cs="宋体"/>
          <w:color w:val="auto"/>
          <w:spacing w:val="-74"/>
          <w:sz w:val="21"/>
          <w:szCs w:val="21"/>
        </w:rPr>
        <w:t xml:space="preserve"> </w:t>
      </w:r>
      <w:r>
        <w:rPr>
          <w:rFonts w:hint="eastAsia" w:ascii="宋体" w:hAnsi="宋体" w:eastAsia="宋体" w:cs="宋体"/>
          <w:color w:val="auto"/>
          <w:spacing w:val="-17"/>
          <w:sz w:val="21"/>
          <w:szCs w:val="21"/>
        </w:rPr>
        <w:t>总</w:t>
      </w:r>
      <w:r>
        <w:rPr>
          <w:rFonts w:hint="eastAsia" w:ascii="宋体" w:hAnsi="宋体" w:eastAsia="宋体" w:cs="宋体"/>
          <w:color w:val="auto"/>
          <w:spacing w:val="-77"/>
          <w:sz w:val="21"/>
          <w:szCs w:val="21"/>
        </w:rPr>
        <w:t xml:space="preserve"> </w:t>
      </w:r>
      <w:r>
        <w:rPr>
          <w:rFonts w:hint="eastAsia" w:ascii="宋体" w:hAnsi="宋体" w:eastAsia="宋体" w:cs="宋体"/>
          <w:color w:val="auto"/>
          <w:spacing w:val="-17"/>
          <w:sz w:val="21"/>
          <w:szCs w:val="21"/>
        </w:rPr>
        <w:t>面</w:t>
      </w:r>
      <w:r>
        <w:rPr>
          <w:rFonts w:hint="eastAsia" w:ascii="宋体" w:hAnsi="宋体" w:eastAsia="宋体" w:cs="宋体"/>
          <w:color w:val="auto"/>
          <w:spacing w:val="-81"/>
          <w:sz w:val="21"/>
          <w:szCs w:val="21"/>
        </w:rPr>
        <w:t xml:space="preserve"> </w:t>
      </w:r>
      <w:r>
        <w:rPr>
          <w:rFonts w:hint="eastAsia" w:ascii="宋体" w:hAnsi="宋体" w:eastAsia="宋体" w:cs="宋体"/>
          <w:color w:val="auto"/>
          <w:spacing w:val="-17"/>
          <w:sz w:val="21"/>
          <w:szCs w:val="21"/>
        </w:rPr>
        <w:t>积 596.89万</w:t>
      </w:r>
      <w:r>
        <w:rPr>
          <w:rFonts w:hint="eastAsia" w:ascii="宋体" w:hAnsi="宋体" w:eastAsia="宋体" w:cs="宋体"/>
          <w:color w:val="auto"/>
          <w:spacing w:val="-76"/>
          <w:sz w:val="21"/>
          <w:szCs w:val="21"/>
        </w:rPr>
        <w:t xml:space="preserve"> </w:t>
      </w:r>
      <w:r>
        <w:rPr>
          <w:rFonts w:hint="eastAsia" w:ascii="宋体" w:hAnsi="宋体" w:eastAsia="宋体" w:cs="宋体"/>
          <w:color w:val="auto"/>
          <w:spacing w:val="-17"/>
          <w:sz w:val="21"/>
          <w:szCs w:val="21"/>
        </w:rPr>
        <w:t>亩</w:t>
      </w:r>
      <w:r>
        <w:rPr>
          <w:rFonts w:hint="eastAsia" w:ascii="宋体" w:hAnsi="宋体" w:eastAsia="宋体" w:cs="宋体"/>
          <w:color w:val="auto"/>
          <w:spacing w:val="-67"/>
          <w:sz w:val="21"/>
          <w:szCs w:val="21"/>
        </w:rPr>
        <w:t xml:space="preserve"> </w:t>
      </w:r>
      <w:r>
        <w:rPr>
          <w:rFonts w:hint="eastAsia" w:ascii="宋体" w:hAnsi="宋体" w:eastAsia="宋体" w:cs="宋体"/>
          <w:color w:val="auto"/>
          <w:spacing w:val="-17"/>
          <w:sz w:val="21"/>
          <w:szCs w:val="21"/>
        </w:rPr>
        <w:t>的</w:t>
      </w:r>
      <w:r>
        <w:rPr>
          <w:rFonts w:hint="eastAsia" w:ascii="宋体" w:hAnsi="宋体" w:eastAsia="宋体" w:cs="宋体"/>
          <w:color w:val="auto"/>
          <w:sz w:val="21"/>
          <w:szCs w:val="21"/>
        </w:rPr>
        <w:t xml:space="preserve"> </w:t>
      </w:r>
      <w:r>
        <w:rPr>
          <w:rFonts w:hint="eastAsia" w:ascii="宋体" w:hAnsi="宋体" w:eastAsia="宋体" w:cs="宋体"/>
          <w:color w:val="auto"/>
          <w:spacing w:val="3"/>
          <w:sz w:val="21"/>
          <w:szCs w:val="21"/>
        </w:rPr>
        <w:t>69.89%</w:t>
      </w:r>
      <w:r>
        <w:rPr>
          <w:rFonts w:hint="eastAsia" w:ascii="宋体" w:hAnsi="宋体" w:eastAsia="宋体" w:cs="宋体"/>
          <w:color w:val="auto"/>
          <w:spacing w:val="-13"/>
          <w:sz w:val="21"/>
          <w:szCs w:val="21"/>
        </w:rPr>
        <w:t xml:space="preserve"> </w:t>
      </w:r>
      <w:r>
        <w:rPr>
          <w:rFonts w:hint="eastAsia" w:ascii="宋体" w:hAnsi="宋体" w:eastAsia="宋体" w:cs="宋体"/>
          <w:color w:val="auto"/>
          <w:spacing w:val="3"/>
          <w:sz w:val="21"/>
          <w:szCs w:val="21"/>
        </w:rPr>
        <w:t>。有林地面积</w:t>
      </w:r>
      <w:r>
        <w:rPr>
          <w:rFonts w:hint="eastAsia" w:ascii="宋体" w:hAnsi="宋体" w:eastAsia="宋体" w:cs="宋体"/>
          <w:color w:val="auto"/>
          <w:spacing w:val="-43"/>
          <w:sz w:val="21"/>
          <w:szCs w:val="21"/>
        </w:rPr>
        <w:t xml:space="preserve"> </w:t>
      </w:r>
      <w:r>
        <w:rPr>
          <w:rFonts w:hint="eastAsia" w:ascii="宋体" w:hAnsi="宋体" w:eastAsia="宋体" w:cs="宋体"/>
          <w:color w:val="auto"/>
          <w:spacing w:val="3"/>
          <w:sz w:val="21"/>
          <w:szCs w:val="21"/>
        </w:rPr>
        <w:t>269.90万亩</w:t>
      </w:r>
      <w:r>
        <w:rPr>
          <w:rFonts w:hint="eastAsia" w:ascii="宋体" w:hAnsi="宋体" w:eastAsia="宋体" w:cs="宋体"/>
          <w:color w:val="auto"/>
          <w:spacing w:val="-79"/>
          <w:sz w:val="21"/>
          <w:szCs w:val="21"/>
        </w:rPr>
        <w:t xml:space="preserve"> </w:t>
      </w:r>
      <w:r>
        <w:rPr>
          <w:rFonts w:hint="eastAsia" w:ascii="宋体" w:hAnsi="宋体" w:eastAsia="宋体" w:cs="宋体"/>
          <w:color w:val="auto"/>
          <w:spacing w:val="3"/>
          <w:sz w:val="21"/>
          <w:szCs w:val="21"/>
        </w:rPr>
        <w:t>、</w:t>
      </w:r>
      <w:r>
        <w:rPr>
          <w:rFonts w:hint="eastAsia" w:ascii="宋体" w:hAnsi="宋体" w:eastAsia="宋体" w:cs="宋体"/>
          <w:color w:val="auto"/>
          <w:spacing w:val="-51"/>
          <w:sz w:val="21"/>
          <w:szCs w:val="21"/>
        </w:rPr>
        <w:t xml:space="preserve"> </w:t>
      </w:r>
      <w:r>
        <w:rPr>
          <w:rFonts w:hint="eastAsia" w:ascii="宋体" w:hAnsi="宋体" w:eastAsia="宋体" w:cs="宋体"/>
          <w:color w:val="auto"/>
          <w:spacing w:val="3"/>
          <w:sz w:val="21"/>
          <w:szCs w:val="21"/>
        </w:rPr>
        <w:t>占林地面积</w:t>
      </w:r>
      <w:r>
        <w:rPr>
          <w:rFonts w:hint="eastAsia" w:ascii="宋体" w:hAnsi="宋体" w:eastAsia="宋体" w:cs="宋体"/>
          <w:color w:val="auto"/>
          <w:spacing w:val="-37"/>
          <w:sz w:val="21"/>
          <w:szCs w:val="21"/>
        </w:rPr>
        <w:t xml:space="preserve"> </w:t>
      </w:r>
      <w:r>
        <w:rPr>
          <w:rFonts w:hint="eastAsia" w:ascii="宋体" w:hAnsi="宋体" w:eastAsia="宋体" w:cs="宋体"/>
          <w:color w:val="auto"/>
          <w:spacing w:val="2"/>
          <w:sz w:val="21"/>
          <w:szCs w:val="21"/>
        </w:rPr>
        <w:t>64.70%</w:t>
      </w:r>
      <w:r>
        <w:rPr>
          <w:rFonts w:hint="eastAsia" w:ascii="宋体" w:hAnsi="宋体" w:eastAsia="宋体" w:cs="宋体"/>
          <w:color w:val="auto"/>
          <w:spacing w:val="-11"/>
          <w:sz w:val="21"/>
          <w:szCs w:val="21"/>
        </w:rPr>
        <w:t xml:space="preserve"> </w:t>
      </w:r>
      <w:r>
        <w:rPr>
          <w:rFonts w:hint="eastAsia" w:ascii="宋体" w:hAnsi="宋体" w:eastAsia="宋体" w:cs="宋体"/>
          <w:color w:val="auto"/>
          <w:spacing w:val="2"/>
          <w:sz w:val="21"/>
          <w:szCs w:val="21"/>
        </w:rPr>
        <w:t>，森林覆盖率</w:t>
      </w:r>
      <w:r>
        <w:rPr>
          <w:rFonts w:hint="eastAsia" w:ascii="宋体" w:hAnsi="宋体" w:eastAsia="宋体" w:cs="宋体"/>
          <w:color w:val="auto"/>
          <w:sz w:val="21"/>
          <w:szCs w:val="21"/>
        </w:rPr>
        <w:t xml:space="preserve"> </w:t>
      </w:r>
      <w:r>
        <w:rPr>
          <w:rFonts w:hint="eastAsia" w:ascii="宋体" w:hAnsi="宋体" w:eastAsia="宋体" w:cs="宋体"/>
          <w:color w:val="auto"/>
          <w:spacing w:val="-3"/>
          <w:sz w:val="21"/>
          <w:szCs w:val="21"/>
        </w:rPr>
        <w:t>65.03%</w:t>
      </w:r>
      <w:r>
        <w:rPr>
          <w:rFonts w:hint="eastAsia" w:ascii="宋体" w:hAnsi="宋体" w:eastAsia="宋体" w:cs="宋体"/>
          <w:color w:val="auto"/>
          <w:spacing w:val="-26"/>
          <w:sz w:val="21"/>
          <w:szCs w:val="21"/>
        </w:rPr>
        <w:t xml:space="preserve"> </w:t>
      </w:r>
      <w:r>
        <w:rPr>
          <w:rFonts w:hint="eastAsia" w:ascii="宋体" w:hAnsi="宋体" w:eastAsia="宋体" w:cs="宋体"/>
          <w:color w:val="auto"/>
          <w:spacing w:val="-3"/>
          <w:sz w:val="21"/>
          <w:szCs w:val="21"/>
        </w:rPr>
        <w:t>。各地类面积详情参见下表。</w:t>
      </w:r>
    </w:p>
    <w:p w14:paraId="00E93EC0">
      <w:pPr>
        <w:spacing w:line="219" w:lineRule="auto"/>
        <w:ind w:left="3008"/>
        <w:rPr>
          <w:rFonts w:hint="eastAsia" w:ascii="宋体" w:hAnsi="宋体" w:eastAsia="宋体" w:cs="宋体"/>
          <w:color w:val="auto"/>
          <w:sz w:val="21"/>
          <w:szCs w:val="21"/>
        </w:rPr>
      </w:pPr>
      <w:r>
        <w:rPr>
          <w:rFonts w:hint="eastAsia" w:ascii="宋体" w:hAnsi="宋体" w:eastAsia="宋体" w:cs="宋体"/>
          <w:b/>
          <w:bCs/>
          <w:color w:val="auto"/>
          <w:spacing w:val="-2"/>
          <w:sz w:val="21"/>
          <w:szCs w:val="21"/>
        </w:rPr>
        <w:t>全州县林地这样现状表</w:t>
      </w:r>
    </w:p>
    <w:tbl>
      <w:tblPr>
        <w:tblStyle w:val="32"/>
        <w:tblW w:w="87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8"/>
        <w:gridCol w:w="2321"/>
        <w:gridCol w:w="2116"/>
        <w:gridCol w:w="1480"/>
        <w:gridCol w:w="1327"/>
      </w:tblGrid>
      <w:tr w14:paraId="6247F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799" w:type="dxa"/>
            <w:gridSpan w:val="2"/>
            <w:vAlign w:val="top"/>
          </w:tcPr>
          <w:p w14:paraId="4F07A622">
            <w:pPr>
              <w:spacing w:before="56" w:line="232" w:lineRule="auto"/>
              <w:ind w:left="1281"/>
              <w:rPr>
                <w:rFonts w:hint="eastAsia" w:ascii="宋体" w:hAnsi="宋体" w:eastAsia="宋体" w:cs="宋体"/>
                <w:color w:val="auto"/>
                <w:sz w:val="21"/>
                <w:szCs w:val="21"/>
              </w:rPr>
            </w:pPr>
            <w:r>
              <w:rPr>
                <w:rFonts w:hint="eastAsia" w:ascii="宋体" w:hAnsi="宋体" w:eastAsia="宋体" w:cs="宋体"/>
                <w:b/>
                <w:bCs/>
                <w:color w:val="auto"/>
                <w:spacing w:val="5"/>
                <w:sz w:val="21"/>
                <w:szCs w:val="21"/>
              </w:rPr>
              <w:t>土地资源类型</w:t>
            </w:r>
          </w:p>
        </w:tc>
        <w:tc>
          <w:tcPr>
            <w:tcW w:w="2116" w:type="dxa"/>
            <w:vAlign w:val="top"/>
          </w:tcPr>
          <w:p w14:paraId="1306FCAA">
            <w:pPr>
              <w:spacing w:before="55" w:line="232" w:lineRule="auto"/>
              <w:ind w:left="440"/>
              <w:rPr>
                <w:rFonts w:hint="eastAsia" w:ascii="宋体" w:hAnsi="宋体" w:eastAsia="宋体" w:cs="宋体"/>
                <w:color w:val="auto"/>
                <w:sz w:val="21"/>
                <w:szCs w:val="21"/>
              </w:rPr>
            </w:pPr>
            <w:r>
              <w:rPr>
                <w:rFonts w:hint="eastAsia" w:ascii="宋体" w:hAnsi="宋体" w:eastAsia="宋体" w:cs="宋体"/>
                <w:b/>
                <w:bCs/>
                <w:color w:val="auto"/>
                <w:spacing w:val="3"/>
                <w:sz w:val="21"/>
                <w:szCs w:val="21"/>
              </w:rPr>
              <w:t>面积（万亩）</w:t>
            </w:r>
          </w:p>
        </w:tc>
        <w:tc>
          <w:tcPr>
            <w:tcW w:w="1480" w:type="dxa"/>
            <w:vAlign w:val="top"/>
          </w:tcPr>
          <w:p w14:paraId="10322DBD">
            <w:pPr>
              <w:spacing w:before="55" w:line="232" w:lineRule="auto"/>
              <w:ind w:left="156"/>
              <w:rPr>
                <w:rFonts w:hint="eastAsia" w:ascii="宋体" w:hAnsi="宋体" w:eastAsia="宋体" w:cs="宋体"/>
                <w:color w:val="auto"/>
                <w:sz w:val="21"/>
                <w:szCs w:val="21"/>
              </w:rPr>
            </w:pPr>
            <w:r>
              <w:rPr>
                <w:rFonts w:hint="eastAsia" w:ascii="宋体" w:hAnsi="宋体" w:eastAsia="宋体" w:cs="宋体"/>
                <w:b/>
                <w:bCs/>
                <w:color w:val="auto"/>
                <w:sz w:val="21"/>
                <w:szCs w:val="21"/>
              </w:rPr>
              <w:t>占土地总面积</w:t>
            </w:r>
          </w:p>
        </w:tc>
        <w:tc>
          <w:tcPr>
            <w:tcW w:w="1327" w:type="dxa"/>
            <w:vAlign w:val="top"/>
          </w:tcPr>
          <w:p w14:paraId="644A7827">
            <w:pPr>
              <w:spacing w:before="56" w:line="233" w:lineRule="auto"/>
              <w:ind w:left="464"/>
              <w:rPr>
                <w:rFonts w:hint="eastAsia" w:ascii="宋体" w:hAnsi="宋体" w:eastAsia="宋体" w:cs="宋体"/>
                <w:color w:val="auto"/>
                <w:sz w:val="21"/>
                <w:szCs w:val="21"/>
              </w:rPr>
            </w:pPr>
            <w:r>
              <w:rPr>
                <w:rFonts w:hint="eastAsia" w:ascii="宋体" w:hAnsi="宋体" w:eastAsia="宋体" w:cs="宋体"/>
                <w:b/>
                <w:bCs/>
                <w:color w:val="auto"/>
                <w:sz w:val="21"/>
                <w:szCs w:val="21"/>
              </w:rPr>
              <w:t>备注</w:t>
            </w:r>
          </w:p>
        </w:tc>
      </w:tr>
      <w:tr w14:paraId="1A5C7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799" w:type="dxa"/>
            <w:gridSpan w:val="2"/>
            <w:vAlign w:val="top"/>
          </w:tcPr>
          <w:p w14:paraId="1809BD31">
            <w:pPr>
              <w:spacing w:before="51" w:line="232" w:lineRule="auto"/>
              <w:ind w:left="1389"/>
              <w:rPr>
                <w:rFonts w:hint="eastAsia" w:ascii="宋体" w:hAnsi="宋体" w:eastAsia="宋体" w:cs="宋体"/>
                <w:color w:val="auto"/>
                <w:sz w:val="21"/>
                <w:szCs w:val="21"/>
              </w:rPr>
            </w:pPr>
            <w:r>
              <w:rPr>
                <w:rFonts w:hint="eastAsia" w:ascii="宋体" w:hAnsi="宋体" w:eastAsia="宋体" w:cs="宋体"/>
                <w:color w:val="auto"/>
                <w:spacing w:val="6"/>
                <w:sz w:val="21"/>
                <w:szCs w:val="21"/>
              </w:rPr>
              <w:t>土地总面积</w:t>
            </w:r>
          </w:p>
        </w:tc>
        <w:tc>
          <w:tcPr>
            <w:tcW w:w="2116" w:type="dxa"/>
            <w:vAlign w:val="top"/>
          </w:tcPr>
          <w:p w14:paraId="00810310">
            <w:pPr>
              <w:spacing w:before="90" w:line="195" w:lineRule="auto"/>
              <w:ind w:left="776"/>
              <w:rPr>
                <w:rFonts w:hint="eastAsia" w:ascii="宋体" w:hAnsi="宋体" w:eastAsia="宋体" w:cs="宋体"/>
                <w:color w:val="auto"/>
                <w:sz w:val="21"/>
                <w:szCs w:val="21"/>
              </w:rPr>
            </w:pPr>
            <w:r>
              <w:rPr>
                <w:rFonts w:hint="eastAsia" w:ascii="宋体" w:hAnsi="宋体" w:eastAsia="宋体" w:cs="宋体"/>
                <w:color w:val="auto"/>
                <w:spacing w:val="2"/>
                <w:sz w:val="21"/>
                <w:szCs w:val="21"/>
              </w:rPr>
              <w:t>596.89</w:t>
            </w:r>
          </w:p>
        </w:tc>
        <w:tc>
          <w:tcPr>
            <w:tcW w:w="1480" w:type="dxa"/>
            <w:vAlign w:val="top"/>
          </w:tcPr>
          <w:p w14:paraId="2E7AF415">
            <w:pPr>
              <w:spacing w:before="90" w:line="195" w:lineRule="auto"/>
              <w:ind w:left="388"/>
              <w:rPr>
                <w:rFonts w:hint="eastAsia" w:ascii="宋体" w:hAnsi="宋体" w:eastAsia="宋体" w:cs="宋体"/>
                <w:color w:val="auto"/>
                <w:sz w:val="21"/>
                <w:szCs w:val="21"/>
              </w:rPr>
            </w:pPr>
            <w:r>
              <w:rPr>
                <w:rFonts w:hint="eastAsia" w:ascii="宋体" w:hAnsi="宋体" w:eastAsia="宋体" w:cs="宋体"/>
                <w:color w:val="auto"/>
                <w:spacing w:val="1"/>
                <w:sz w:val="21"/>
                <w:szCs w:val="21"/>
              </w:rPr>
              <w:t>100.00%</w:t>
            </w:r>
          </w:p>
        </w:tc>
        <w:tc>
          <w:tcPr>
            <w:tcW w:w="1327" w:type="dxa"/>
            <w:vAlign w:val="top"/>
          </w:tcPr>
          <w:p w14:paraId="52602907">
            <w:pPr>
              <w:pStyle w:val="33"/>
              <w:rPr>
                <w:rFonts w:hint="eastAsia" w:ascii="宋体" w:hAnsi="宋体" w:eastAsia="宋体" w:cs="宋体"/>
                <w:color w:val="auto"/>
                <w:sz w:val="21"/>
                <w:szCs w:val="21"/>
              </w:rPr>
            </w:pPr>
          </w:p>
        </w:tc>
      </w:tr>
      <w:tr w14:paraId="2DAB4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78" w:type="dxa"/>
            <w:vMerge w:val="restart"/>
            <w:tcBorders>
              <w:bottom w:val="nil"/>
            </w:tcBorders>
            <w:vAlign w:val="top"/>
          </w:tcPr>
          <w:p w14:paraId="16A1840D">
            <w:pPr>
              <w:pStyle w:val="33"/>
              <w:spacing w:line="253" w:lineRule="auto"/>
              <w:rPr>
                <w:rFonts w:hint="eastAsia" w:ascii="宋体" w:hAnsi="宋体" w:eastAsia="宋体" w:cs="宋体"/>
                <w:color w:val="auto"/>
                <w:sz w:val="21"/>
                <w:szCs w:val="21"/>
              </w:rPr>
            </w:pPr>
          </w:p>
          <w:p w14:paraId="3888D347">
            <w:pPr>
              <w:pStyle w:val="33"/>
              <w:spacing w:line="253" w:lineRule="auto"/>
              <w:rPr>
                <w:rFonts w:hint="eastAsia" w:ascii="宋体" w:hAnsi="宋体" w:eastAsia="宋体" w:cs="宋体"/>
                <w:color w:val="auto"/>
                <w:sz w:val="21"/>
                <w:szCs w:val="21"/>
              </w:rPr>
            </w:pPr>
          </w:p>
          <w:p w14:paraId="1BD1C2AA">
            <w:pPr>
              <w:pStyle w:val="33"/>
              <w:spacing w:line="253" w:lineRule="auto"/>
              <w:rPr>
                <w:rFonts w:hint="eastAsia" w:ascii="宋体" w:hAnsi="宋体" w:eastAsia="宋体" w:cs="宋体"/>
                <w:color w:val="auto"/>
                <w:sz w:val="21"/>
                <w:szCs w:val="21"/>
              </w:rPr>
            </w:pPr>
          </w:p>
          <w:p w14:paraId="5A9AEA49">
            <w:pPr>
              <w:pStyle w:val="33"/>
              <w:spacing w:line="254" w:lineRule="auto"/>
              <w:rPr>
                <w:rFonts w:hint="eastAsia" w:ascii="宋体" w:hAnsi="宋体" w:eastAsia="宋体" w:cs="宋体"/>
                <w:color w:val="auto"/>
                <w:sz w:val="21"/>
                <w:szCs w:val="21"/>
              </w:rPr>
            </w:pPr>
          </w:p>
          <w:p w14:paraId="43A73F4C">
            <w:pPr>
              <w:pStyle w:val="33"/>
              <w:spacing w:line="254" w:lineRule="auto"/>
              <w:rPr>
                <w:rFonts w:hint="eastAsia" w:ascii="宋体" w:hAnsi="宋体" w:eastAsia="宋体" w:cs="宋体"/>
                <w:color w:val="auto"/>
                <w:sz w:val="21"/>
                <w:szCs w:val="21"/>
              </w:rPr>
            </w:pPr>
          </w:p>
          <w:p w14:paraId="2D139A68">
            <w:pPr>
              <w:spacing w:before="65" w:line="231" w:lineRule="auto"/>
              <w:ind w:left="539"/>
              <w:rPr>
                <w:rFonts w:hint="eastAsia" w:ascii="宋体" w:hAnsi="宋体" w:eastAsia="宋体" w:cs="宋体"/>
                <w:color w:val="auto"/>
                <w:sz w:val="21"/>
                <w:szCs w:val="21"/>
              </w:rPr>
            </w:pPr>
            <w:r>
              <w:rPr>
                <w:rFonts w:hint="eastAsia" w:ascii="宋体" w:hAnsi="宋体" w:eastAsia="宋体" w:cs="宋体"/>
                <w:color w:val="auto"/>
                <w:spacing w:val="2"/>
                <w:sz w:val="21"/>
                <w:szCs w:val="21"/>
              </w:rPr>
              <w:t>林地</w:t>
            </w:r>
          </w:p>
        </w:tc>
        <w:tc>
          <w:tcPr>
            <w:tcW w:w="2321" w:type="dxa"/>
            <w:vAlign w:val="top"/>
          </w:tcPr>
          <w:p w14:paraId="73CCF614">
            <w:pPr>
              <w:spacing w:before="51" w:line="231" w:lineRule="auto"/>
              <w:ind w:left="960"/>
              <w:rPr>
                <w:rFonts w:hint="eastAsia" w:ascii="宋体" w:hAnsi="宋体" w:eastAsia="宋体" w:cs="宋体"/>
                <w:color w:val="auto"/>
                <w:sz w:val="21"/>
                <w:szCs w:val="21"/>
              </w:rPr>
            </w:pPr>
            <w:r>
              <w:rPr>
                <w:rFonts w:hint="eastAsia" w:ascii="宋体" w:hAnsi="宋体" w:eastAsia="宋体" w:cs="宋体"/>
                <w:color w:val="auto"/>
                <w:spacing w:val="2"/>
                <w:sz w:val="21"/>
                <w:szCs w:val="21"/>
              </w:rPr>
              <w:t>小计</w:t>
            </w:r>
          </w:p>
        </w:tc>
        <w:tc>
          <w:tcPr>
            <w:tcW w:w="2116" w:type="dxa"/>
            <w:vAlign w:val="top"/>
          </w:tcPr>
          <w:p w14:paraId="69AEBD11">
            <w:pPr>
              <w:spacing w:before="89" w:line="195" w:lineRule="auto"/>
              <w:ind w:left="769"/>
              <w:rPr>
                <w:rFonts w:hint="eastAsia" w:ascii="宋体" w:hAnsi="宋体" w:eastAsia="宋体" w:cs="宋体"/>
                <w:color w:val="auto"/>
                <w:sz w:val="21"/>
                <w:szCs w:val="21"/>
              </w:rPr>
            </w:pPr>
            <w:r>
              <w:rPr>
                <w:rFonts w:hint="eastAsia" w:ascii="宋体" w:hAnsi="宋体" w:eastAsia="宋体" w:cs="宋体"/>
                <w:color w:val="auto"/>
                <w:spacing w:val="3"/>
                <w:sz w:val="21"/>
                <w:szCs w:val="21"/>
              </w:rPr>
              <w:t>417.16</w:t>
            </w:r>
          </w:p>
        </w:tc>
        <w:tc>
          <w:tcPr>
            <w:tcW w:w="1480" w:type="dxa"/>
            <w:vAlign w:val="top"/>
          </w:tcPr>
          <w:p w14:paraId="77D1A924">
            <w:pPr>
              <w:spacing w:before="89" w:line="195" w:lineRule="auto"/>
              <w:ind w:left="425"/>
              <w:rPr>
                <w:rFonts w:hint="eastAsia" w:ascii="宋体" w:hAnsi="宋体" w:eastAsia="宋体" w:cs="宋体"/>
                <w:color w:val="auto"/>
                <w:sz w:val="21"/>
                <w:szCs w:val="21"/>
              </w:rPr>
            </w:pPr>
            <w:r>
              <w:rPr>
                <w:rFonts w:hint="eastAsia" w:ascii="宋体" w:hAnsi="宋体" w:eastAsia="宋体" w:cs="宋体"/>
                <w:color w:val="auto"/>
                <w:spacing w:val="3"/>
                <w:sz w:val="21"/>
                <w:szCs w:val="21"/>
              </w:rPr>
              <w:t>69.89%</w:t>
            </w:r>
          </w:p>
        </w:tc>
        <w:tc>
          <w:tcPr>
            <w:tcW w:w="1327" w:type="dxa"/>
            <w:vAlign w:val="top"/>
          </w:tcPr>
          <w:p w14:paraId="04087BAE">
            <w:pPr>
              <w:pStyle w:val="33"/>
              <w:rPr>
                <w:rFonts w:hint="eastAsia" w:ascii="宋体" w:hAnsi="宋体" w:eastAsia="宋体" w:cs="宋体"/>
                <w:color w:val="auto"/>
                <w:sz w:val="21"/>
                <w:szCs w:val="21"/>
              </w:rPr>
            </w:pPr>
          </w:p>
        </w:tc>
      </w:tr>
      <w:tr w14:paraId="768A7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78" w:type="dxa"/>
            <w:vMerge w:val="continue"/>
            <w:tcBorders>
              <w:top w:val="nil"/>
              <w:bottom w:val="nil"/>
            </w:tcBorders>
            <w:vAlign w:val="top"/>
          </w:tcPr>
          <w:p w14:paraId="0B08BE3D">
            <w:pPr>
              <w:pStyle w:val="33"/>
              <w:rPr>
                <w:rFonts w:hint="eastAsia" w:ascii="宋体" w:hAnsi="宋体" w:eastAsia="宋体" w:cs="宋体"/>
                <w:color w:val="auto"/>
                <w:sz w:val="21"/>
                <w:szCs w:val="21"/>
              </w:rPr>
            </w:pPr>
          </w:p>
        </w:tc>
        <w:tc>
          <w:tcPr>
            <w:tcW w:w="2321" w:type="dxa"/>
            <w:vAlign w:val="top"/>
          </w:tcPr>
          <w:p w14:paraId="254EC529">
            <w:pPr>
              <w:spacing w:before="52" w:line="231" w:lineRule="auto"/>
              <w:ind w:left="852"/>
              <w:rPr>
                <w:rFonts w:hint="eastAsia" w:ascii="宋体" w:hAnsi="宋体" w:eastAsia="宋体" w:cs="宋体"/>
                <w:color w:val="auto"/>
                <w:sz w:val="21"/>
                <w:szCs w:val="21"/>
              </w:rPr>
            </w:pPr>
            <w:r>
              <w:rPr>
                <w:rFonts w:hint="eastAsia" w:ascii="宋体" w:hAnsi="宋体" w:eastAsia="宋体" w:cs="宋体"/>
                <w:color w:val="auto"/>
                <w:spacing w:val="5"/>
                <w:sz w:val="21"/>
                <w:szCs w:val="21"/>
              </w:rPr>
              <w:t>有林地</w:t>
            </w:r>
          </w:p>
        </w:tc>
        <w:tc>
          <w:tcPr>
            <w:tcW w:w="2116" w:type="dxa"/>
            <w:vAlign w:val="top"/>
          </w:tcPr>
          <w:p w14:paraId="712B7CAD">
            <w:pPr>
              <w:spacing w:before="90" w:line="195" w:lineRule="auto"/>
              <w:ind w:left="770"/>
              <w:rPr>
                <w:rFonts w:hint="eastAsia" w:ascii="宋体" w:hAnsi="宋体" w:eastAsia="宋体" w:cs="宋体"/>
                <w:color w:val="auto"/>
                <w:sz w:val="21"/>
                <w:szCs w:val="21"/>
              </w:rPr>
            </w:pPr>
            <w:r>
              <w:rPr>
                <w:rFonts w:hint="eastAsia" w:ascii="宋体" w:hAnsi="宋体" w:eastAsia="宋体" w:cs="宋体"/>
                <w:color w:val="auto"/>
                <w:spacing w:val="3"/>
                <w:sz w:val="21"/>
                <w:szCs w:val="21"/>
              </w:rPr>
              <w:t>269.90</w:t>
            </w:r>
          </w:p>
        </w:tc>
        <w:tc>
          <w:tcPr>
            <w:tcW w:w="1480" w:type="dxa"/>
            <w:vAlign w:val="top"/>
          </w:tcPr>
          <w:p w14:paraId="6D20F5F4">
            <w:pPr>
              <w:spacing w:before="90" w:line="195" w:lineRule="auto"/>
              <w:ind w:left="419"/>
              <w:rPr>
                <w:rFonts w:hint="eastAsia" w:ascii="宋体" w:hAnsi="宋体" w:eastAsia="宋体" w:cs="宋体"/>
                <w:color w:val="auto"/>
                <w:sz w:val="21"/>
                <w:szCs w:val="21"/>
              </w:rPr>
            </w:pPr>
            <w:r>
              <w:rPr>
                <w:rFonts w:hint="eastAsia" w:ascii="宋体" w:hAnsi="宋体" w:eastAsia="宋体" w:cs="宋体"/>
                <w:color w:val="auto"/>
                <w:spacing w:val="4"/>
                <w:sz w:val="21"/>
                <w:szCs w:val="21"/>
              </w:rPr>
              <w:t>45.22%</w:t>
            </w:r>
          </w:p>
        </w:tc>
        <w:tc>
          <w:tcPr>
            <w:tcW w:w="1327" w:type="dxa"/>
            <w:vAlign w:val="top"/>
          </w:tcPr>
          <w:p w14:paraId="28C27E5B">
            <w:pPr>
              <w:pStyle w:val="33"/>
              <w:rPr>
                <w:rFonts w:hint="eastAsia" w:ascii="宋体" w:hAnsi="宋体" w:eastAsia="宋体" w:cs="宋体"/>
                <w:color w:val="auto"/>
                <w:sz w:val="21"/>
                <w:szCs w:val="21"/>
              </w:rPr>
            </w:pPr>
          </w:p>
        </w:tc>
      </w:tr>
      <w:tr w14:paraId="27BF9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78" w:type="dxa"/>
            <w:vMerge w:val="continue"/>
            <w:tcBorders>
              <w:top w:val="nil"/>
              <w:bottom w:val="nil"/>
            </w:tcBorders>
            <w:vAlign w:val="top"/>
          </w:tcPr>
          <w:p w14:paraId="77EEABBF">
            <w:pPr>
              <w:pStyle w:val="33"/>
              <w:rPr>
                <w:rFonts w:hint="eastAsia" w:ascii="宋体" w:hAnsi="宋体" w:eastAsia="宋体" w:cs="宋体"/>
                <w:color w:val="auto"/>
                <w:sz w:val="21"/>
                <w:szCs w:val="21"/>
              </w:rPr>
            </w:pPr>
          </w:p>
        </w:tc>
        <w:tc>
          <w:tcPr>
            <w:tcW w:w="2321" w:type="dxa"/>
            <w:vAlign w:val="top"/>
          </w:tcPr>
          <w:p w14:paraId="4B9FFB81">
            <w:pPr>
              <w:spacing w:before="54" w:line="231" w:lineRule="auto"/>
              <w:ind w:left="854"/>
              <w:rPr>
                <w:rFonts w:hint="eastAsia" w:ascii="宋体" w:hAnsi="宋体" w:eastAsia="宋体" w:cs="宋体"/>
                <w:color w:val="auto"/>
                <w:sz w:val="21"/>
                <w:szCs w:val="21"/>
              </w:rPr>
            </w:pPr>
            <w:r>
              <w:rPr>
                <w:rFonts w:hint="eastAsia" w:ascii="宋体" w:hAnsi="宋体" w:eastAsia="宋体" w:cs="宋体"/>
                <w:color w:val="auto"/>
                <w:spacing w:val="5"/>
                <w:sz w:val="21"/>
                <w:szCs w:val="21"/>
              </w:rPr>
              <w:t>疏林地</w:t>
            </w:r>
          </w:p>
        </w:tc>
        <w:tc>
          <w:tcPr>
            <w:tcW w:w="2116" w:type="dxa"/>
            <w:vAlign w:val="top"/>
          </w:tcPr>
          <w:p w14:paraId="68084268">
            <w:pPr>
              <w:spacing w:before="90" w:line="195" w:lineRule="auto"/>
              <w:ind w:left="896"/>
              <w:rPr>
                <w:rFonts w:hint="eastAsia" w:ascii="宋体" w:hAnsi="宋体" w:eastAsia="宋体" w:cs="宋体"/>
                <w:color w:val="auto"/>
                <w:sz w:val="21"/>
                <w:szCs w:val="21"/>
              </w:rPr>
            </w:pPr>
            <w:r>
              <w:rPr>
                <w:rFonts w:hint="eastAsia" w:ascii="宋体" w:hAnsi="宋体" w:eastAsia="宋体" w:cs="宋体"/>
                <w:color w:val="auto"/>
                <w:spacing w:val="-2"/>
                <w:sz w:val="21"/>
                <w:szCs w:val="21"/>
              </w:rPr>
              <w:t>1.95</w:t>
            </w:r>
          </w:p>
        </w:tc>
        <w:tc>
          <w:tcPr>
            <w:tcW w:w="1480" w:type="dxa"/>
            <w:vAlign w:val="top"/>
          </w:tcPr>
          <w:p w14:paraId="24D3B6F6">
            <w:pPr>
              <w:spacing w:before="90" w:line="195" w:lineRule="auto"/>
              <w:ind w:left="474"/>
              <w:rPr>
                <w:rFonts w:hint="eastAsia" w:ascii="宋体" w:hAnsi="宋体" w:eastAsia="宋体" w:cs="宋体"/>
                <w:color w:val="auto"/>
                <w:sz w:val="21"/>
                <w:szCs w:val="21"/>
              </w:rPr>
            </w:pPr>
            <w:r>
              <w:rPr>
                <w:rFonts w:hint="eastAsia" w:ascii="宋体" w:hAnsi="宋体" w:eastAsia="宋体" w:cs="宋体"/>
                <w:color w:val="auto"/>
                <w:spacing w:val="3"/>
                <w:sz w:val="21"/>
                <w:szCs w:val="21"/>
              </w:rPr>
              <w:t>0.33%</w:t>
            </w:r>
          </w:p>
        </w:tc>
        <w:tc>
          <w:tcPr>
            <w:tcW w:w="1327" w:type="dxa"/>
            <w:vAlign w:val="top"/>
          </w:tcPr>
          <w:p w14:paraId="3FBEAB64">
            <w:pPr>
              <w:pStyle w:val="33"/>
              <w:rPr>
                <w:rFonts w:hint="eastAsia" w:ascii="宋体" w:hAnsi="宋体" w:eastAsia="宋体" w:cs="宋体"/>
                <w:color w:val="auto"/>
                <w:sz w:val="21"/>
                <w:szCs w:val="21"/>
              </w:rPr>
            </w:pPr>
          </w:p>
        </w:tc>
      </w:tr>
      <w:tr w14:paraId="615B9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78" w:type="dxa"/>
            <w:vMerge w:val="continue"/>
            <w:tcBorders>
              <w:top w:val="nil"/>
              <w:bottom w:val="nil"/>
            </w:tcBorders>
            <w:vAlign w:val="top"/>
          </w:tcPr>
          <w:p w14:paraId="3B0A29FD">
            <w:pPr>
              <w:pStyle w:val="33"/>
              <w:rPr>
                <w:rFonts w:hint="eastAsia" w:ascii="宋体" w:hAnsi="宋体" w:eastAsia="宋体" w:cs="宋体"/>
                <w:color w:val="auto"/>
                <w:sz w:val="21"/>
                <w:szCs w:val="21"/>
              </w:rPr>
            </w:pPr>
          </w:p>
        </w:tc>
        <w:tc>
          <w:tcPr>
            <w:tcW w:w="2321" w:type="dxa"/>
            <w:vAlign w:val="top"/>
          </w:tcPr>
          <w:p w14:paraId="0C21BA0C">
            <w:pPr>
              <w:spacing w:before="54" w:line="230" w:lineRule="auto"/>
              <w:ind w:left="754"/>
              <w:rPr>
                <w:rFonts w:hint="eastAsia" w:ascii="宋体" w:hAnsi="宋体" w:eastAsia="宋体" w:cs="宋体"/>
                <w:color w:val="auto"/>
                <w:sz w:val="21"/>
                <w:szCs w:val="21"/>
              </w:rPr>
            </w:pPr>
            <w:r>
              <w:rPr>
                <w:rFonts w:hint="eastAsia" w:ascii="宋体" w:hAnsi="宋体" w:eastAsia="宋体" w:cs="宋体"/>
                <w:color w:val="auto"/>
                <w:spacing w:val="5"/>
                <w:sz w:val="21"/>
                <w:szCs w:val="21"/>
              </w:rPr>
              <w:t>灌木林地</w:t>
            </w:r>
          </w:p>
        </w:tc>
        <w:tc>
          <w:tcPr>
            <w:tcW w:w="2116" w:type="dxa"/>
            <w:vAlign w:val="top"/>
          </w:tcPr>
          <w:p w14:paraId="78CD6976">
            <w:pPr>
              <w:spacing w:before="90" w:line="195" w:lineRule="auto"/>
              <w:ind w:left="790"/>
              <w:rPr>
                <w:rFonts w:hint="eastAsia" w:ascii="宋体" w:hAnsi="宋体" w:eastAsia="宋体" w:cs="宋体"/>
                <w:color w:val="auto"/>
                <w:sz w:val="21"/>
                <w:szCs w:val="21"/>
              </w:rPr>
            </w:pPr>
            <w:r>
              <w:rPr>
                <w:rFonts w:hint="eastAsia" w:ascii="宋体" w:hAnsi="宋体" w:eastAsia="宋体" w:cs="宋体"/>
                <w:color w:val="auto"/>
                <w:sz w:val="21"/>
                <w:szCs w:val="21"/>
              </w:rPr>
              <w:t>109.78</w:t>
            </w:r>
          </w:p>
        </w:tc>
        <w:tc>
          <w:tcPr>
            <w:tcW w:w="1480" w:type="dxa"/>
            <w:vAlign w:val="top"/>
          </w:tcPr>
          <w:p w14:paraId="3B2E1073">
            <w:pPr>
              <w:spacing w:before="90" w:line="195" w:lineRule="auto"/>
              <w:ind w:left="441"/>
              <w:rPr>
                <w:rFonts w:hint="eastAsia" w:ascii="宋体" w:hAnsi="宋体" w:eastAsia="宋体" w:cs="宋体"/>
                <w:color w:val="auto"/>
                <w:sz w:val="21"/>
                <w:szCs w:val="21"/>
              </w:rPr>
            </w:pPr>
            <w:r>
              <w:rPr>
                <w:rFonts w:hint="eastAsia" w:ascii="宋体" w:hAnsi="宋体" w:eastAsia="宋体" w:cs="宋体"/>
                <w:color w:val="auto"/>
                <w:sz w:val="21"/>
                <w:szCs w:val="21"/>
              </w:rPr>
              <w:t>18.39%</w:t>
            </w:r>
          </w:p>
        </w:tc>
        <w:tc>
          <w:tcPr>
            <w:tcW w:w="1327" w:type="dxa"/>
            <w:vAlign w:val="top"/>
          </w:tcPr>
          <w:p w14:paraId="0C1EAD19">
            <w:pPr>
              <w:pStyle w:val="33"/>
              <w:rPr>
                <w:rFonts w:hint="eastAsia" w:ascii="宋体" w:hAnsi="宋体" w:eastAsia="宋体" w:cs="宋体"/>
                <w:color w:val="auto"/>
                <w:sz w:val="21"/>
                <w:szCs w:val="21"/>
              </w:rPr>
            </w:pPr>
          </w:p>
        </w:tc>
      </w:tr>
      <w:tr w14:paraId="6DBE9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78" w:type="dxa"/>
            <w:vMerge w:val="continue"/>
            <w:tcBorders>
              <w:top w:val="nil"/>
              <w:bottom w:val="nil"/>
            </w:tcBorders>
            <w:vAlign w:val="top"/>
          </w:tcPr>
          <w:p w14:paraId="5366D4EF">
            <w:pPr>
              <w:pStyle w:val="33"/>
              <w:rPr>
                <w:rFonts w:hint="eastAsia" w:ascii="宋体" w:hAnsi="宋体" w:eastAsia="宋体" w:cs="宋体"/>
                <w:color w:val="auto"/>
                <w:sz w:val="21"/>
                <w:szCs w:val="21"/>
              </w:rPr>
            </w:pPr>
          </w:p>
        </w:tc>
        <w:tc>
          <w:tcPr>
            <w:tcW w:w="2321" w:type="dxa"/>
            <w:vAlign w:val="top"/>
          </w:tcPr>
          <w:p w14:paraId="37C07F4B">
            <w:pPr>
              <w:spacing w:before="55" w:line="231" w:lineRule="auto"/>
              <w:ind w:left="541"/>
              <w:rPr>
                <w:rFonts w:hint="eastAsia" w:ascii="宋体" w:hAnsi="宋体" w:eastAsia="宋体" w:cs="宋体"/>
                <w:color w:val="auto"/>
                <w:sz w:val="21"/>
                <w:szCs w:val="21"/>
              </w:rPr>
            </w:pPr>
            <w:r>
              <w:rPr>
                <w:rFonts w:hint="eastAsia" w:ascii="宋体" w:hAnsi="宋体" w:eastAsia="宋体" w:cs="宋体"/>
                <w:color w:val="auto"/>
                <w:spacing w:val="7"/>
                <w:sz w:val="21"/>
                <w:szCs w:val="21"/>
              </w:rPr>
              <w:t>未成林造林地</w:t>
            </w:r>
          </w:p>
        </w:tc>
        <w:tc>
          <w:tcPr>
            <w:tcW w:w="2116" w:type="dxa"/>
            <w:vAlign w:val="top"/>
          </w:tcPr>
          <w:p w14:paraId="076189E2">
            <w:pPr>
              <w:spacing w:before="91" w:line="195" w:lineRule="auto"/>
              <w:ind w:left="843"/>
              <w:rPr>
                <w:rFonts w:hint="eastAsia" w:ascii="宋体" w:hAnsi="宋体" w:eastAsia="宋体" w:cs="宋体"/>
                <w:color w:val="auto"/>
                <w:sz w:val="21"/>
                <w:szCs w:val="21"/>
              </w:rPr>
            </w:pPr>
            <w:r>
              <w:rPr>
                <w:rFonts w:hint="eastAsia" w:ascii="宋体" w:hAnsi="宋体" w:eastAsia="宋体" w:cs="宋体"/>
                <w:color w:val="auto"/>
                <w:spacing w:val="-1"/>
                <w:sz w:val="21"/>
                <w:szCs w:val="21"/>
              </w:rPr>
              <w:t>13.63</w:t>
            </w:r>
          </w:p>
        </w:tc>
        <w:tc>
          <w:tcPr>
            <w:tcW w:w="1480" w:type="dxa"/>
            <w:vAlign w:val="top"/>
          </w:tcPr>
          <w:p w14:paraId="10BD9C9D">
            <w:pPr>
              <w:spacing w:before="91" w:line="195" w:lineRule="auto"/>
              <w:ind w:left="471"/>
              <w:rPr>
                <w:rFonts w:hint="eastAsia" w:ascii="宋体" w:hAnsi="宋体" w:eastAsia="宋体" w:cs="宋体"/>
                <w:color w:val="auto"/>
                <w:sz w:val="21"/>
                <w:szCs w:val="21"/>
              </w:rPr>
            </w:pPr>
            <w:r>
              <w:rPr>
                <w:rFonts w:hint="eastAsia" w:ascii="宋体" w:hAnsi="宋体" w:eastAsia="宋体" w:cs="宋体"/>
                <w:color w:val="auto"/>
                <w:spacing w:val="4"/>
                <w:sz w:val="21"/>
                <w:szCs w:val="21"/>
              </w:rPr>
              <w:t>2.28%</w:t>
            </w:r>
          </w:p>
        </w:tc>
        <w:tc>
          <w:tcPr>
            <w:tcW w:w="1327" w:type="dxa"/>
            <w:vAlign w:val="top"/>
          </w:tcPr>
          <w:p w14:paraId="37B03F34">
            <w:pPr>
              <w:pStyle w:val="33"/>
              <w:rPr>
                <w:rFonts w:hint="eastAsia" w:ascii="宋体" w:hAnsi="宋体" w:eastAsia="宋体" w:cs="宋体"/>
                <w:color w:val="auto"/>
                <w:sz w:val="21"/>
                <w:szCs w:val="21"/>
              </w:rPr>
            </w:pPr>
          </w:p>
        </w:tc>
      </w:tr>
      <w:tr w14:paraId="471A2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78" w:type="dxa"/>
            <w:vMerge w:val="continue"/>
            <w:tcBorders>
              <w:top w:val="nil"/>
              <w:bottom w:val="nil"/>
            </w:tcBorders>
            <w:vAlign w:val="top"/>
          </w:tcPr>
          <w:p w14:paraId="63A1DBA9">
            <w:pPr>
              <w:pStyle w:val="33"/>
              <w:rPr>
                <w:rFonts w:hint="eastAsia" w:ascii="宋体" w:hAnsi="宋体" w:eastAsia="宋体" w:cs="宋体"/>
                <w:color w:val="auto"/>
                <w:sz w:val="21"/>
                <w:szCs w:val="21"/>
              </w:rPr>
            </w:pPr>
          </w:p>
        </w:tc>
        <w:tc>
          <w:tcPr>
            <w:tcW w:w="2321" w:type="dxa"/>
            <w:vAlign w:val="top"/>
          </w:tcPr>
          <w:p w14:paraId="09F5BF65">
            <w:pPr>
              <w:spacing w:before="54" w:line="232" w:lineRule="auto"/>
              <w:ind w:left="856"/>
              <w:rPr>
                <w:rFonts w:hint="eastAsia" w:ascii="宋体" w:hAnsi="宋体" w:eastAsia="宋体" w:cs="宋体"/>
                <w:color w:val="auto"/>
                <w:sz w:val="21"/>
                <w:szCs w:val="21"/>
              </w:rPr>
            </w:pPr>
            <w:r>
              <w:rPr>
                <w:rFonts w:hint="eastAsia" w:ascii="宋体" w:hAnsi="宋体" w:eastAsia="宋体" w:cs="宋体"/>
                <w:color w:val="auto"/>
                <w:spacing w:val="4"/>
                <w:sz w:val="21"/>
                <w:szCs w:val="21"/>
              </w:rPr>
              <w:t>苗圃地</w:t>
            </w:r>
          </w:p>
        </w:tc>
        <w:tc>
          <w:tcPr>
            <w:tcW w:w="2116" w:type="dxa"/>
            <w:vAlign w:val="top"/>
          </w:tcPr>
          <w:p w14:paraId="7BDA1816">
            <w:pPr>
              <w:spacing w:before="93" w:line="195" w:lineRule="auto"/>
              <w:ind w:left="879"/>
              <w:rPr>
                <w:rFonts w:hint="eastAsia" w:ascii="宋体" w:hAnsi="宋体" w:eastAsia="宋体" w:cs="宋体"/>
                <w:color w:val="auto"/>
                <w:sz w:val="21"/>
                <w:szCs w:val="21"/>
              </w:rPr>
            </w:pPr>
            <w:r>
              <w:rPr>
                <w:rFonts w:hint="eastAsia" w:ascii="宋体" w:hAnsi="宋体" w:eastAsia="宋体" w:cs="宋体"/>
                <w:color w:val="auto"/>
                <w:spacing w:val="2"/>
                <w:sz w:val="21"/>
                <w:szCs w:val="21"/>
              </w:rPr>
              <w:t>0.06</w:t>
            </w:r>
          </w:p>
        </w:tc>
        <w:tc>
          <w:tcPr>
            <w:tcW w:w="1480" w:type="dxa"/>
            <w:vAlign w:val="top"/>
          </w:tcPr>
          <w:p w14:paraId="22FD61B9">
            <w:pPr>
              <w:spacing w:before="93" w:line="195" w:lineRule="auto"/>
              <w:ind w:left="474"/>
              <w:rPr>
                <w:rFonts w:hint="eastAsia" w:ascii="宋体" w:hAnsi="宋体" w:eastAsia="宋体" w:cs="宋体"/>
                <w:color w:val="auto"/>
                <w:sz w:val="21"/>
                <w:szCs w:val="21"/>
              </w:rPr>
            </w:pPr>
            <w:r>
              <w:rPr>
                <w:rFonts w:hint="eastAsia" w:ascii="宋体" w:hAnsi="宋体" w:eastAsia="宋体" w:cs="宋体"/>
                <w:color w:val="auto"/>
                <w:spacing w:val="3"/>
                <w:sz w:val="21"/>
                <w:szCs w:val="21"/>
              </w:rPr>
              <w:t>0.01%</w:t>
            </w:r>
          </w:p>
        </w:tc>
        <w:tc>
          <w:tcPr>
            <w:tcW w:w="1327" w:type="dxa"/>
            <w:vAlign w:val="top"/>
          </w:tcPr>
          <w:p w14:paraId="47BA0B58">
            <w:pPr>
              <w:pStyle w:val="33"/>
              <w:rPr>
                <w:rFonts w:hint="eastAsia" w:ascii="宋体" w:hAnsi="宋体" w:eastAsia="宋体" w:cs="宋体"/>
                <w:color w:val="auto"/>
                <w:sz w:val="21"/>
                <w:szCs w:val="21"/>
              </w:rPr>
            </w:pPr>
          </w:p>
        </w:tc>
      </w:tr>
      <w:tr w14:paraId="35F09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78" w:type="dxa"/>
            <w:vMerge w:val="continue"/>
            <w:tcBorders>
              <w:top w:val="nil"/>
              <w:bottom w:val="nil"/>
            </w:tcBorders>
            <w:vAlign w:val="top"/>
          </w:tcPr>
          <w:p w14:paraId="462028C7">
            <w:pPr>
              <w:pStyle w:val="33"/>
              <w:rPr>
                <w:rFonts w:hint="eastAsia" w:ascii="宋体" w:hAnsi="宋体" w:eastAsia="宋体" w:cs="宋体"/>
                <w:color w:val="auto"/>
                <w:sz w:val="21"/>
                <w:szCs w:val="21"/>
              </w:rPr>
            </w:pPr>
          </w:p>
        </w:tc>
        <w:tc>
          <w:tcPr>
            <w:tcW w:w="2321" w:type="dxa"/>
            <w:vAlign w:val="top"/>
          </w:tcPr>
          <w:p w14:paraId="0D7E10EF">
            <w:pPr>
              <w:spacing w:before="55" w:line="230" w:lineRule="auto"/>
              <w:ind w:left="648"/>
              <w:rPr>
                <w:rFonts w:hint="eastAsia" w:ascii="宋体" w:hAnsi="宋体" w:eastAsia="宋体" w:cs="宋体"/>
                <w:color w:val="auto"/>
                <w:sz w:val="21"/>
                <w:szCs w:val="21"/>
              </w:rPr>
            </w:pPr>
            <w:r>
              <w:rPr>
                <w:rFonts w:hint="eastAsia" w:ascii="宋体" w:hAnsi="宋体" w:eastAsia="宋体" w:cs="宋体"/>
                <w:color w:val="auto"/>
                <w:spacing w:val="6"/>
                <w:sz w:val="21"/>
                <w:szCs w:val="21"/>
              </w:rPr>
              <w:t>无立木林地</w:t>
            </w:r>
          </w:p>
        </w:tc>
        <w:tc>
          <w:tcPr>
            <w:tcW w:w="2116" w:type="dxa"/>
            <w:vAlign w:val="top"/>
          </w:tcPr>
          <w:p w14:paraId="0D99C454">
            <w:pPr>
              <w:spacing w:before="93" w:line="195" w:lineRule="auto"/>
              <w:ind w:left="843"/>
              <w:rPr>
                <w:rFonts w:hint="eastAsia" w:ascii="宋体" w:hAnsi="宋体" w:eastAsia="宋体" w:cs="宋体"/>
                <w:color w:val="auto"/>
                <w:sz w:val="21"/>
                <w:szCs w:val="21"/>
              </w:rPr>
            </w:pPr>
            <w:r>
              <w:rPr>
                <w:rFonts w:hint="eastAsia" w:ascii="宋体" w:hAnsi="宋体" w:eastAsia="宋体" w:cs="宋体"/>
                <w:color w:val="auto"/>
                <w:spacing w:val="-1"/>
                <w:sz w:val="21"/>
                <w:szCs w:val="21"/>
              </w:rPr>
              <w:t>16.85</w:t>
            </w:r>
          </w:p>
        </w:tc>
        <w:tc>
          <w:tcPr>
            <w:tcW w:w="1480" w:type="dxa"/>
            <w:vAlign w:val="top"/>
          </w:tcPr>
          <w:p w14:paraId="7A7123FD">
            <w:pPr>
              <w:spacing w:before="93" w:line="195" w:lineRule="auto"/>
              <w:ind w:left="471"/>
              <w:rPr>
                <w:rFonts w:hint="eastAsia" w:ascii="宋体" w:hAnsi="宋体" w:eastAsia="宋体" w:cs="宋体"/>
                <w:color w:val="auto"/>
                <w:sz w:val="21"/>
                <w:szCs w:val="21"/>
              </w:rPr>
            </w:pPr>
            <w:r>
              <w:rPr>
                <w:rFonts w:hint="eastAsia" w:ascii="宋体" w:hAnsi="宋体" w:eastAsia="宋体" w:cs="宋体"/>
                <w:color w:val="auto"/>
                <w:spacing w:val="4"/>
                <w:sz w:val="21"/>
                <w:szCs w:val="21"/>
              </w:rPr>
              <w:t>2.82%</w:t>
            </w:r>
          </w:p>
        </w:tc>
        <w:tc>
          <w:tcPr>
            <w:tcW w:w="1327" w:type="dxa"/>
            <w:vAlign w:val="top"/>
          </w:tcPr>
          <w:p w14:paraId="1C5CB8E4">
            <w:pPr>
              <w:pStyle w:val="33"/>
              <w:rPr>
                <w:rFonts w:hint="eastAsia" w:ascii="宋体" w:hAnsi="宋体" w:eastAsia="宋体" w:cs="宋体"/>
                <w:color w:val="auto"/>
                <w:sz w:val="21"/>
                <w:szCs w:val="21"/>
              </w:rPr>
            </w:pPr>
          </w:p>
        </w:tc>
      </w:tr>
      <w:tr w14:paraId="0D7F8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78" w:type="dxa"/>
            <w:vMerge w:val="continue"/>
            <w:tcBorders>
              <w:top w:val="nil"/>
              <w:bottom w:val="nil"/>
            </w:tcBorders>
            <w:vAlign w:val="top"/>
          </w:tcPr>
          <w:p w14:paraId="2695834D">
            <w:pPr>
              <w:pStyle w:val="33"/>
              <w:rPr>
                <w:rFonts w:hint="eastAsia" w:ascii="宋体" w:hAnsi="宋体" w:eastAsia="宋体" w:cs="宋体"/>
                <w:color w:val="auto"/>
                <w:sz w:val="21"/>
                <w:szCs w:val="21"/>
              </w:rPr>
            </w:pPr>
          </w:p>
        </w:tc>
        <w:tc>
          <w:tcPr>
            <w:tcW w:w="2321" w:type="dxa"/>
            <w:vAlign w:val="top"/>
          </w:tcPr>
          <w:p w14:paraId="6A6EAC74">
            <w:pPr>
              <w:spacing w:before="55" w:line="231" w:lineRule="auto"/>
              <w:ind w:left="857"/>
              <w:rPr>
                <w:rFonts w:hint="eastAsia" w:ascii="宋体" w:hAnsi="宋体" w:eastAsia="宋体" w:cs="宋体"/>
                <w:color w:val="auto"/>
                <w:sz w:val="21"/>
                <w:szCs w:val="21"/>
              </w:rPr>
            </w:pPr>
            <w:r>
              <w:rPr>
                <w:rFonts w:hint="eastAsia" w:ascii="宋体" w:hAnsi="宋体" w:eastAsia="宋体" w:cs="宋体"/>
                <w:color w:val="auto"/>
                <w:spacing w:val="3"/>
                <w:sz w:val="21"/>
                <w:szCs w:val="21"/>
              </w:rPr>
              <w:t>宜林地</w:t>
            </w:r>
          </w:p>
        </w:tc>
        <w:tc>
          <w:tcPr>
            <w:tcW w:w="2116" w:type="dxa"/>
            <w:vAlign w:val="top"/>
          </w:tcPr>
          <w:p w14:paraId="03581E07">
            <w:pPr>
              <w:spacing w:before="93" w:line="195" w:lineRule="auto"/>
              <w:ind w:left="875"/>
              <w:rPr>
                <w:rFonts w:hint="eastAsia" w:ascii="宋体" w:hAnsi="宋体" w:eastAsia="宋体" w:cs="宋体"/>
                <w:color w:val="auto"/>
                <w:sz w:val="21"/>
                <w:szCs w:val="21"/>
              </w:rPr>
            </w:pPr>
            <w:r>
              <w:rPr>
                <w:rFonts w:hint="eastAsia" w:ascii="宋体" w:hAnsi="宋体" w:eastAsia="宋体" w:cs="宋体"/>
                <w:color w:val="auto"/>
                <w:spacing w:val="3"/>
                <w:sz w:val="21"/>
                <w:szCs w:val="21"/>
              </w:rPr>
              <w:t>4.70</w:t>
            </w:r>
          </w:p>
        </w:tc>
        <w:tc>
          <w:tcPr>
            <w:tcW w:w="1480" w:type="dxa"/>
            <w:vAlign w:val="top"/>
          </w:tcPr>
          <w:p w14:paraId="0DE6BD1B">
            <w:pPr>
              <w:spacing w:before="93" w:line="195" w:lineRule="auto"/>
              <w:ind w:left="474"/>
              <w:rPr>
                <w:rFonts w:hint="eastAsia" w:ascii="宋体" w:hAnsi="宋体" w:eastAsia="宋体" w:cs="宋体"/>
                <w:color w:val="auto"/>
                <w:sz w:val="21"/>
                <w:szCs w:val="21"/>
              </w:rPr>
            </w:pPr>
            <w:r>
              <w:rPr>
                <w:rFonts w:hint="eastAsia" w:ascii="宋体" w:hAnsi="宋体" w:eastAsia="宋体" w:cs="宋体"/>
                <w:color w:val="auto"/>
                <w:spacing w:val="3"/>
                <w:sz w:val="21"/>
                <w:szCs w:val="21"/>
              </w:rPr>
              <w:t>0.79%</w:t>
            </w:r>
          </w:p>
        </w:tc>
        <w:tc>
          <w:tcPr>
            <w:tcW w:w="1327" w:type="dxa"/>
            <w:vAlign w:val="top"/>
          </w:tcPr>
          <w:p w14:paraId="7FF582F9">
            <w:pPr>
              <w:pStyle w:val="33"/>
              <w:rPr>
                <w:rFonts w:hint="eastAsia" w:ascii="宋体" w:hAnsi="宋体" w:eastAsia="宋体" w:cs="宋体"/>
                <w:color w:val="auto"/>
                <w:sz w:val="21"/>
                <w:szCs w:val="21"/>
              </w:rPr>
            </w:pPr>
          </w:p>
        </w:tc>
      </w:tr>
      <w:tr w14:paraId="60146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78" w:type="dxa"/>
            <w:vMerge w:val="continue"/>
            <w:tcBorders>
              <w:top w:val="nil"/>
            </w:tcBorders>
            <w:vAlign w:val="top"/>
          </w:tcPr>
          <w:p w14:paraId="280E215B">
            <w:pPr>
              <w:pStyle w:val="33"/>
              <w:rPr>
                <w:rFonts w:hint="eastAsia" w:ascii="宋体" w:hAnsi="宋体" w:eastAsia="宋体" w:cs="宋体"/>
                <w:color w:val="auto"/>
                <w:sz w:val="21"/>
                <w:szCs w:val="21"/>
              </w:rPr>
            </w:pPr>
          </w:p>
        </w:tc>
        <w:tc>
          <w:tcPr>
            <w:tcW w:w="2321" w:type="dxa"/>
            <w:vAlign w:val="top"/>
          </w:tcPr>
          <w:p w14:paraId="1D834CDF">
            <w:pPr>
              <w:spacing w:before="57" w:line="229" w:lineRule="auto"/>
              <w:ind w:left="538"/>
              <w:rPr>
                <w:rFonts w:hint="eastAsia" w:ascii="宋体" w:hAnsi="宋体" w:eastAsia="宋体" w:cs="宋体"/>
                <w:color w:val="auto"/>
                <w:sz w:val="21"/>
                <w:szCs w:val="21"/>
              </w:rPr>
            </w:pPr>
            <w:r>
              <w:rPr>
                <w:rFonts w:hint="eastAsia" w:ascii="宋体" w:hAnsi="宋体" w:eastAsia="宋体" w:cs="宋体"/>
                <w:color w:val="auto"/>
                <w:spacing w:val="7"/>
                <w:sz w:val="21"/>
                <w:szCs w:val="21"/>
              </w:rPr>
              <w:t>辅助生产林地</w:t>
            </w:r>
          </w:p>
        </w:tc>
        <w:tc>
          <w:tcPr>
            <w:tcW w:w="2116" w:type="dxa"/>
            <w:vAlign w:val="top"/>
          </w:tcPr>
          <w:p w14:paraId="04399F29">
            <w:pPr>
              <w:spacing w:before="93" w:line="195" w:lineRule="auto"/>
              <w:ind w:left="879"/>
              <w:rPr>
                <w:rFonts w:hint="eastAsia" w:ascii="宋体" w:hAnsi="宋体" w:eastAsia="宋体" w:cs="宋体"/>
                <w:color w:val="auto"/>
                <w:sz w:val="21"/>
                <w:szCs w:val="21"/>
              </w:rPr>
            </w:pPr>
            <w:r>
              <w:rPr>
                <w:rFonts w:hint="eastAsia" w:ascii="宋体" w:hAnsi="宋体" w:eastAsia="宋体" w:cs="宋体"/>
                <w:color w:val="auto"/>
                <w:spacing w:val="2"/>
                <w:sz w:val="21"/>
                <w:szCs w:val="21"/>
              </w:rPr>
              <w:t>0.28</w:t>
            </w:r>
          </w:p>
        </w:tc>
        <w:tc>
          <w:tcPr>
            <w:tcW w:w="1480" w:type="dxa"/>
            <w:vAlign w:val="top"/>
          </w:tcPr>
          <w:p w14:paraId="1A862849">
            <w:pPr>
              <w:spacing w:before="93" w:line="195" w:lineRule="auto"/>
              <w:ind w:left="474"/>
              <w:rPr>
                <w:rFonts w:hint="eastAsia" w:ascii="宋体" w:hAnsi="宋体" w:eastAsia="宋体" w:cs="宋体"/>
                <w:color w:val="auto"/>
                <w:sz w:val="21"/>
                <w:szCs w:val="21"/>
              </w:rPr>
            </w:pPr>
            <w:r>
              <w:rPr>
                <w:rFonts w:hint="eastAsia" w:ascii="宋体" w:hAnsi="宋体" w:eastAsia="宋体" w:cs="宋体"/>
                <w:color w:val="auto"/>
                <w:spacing w:val="3"/>
                <w:sz w:val="21"/>
                <w:szCs w:val="21"/>
              </w:rPr>
              <w:t>0.05%</w:t>
            </w:r>
          </w:p>
        </w:tc>
        <w:tc>
          <w:tcPr>
            <w:tcW w:w="1327" w:type="dxa"/>
            <w:vAlign w:val="top"/>
          </w:tcPr>
          <w:p w14:paraId="2437C741">
            <w:pPr>
              <w:pStyle w:val="33"/>
              <w:rPr>
                <w:rFonts w:hint="eastAsia" w:ascii="宋体" w:hAnsi="宋体" w:eastAsia="宋体" w:cs="宋体"/>
                <w:color w:val="auto"/>
                <w:sz w:val="21"/>
                <w:szCs w:val="21"/>
              </w:rPr>
            </w:pPr>
          </w:p>
        </w:tc>
      </w:tr>
      <w:tr w14:paraId="3CA33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799" w:type="dxa"/>
            <w:gridSpan w:val="2"/>
            <w:vAlign w:val="top"/>
          </w:tcPr>
          <w:p w14:paraId="7E575DC9">
            <w:pPr>
              <w:spacing w:before="56" w:line="231" w:lineRule="auto"/>
              <w:ind w:left="1602"/>
              <w:rPr>
                <w:rFonts w:hint="eastAsia" w:ascii="宋体" w:hAnsi="宋体" w:eastAsia="宋体" w:cs="宋体"/>
                <w:color w:val="auto"/>
                <w:sz w:val="21"/>
                <w:szCs w:val="21"/>
              </w:rPr>
            </w:pPr>
            <w:r>
              <w:rPr>
                <w:rFonts w:hint="eastAsia" w:ascii="宋体" w:hAnsi="宋体" w:eastAsia="宋体" w:cs="宋体"/>
                <w:color w:val="auto"/>
                <w:spacing w:val="2"/>
                <w:sz w:val="21"/>
                <w:szCs w:val="21"/>
              </w:rPr>
              <w:t>非林地</w:t>
            </w:r>
          </w:p>
        </w:tc>
        <w:tc>
          <w:tcPr>
            <w:tcW w:w="2116" w:type="dxa"/>
            <w:vAlign w:val="top"/>
          </w:tcPr>
          <w:p w14:paraId="466310B9">
            <w:pPr>
              <w:spacing w:before="92" w:line="195" w:lineRule="auto"/>
              <w:ind w:left="790"/>
              <w:rPr>
                <w:rFonts w:hint="eastAsia" w:ascii="宋体" w:hAnsi="宋体" w:eastAsia="宋体" w:cs="宋体"/>
                <w:color w:val="auto"/>
                <w:sz w:val="21"/>
                <w:szCs w:val="21"/>
              </w:rPr>
            </w:pPr>
            <w:r>
              <w:rPr>
                <w:rFonts w:hint="eastAsia" w:ascii="宋体" w:hAnsi="宋体" w:eastAsia="宋体" w:cs="宋体"/>
                <w:color w:val="auto"/>
                <w:sz w:val="21"/>
                <w:szCs w:val="21"/>
              </w:rPr>
              <w:t>179.73</w:t>
            </w:r>
          </w:p>
        </w:tc>
        <w:tc>
          <w:tcPr>
            <w:tcW w:w="1480" w:type="dxa"/>
            <w:vAlign w:val="top"/>
          </w:tcPr>
          <w:p w14:paraId="759A5A8F">
            <w:pPr>
              <w:spacing w:before="92" w:line="195" w:lineRule="auto"/>
              <w:ind w:left="425"/>
              <w:rPr>
                <w:rFonts w:hint="eastAsia" w:ascii="宋体" w:hAnsi="宋体" w:eastAsia="宋体" w:cs="宋体"/>
                <w:color w:val="auto"/>
                <w:sz w:val="21"/>
                <w:szCs w:val="21"/>
              </w:rPr>
            </w:pPr>
            <w:r>
              <w:rPr>
                <w:rFonts w:hint="eastAsia" w:ascii="宋体" w:hAnsi="宋体" w:eastAsia="宋体" w:cs="宋体"/>
                <w:color w:val="auto"/>
                <w:spacing w:val="-1"/>
                <w:sz w:val="21"/>
                <w:szCs w:val="21"/>
              </w:rPr>
              <w:t>30.</w:t>
            </w:r>
            <w:r>
              <w:rPr>
                <w:rFonts w:hint="eastAsia" w:ascii="宋体" w:hAnsi="宋体" w:eastAsia="宋体" w:cs="宋体"/>
                <w:color w:val="auto"/>
                <w:spacing w:val="-24"/>
                <w:sz w:val="21"/>
                <w:szCs w:val="21"/>
              </w:rPr>
              <w:t xml:space="preserve"> </w:t>
            </w:r>
            <w:r>
              <w:rPr>
                <w:rFonts w:hint="eastAsia" w:ascii="宋体" w:hAnsi="宋体" w:eastAsia="宋体" w:cs="宋体"/>
                <w:color w:val="auto"/>
                <w:spacing w:val="-1"/>
                <w:sz w:val="21"/>
                <w:szCs w:val="21"/>
              </w:rPr>
              <w:t>11%</w:t>
            </w:r>
          </w:p>
        </w:tc>
        <w:tc>
          <w:tcPr>
            <w:tcW w:w="1327" w:type="dxa"/>
            <w:vAlign w:val="top"/>
          </w:tcPr>
          <w:p w14:paraId="50C6761B">
            <w:pPr>
              <w:pStyle w:val="33"/>
              <w:rPr>
                <w:rFonts w:hint="eastAsia" w:ascii="宋体" w:hAnsi="宋体" w:eastAsia="宋体" w:cs="宋体"/>
                <w:color w:val="auto"/>
                <w:sz w:val="21"/>
                <w:szCs w:val="21"/>
              </w:rPr>
            </w:pPr>
          </w:p>
        </w:tc>
      </w:tr>
    </w:tbl>
    <w:p w14:paraId="0CF5C696">
      <w:pPr>
        <w:keepNext w:val="0"/>
        <w:keepLines w:val="0"/>
        <w:pageBreakBefore w:val="0"/>
        <w:widowControl/>
        <w:kinsoku/>
        <w:wordWrap/>
        <w:overflowPunct/>
        <w:topLinePunct w:val="0"/>
        <w:autoSpaceDE/>
        <w:autoSpaceDN/>
        <w:bidi w:val="0"/>
        <w:adjustRightInd w:val="0"/>
        <w:snapToGrid w:val="0"/>
        <w:spacing w:before="0" w:beforeLines="50" w:after="0" w:line="360" w:lineRule="auto"/>
        <w:ind w:right="0" w:firstLine="432"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rPr>
        <w:t>全州县范围内涉及两个保护区和一个林场，即广西五福宝</w:t>
      </w:r>
      <w:r>
        <w:rPr>
          <w:rFonts w:hint="eastAsia" w:ascii="宋体" w:hAnsi="宋体" w:eastAsia="宋体" w:cs="宋体"/>
          <w:color w:val="auto"/>
          <w:spacing w:val="2"/>
          <w:sz w:val="21"/>
          <w:szCs w:val="21"/>
        </w:rPr>
        <w:t>顶自治区</w:t>
      </w:r>
      <w:r>
        <w:rPr>
          <w:rFonts w:hint="eastAsia" w:ascii="宋体" w:hAnsi="宋体" w:eastAsia="宋体" w:cs="宋体"/>
          <w:color w:val="auto"/>
          <w:spacing w:val="3"/>
          <w:sz w:val="21"/>
          <w:szCs w:val="21"/>
        </w:rPr>
        <w:t>级自然保护区、广西海洋山自治区级自然保护区和咸</w:t>
      </w:r>
      <w:r>
        <w:rPr>
          <w:rFonts w:hint="eastAsia" w:ascii="宋体" w:hAnsi="宋体" w:eastAsia="宋体" w:cs="宋体"/>
          <w:color w:val="auto"/>
          <w:spacing w:val="2"/>
          <w:sz w:val="21"/>
          <w:szCs w:val="21"/>
        </w:rPr>
        <w:t>水林场。林业在全</w:t>
      </w:r>
      <w:r>
        <w:rPr>
          <w:rFonts w:hint="eastAsia" w:ascii="宋体" w:hAnsi="宋体" w:eastAsia="宋体" w:cs="宋体"/>
          <w:color w:val="auto"/>
          <w:spacing w:val="-1"/>
          <w:sz w:val="21"/>
          <w:szCs w:val="21"/>
        </w:rPr>
        <w:t>州县的生态环境建设、居民生活质量提高等发挥着重要作用。</w:t>
      </w:r>
    </w:p>
    <w:p w14:paraId="3D3A5967">
      <w:pPr>
        <w:spacing w:before="185" w:line="225" w:lineRule="auto"/>
        <w:ind w:left="123" w:firstLine="222" w:firstLineChars="100"/>
        <w:outlineLvl w:val="2"/>
        <w:rPr>
          <w:rFonts w:hint="eastAsia" w:ascii="宋体" w:hAnsi="宋体" w:eastAsia="宋体" w:cs="宋体"/>
          <w:color w:val="auto"/>
          <w:sz w:val="21"/>
          <w:szCs w:val="21"/>
        </w:rPr>
      </w:pPr>
      <w:r>
        <w:rPr>
          <w:rFonts w:hint="eastAsia" w:ascii="宋体" w:hAnsi="宋体" w:eastAsia="宋体" w:cs="宋体"/>
          <w:b w:val="0"/>
          <w:bCs w:val="0"/>
          <w:color w:val="auto"/>
          <w:spacing w:val="6"/>
          <w:sz w:val="21"/>
          <w:szCs w:val="21"/>
          <w:lang w:eastAsia="zh-CN"/>
        </w:rPr>
        <w:t>（</w:t>
      </w:r>
      <w:r>
        <w:rPr>
          <w:rFonts w:hint="eastAsia" w:ascii="宋体" w:hAnsi="宋体" w:eastAsia="宋体" w:cs="宋体"/>
          <w:b w:val="0"/>
          <w:bCs w:val="0"/>
          <w:color w:val="auto"/>
          <w:spacing w:val="6"/>
          <w:sz w:val="21"/>
          <w:szCs w:val="21"/>
          <w:lang w:val="en-US" w:eastAsia="zh-CN"/>
        </w:rPr>
        <w:t>2</w:t>
      </w:r>
      <w:r>
        <w:rPr>
          <w:rFonts w:hint="eastAsia" w:ascii="宋体" w:hAnsi="宋体" w:eastAsia="宋体" w:cs="宋体"/>
          <w:b w:val="0"/>
          <w:bCs w:val="0"/>
          <w:color w:val="auto"/>
          <w:spacing w:val="6"/>
          <w:sz w:val="21"/>
          <w:szCs w:val="21"/>
          <w:lang w:eastAsia="zh-CN"/>
        </w:rPr>
        <w:t>）</w:t>
      </w:r>
      <w:r>
        <w:rPr>
          <w:rFonts w:hint="eastAsia" w:ascii="宋体" w:hAnsi="宋体" w:eastAsia="宋体" w:cs="宋体"/>
          <w:b w:val="0"/>
          <w:bCs w:val="0"/>
          <w:color w:val="auto"/>
          <w:spacing w:val="6"/>
          <w:sz w:val="21"/>
          <w:szCs w:val="21"/>
        </w:rPr>
        <w:t>主要树种面积及蓄积情况现状</w:t>
      </w:r>
    </w:p>
    <w:p w14:paraId="124CA4D0">
      <w:pPr>
        <w:spacing w:before="78" w:line="221" w:lineRule="auto"/>
        <w:ind w:left="2291"/>
        <w:rPr>
          <w:rFonts w:hint="eastAsia" w:ascii="宋体" w:hAnsi="宋体" w:eastAsia="宋体" w:cs="宋体"/>
          <w:color w:val="auto"/>
          <w:sz w:val="21"/>
          <w:szCs w:val="21"/>
        </w:rPr>
      </w:pPr>
      <w:r>
        <w:rPr>
          <w:rFonts w:hint="eastAsia" w:ascii="宋体" w:hAnsi="宋体" w:eastAsia="宋体" w:cs="宋体"/>
          <w:b/>
          <w:bCs/>
          <w:color w:val="auto"/>
          <w:spacing w:val="-2"/>
          <w:sz w:val="21"/>
          <w:szCs w:val="21"/>
        </w:rPr>
        <w:t>全州县各主要树种面积及蓄积情况表</w:t>
      </w:r>
    </w:p>
    <w:tbl>
      <w:tblPr>
        <w:tblStyle w:val="32"/>
        <w:tblW w:w="90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5"/>
        <w:gridCol w:w="1749"/>
        <w:gridCol w:w="1996"/>
        <w:gridCol w:w="1998"/>
        <w:gridCol w:w="2010"/>
      </w:tblGrid>
      <w:tr w14:paraId="3A191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255" w:type="dxa"/>
            <w:tcBorders>
              <w:top w:val="single" w:color="000000" w:sz="2" w:space="0"/>
            </w:tcBorders>
            <w:vAlign w:val="top"/>
          </w:tcPr>
          <w:p w14:paraId="37A105F1">
            <w:pPr>
              <w:spacing w:before="81" w:line="229" w:lineRule="auto"/>
              <w:ind w:left="421"/>
              <w:rPr>
                <w:rFonts w:hint="eastAsia" w:ascii="宋体" w:hAnsi="宋体" w:eastAsia="宋体" w:cs="宋体"/>
                <w:color w:val="auto"/>
                <w:sz w:val="21"/>
                <w:szCs w:val="21"/>
              </w:rPr>
            </w:pPr>
            <w:r>
              <w:rPr>
                <w:rFonts w:hint="eastAsia" w:ascii="宋体" w:hAnsi="宋体" w:eastAsia="宋体" w:cs="宋体"/>
                <w:b/>
                <w:bCs/>
                <w:color w:val="auto"/>
                <w:spacing w:val="1"/>
                <w:sz w:val="21"/>
                <w:szCs w:val="21"/>
              </w:rPr>
              <w:t>树种</w:t>
            </w:r>
          </w:p>
        </w:tc>
        <w:tc>
          <w:tcPr>
            <w:tcW w:w="1749" w:type="dxa"/>
            <w:tcBorders>
              <w:top w:val="single" w:color="000000" w:sz="2" w:space="0"/>
            </w:tcBorders>
            <w:vAlign w:val="top"/>
          </w:tcPr>
          <w:p w14:paraId="65491355">
            <w:pPr>
              <w:spacing w:before="80" w:line="232" w:lineRule="auto"/>
              <w:ind w:left="248"/>
              <w:rPr>
                <w:rFonts w:hint="eastAsia" w:ascii="宋体" w:hAnsi="宋体" w:eastAsia="宋体" w:cs="宋体"/>
                <w:color w:val="auto"/>
                <w:sz w:val="21"/>
                <w:szCs w:val="21"/>
              </w:rPr>
            </w:pPr>
            <w:r>
              <w:rPr>
                <w:rFonts w:hint="eastAsia" w:ascii="宋体" w:hAnsi="宋体" w:eastAsia="宋体" w:cs="宋体"/>
                <w:b/>
                <w:bCs/>
                <w:color w:val="auto"/>
                <w:spacing w:val="3"/>
                <w:sz w:val="21"/>
                <w:szCs w:val="21"/>
              </w:rPr>
              <w:t>面积（万亩）</w:t>
            </w:r>
          </w:p>
        </w:tc>
        <w:tc>
          <w:tcPr>
            <w:tcW w:w="1996" w:type="dxa"/>
            <w:tcBorders>
              <w:top w:val="single" w:color="000000" w:sz="2" w:space="0"/>
            </w:tcBorders>
            <w:vAlign w:val="top"/>
          </w:tcPr>
          <w:p w14:paraId="46734E8A">
            <w:pPr>
              <w:spacing w:before="80" w:line="232" w:lineRule="auto"/>
              <w:ind w:left="270"/>
              <w:rPr>
                <w:rFonts w:hint="eastAsia" w:ascii="宋体" w:hAnsi="宋体" w:eastAsia="宋体" w:cs="宋体"/>
                <w:color w:val="auto"/>
                <w:sz w:val="21"/>
                <w:szCs w:val="21"/>
              </w:rPr>
            </w:pPr>
            <w:r>
              <w:rPr>
                <w:rFonts w:hint="eastAsia" w:ascii="宋体" w:hAnsi="宋体" w:eastAsia="宋体" w:cs="宋体"/>
                <w:b/>
                <w:bCs/>
                <w:color w:val="auto"/>
                <w:spacing w:val="4"/>
                <w:sz w:val="21"/>
                <w:szCs w:val="21"/>
              </w:rPr>
              <w:t>面积占比（%）</w:t>
            </w:r>
          </w:p>
        </w:tc>
        <w:tc>
          <w:tcPr>
            <w:tcW w:w="1998" w:type="dxa"/>
            <w:tcBorders>
              <w:top w:val="single" w:color="000000" w:sz="2" w:space="0"/>
            </w:tcBorders>
            <w:vAlign w:val="top"/>
          </w:tcPr>
          <w:p w14:paraId="29027FBB">
            <w:pPr>
              <w:spacing w:before="81" w:line="231" w:lineRule="auto"/>
              <w:ind w:left="170"/>
              <w:rPr>
                <w:rFonts w:hint="eastAsia" w:ascii="宋体" w:hAnsi="宋体" w:eastAsia="宋体" w:cs="宋体"/>
                <w:color w:val="auto"/>
                <w:sz w:val="21"/>
                <w:szCs w:val="21"/>
              </w:rPr>
            </w:pPr>
            <w:r>
              <w:rPr>
                <w:rFonts w:hint="eastAsia" w:ascii="宋体" w:hAnsi="宋体" w:eastAsia="宋体" w:cs="宋体"/>
                <w:b/>
                <w:bCs/>
                <w:color w:val="auto"/>
                <w:spacing w:val="4"/>
                <w:sz w:val="21"/>
                <w:szCs w:val="21"/>
              </w:rPr>
              <w:t>蓄积（万立方米）</w:t>
            </w:r>
          </w:p>
        </w:tc>
        <w:tc>
          <w:tcPr>
            <w:tcW w:w="2010" w:type="dxa"/>
            <w:tcBorders>
              <w:top w:val="single" w:color="000000" w:sz="2" w:space="0"/>
            </w:tcBorders>
            <w:vAlign w:val="top"/>
          </w:tcPr>
          <w:p w14:paraId="1BA4C14B">
            <w:pPr>
              <w:spacing w:before="81" w:line="231" w:lineRule="auto"/>
              <w:ind w:left="279"/>
              <w:rPr>
                <w:rFonts w:hint="eastAsia" w:ascii="宋体" w:hAnsi="宋体" w:eastAsia="宋体" w:cs="宋体"/>
                <w:color w:val="auto"/>
                <w:sz w:val="21"/>
                <w:szCs w:val="21"/>
              </w:rPr>
            </w:pPr>
            <w:r>
              <w:rPr>
                <w:rFonts w:hint="eastAsia" w:ascii="宋体" w:hAnsi="宋体" w:eastAsia="宋体" w:cs="宋体"/>
                <w:b/>
                <w:bCs/>
                <w:color w:val="auto"/>
                <w:spacing w:val="4"/>
                <w:sz w:val="21"/>
                <w:szCs w:val="21"/>
              </w:rPr>
              <w:t>蓄积占比（%）</w:t>
            </w:r>
          </w:p>
        </w:tc>
      </w:tr>
      <w:tr w14:paraId="08EB8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1255" w:type="dxa"/>
            <w:vAlign w:val="top"/>
          </w:tcPr>
          <w:p w14:paraId="6A581C34">
            <w:pPr>
              <w:spacing w:before="72" w:line="231" w:lineRule="auto"/>
              <w:ind w:left="427"/>
              <w:rPr>
                <w:rFonts w:hint="eastAsia" w:ascii="宋体" w:hAnsi="宋体" w:eastAsia="宋体" w:cs="宋体"/>
                <w:color w:val="auto"/>
                <w:sz w:val="21"/>
                <w:szCs w:val="21"/>
              </w:rPr>
            </w:pPr>
            <w:r>
              <w:rPr>
                <w:rFonts w:hint="eastAsia" w:ascii="宋体" w:hAnsi="宋体" w:eastAsia="宋体" w:cs="宋体"/>
                <w:color w:val="auto"/>
                <w:spacing w:val="-1"/>
                <w:sz w:val="21"/>
                <w:szCs w:val="21"/>
              </w:rPr>
              <w:t>合计</w:t>
            </w:r>
          </w:p>
        </w:tc>
        <w:tc>
          <w:tcPr>
            <w:tcW w:w="1749" w:type="dxa"/>
            <w:vAlign w:val="top"/>
          </w:tcPr>
          <w:p w14:paraId="01DFA164">
            <w:pPr>
              <w:spacing w:before="108" w:line="195" w:lineRule="auto"/>
              <w:ind w:left="577"/>
              <w:rPr>
                <w:rFonts w:hint="eastAsia" w:ascii="宋体" w:hAnsi="宋体" w:eastAsia="宋体" w:cs="宋体"/>
                <w:color w:val="auto"/>
                <w:sz w:val="21"/>
                <w:szCs w:val="21"/>
              </w:rPr>
            </w:pPr>
            <w:r>
              <w:rPr>
                <w:rFonts w:hint="eastAsia" w:ascii="宋体" w:hAnsi="宋体" w:eastAsia="宋体" w:cs="宋体"/>
                <w:color w:val="auto"/>
                <w:spacing w:val="3"/>
                <w:sz w:val="21"/>
                <w:szCs w:val="21"/>
              </w:rPr>
              <w:t>410.88</w:t>
            </w:r>
          </w:p>
        </w:tc>
        <w:tc>
          <w:tcPr>
            <w:tcW w:w="1996" w:type="dxa"/>
            <w:vAlign w:val="top"/>
          </w:tcPr>
          <w:p w14:paraId="69EACAB1">
            <w:pPr>
              <w:spacing w:before="108" w:line="195" w:lineRule="auto"/>
              <w:ind w:left="726"/>
              <w:rPr>
                <w:rFonts w:hint="eastAsia" w:ascii="宋体" w:hAnsi="宋体" w:eastAsia="宋体" w:cs="宋体"/>
                <w:color w:val="auto"/>
                <w:sz w:val="21"/>
                <w:szCs w:val="21"/>
              </w:rPr>
            </w:pPr>
            <w:r>
              <w:rPr>
                <w:rFonts w:hint="eastAsia" w:ascii="宋体" w:hAnsi="宋体" w:eastAsia="宋体" w:cs="宋体"/>
                <w:color w:val="auto"/>
                <w:sz w:val="21"/>
                <w:szCs w:val="21"/>
              </w:rPr>
              <w:t>100.00</w:t>
            </w:r>
          </w:p>
        </w:tc>
        <w:tc>
          <w:tcPr>
            <w:tcW w:w="1998" w:type="dxa"/>
            <w:vAlign w:val="top"/>
          </w:tcPr>
          <w:p w14:paraId="14F3ACB0">
            <w:pPr>
              <w:spacing w:before="108" w:line="195" w:lineRule="auto"/>
              <w:ind w:left="676"/>
              <w:rPr>
                <w:rFonts w:hint="eastAsia" w:ascii="宋体" w:hAnsi="宋体" w:eastAsia="宋体" w:cs="宋体"/>
                <w:color w:val="auto"/>
                <w:sz w:val="21"/>
                <w:szCs w:val="21"/>
              </w:rPr>
            </w:pPr>
            <w:r>
              <w:rPr>
                <w:rFonts w:hint="eastAsia" w:ascii="宋体" w:hAnsi="宋体" w:eastAsia="宋体" w:cs="宋体"/>
                <w:color w:val="auto"/>
                <w:spacing w:val="1"/>
                <w:sz w:val="21"/>
                <w:szCs w:val="21"/>
              </w:rPr>
              <w:t>1204.67</w:t>
            </w:r>
          </w:p>
        </w:tc>
        <w:tc>
          <w:tcPr>
            <w:tcW w:w="2010" w:type="dxa"/>
            <w:vAlign w:val="top"/>
          </w:tcPr>
          <w:p w14:paraId="34A2D2C7">
            <w:pPr>
              <w:spacing w:before="108" w:line="195" w:lineRule="auto"/>
              <w:ind w:left="732"/>
              <w:rPr>
                <w:rFonts w:hint="eastAsia" w:ascii="宋体" w:hAnsi="宋体" w:eastAsia="宋体" w:cs="宋体"/>
                <w:color w:val="auto"/>
                <w:sz w:val="21"/>
                <w:szCs w:val="21"/>
              </w:rPr>
            </w:pPr>
            <w:r>
              <w:rPr>
                <w:rFonts w:hint="eastAsia" w:ascii="宋体" w:hAnsi="宋体" w:eastAsia="宋体" w:cs="宋体"/>
                <w:color w:val="auto"/>
                <w:sz w:val="21"/>
                <w:szCs w:val="21"/>
              </w:rPr>
              <w:t>100.00</w:t>
            </w:r>
          </w:p>
        </w:tc>
      </w:tr>
      <w:tr w14:paraId="71716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3" w:hRule="atLeast"/>
        </w:trPr>
        <w:tc>
          <w:tcPr>
            <w:tcW w:w="1255" w:type="dxa"/>
            <w:vAlign w:val="top"/>
          </w:tcPr>
          <w:p w14:paraId="108748D1">
            <w:pPr>
              <w:spacing w:before="73" w:line="231" w:lineRule="auto"/>
              <w:ind w:left="320"/>
              <w:rPr>
                <w:rFonts w:hint="eastAsia" w:ascii="宋体" w:hAnsi="宋体" w:eastAsia="宋体" w:cs="宋体"/>
                <w:color w:val="auto"/>
                <w:sz w:val="21"/>
                <w:szCs w:val="21"/>
              </w:rPr>
            </w:pPr>
            <w:r>
              <w:rPr>
                <w:rFonts w:hint="eastAsia" w:ascii="宋体" w:hAnsi="宋体" w:eastAsia="宋体" w:cs="宋体"/>
                <w:color w:val="auto"/>
                <w:spacing w:val="3"/>
                <w:sz w:val="21"/>
                <w:szCs w:val="21"/>
              </w:rPr>
              <w:t>马尾松</w:t>
            </w:r>
          </w:p>
        </w:tc>
        <w:tc>
          <w:tcPr>
            <w:tcW w:w="1749" w:type="dxa"/>
            <w:vAlign w:val="top"/>
          </w:tcPr>
          <w:p w14:paraId="3FF4BDF5">
            <w:pPr>
              <w:spacing w:before="111" w:line="195" w:lineRule="auto"/>
              <w:ind w:left="636"/>
              <w:rPr>
                <w:rFonts w:hint="eastAsia" w:ascii="宋体" w:hAnsi="宋体" w:eastAsia="宋体" w:cs="宋体"/>
                <w:color w:val="auto"/>
                <w:sz w:val="21"/>
                <w:szCs w:val="21"/>
              </w:rPr>
            </w:pPr>
            <w:r>
              <w:rPr>
                <w:rFonts w:hint="eastAsia" w:ascii="宋体" w:hAnsi="宋体" w:eastAsia="宋体" w:cs="宋体"/>
                <w:color w:val="auto"/>
                <w:spacing w:val="2"/>
                <w:sz w:val="21"/>
                <w:szCs w:val="21"/>
              </w:rPr>
              <w:t>56.94</w:t>
            </w:r>
          </w:p>
        </w:tc>
        <w:tc>
          <w:tcPr>
            <w:tcW w:w="1996" w:type="dxa"/>
            <w:vAlign w:val="top"/>
          </w:tcPr>
          <w:p w14:paraId="13C604F6">
            <w:pPr>
              <w:spacing w:before="111" w:line="195" w:lineRule="auto"/>
              <w:ind w:left="778"/>
              <w:rPr>
                <w:rFonts w:hint="eastAsia" w:ascii="宋体" w:hAnsi="宋体" w:eastAsia="宋体" w:cs="宋体"/>
                <w:color w:val="auto"/>
                <w:sz w:val="21"/>
                <w:szCs w:val="21"/>
              </w:rPr>
            </w:pPr>
            <w:r>
              <w:rPr>
                <w:rFonts w:hint="eastAsia" w:ascii="宋体" w:hAnsi="宋体" w:eastAsia="宋体" w:cs="宋体"/>
                <w:color w:val="auto"/>
                <w:spacing w:val="-1"/>
                <w:sz w:val="21"/>
                <w:szCs w:val="21"/>
              </w:rPr>
              <w:t>13.86</w:t>
            </w:r>
          </w:p>
        </w:tc>
        <w:tc>
          <w:tcPr>
            <w:tcW w:w="1998" w:type="dxa"/>
            <w:vAlign w:val="top"/>
          </w:tcPr>
          <w:p w14:paraId="51012313">
            <w:pPr>
              <w:spacing w:before="111" w:line="195" w:lineRule="auto"/>
              <w:ind w:left="713"/>
              <w:rPr>
                <w:rFonts w:hint="eastAsia" w:ascii="宋体" w:hAnsi="宋体" w:eastAsia="宋体" w:cs="宋体"/>
                <w:color w:val="auto"/>
                <w:sz w:val="21"/>
                <w:szCs w:val="21"/>
              </w:rPr>
            </w:pPr>
            <w:r>
              <w:rPr>
                <w:rFonts w:hint="eastAsia" w:ascii="宋体" w:hAnsi="宋体" w:eastAsia="宋体" w:cs="宋体"/>
                <w:color w:val="auto"/>
                <w:spacing w:val="3"/>
                <w:sz w:val="21"/>
                <w:szCs w:val="21"/>
              </w:rPr>
              <w:t>386.54</w:t>
            </w:r>
          </w:p>
        </w:tc>
        <w:tc>
          <w:tcPr>
            <w:tcW w:w="2010" w:type="dxa"/>
            <w:vAlign w:val="top"/>
          </w:tcPr>
          <w:p w14:paraId="6D8111B3">
            <w:pPr>
              <w:spacing w:before="111" w:line="195" w:lineRule="auto"/>
              <w:ind w:left="769"/>
              <w:rPr>
                <w:rFonts w:hint="eastAsia" w:ascii="宋体" w:hAnsi="宋体" w:eastAsia="宋体" w:cs="宋体"/>
                <w:color w:val="auto"/>
                <w:sz w:val="21"/>
                <w:szCs w:val="21"/>
              </w:rPr>
            </w:pPr>
            <w:r>
              <w:rPr>
                <w:rFonts w:hint="eastAsia" w:ascii="宋体" w:hAnsi="宋体" w:eastAsia="宋体" w:cs="宋体"/>
                <w:color w:val="auto"/>
                <w:spacing w:val="3"/>
                <w:sz w:val="21"/>
                <w:szCs w:val="21"/>
              </w:rPr>
              <w:t>32.09</w:t>
            </w:r>
          </w:p>
        </w:tc>
      </w:tr>
      <w:tr w14:paraId="7CE7A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4" w:hRule="atLeast"/>
        </w:trPr>
        <w:tc>
          <w:tcPr>
            <w:tcW w:w="1255" w:type="dxa"/>
            <w:vAlign w:val="top"/>
          </w:tcPr>
          <w:p w14:paraId="6D16B5A9">
            <w:pPr>
              <w:spacing w:before="77" w:line="231" w:lineRule="auto"/>
              <w:ind w:left="318"/>
              <w:rPr>
                <w:rFonts w:hint="eastAsia" w:ascii="宋体" w:hAnsi="宋体" w:eastAsia="宋体" w:cs="宋体"/>
                <w:color w:val="auto"/>
                <w:sz w:val="21"/>
                <w:szCs w:val="21"/>
              </w:rPr>
            </w:pPr>
            <w:r>
              <w:rPr>
                <w:rFonts w:hint="eastAsia" w:ascii="宋体" w:hAnsi="宋体" w:eastAsia="宋体" w:cs="宋体"/>
                <w:color w:val="auto"/>
                <w:spacing w:val="4"/>
                <w:sz w:val="21"/>
                <w:szCs w:val="21"/>
              </w:rPr>
              <w:t>湿地松</w:t>
            </w:r>
          </w:p>
        </w:tc>
        <w:tc>
          <w:tcPr>
            <w:tcW w:w="1749" w:type="dxa"/>
            <w:vAlign w:val="top"/>
          </w:tcPr>
          <w:p w14:paraId="392FD957">
            <w:pPr>
              <w:spacing w:before="113" w:line="195" w:lineRule="auto"/>
              <w:ind w:left="682"/>
              <w:rPr>
                <w:rFonts w:hint="eastAsia" w:ascii="宋体" w:hAnsi="宋体" w:eastAsia="宋体" w:cs="宋体"/>
                <w:color w:val="auto"/>
                <w:sz w:val="21"/>
                <w:szCs w:val="21"/>
              </w:rPr>
            </w:pPr>
            <w:r>
              <w:rPr>
                <w:rFonts w:hint="eastAsia" w:ascii="宋体" w:hAnsi="宋体" w:eastAsia="宋体" w:cs="宋体"/>
                <w:color w:val="auto"/>
                <w:spacing w:val="3"/>
                <w:sz w:val="21"/>
                <w:szCs w:val="21"/>
              </w:rPr>
              <w:t>4.18</w:t>
            </w:r>
          </w:p>
        </w:tc>
        <w:tc>
          <w:tcPr>
            <w:tcW w:w="1996" w:type="dxa"/>
            <w:vAlign w:val="top"/>
          </w:tcPr>
          <w:p w14:paraId="7A1BF744">
            <w:pPr>
              <w:spacing w:before="113" w:line="195" w:lineRule="auto"/>
              <w:ind w:left="829"/>
              <w:rPr>
                <w:rFonts w:hint="eastAsia" w:ascii="宋体" w:hAnsi="宋体" w:eastAsia="宋体" w:cs="宋体"/>
                <w:color w:val="auto"/>
                <w:sz w:val="21"/>
                <w:szCs w:val="21"/>
              </w:rPr>
            </w:pPr>
            <w:r>
              <w:rPr>
                <w:rFonts w:hint="eastAsia" w:ascii="宋体" w:hAnsi="宋体" w:eastAsia="宋体" w:cs="宋体"/>
                <w:color w:val="auto"/>
                <w:spacing w:val="-2"/>
                <w:sz w:val="21"/>
                <w:szCs w:val="21"/>
              </w:rPr>
              <w:t>1.02</w:t>
            </w:r>
          </w:p>
        </w:tc>
        <w:tc>
          <w:tcPr>
            <w:tcW w:w="1998" w:type="dxa"/>
            <w:vAlign w:val="top"/>
          </w:tcPr>
          <w:p w14:paraId="5A9567CA">
            <w:pPr>
              <w:spacing w:before="113" w:line="195" w:lineRule="auto"/>
              <w:ind w:left="782"/>
              <w:rPr>
                <w:rFonts w:hint="eastAsia" w:ascii="宋体" w:hAnsi="宋体" w:eastAsia="宋体" w:cs="宋体"/>
                <w:color w:val="auto"/>
                <w:sz w:val="21"/>
                <w:szCs w:val="21"/>
              </w:rPr>
            </w:pPr>
            <w:r>
              <w:rPr>
                <w:rFonts w:hint="eastAsia" w:ascii="宋体" w:hAnsi="宋体" w:eastAsia="宋体" w:cs="宋体"/>
                <w:color w:val="auto"/>
                <w:spacing w:val="-1"/>
                <w:sz w:val="21"/>
                <w:szCs w:val="21"/>
              </w:rPr>
              <w:t>15.42</w:t>
            </w:r>
          </w:p>
        </w:tc>
        <w:tc>
          <w:tcPr>
            <w:tcW w:w="2010" w:type="dxa"/>
            <w:vAlign w:val="top"/>
          </w:tcPr>
          <w:p w14:paraId="42FD10FD">
            <w:pPr>
              <w:spacing w:before="113" w:line="195" w:lineRule="auto"/>
              <w:ind w:left="838"/>
              <w:rPr>
                <w:rFonts w:hint="eastAsia" w:ascii="宋体" w:hAnsi="宋体" w:eastAsia="宋体" w:cs="宋体"/>
                <w:color w:val="auto"/>
                <w:sz w:val="21"/>
                <w:szCs w:val="21"/>
              </w:rPr>
            </w:pPr>
            <w:r>
              <w:rPr>
                <w:rFonts w:hint="eastAsia" w:ascii="宋体" w:hAnsi="宋体" w:eastAsia="宋体" w:cs="宋体"/>
                <w:color w:val="auto"/>
                <w:spacing w:val="-2"/>
                <w:sz w:val="21"/>
                <w:szCs w:val="21"/>
              </w:rPr>
              <w:t>1.28</w:t>
            </w:r>
          </w:p>
        </w:tc>
      </w:tr>
      <w:tr w14:paraId="567AF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1255" w:type="dxa"/>
            <w:vAlign w:val="top"/>
          </w:tcPr>
          <w:p w14:paraId="444C059F">
            <w:pPr>
              <w:spacing w:before="77" w:line="230" w:lineRule="auto"/>
              <w:ind w:left="421"/>
              <w:rPr>
                <w:rFonts w:hint="eastAsia" w:ascii="宋体" w:hAnsi="宋体" w:eastAsia="宋体" w:cs="宋体"/>
                <w:color w:val="auto"/>
                <w:sz w:val="21"/>
                <w:szCs w:val="21"/>
              </w:rPr>
            </w:pPr>
            <w:r>
              <w:rPr>
                <w:rFonts w:hint="eastAsia" w:ascii="宋体" w:hAnsi="宋体" w:eastAsia="宋体" w:cs="宋体"/>
                <w:color w:val="auto"/>
                <w:spacing w:val="2"/>
                <w:sz w:val="21"/>
                <w:szCs w:val="21"/>
              </w:rPr>
              <w:t>杉木</w:t>
            </w:r>
          </w:p>
        </w:tc>
        <w:tc>
          <w:tcPr>
            <w:tcW w:w="1749" w:type="dxa"/>
            <w:vAlign w:val="top"/>
          </w:tcPr>
          <w:p w14:paraId="61671873">
            <w:pPr>
              <w:spacing w:before="113" w:line="195" w:lineRule="auto"/>
              <w:ind w:left="598"/>
              <w:rPr>
                <w:rFonts w:hint="eastAsia" w:ascii="宋体" w:hAnsi="宋体" w:eastAsia="宋体" w:cs="宋体"/>
                <w:color w:val="auto"/>
                <w:sz w:val="21"/>
                <w:szCs w:val="21"/>
              </w:rPr>
            </w:pPr>
            <w:r>
              <w:rPr>
                <w:rFonts w:hint="eastAsia" w:ascii="宋体" w:hAnsi="宋体" w:eastAsia="宋体" w:cs="宋体"/>
                <w:color w:val="auto"/>
                <w:sz w:val="21"/>
                <w:szCs w:val="21"/>
              </w:rPr>
              <w:t>159.71</w:t>
            </w:r>
          </w:p>
        </w:tc>
        <w:tc>
          <w:tcPr>
            <w:tcW w:w="1996" w:type="dxa"/>
            <w:vAlign w:val="top"/>
          </w:tcPr>
          <w:p w14:paraId="56B3E5E5">
            <w:pPr>
              <w:spacing w:before="113" w:line="195" w:lineRule="auto"/>
              <w:ind w:left="762"/>
              <w:rPr>
                <w:rFonts w:hint="eastAsia" w:ascii="宋体" w:hAnsi="宋体" w:eastAsia="宋体" w:cs="宋体"/>
                <w:color w:val="auto"/>
                <w:sz w:val="21"/>
                <w:szCs w:val="21"/>
              </w:rPr>
            </w:pPr>
            <w:r>
              <w:rPr>
                <w:rFonts w:hint="eastAsia" w:ascii="宋体" w:hAnsi="宋体" w:eastAsia="宋体" w:cs="宋体"/>
                <w:color w:val="auto"/>
                <w:spacing w:val="2"/>
                <w:sz w:val="21"/>
                <w:szCs w:val="21"/>
              </w:rPr>
              <w:t>38.87</w:t>
            </w:r>
          </w:p>
        </w:tc>
        <w:tc>
          <w:tcPr>
            <w:tcW w:w="1998" w:type="dxa"/>
            <w:vAlign w:val="top"/>
          </w:tcPr>
          <w:p w14:paraId="3BAFCBC3">
            <w:pPr>
              <w:spacing w:before="113" w:line="195" w:lineRule="auto"/>
              <w:ind w:left="708"/>
              <w:rPr>
                <w:rFonts w:hint="eastAsia" w:ascii="宋体" w:hAnsi="宋体" w:eastAsia="宋体" w:cs="宋体"/>
                <w:color w:val="auto"/>
                <w:sz w:val="21"/>
                <w:szCs w:val="21"/>
              </w:rPr>
            </w:pPr>
            <w:r>
              <w:rPr>
                <w:rFonts w:hint="eastAsia" w:ascii="宋体" w:hAnsi="宋体" w:eastAsia="宋体" w:cs="宋体"/>
                <w:color w:val="auto"/>
                <w:spacing w:val="3"/>
                <w:sz w:val="21"/>
                <w:szCs w:val="21"/>
              </w:rPr>
              <w:t>462.71</w:t>
            </w:r>
          </w:p>
        </w:tc>
        <w:tc>
          <w:tcPr>
            <w:tcW w:w="2010" w:type="dxa"/>
            <w:vAlign w:val="top"/>
          </w:tcPr>
          <w:p w14:paraId="7EEEF3EB">
            <w:pPr>
              <w:spacing w:before="113" w:line="195" w:lineRule="auto"/>
              <w:ind w:left="769"/>
              <w:rPr>
                <w:rFonts w:hint="eastAsia" w:ascii="宋体" w:hAnsi="宋体" w:eastAsia="宋体" w:cs="宋体"/>
                <w:color w:val="auto"/>
                <w:sz w:val="21"/>
                <w:szCs w:val="21"/>
              </w:rPr>
            </w:pPr>
            <w:r>
              <w:rPr>
                <w:rFonts w:hint="eastAsia" w:ascii="宋体" w:hAnsi="宋体" w:eastAsia="宋体" w:cs="宋体"/>
                <w:color w:val="auto"/>
                <w:spacing w:val="3"/>
                <w:sz w:val="21"/>
                <w:szCs w:val="21"/>
              </w:rPr>
              <w:t>38.41</w:t>
            </w:r>
          </w:p>
        </w:tc>
      </w:tr>
      <w:tr w14:paraId="1E4AD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1255" w:type="dxa"/>
            <w:vAlign w:val="top"/>
          </w:tcPr>
          <w:p w14:paraId="727580FF">
            <w:pPr>
              <w:spacing w:before="77" w:line="232" w:lineRule="auto"/>
              <w:ind w:left="315"/>
              <w:rPr>
                <w:rFonts w:hint="eastAsia" w:ascii="宋体" w:hAnsi="宋体" w:eastAsia="宋体" w:cs="宋体"/>
                <w:color w:val="auto"/>
                <w:sz w:val="21"/>
                <w:szCs w:val="21"/>
              </w:rPr>
            </w:pPr>
            <w:r>
              <w:rPr>
                <w:rFonts w:hint="eastAsia" w:ascii="宋体" w:hAnsi="宋体" w:eastAsia="宋体" w:cs="宋体"/>
                <w:color w:val="auto"/>
                <w:spacing w:val="5"/>
                <w:sz w:val="21"/>
                <w:szCs w:val="21"/>
              </w:rPr>
              <w:t>速生桉</w:t>
            </w:r>
          </w:p>
        </w:tc>
        <w:tc>
          <w:tcPr>
            <w:tcW w:w="1749" w:type="dxa"/>
            <w:vAlign w:val="top"/>
          </w:tcPr>
          <w:p w14:paraId="05ED2F08">
            <w:pPr>
              <w:spacing w:before="115" w:line="195" w:lineRule="auto"/>
              <w:ind w:left="703"/>
              <w:rPr>
                <w:rFonts w:hint="eastAsia" w:ascii="宋体" w:hAnsi="宋体" w:eastAsia="宋体" w:cs="宋体"/>
                <w:color w:val="auto"/>
                <w:sz w:val="21"/>
                <w:szCs w:val="21"/>
              </w:rPr>
            </w:pPr>
            <w:r>
              <w:rPr>
                <w:rFonts w:hint="eastAsia" w:ascii="宋体" w:hAnsi="宋体" w:eastAsia="宋体" w:cs="宋体"/>
                <w:color w:val="auto"/>
                <w:spacing w:val="-2"/>
                <w:sz w:val="21"/>
                <w:szCs w:val="21"/>
              </w:rPr>
              <w:t>1.09</w:t>
            </w:r>
          </w:p>
        </w:tc>
        <w:tc>
          <w:tcPr>
            <w:tcW w:w="1996" w:type="dxa"/>
            <w:vAlign w:val="top"/>
          </w:tcPr>
          <w:p w14:paraId="29B845FC">
            <w:pPr>
              <w:spacing w:before="115" w:line="195" w:lineRule="auto"/>
              <w:ind w:left="812"/>
              <w:rPr>
                <w:rFonts w:hint="eastAsia" w:ascii="宋体" w:hAnsi="宋体" w:eastAsia="宋体" w:cs="宋体"/>
                <w:color w:val="auto"/>
                <w:sz w:val="21"/>
                <w:szCs w:val="21"/>
              </w:rPr>
            </w:pPr>
            <w:r>
              <w:rPr>
                <w:rFonts w:hint="eastAsia" w:ascii="宋体" w:hAnsi="宋体" w:eastAsia="宋体" w:cs="宋体"/>
                <w:color w:val="auto"/>
                <w:spacing w:val="2"/>
                <w:sz w:val="21"/>
                <w:szCs w:val="21"/>
              </w:rPr>
              <w:t>0.27</w:t>
            </w:r>
          </w:p>
        </w:tc>
        <w:tc>
          <w:tcPr>
            <w:tcW w:w="1998" w:type="dxa"/>
            <w:vAlign w:val="top"/>
          </w:tcPr>
          <w:p w14:paraId="21140A4E">
            <w:pPr>
              <w:spacing w:before="115" w:line="195" w:lineRule="auto"/>
              <w:ind w:left="782"/>
              <w:rPr>
                <w:rFonts w:hint="eastAsia" w:ascii="宋体" w:hAnsi="宋体" w:eastAsia="宋体" w:cs="宋体"/>
                <w:color w:val="auto"/>
                <w:sz w:val="21"/>
                <w:szCs w:val="21"/>
              </w:rPr>
            </w:pPr>
            <w:r>
              <w:rPr>
                <w:rFonts w:hint="eastAsia" w:ascii="宋体" w:hAnsi="宋体" w:eastAsia="宋体" w:cs="宋体"/>
                <w:color w:val="auto"/>
                <w:spacing w:val="-1"/>
                <w:sz w:val="21"/>
                <w:szCs w:val="21"/>
              </w:rPr>
              <w:t>18.85</w:t>
            </w:r>
          </w:p>
        </w:tc>
        <w:tc>
          <w:tcPr>
            <w:tcW w:w="2010" w:type="dxa"/>
            <w:vAlign w:val="top"/>
          </w:tcPr>
          <w:p w14:paraId="3B22C27D">
            <w:pPr>
              <w:spacing w:before="115" w:line="195" w:lineRule="auto"/>
              <w:ind w:left="838"/>
              <w:rPr>
                <w:rFonts w:hint="eastAsia" w:ascii="宋体" w:hAnsi="宋体" w:eastAsia="宋体" w:cs="宋体"/>
                <w:color w:val="auto"/>
                <w:sz w:val="21"/>
                <w:szCs w:val="21"/>
              </w:rPr>
            </w:pPr>
            <w:r>
              <w:rPr>
                <w:rFonts w:hint="eastAsia" w:ascii="宋体" w:hAnsi="宋体" w:eastAsia="宋体" w:cs="宋体"/>
                <w:color w:val="auto"/>
                <w:spacing w:val="-2"/>
                <w:sz w:val="21"/>
                <w:szCs w:val="21"/>
              </w:rPr>
              <w:t>1.56</w:t>
            </w:r>
          </w:p>
        </w:tc>
      </w:tr>
      <w:tr w14:paraId="3B7F1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4" w:hRule="atLeast"/>
        </w:trPr>
        <w:tc>
          <w:tcPr>
            <w:tcW w:w="1255" w:type="dxa"/>
            <w:vAlign w:val="top"/>
          </w:tcPr>
          <w:p w14:paraId="08B38759">
            <w:pPr>
              <w:spacing w:before="81" w:line="230" w:lineRule="auto"/>
              <w:ind w:left="319"/>
              <w:rPr>
                <w:rFonts w:hint="eastAsia" w:ascii="宋体" w:hAnsi="宋体" w:eastAsia="宋体" w:cs="宋体"/>
                <w:color w:val="auto"/>
                <w:sz w:val="21"/>
                <w:szCs w:val="21"/>
              </w:rPr>
            </w:pPr>
            <w:r>
              <w:rPr>
                <w:rFonts w:hint="eastAsia" w:ascii="宋体" w:hAnsi="宋体" w:eastAsia="宋体" w:cs="宋体"/>
                <w:color w:val="auto"/>
                <w:spacing w:val="3"/>
                <w:sz w:val="21"/>
                <w:szCs w:val="21"/>
              </w:rPr>
              <w:t>一般阔</w:t>
            </w:r>
          </w:p>
        </w:tc>
        <w:tc>
          <w:tcPr>
            <w:tcW w:w="1749" w:type="dxa"/>
            <w:vAlign w:val="top"/>
          </w:tcPr>
          <w:p w14:paraId="625E566D">
            <w:pPr>
              <w:spacing w:before="117" w:line="195" w:lineRule="auto"/>
              <w:ind w:left="629"/>
              <w:rPr>
                <w:rFonts w:hint="eastAsia" w:ascii="宋体" w:hAnsi="宋体" w:eastAsia="宋体" w:cs="宋体"/>
                <w:color w:val="auto"/>
                <w:sz w:val="21"/>
                <w:szCs w:val="21"/>
              </w:rPr>
            </w:pPr>
            <w:r>
              <w:rPr>
                <w:rFonts w:hint="eastAsia" w:ascii="宋体" w:hAnsi="宋体" w:eastAsia="宋体" w:cs="宋体"/>
                <w:color w:val="auto"/>
                <w:spacing w:val="4"/>
                <w:sz w:val="21"/>
                <w:szCs w:val="21"/>
              </w:rPr>
              <w:t>48.25</w:t>
            </w:r>
          </w:p>
        </w:tc>
        <w:tc>
          <w:tcPr>
            <w:tcW w:w="1996" w:type="dxa"/>
            <w:vAlign w:val="top"/>
          </w:tcPr>
          <w:p w14:paraId="6B3ED763">
            <w:pPr>
              <w:spacing w:before="117" w:line="195" w:lineRule="auto"/>
              <w:ind w:left="778"/>
              <w:rPr>
                <w:rFonts w:hint="eastAsia" w:ascii="宋体" w:hAnsi="宋体" w:eastAsia="宋体" w:cs="宋体"/>
                <w:color w:val="auto"/>
                <w:sz w:val="21"/>
                <w:szCs w:val="21"/>
              </w:rPr>
            </w:pPr>
            <w:r>
              <w:rPr>
                <w:rFonts w:hint="eastAsia" w:ascii="宋体" w:hAnsi="宋体" w:eastAsia="宋体" w:cs="宋体"/>
                <w:color w:val="auto"/>
                <w:spacing w:val="-1"/>
                <w:sz w:val="21"/>
                <w:szCs w:val="21"/>
              </w:rPr>
              <w:t>11.74</w:t>
            </w:r>
          </w:p>
        </w:tc>
        <w:tc>
          <w:tcPr>
            <w:tcW w:w="1998" w:type="dxa"/>
            <w:vAlign w:val="top"/>
          </w:tcPr>
          <w:p w14:paraId="04242711">
            <w:pPr>
              <w:spacing w:before="117" w:line="195" w:lineRule="auto"/>
              <w:ind w:left="713"/>
              <w:rPr>
                <w:rFonts w:hint="eastAsia" w:ascii="宋体" w:hAnsi="宋体" w:eastAsia="宋体" w:cs="宋体"/>
                <w:color w:val="auto"/>
                <w:sz w:val="21"/>
                <w:szCs w:val="21"/>
              </w:rPr>
            </w:pPr>
            <w:r>
              <w:rPr>
                <w:rFonts w:hint="eastAsia" w:ascii="宋体" w:hAnsi="宋体" w:eastAsia="宋体" w:cs="宋体"/>
                <w:color w:val="auto"/>
                <w:spacing w:val="3"/>
                <w:sz w:val="21"/>
                <w:szCs w:val="21"/>
              </w:rPr>
              <w:t>312.17</w:t>
            </w:r>
          </w:p>
        </w:tc>
        <w:tc>
          <w:tcPr>
            <w:tcW w:w="2010" w:type="dxa"/>
            <w:vAlign w:val="top"/>
          </w:tcPr>
          <w:p w14:paraId="7CE687AB">
            <w:pPr>
              <w:spacing w:before="117" w:line="195" w:lineRule="auto"/>
              <w:ind w:left="765"/>
              <w:rPr>
                <w:rFonts w:hint="eastAsia" w:ascii="宋体" w:hAnsi="宋体" w:eastAsia="宋体" w:cs="宋体"/>
                <w:color w:val="auto"/>
                <w:sz w:val="21"/>
                <w:szCs w:val="21"/>
              </w:rPr>
            </w:pPr>
            <w:r>
              <w:rPr>
                <w:rFonts w:hint="eastAsia" w:ascii="宋体" w:hAnsi="宋体" w:eastAsia="宋体" w:cs="宋体"/>
                <w:color w:val="auto"/>
                <w:spacing w:val="3"/>
                <w:sz w:val="21"/>
                <w:szCs w:val="21"/>
              </w:rPr>
              <w:t>25.91</w:t>
            </w:r>
          </w:p>
        </w:tc>
      </w:tr>
      <w:tr w14:paraId="7BA56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1255" w:type="dxa"/>
            <w:vAlign w:val="top"/>
          </w:tcPr>
          <w:p w14:paraId="3C42E38B">
            <w:pPr>
              <w:spacing w:before="80" w:line="232" w:lineRule="auto"/>
              <w:ind w:left="423"/>
              <w:rPr>
                <w:rFonts w:hint="eastAsia" w:ascii="宋体" w:hAnsi="宋体" w:eastAsia="宋体" w:cs="宋体"/>
                <w:color w:val="auto"/>
                <w:sz w:val="21"/>
                <w:szCs w:val="21"/>
              </w:rPr>
            </w:pPr>
            <w:r>
              <w:rPr>
                <w:rFonts w:hint="eastAsia" w:ascii="宋体" w:hAnsi="宋体" w:eastAsia="宋体" w:cs="宋体"/>
                <w:color w:val="auto"/>
                <w:spacing w:val="1"/>
                <w:sz w:val="21"/>
                <w:szCs w:val="21"/>
              </w:rPr>
              <w:t>竹子</w:t>
            </w:r>
          </w:p>
        </w:tc>
        <w:tc>
          <w:tcPr>
            <w:tcW w:w="1749" w:type="dxa"/>
            <w:vAlign w:val="top"/>
          </w:tcPr>
          <w:p w14:paraId="1A2C7070">
            <w:pPr>
              <w:spacing w:before="117" w:line="195" w:lineRule="auto"/>
              <w:ind w:left="651"/>
              <w:rPr>
                <w:rFonts w:hint="eastAsia" w:ascii="宋体" w:hAnsi="宋体" w:eastAsia="宋体" w:cs="宋体"/>
                <w:color w:val="auto"/>
                <w:sz w:val="21"/>
                <w:szCs w:val="21"/>
              </w:rPr>
            </w:pPr>
            <w:r>
              <w:rPr>
                <w:rFonts w:hint="eastAsia" w:ascii="宋体" w:hAnsi="宋体" w:eastAsia="宋体" w:cs="宋体"/>
                <w:color w:val="auto"/>
                <w:spacing w:val="-1"/>
                <w:sz w:val="21"/>
                <w:szCs w:val="21"/>
              </w:rPr>
              <w:t>12.73</w:t>
            </w:r>
          </w:p>
        </w:tc>
        <w:tc>
          <w:tcPr>
            <w:tcW w:w="1996" w:type="dxa"/>
            <w:vAlign w:val="top"/>
          </w:tcPr>
          <w:p w14:paraId="49B49938">
            <w:pPr>
              <w:spacing w:before="117" w:line="195" w:lineRule="auto"/>
              <w:ind w:left="813"/>
              <w:rPr>
                <w:rFonts w:hint="eastAsia" w:ascii="宋体" w:hAnsi="宋体" w:eastAsia="宋体" w:cs="宋体"/>
                <w:color w:val="auto"/>
                <w:sz w:val="21"/>
                <w:szCs w:val="21"/>
              </w:rPr>
            </w:pPr>
            <w:r>
              <w:rPr>
                <w:rFonts w:hint="eastAsia" w:ascii="宋体" w:hAnsi="宋体" w:eastAsia="宋体" w:cs="宋体"/>
                <w:color w:val="auto"/>
                <w:spacing w:val="2"/>
                <w:sz w:val="21"/>
                <w:szCs w:val="21"/>
              </w:rPr>
              <w:t>3.10</w:t>
            </w:r>
          </w:p>
        </w:tc>
        <w:tc>
          <w:tcPr>
            <w:tcW w:w="1998" w:type="dxa"/>
            <w:vAlign w:val="top"/>
          </w:tcPr>
          <w:p w14:paraId="57EF78EE">
            <w:pPr>
              <w:pStyle w:val="33"/>
              <w:tabs>
                <w:tab w:val="left" w:pos="1100"/>
              </w:tabs>
              <w:spacing w:before="13"/>
              <w:ind w:left="887"/>
              <w:rPr>
                <w:rFonts w:hint="eastAsia" w:ascii="宋体" w:hAnsi="宋体" w:eastAsia="宋体" w:cs="宋体"/>
                <w:color w:val="auto"/>
                <w:sz w:val="21"/>
                <w:szCs w:val="21"/>
              </w:rPr>
            </w:pPr>
            <w:r>
              <w:rPr>
                <w:rFonts w:hint="eastAsia" w:ascii="宋体" w:hAnsi="宋体" w:eastAsia="宋体" w:cs="宋体"/>
                <w:color w:val="auto"/>
                <w:sz w:val="21"/>
                <w:szCs w:val="21"/>
                <w:u w:val="single" w:color="auto"/>
              </w:rPr>
              <w:tab/>
            </w:r>
          </w:p>
        </w:tc>
        <w:tc>
          <w:tcPr>
            <w:tcW w:w="2010" w:type="dxa"/>
            <w:vAlign w:val="top"/>
          </w:tcPr>
          <w:p w14:paraId="23A8873E">
            <w:pPr>
              <w:pStyle w:val="33"/>
              <w:tabs>
                <w:tab w:val="left" w:pos="1104"/>
              </w:tabs>
              <w:spacing w:before="13"/>
              <w:ind w:left="891"/>
              <w:rPr>
                <w:rFonts w:hint="eastAsia" w:ascii="宋体" w:hAnsi="宋体" w:eastAsia="宋体" w:cs="宋体"/>
                <w:color w:val="auto"/>
                <w:sz w:val="21"/>
                <w:szCs w:val="21"/>
              </w:rPr>
            </w:pPr>
            <w:r>
              <w:rPr>
                <w:rFonts w:hint="eastAsia" w:ascii="宋体" w:hAnsi="宋体" w:eastAsia="宋体" w:cs="宋体"/>
                <w:color w:val="auto"/>
                <w:sz w:val="21"/>
                <w:szCs w:val="21"/>
                <w:u w:val="single" w:color="auto"/>
              </w:rPr>
              <w:tab/>
            </w:r>
          </w:p>
        </w:tc>
      </w:tr>
      <w:tr w14:paraId="5EAA8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1255" w:type="dxa"/>
            <w:vAlign w:val="top"/>
          </w:tcPr>
          <w:p w14:paraId="2ACC36ED">
            <w:pPr>
              <w:spacing w:before="82" w:line="229" w:lineRule="auto"/>
              <w:ind w:left="212"/>
              <w:rPr>
                <w:rFonts w:hint="eastAsia" w:ascii="宋体" w:hAnsi="宋体" w:eastAsia="宋体" w:cs="宋体"/>
                <w:color w:val="auto"/>
                <w:sz w:val="21"/>
                <w:szCs w:val="21"/>
              </w:rPr>
            </w:pPr>
            <w:r>
              <w:rPr>
                <w:rFonts w:hint="eastAsia" w:ascii="宋体" w:hAnsi="宋体" w:eastAsia="宋体" w:cs="宋体"/>
                <w:color w:val="auto"/>
                <w:spacing w:val="5"/>
                <w:sz w:val="21"/>
                <w:szCs w:val="21"/>
              </w:rPr>
              <w:t>经济乔木</w:t>
            </w:r>
          </w:p>
        </w:tc>
        <w:tc>
          <w:tcPr>
            <w:tcW w:w="1749" w:type="dxa"/>
            <w:vAlign w:val="top"/>
          </w:tcPr>
          <w:p w14:paraId="60470830">
            <w:pPr>
              <w:spacing w:before="119" w:line="195" w:lineRule="auto"/>
              <w:ind w:left="651"/>
              <w:rPr>
                <w:rFonts w:hint="eastAsia" w:ascii="宋体" w:hAnsi="宋体" w:eastAsia="宋体" w:cs="宋体"/>
                <w:color w:val="auto"/>
                <w:sz w:val="21"/>
                <w:szCs w:val="21"/>
              </w:rPr>
            </w:pPr>
            <w:r>
              <w:rPr>
                <w:rFonts w:hint="eastAsia" w:ascii="宋体" w:hAnsi="宋体" w:eastAsia="宋体" w:cs="宋体"/>
                <w:color w:val="auto"/>
                <w:spacing w:val="-1"/>
                <w:sz w:val="21"/>
                <w:szCs w:val="21"/>
              </w:rPr>
              <w:t>13.96</w:t>
            </w:r>
          </w:p>
        </w:tc>
        <w:tc>
          <w:tcPr>
            <w:tcW w:w="1996" w:type="dxa"/>
            <w:vAlign w:val="top"/>
          </w:tcPr>
          <w:p w14:paraId="3F0D9909">
            <w:pPr>
              <w:spacing w:before="119" w:line="195" w:lineRule="auto"/>
              <w:ind w:left="813"/>
              <w:rPr>
                <w:rFonts w:hint="eastAsia" w:ascii="宋体" w:hAnsi="宋体" w:eastAsia="宋体" w:cs="宋体"/>
                <w:color w:val="auto"/>
                <w:sz w:val="21"/>
                <w:szCs w:val="21"/>
              </w:rPr>
            </w:pPr>
            <w:r>
              <w:rPr>
                <w:rFonts w:hint="eastAsia" w:ascii="宋体" w:hAnsi="宋体" w:eastAsia="宋体" w:cs="宋体"/>
                <w:color w:val="auto"/>
                <w:spacing w:val="2"/>
                <w:sz w:val="21"/>
                <w:szCs w:val="21"/>
              </w:rPr>
              <w:t>3.40</w:t>
            </w:r>
          </w:p>
        </w:tc>
        <w:tc>
          <w:tcPr>
            <w:tcW w:w="1998" w:type="dxa"/>
            <w:vAlign w:val="top"/>
          </w:tcPr>
          <w:p w14:paraId="20307E34">
            <w:pPr>
              <w:spacing w:before="119" w:line="195" w:lineRule="auto"/>
              <w:ind w:left="823"/>
              <w:rPr>
                <w:rFonts w:hint="eastAsia" w:ascii="宋体" w:hAnsi="宋体" w:eastAsia="宋体" w:cs="宋体"/>
                <w:color w:val="auto"/>
                <w:sz w:val="21"/>
                <w:szCs w:val="21"/>
              </w:rPr>
            </w:pPr>
            <w:r>
              <w:rPr>
                <w:rFonts w:hint="eastAsia" w:ascii="宋体" w:hAnsi="宋体" w:eastAsia="宋体" w:cs="宋体"/>
                <w:color w:val="auto"/>
                <w:spacing w:val="1"/>
                <w:sz w:val="21"/>
                <w:szCs w:val="21"/>
              </w:rPr>
              <w:t>8.98</w:t>
            </w:r>
          </w:p>
        </w:tc>
        <w:tc>
          <w:tcPr>
            <w:tcW w:w="2010" w:type="dxa"/>
            <w:vAlign w:val="top"/>
          </w:tcPr>
          <w:p w14:paraId="5EEDA826">
            <w:pPr>
              <w:spacing w:before="119" w:line="195" w:lineRule="auto"/>
              <w:ind w:left="821"/>
              <w:rPr>
                <w:rFonts w:hint="eastAsia" w:ascii="宋体" w:hAnsi="宋体" w:eastAsia="宋体" w:cs="宋体"/>
                <w:color w:val="auto"/>
                <w:sz w:val="21"/>
                <w:szCs w:val="21"/>
              </w:rPr>
            </w:pPr>
            <w:r>
              <w:rPr>
                <w:rFonts w:hint="eastAsia" w:ascii="宋体" w:hAnsi="宋体" w:eastAsia="宋体" w:cs="宋体"/>
                <w:color w:val="auto"/>
                <w:spacing w:val="2"/>
                <w:sz w:val="21"/>
                <w:szCs w:val="21"/>
              </w:rPr>
              <w:t>0.75</w:t>
            </w:r>
          </w:p>
        </w:tc>
      </w:tr>
      <w:tr w14:paraId="70B6C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4" w:hRule="atLeast"/>
        </w:trPr>
        <w:tc>
          <w:tcPr>
            <w:tcW w:w="1255" w:type="dxa"/>
            <w:vAlign w:val="top"/>
          </w:tcPr>
          <w:p w14:paraId="40FA5134">
            <w:pPr>
              <w:spacing w:before="84" w:line="229" w:lineRule="auto"/>
              <w:ind w:left="212"/>
              <w:rPr>
                <w:rFonts w:hint="eastAsia" w:ascii="宋体" w:hAnsi="宋体" w:eastAsia="宋体" w:cs="宋体"/>
                <w:color w:val="auto"/>
                <w:sz w:val="21"/>
                <w:szCs w:val="21"/>
              </w:rPr>
            </w:pPr>
            <w:r>
              <w:rPr>
                <w:rFonts w:hint="eastAsia" w:ascii="宋体" w:hAnsi="宋体" w:eastAsia="宋体" w:cs="宋体"/>
                <w:color w:val="auto"/>
                <w:spacing w:val="5"/>
                <w:sz w:val="21"/>
                <w:szCs w:val="21"/>
              </w:rPr>
              <w:t>经济灌木</w:t>
            </w:r>
          </w:p>
        </w:tc>
        <w:tc>
          <w:tcPr>
            <w:tcW w:w="1749" w:type="dxa"/>
            <w:vAlign w:val="top"/>
          </w:tcPr>
          <w:p w14:paraId="4EE124C7">
            <w:pPr>
              <w:spacing w:before="120" w:line="195" w:lineRule="auto"/>
              <w:ind w:left="630"/>
              <w:rPr>
                <w:rFonts w:hint="eastAsia" w:ascii="宋体" w:hAnsi="宋体" w:eastAsia="宋体" w:cs="宋体"/>
                <w:color w:val="auto"/>
                <w:sz w:val="21"/>
                <w:szCs w:val="21"/>
              </w:rPr>
            </w:pPr>
            <w:r>
              <w:rPr>
                <w:rFonts w:hint="eastAsia" w:ascii="宋体" w:hAnsi="宋体" w:eastAsia="宋体" w:cs="宋体"/>
                <w:color w:val="auto"/>
                <w:spacing w:val="3"/>
                <w:sz w:val="21"/>
                <w:szCs w:val="21"/>
              </w:rPr>
              <w:t>22.21</w:t>
            </w:r>
          </w:p>
        </w:tc>
        <w:tc>
          <w:tcPr>
            <w:tcW w:w="1996" w:type="dxa"/>
            <w:vAlign w:val="top"/>
          </w:tcPr>
          <w:p w14:paraId="349A1C92">
            <w:pPr>
              <w:spacing w:before="120" w:line="195" w:lineRule="auto"/>
              <w:ind w:left="814"/>
              <w:rPr>
                <w:rFonts w:hint="eastAsia" w:ascii="宋体" w:hAnsi="宋体" w:eastAsia="宋体" w:cs="宋体"/>
                <w:color w:val="auto"/>
                <w:sz w:val="21"/>
                <w:szCs w:val="21"/>
              </w:rPr>
            </w:pPr>
            <w:r>
              <w:rPr>
                <w:rFonts w:hint="eastAsia" w:ascii="宋体" w:hAnsi="宋体" w:eastAsia="宋体" w:cs="宋体"/>
                <w:color w:val="auto"/>
                <w:spacing w:val="2"/>
                <w:sz w:val="21"/>
                <w:szCs w:val="21"/>
              </w:rPr>
              <w:t>5.41</w:t>
            </w:r>
          </w:p>
        </w:tc>
        <w:tc>
          <w:tcPr>
            <w:tcW w:w="1998" w:type="dxa"/>
            <w:vAlign w:val="top"/>
          </w:tcPr>
          <w:p w14:paraId="07145C2D">
            <w:pPr>
              <w:pStyle w:val="33"/>
              <w:tabs>
                <w:tab w:val="left" w:pos="1100"/>
              </w:tabs>
              <w:spacing w:before="16"/>
              <w:ind w:left="887"/>
              <w:rPr>
                <w:rFonts w:hint="eastAsia" w:ascii="宋体" w:hAnsi="宋体" w:eastAsia="宋体" w:cs="宋体"/>
                <w:color w:val="auto"/>
                <w:sz w:val="21"/>
                <w:szCs w:val="21"/>
              </w:rPr>
            </w:pPr>
            <w:r>
              <w:rPr>
                <w:rFonts w:hint="eastAsia" w:ascii="宋体" w:hAnsi="宋体" w:eastAsia="宋体" w:cs="宋体"/>
                <w:color w:val="auto"/>
                <w:sz w:val="21"/>
                <w:szCs w:val="21"/>
                <w:u w:val="single" w:color="auto"/>
              </w:rPr>
              <w:tab/>
            </w:r>
          </w:p>
        </w:tc>
        <w:tc>
          <w:tcPr>
            <w:tcW w:w="2010" w:type="dxa"/>
            <w:vAlign w:val="top"/>
          </w:tcPr>
          <w:p w14:paraId="42D18F47">
            <w:pPr>
              <w:pStyle w:val="33"/>
              <w:tabs>
                <w:tab w:val="left" w:pos="1104"/>
              </w:tabs>
              <w:spacing w:before="16"/>
              <w:ind w:left="891"/>
              <w:rPr>
                <w:rFonts w:hint="eastAsia" w:ascii="宋体" w:hAnsi="宋体" w:eastAsia="宋体" w:cs="宋体"/>
                <w:color w:val="auto"/>
                <w:sz w:val="21"/>
                <w:szCs w:val="21"/>
              </w:rPr>
            </w:pPr>
            <w:r>
              <w:rPr>
                <w:rFonts w:hint="eastAsia" w:ascii="宋体" w:hAnsi="宋体" w:eastAsia="宋体" w:cs="宋体"/>
                <w:color w:val="auto"/>
                <w:sz w:val="21"/>
                <w:szCs w:val="21"/>
                <w:u w:val="single" w:color="auto"/>
              </w:rPr>
              <w:tab/>
            </w:r>
          </w:p>
        </w:tc>
      </w:tr>
      <w:tr w14:paraId="67122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255" w:type="dxa"/>
            <w:vAlign w:val="top"/>
          </w:tcPr>
          <w:p w14:paraId="66A998A7">
            <w:pPr>
              <w:spacing w:before="84" w:line="230" w:lineRule="auto"/>
              <w:ind w:left="216"/>
              <w:rPr>
                <w:rFonts w:hint="eastAsia" w:ascii="宋体" w:hAnsi="宋体" w:eastAsia="宋体" w:cs="宋体"/>
                <w:color w:val="auto"/>
                <w:sz w:val="21"/>
                <w:szCs w:val="21"/>
              </w:rPr>
            </w:pPr>
            <w:r>
              <w:rPr>
                <w:rFonts w:hint="eastAsia" w:ascii="宋体" w:hAnsi="宋体" w:eastAsia="宋体" w:cs="宋体"/>
                <w:color w:val="auto"/>
                <w:spacing w:val="5"/>
                <w:sz w:val="21"/>
                <w:szCs w:val="21"/>
              </w:rPr>
              <w:t>一般灌木</w:t>
            </w:r>
          </w:p>
        </w:tc>
        <w:tc>
          <w:tcPr>
            <w:tcW w:w="1749" w:type="dxa"/>
            <w:vAlign w:val="top"/>
          </w:tcPr>
          <w:p w14:paraId="2159EC85">
            <w:pPr>
              <w:spacing w:before="120" w:line="195" w:lineRule="auto"/>
              <w:ind w:left="634"/>
              <w:rPr>
                <w:rFonts w:hint="eastAsia" w:ascii="宋体" w:hAnsi="宋体" w:eastAsia="宋体" w:cs="宋体"/>
                <w:color w:val="auto"/>
                <w:sz w:val="21"/>
                <w:szCs w:val="21"/>
              </w:rPr>
            </w:pPr>
            <w:r>
              <w:rPr>
                <w:rFonts w:hint="eastAsia" w:ascii="宋体" w:hAnsi="宋体" w:eastAsia="宋体" w:cs="宋体"/>
                <w:color w:val="auto"/>
                <w:spacing w:val="3"/>
                <w:sz w:val="21"/>
                <w:szCs w:val="21"/>
              </w:rPr>
              <w:t>91.80</w:t>
            </w:r>
          </w:p>
        </w:tc>
        <w:tc>
          <w:tcPr>
            <w:tcW w:w="1996" w:type="dxa"/>
            <w:vAlign w:val="top"/>
          </w:tcPr>
          <w:p w14:paraId="292090CF">
            <w:pPr>
              <w:spacing w:before="120" w:line="195" w:lineRule="auto"/>
              <w:ind w:left="758"/>
              <w:rPr>
                <w:rFonts w:hint="eastAsia" w:ascii="宋体" w:hAnsi="宋体" w:eastAsia="宋体" w:cs="宋体"/>
                <w:color w:val="auto"/>
                <w:sz w:val="21"/>
                <w:szCs w:val="21"/>
              </w:rPr>
            </w:pPr>
            <w:r>
              <w:rPr>
                <w:rFonts w:hint="eastAsia" w:ascii="宋体" w:hAnsi="宋体" w:eastAsia="宋体" w:cs="宋体"/>
                <w:color w:val="auto"/>
                <w:spacing w:val="3"/>
                <w:sz w:val="21"/>
                <w:szCs w:val="21"/>
              </w:rPr>
              <w:t>22.34</w:t>
            </w:r>
          </w:p>
        </w:tc>
        <w:tc>
          <w:tcPr>
            <w:tcW w:w="1998" w:type="dxa"/>
            <w:vAlign w:val="top"/>
          </w:tcPr>
          <w:p w14:paraId="6576AB53">
            <w:pPr>
              <w:pStyle w:val="33"/>
              <w:tabs>
                <w:tab w:val="left" w:pos="1100"/>
              </w:tabs>
              <w:spacing w:before="16"/>
              <w:ind w:left="887"/>
              <w:rPr>
                <w:rFonts w:hint="eastAsia" w:ascii="宋体" w:hAnsi="宋体" w:eastAsia="宋体" w:cs="宋体"/>
                <w:color w:val="auto"/>
                <w:sz w:val="21"/>
                <w:szCs w:val="21"/>
              </w:rPr>
            </w:pPr>
            <w:r>
              <w:rPr>
                <w:rFonts w:hint="eastAsia" w:ascii="宋体" w:hAnsi="宋体" w:eastAsia="宋体" w:cs="宋体"/>
                <w:color w:val="auto"/>
                <w:sz w:val="21"/>
                <w:szCs w:val="21"/>
                <w:u w:val="single" w:color="auto"/>
              </w:rPr>
              <w:tab/>
            </w:r>
          </w:p>
        </w:tc>
        <w:tc>
          <w:tcPr>
            <w:tcW w:w="2010" w:type="dxa"/>
            <w:vAlign w:val="top"/>
          </w:tcPr>
          <w:p w14:paraId="2542D06D">
            <w:pPr>
              <w:pStyle w:val="33"/>
              <w:tabs>
                <w:tab w:val="left" w:pos="1104"/>
              </w:tabs>
              <w:spacing w:before="16"/>
              <w:ind w:left="891"/>
              <w:rPr>
                <w:rFonts w:hint="eastAsia" w:ascii="宋体" w:hAnsi="宋体" w:eastAsia="宋体" w:cs="宋体"/>
                <w:color w:val="auto"/>
                <w:sz w:val="21"/>
                <w:szCs w:val="21"/>
              </w:rPr>
            </w:pPr>
            <w:r>
              <w:rPr>
                <w:rFonts w:hint="eastAsia" w:ascii="宋体" w:hAnsi="宋体" w:eastAsia="宋体" w:cs="宋体"/>
                <w:color w:val="auto"/>
                <w:sz w:val="21"/>
                <w:szCs w:val="21"/>
                <w:u w:val="single" w:color="auto"/>
              </w:rPr>
              <w:tab/>
            </w:r>
          </w:p>
        </w:tc>
      </w:tr>
    </w:tbl>
    <w:p w14:paraId="38A7F9BE">
      <w:pPr>
        <w:spacing w:before="91" w:line="405" w:lineRule="auto"/>
        <w:ind w:left="136" w:right="22" w:firstLine="565"/>
        <w:rPr>
          <w:rFonts w:hint="eastAsia" w:ascii="宋体" w:hAnsi="宋体" w:eastAsia="宋体" w:cs="宋体"/>
          <w:color w:val="auto"/>
          <w:sz w:val="21"/>
          <w:szCs w:val="21"/>
        </w:rPr>
      </w:pPr>
      <w:r>
        <w:rPr>
          <w:rFonts w:hint="eastAsia" w:ascii="宋体" w:hAnsi="宋体" w:eastAsia="宋体" w:cs="宋体"/>
          <w:color w:val="auto"/>
          <w:spacing w:val="8"/>
          <w:sz w:val="21"/>
          <w:szCs w:val="21"/>
        </w:rPr>
        <w:t>全州县各类林木总面积为</w:t>
      </w:r>
      <w:r>
        <w:rPr>
          <w:rFonts w:hint="eastAsia" w:ascii="宋体" w:hAnsi="宋体" w:eastAsia="宋体" w:cs="宋体"/>
          <w:color w:val="auto"/>
          <w:spacing w:val="-57"/>
          <w:sz w:val="21"/>
          <w:szCs w:val="21"/>
        </w:rPr>
        <w:t xml:space="preserve"> </w:t>
      </w:r>
      <w:r>
        <w:rPr>
          <w:rFonts w:hint="eastAsia" w:ascii="宋体" w:hAnsi="宋体" w:eastAsia="宋体" w:cs="宋体"/>
          <w:color w:val="auto"/>
          <w:spacing w:val="8"/>
          <w:sz w:val="21"/>
          <w:szCs w:val="21"/>
        </w:rPr>
        <w:t>410.88万亩，其中最多的是杉木、</w:t>
      </w:r>
      <w:r>
        <w:rPr>
          <w:rFonts w:hint="eastAsia" w:ascii="宋体" w:hAnsi="宋体" w:eastAsia="宋体" w:cs="宋体"/>
          <w:color w:val="auto"/>
          <w:spacing w:val="7"/>
          <w:sz w:val="21"/>
          <w:szCs w:val="21"/>
        </w:rPr>
        <w:t>面积</w:t>
      </w:r>
      <w:r>
        <w:rPr>
          <w:rFonts w:hint="eastAsia" w:ascii="宋体" w:hAnsi="宋体" w:eastAsia="宋体" w:cs="宋体"/>
          <w:color w:val="auto"/>
          <w:sz w:val="21"/>
          <w:szCs w:val="21"/>
        </w:rPr>
        <w:t>159.71万亩，其次是一般灌木和松树，分</w:t>
      </w:r>
      <w:r>
        <w:rPr>
          <w:rFonts w:hint="eastAsia" w:ascii="宋体" w:hAnsi="宋体" w:eastAsia="宋体" w:cs="宋体"/>
          <w:color w:val="auto"/>
          <w:spacing w:val="-1"/>
          <w:sz w:val="21"/>
          <w:szCs w:val="21"/>
        </w:rPr>
        <w:t>别为</w:t>
      </w:r>
      <w:r>
        <w:rPr>
          <w:rFonts w:hint="eastAsia" w:ascii="宋体" w:hAnsi="宋体" w:eastAsia="宋体" w:cs="宋体"/>
          <w:color w:val="auto"/>
          <w:spacing w:val="-60"/>
          <w:sz w:val="21"/>
          <w:szCs w:val="21"/>
        </w:rPr>
        <w:t xml:space="preserve"> </w:t>
      </w:r>
      <w:r>
        <w:rPr>
          <w:rFonts w:hint="eastAsia" w:ascii="宋体" w:hAnsi="宋体" w:eastAsia="宋体" w:cs="宋体"/>
          <w:color w:val="auto"/>
          <w:spacing w:val="-1"/>
          <w:sz w:val="21"/>
          <w:szCs w:val="21"/>
        </w:rPr>
        <w:t>91.80万亩、61.12万亩。</w:t>
      </w:r>
      <w:r>
        <w:rPr>
          <w:rFonts w:hint="eastAsia" w:ascii="宋体" w:hAnsi="宋体" w:eastAsia="宋体" w:cs="宋体"/>
          <w:color w:val="auto"/>
          <w:sz w:val="21"/>
          <w:szCs w:val="21"/>
        </w:rPr>
        <w:t xml:space="preserve"> </w:t>
      </w:r>
      <w:r>
        <w:rPr>
          <w:rFonts w:hint="eastAsia" w:ascii="宋体" w:hAnsi="宋体" w:eastAsia="宋体" w:cs="宋体"/>
          <w:color w:val="auto"/>
          <w:spacing w:val="-5"/>
          <w:sz w:val="21"/>
          <w:szCs w:val="21"/>
        </w:rPr>
        <w:t>林木蓄积总量</w:t>
      </w:r>
      <w:r>
        <w:rPr>
          <w:rFonts w:hint="eastAsia" w:ascii="宋体" w:hAnsi="宋体" w:eastAsia="宋体" w:cs="宋体"/>
          <w:color w:val="auto"/>
          <w:spacing w:val="-35"/>
          <w:sz w:val="21"/>
          <w:szCs w:val="21"/>
        </w:rPr>
        <w:t xml:space="preserve"> </w:t>
      </w:r>
      <w:r>
        <w:rPr>
          <w:rFonts w:hint="eastAsia" w:ascii="宋体" w:hAnsi="宋体" w:eastAsia="宋体" w:cs="宋体"/>
          <w:color w:val="auto"/>
          <w:spacing w:val="-5"/>
          <w:sz w:val="21"/>
          <w:szCs w:val="21"/>
        </w:rPr>
        <w:t>1204.67万立方米，主要由三大类型树种构成，其中杉木蓄</w:t>
      </w:r>
      <w:r>
        <w:rPr>
          <w:rFonts w:hint="eastAsia" w:ascii="宋体" w:hAnsi="宋体" w:eastAsia="宋体" w:cs="宋体"/>
          <w:color w:val="auto"/>
          <w:sz w:val="21"/>
          <w:szCs w:val="21"/>
        </w:rPr>
        <w:t xml:space="preserve"> </w:t>
      </w:r>
      <w:r>
        <w:rPr>
          <w:rFonts w:hint="eastAsia" w:ascii="宋体" w:hAnsi="宋体" w:eastAsia="宋体" w:cs="宋体"/>
          <w:color w:val="auto"/>
          <w:spacing w:val="-4"/>
          <w:sz w:val="21"/>
          <w:szCs w:val="21"/>
        </w:rPr>
        <w:t>积量最大即</w:t>
      </w:r>
      <w:r>
        <w:rPr>
          <w:rFonts w:hint="eastAsia" w:ascii="宋体" w:hAnsi="宋体" w:eastAsia="宋体" w:cs="宋体"/>
          <w:color w:val="auto"/>
          <w:spacing w:val="-68"/>
          <w:sz w:val="21"/>
          <w:szCs w:val="21"/>
        </w:rPr>
        <w:t xml:space="preserve"> </w:t>
      </w:r>
      <w:r>
        <w:rPr>
          <w:rFonts w:hint="eastAsia" w:ascii="宋体" w:hAnsi="宋体" w:eastAsia="宋体" w:cs="宋体"/>
          <w:color w:val="auto"/>
          <w:spacing w:val="-4"/>
          <w:sz w:val="21"/>
          <w:szCs w:val="21"/>
        </w:rPr>
        <w:t>462.71万立方米、占</w:t>
      </w:r>
      <w:r>
        <w:rPr>
          <w:rFonts w:hint="eastAsia" w:ascii="宋体" w:hAnsi="宋体" w:eastAsia="宋体" w:cs="宋体"/>
          <w:color w:val="auto"/>
          <w:spacing w:val="-59"/>
          <w:sz w:val="21"/>
          <w:szCs w:val="21"/>
        </w:rPr>
        <w:t xml:space="preserve"> </w:t>
      </w:r>
      <w:r>
        <w:rPr>
          <w:rFonts w:hint="eastAsia" w:ascii="宋体" w:hAnsi="宋体" w:eastAsia="宋体" w:cs="宋体"/>
          <w:color w:val="auto"/>
          <w:spacing w:val="-4"/>
          <w:sz w:val="21"/>
          <w:szCs w:val="21"/>
        </w:rPr>
        <w:t>38.41 %，其次是松树</w:t>
      </w:r>
      <w:r>
        <w:rPr>
          <w:rFonts w:hint="eastAsia" w:ascii="宋体" w:hAnsi="宋体" w:eastAsia="宋体" w:cs="宋体"/>
          <w:color w:val="auto"/>
          <w:spacing w:val="-69"/>
          <w:sz w:val="21"/>
          <w:szCs w:val="21"/>
        </w:rPr>
        <w:t xml:space="preserve"> </w:t>
      </w:r>
      <w:r>
        <w:rPr>
          <w:rFonts w:hint="eastAsia" w:ascii="宋体" w:hAnsi="宋体" w:eastAsia="宋体" w:cs="宋体"/>
          <w:color w:val="auto"/>
          <w:spacing w:val="-4"/>
          <w:sz w:val="21"/>
          <w:szCs w:val="21"/>
        </w:rPr>
        <w:t>40</w:t>
      </w:r>
      <w:r>
        <w:rPr>
          <w:rFonts w:hint="eastAsia" w:ascii="宋体" w:hAnsi="宋体" w:eastAsia="宋体" w:cs="宋体"/>
          <w:color w:val="auto"/>
          <w:spacing w:val="-5"/>
          <w:sz w:val="21"/>
          <w:szCs w:val="21"/>
        </w:rPr>
        <w:t>1.96万立方米、</w:t>
      </w:r>
      <w:r>
        <w:rPr>
          <w:rFonts w:hint="eastAsia" w:ascii="宋体" w:hAnsi="宋体" w:eastAsia="宋体" w:cs="宋体"/>
          <w:color w:val="auto"/>
          <w:sz w:val="21"/>
          <w:szCs w:val="21"/>
        </w:rPr>
        <w:t xml:space="preserve"> </w:t>
      </w:r>
      <w:r>
        <w:rPr>
          <w:rFonts w:hint="eastAsia" w:ascii="宋体" w:hAnsi="宋体" w:eastAsia="宋体" w:cs="宋体"/>
          <w:color w:val="auto"/>
          <w:spacing w:val="-6"/>
          <w:sz w:val="21"/>
          <w:szCs w:val="21"/>
        </w:rPr>
        <w:t>占</w:t>
      </w:r>
      <w:r>
        <w:rPr>
          <w:rFonts w:hint="eastAsia" w:ascii="宋体" w:hAnsi="宋体" w:eastAsia="宋体" w:cs="宋体"/>
          <w:color w:val="auto"/>
          <w:spacing w:val="-41"/>
          <w:sz w:val="21"/>
          <w:szCs w:val="21"/>
        </w:rPr>
        <w:t xml:space="preserve"> </w:t>
      </w:r>
      <w:r>
        <w:rPr>
          <w:rFonts w:hint="eastAsia" w:ascii="宋体" w:hAnsi="宋体" w:eastAsia="宋体" w:cs="宋体"/>
          <w:color w:val="auto"/>
          <w:spacing w:val="-6"/>
          <w:sz w:val="21"/>
          <w:szCs w:val="21"/>
        </w:rPr>
        <w:t>33.37%</w:t>
      </w:r>
      <w:r>
        <w:rPr>
          <w:rFonts w:hint="eastAsia" w:ascii="宋体" w:hAnsi="宋体" w:eastAsia="宋体" w:cs="宋体"/>
          <w:color w:val="auto"/>
          <w:spacing w:val="-35"/>
          <w:sz w:val="21"/>
          <w:szCs w:val="21"/>
        </w:rPr>
        <w:t xml:space="preserve"> </w:t>
      </w:r>
      <w:r>
        <w:rPr>
          <w:rFonts w:hint="eastAsia" w:ascii="宋体" w:hAnsi="宋体" w:eastAsia="宋体" w:cs="宋体"/>
          <w:color w:val="auto"/>
          <w:spacing w:val="-6"/>
          <w:sz w:val="21"/>
          <w:szCs w:val="21"/>
        </w:rPr>
        <w:t>，一般阔叶树的蓄积为</w:t>
      </w:r>
      <w:r>
        <w:rPr>
          <w:rFonts w:hint="eastAsia" w:ascii="宋体" w:hAnsi="宋体" w:eastAsia="宋体" w:cs="宋体"/>
          <w:color w:val="auto"/>
          <w:spacing w:val="-59"/>
          <w:sz w:val="21"/>
          <w:szCs w:val="21"/>
        </w:rPr>
        <w:t xml:space="preserve"> </w:t>
      </w:r>
      <w:r>
        <w:rPr>
          <w:rFonts w:hint="eastAsia" w:ascii="宋体" w:hAnsi="宋体" w:eastAsia="宋体" w:cs="宋体"/>
          <w:color w:val="auto"/>
          <w:spacing w:val="-6"/>
          <w:sz w:val="21"/>
          <w:szCs w:val="21"/>
        </w:rPr>
        <w:t>312.</w:t>
      </w:r>
      <w:r>
        <w:rPr>
          <w:rFonts w:hint="eastAsia" w:ascii="宋体" w:hAnsi="宋体" w:eastAsia="宋体" w:cs="宋体"/>
          <w:color w:val="auto"/>
          <w:spacing w:val="-38"/>
          <w:sz w:val="21"/>
          <w:szCs w:val="21"/>
        </w:rPr>
        <w:t xml:space="preserve"> </w:t>
      </w:r>
      <w:r>
        <w:rPr>
          <w:rFonts w:hint="eastAsia" w:ascii="宋体" w:hAnsi="宋体" w:eastAsia="宋体" w:cs="宋体"/>
          <w:color w:val="auto"/>
          <w:spacing w:val="-6"/>
          <w:sz w:val="21"/>
          <w:szCs w:val="21"/>
        </w:rPr>
        <w:t>17万立方米、</w:t>
      </w:r>
      <w:r>
        <w:rPr>
          <w:rFonts w:hint="eastAsia" w:ascii="宋体" w:hAnsi="宋体" w:eastAsia="宋体" w:cs="宋体"/>
          <w:color w:val="auto"/>
          <w:spacing w:val="-73"/>
          <w:sz w:val="21"/>
          <w:szCs w:val="21"/>
        </w:rPr>
        <w:t xml:space="preserve"> </w:t>
      </w:r>
      <w:r>
        <w:rPr>
          <w:rFonts w:hint="eastAsia" w:ascii="宋体" w:hAnsi="宋体" w:eastAsia="宋体" w:cs="宋体"/>
          <w:color w:val="auto"/>
          <w:spacing w:val="-6"/>
          <w:sz w:val="21"/>
          <w:szCs w:val="21"/>
        </w:rPr>
        <w:t>占</w:t>
      </w:r>
      <w:r>
        <w:rPr>
          <w:rFonts w:hint="eastAsia" w:ascii="宋体" w:hAnsi="宋体" w:eastAsia="宋体" w:cs="宋体"/>
          <w:color w:val="auto"/>
          <w:spacing w:val="-67"/>
          <w:sz w:val="21"/>
          <w:szCs w:val="21"/>
        </w:rPr>
        <w:t xml:space="preserve"> </w:t>
      </w:r>
      <w:r>
        <w:rPr>
          <w:rFonts w:hint="eastAsia" w:ascii="宋体" w:hAnsi="宋体" w:eastAsia="宋体" w:cs="宋体"/>
          <w:color w:val="auto"/>
          <w:spacing w:val="-6"/>
          <w:sz w:val="21"/>
          <w:szCs w:val="21"/>
        </w:rPr>
        <w:t>25.91%。</w:t>
      </w:r>
    </w:p>
    <w:p w14:paraId="75D0C082">
      <w:pPr>
        <w:spacing w:before="128" w:line="225" w:lineRule="auto"/>
        <w:ind w:left="123" w:firstLine="440" w:firstLineChars="200"/>
        <w:outlineLvl w:val="2"/>
        <w:rPr>
          <w:rFonts w:hint="eastAsia" w:ascii="宋体" w:hAnsi="宋体" w:eastAsia="宋体" w:cs="宋体"/>
          <w:color w:val="auto"/>
          <w:sz w:val="21"/>
          <w:szCs w:val="21"/>
        </w:rPr>
      </w:pPr>
      <w:r>
        <w:rPr>
          <w:rFonts w:hint="eastAsia" w:ascii="宋体" w:hAnsi="宋体" w:eastAsia="宋体" w:cs="宋体"/>
          <w:b w:val="0"/>
          <w:bCs w:val="0"/>
          <w:color w:val="auto"/>
          <w:spacing w:val="5"/>
          <w:sz w:val="21"/>
          <w:szCs w:val="21"/>
          <w:lang w:eastAsia="zh-CN"/>
        </w:rPr>
        <w:t>（</w:t>
      </w:r>
      <w:r>
        <w:rPr>
          <w:rFonts w:hint="eastAsia" w:ascii="宋体" w:hAnsi="宋体" w:eastAsia="宋体" w:cs="宋体"/>
          <w:b w:val="0"/>
          <w:bCs w:val="0"/>
          <w:color w:val="auto"/>
          <w:spacing w:val="5"/>
          <w:sz w:val="21"/>
          <w:szCs w:val="21"/>
          <w:lang w:val="en-US" w:eastAsia="zh-CN"/>
        </w:rPr>
        <w:t>3</w:t>
      </w:r>
      <w:r>
        <w:rPr>
          <w:rFonts w:hint="eastAsia" w:ascii="宋体" w:hAnsi="宋体" w:eastAsia="宋体" w:cs="宋体"/>
          <w:b w:val="0"/>
          <w:bCs w:val="0"/>
          <w:color w:val="auto"/>
          <w:spacing w:val="5"/>
          <w:sz w:val="21"/>
          <w:szCs w:val="21"/>
          <w:lang w:eastAsia="zh-CN"/>
        </w:rPr>
        <w:t>）</w:t>
      </w:r>
      <w:r>
        <w:rPr>
          <w:rFonts w:hint="eastAsia" w:ascii="宋体" w:hAnsi="宋体" w:eastAsia="宋体" w:cs="宋体"/>
          <w:b w:val="0"/>
          <w:bCs w:val="0"/>
          <w:color w:val="auto"/>
          <w:spacing w:val="5"/>
          <w:sz w:val="21"/>
          <w:szCs w:val="21"/>
        </w:rPr>
        <w:t>松木资源现状</w:t>
      </w:r>
    </w:p>
    <w:p w14:paraId="0B1A562D">
      <w:pPr>
        <w:keepNext w:val="0"/>
        <w:keepLines w:val="0"/>
        <w:pageBreakBefore w:val="0"/>
        <w:widowControl/>
        <w:kinsoku/>
        <w:wordWrap/>
        <w:overflowPunct/>
        <w:topLinePunct w:val="0"/>
        <w:autoSpaceDE/>
        <w:autoSpaceDN/>
        <w:bidi w:val="0"/>
        <w:adjustRightInd w:val="0"/>
        <w:snapToGrid w:val="0"/>
        <w:spacing w:before="92" w:after="0" w:line="401" w:lineRule="auto"/>
        <w:ind w:left="142" w:right="74" w:firstLine="556"/>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rPr>
        <w:t>松树是全州县主要造林树种之一，全县共有松</w:t>
      </w:r>
      <w:r>
        <w:rPr>
          <w:rFonts w:hint="eastAsia" w:ascii="宋体" w:hAnsi="宋体" w:eastAsia="宋体" w:cs="宋体"/>
          <w:color w:val="auto"/>
          <w:spacing w:val="-4"/>
          <w:sz w:val="21"/>
          <w:szCs w:val="21"/>
        </w:rPr>
        <w:t>树林面积</w:t>
      </w:r>
      <w:r>
        <w:rPr>
          <w:rFonts w:hint="eastAsia" w:ascii="宋体" w:hAnsi="宋体" w:eastAsia="宋体" w:cs="宋体"/>
          <w:color w:val="auto"/>
          <w:spacing w:val="-58"/>
          <w:sz w:val="21"/>
          <w:szCs w:val="21"/>
        </w:rPr>
        <w:t xml:space="preserve"> </w:t>
      </w:r>
      <w:r>
        <w:rPr>
          <w:rFonts w:hint="eastAsia" w:ascii="宋体" w:hAnsi="宋体" w:eastAsia="宋体" w:cs="宋体"/>
          <w:color w:val="auto"/>
          <w:spacing w:val="-4"/>
          <w:sz w:val="21"/>
          <w:szCs w:val="21"/>
        </w:rPr>
        <w:t>61.12万亩，</w:t>
      </w:r>
      <w:r>
        <w:rPr>
          <w:rFonts w:hint="eastAsia" w:ascii="宋体" w:hAnsi="宋体" w:eastAsia="宋体" w:cs="宋体"/>
          <w:color w:val="auto"/>
          <w:sz w:val="21"/>
          <w:szCs w:val="21"/>
        </w:rPr>
        <w:t xml:space="preserve"> </w:t>
      </w:r>
      <w:r>
        <w:rPr>
          <w:rFonts w:hint="eastAsia" w:ascii="宋体" w:hAnsi="宋体" w:eastAsia="宋体" w:cs="宋体"/>
          <w:color w:val="auto"/>
          <w:spacing w:val="-3"/>
          <w:sz w:val="21"/>
          <w:szCs w:val="21"/>
        </w:rPr>
        <w:t>主要是马尾松和湿地松，其中马尾松</w:t>
      </w:r>
      <w:r>
        <w:rPr>
          <w:rFonts w:hint="eastAsia" w:ascii="宋体" w:hAnsi="宋体" w:eastAsia="宋体" w:cs="宋体"/>
          <w:color w:val="auto"/>
          <w:spacing w:val="-57"/>
          <w:sz w:val="21"/>
          <w:szCs w:val="21"/>
        </w:rPr>
        <w:t xml:space="preserve"> </w:t>
      </w:r>
      <w:r>
        <w:rPr>
          <w:rFonts w:hint="eastAsia" w:ascii="宋体" w:hAnsi="宋体" w:eastAsia="宋体" w:cs="宋体"/>
          <w:color w:val="auto"/>
          <w:spacing w:val="-3"/>
          <w:sz w:val="21"/>
          <w:szCs w:val="21"/>
        </w:rPr>
        <w:t>56.94万亩、</w:t>
      </w:r>
      <w:r>
        <w:rPr>
          <w:rFonts w:hint="eastAsia" w:ascii="宋体" w:hAnsi="宋体" w:eastAsia="宋体" w:cs="宋体"/>
          <w:color w:val="auto"/>
          <w:spacing w:val="-73"/>
          <w:sz w:val="21"/>
          <w:szCs w:val="21"/>
        </w:rPr>
        <w:t xml:space="preserve"> </w:t>
      </w:r>
      <w:r>
        <w:rPr>
          <w:rFonts w:hint="eastAsia" w:ascii="宋体" w:hAnsi="宋体" w:eastAsia="宋体" w:cs="宋体"/>
          <w:color w:val="auto"/>
          <w:spacing w:val="-3"/>
          <w:sz w:val="21"/>
          <w:szCs w:val="21"/>
        </w:rPr>
        <w:t>占松林面</w:t>
      </w:r>
      <w:r>
        <w:rPr>
          <w:rFonts w:hint="eastAsia" w:ascii="宋体" w:hAnsi="宋体" w:eastAsia="宋体" w:cs="宋体"/>
          <w:color w:val="auto"/>
          <w:spacing w:val="-4"/>
          <w:sz w:val="21"/>
          <w:szCs w:val="21"/>
        </w:rPr>
        <w:t>积</w:t>
      </w:r>
      <w:r>
        <w:rPr>
          <w:rFonts w:hint="eastAsia" w:ascii="宋体" w:hAnsi="宋体" w:eastAsia="宋体" w:cs="宋体"/>
          <w:color w:val="auto"/>
          <w:spacing w:val="-59"/>
          <w:sz w:val="21"/>
          <w:szCs w:val="21"/>
        </w:rPr>
        <w:t xml:space="preserve"> </w:t>
      </w:r>
      <w:r>
        <w:rPr>
          <w:rFonts w:hint="eastAsia" w:ascii="宋体" w:hAnsi="宋体" w:eastAsia="宋体" w:cs="宋体"/>
          <w:color w:val="auto"/>
          <w:spacing w:val="-4"/>
          <w:sz w:val="21"/>
          <w:szCs w:val="21"/>
        </w:rPr>
        <w:t>93.15 %</w:t>
      </w:r>
      <w:r>
        <w:rPr>
          <w:rFonts w:hint="eastAsia" w:ascii="宋体" w:hAnsi="宋体" w:eastAsia="宋体" w:cs="宋体"/>
          <w:color w:val="auto"/>
          <w:spacing w:val="-31"/>
          <w:sz w:val="21"/>
          <w:szCs w:val="21"/>
        </w:rPr>
        <w:t xml:space="preserve"> </w:t>
      </w:r>
      <w:r>
        <w:rPr>
          <w:rFonts w:hint="eastAsia" w:ascii="宋体" w:hAnsi="宋体" w:eastAsia="宋体" w:cs="宋体"/>
          <w:color w:val="auto"/>
          <w:spacing w:val="-4"/>
          <w:sz w:val="21"/>
          <w:szCs w:val="21"/>
        </w:rPr>
        <w:t>，</w:t>
      </w:r>
      <w:r>
        <w:rPr>
          <w:rFonts w:hint="eastAsia" w:ascii="宋体" w:hAnsi="宋体" w:eastAsia="宋体" w:cs="宋体"/>
          <w:color w:val="auto"/>
          <w:spacing w:val="-3"/>
          <w:sz w:val="21"/>
          <w:szCs w:val="21"/>
        </w:rPr>
        <w:t>湿地松</w:t>
      </w:r>
      <w:r>
        <w:rPr>
          <w:rFonts w:hint="eastAsia" w:ascii="宋体" w:hAnsi="宋体" w:eastAsia="宋体" w:cs="宋体"/>
          <w:color w:val="auto"/>
          <w:spacing w:val="-52"/>
          <w:sz w:val="21"/>
          <w:szCs w:val="21"/>
        </w:rPr>
        <w:t xml:space="preserve"> </w:t>
      </w:r>
      <w:r>
        <w:rPr>
          <w:rFonts w:hint="eastAsia" w:ascii="宋体" w:hAnsi="宋体" w:eastAsia="宋体" w:cs="宋体"/>
          <w:color w:val="auto"/>
          <w:spacing w:val="-3"/>
          <w:sz w:val="21"/>
          <w:szCs w:val="21"/>
        </w:rPr>
        <w:t>4.18万亩、</w:t>
      </w:r>
      <w:r>
        <w:rPr>
          <w:rFonts w:hint="eastAsia" w:ascii="宋体" w:hAnsi="宋体" w:eastAsia="宋体" w:cs="宋体"/>
          <w:color w:val="auto"/>
          <w:spacing w:val="-71"/>
          <w:sz w:val="21"/>
          <w:szCs w:val="21"/>
        </w:rPr>
        <w:t xml:space="preserve"> </w:t>
      </w:r>
      <w:r>
        <w:rPr>
          <w:rFonts w:hint="eastAsia" w:ascii="宋体" w:hAnsi="宋体" w:eastAsia="宋体" w:cs="宋体"/>
          <w:color w:val="auto"/>
          <w:spacing w:val="-3"/>
          <w:sz w:val="21"/>
          <w:szCs w:val="21"/>
        </w:rPr>
        <w:t>占松林面积</w:t>
      </w:r>
      <w:r>
        <w:rPr>
          <w:rFonts w:hint="eastAsia" w:ascii="宋体" w:hAnsi="宋体" w:eastAsia="宋体" w:cs="宋体"/>
          <w:color w:val="auto"/>
          <w:spacing w:val="-56"/>
          <w:sz w:val="21"/>
          <w:szCs w:val="21"/>
        </w:rPr>
        <w:t xml:space="preserve"> </w:t>
      </w:r>
      <w:r>
        <w:rPr>
          <w:rFonts w:hint="eastAsia" w:ascii="宋体" w:hAnsi="宋体" w:eastAsia="宋体" w:cs="宋体"/>
          <w:color w:val="auto"/>
          <w:spacing w:val="-3"/>
          <w:sz w:val="21"/>
          <w:szCs w:val="21"/>
        </w:rPr>
        <w:t>6.85%</w:t>
      </w:r>
      <w:r>
        <w:rPr>
          <w:rFonts w:hint="eastAsia" w:ascii="宋体" w:hAnsi="宋体" w:eastAsia="宋体" w:cs="宋体"/>
          <w:color w:val="auto"/>
          <w:spacing w:val="-29"/>
          <w:sz w:val="21"/>
          <w:szCs w:val="21"/>
        </w:rPr>
        <w:t xml:space="preserve"> </w:t>
      </w:r>
      <w:r>
        <w:rPr>
          <w:rFonts w:hint="eastAsia" w:ascii="宋体" w:hAnsi="宋体" w:eastAsia="宋体" w:cs="宋体"/>
          <w:color w:val="auto"/>
          <w:spacing w:val="-3"/>
          <w:sz w:val="21"/>
          <w:szCs w:val="21"/>
        </w:rPr>
        <w:t>。松树分布于全县各乡镇、林场，</w:t>
      </w:r>
      <w:r>
        <w:rPr>
          <w:rFonts w:hint="eastAsia" w:ascii="宋体" w:hAnsi="宋体" w:eastAsia="宋体" w:cs="宋体"/>
          <w:color w:val="auto"/>
          <w:sz w:val="21"/>
          <w:szCs w:val="21"/>
        </w:rPr>
        <w:t>其中石塘镇松树面积最大、即</w:t>
      </w:r>
      <w:r>
        <w:rPr>
          <w:rFonts w:hint="eastAsia" w:ascii="宋体" w:hAnsi="宋体" w:eastAsia="宋体" w:cs="宋体"/>
          <w:color w:val="auto"/>
          <w:spacing w:val="-60"/>
          <w:sz w:val="21"/>
          <w:szCs w:val="21"/>
        </w:rPr>
        <w:t xml:space="preserve"> </w:t>
      </w:r>
      <w:r>
        <w:rPr>
          <w:rFonts w:hint="eastAsia" w:ascii="宋体" w:hAnsi="宋体" w:eastAsia="宋体" w:cs="宋体"/>
          <w:color w:val="auto"/>
          <w:sz w:val="21"/>
          <w:szCs w:val="21"/>
        </w:rPr>
        <w:t>7.36</w:t>
      </w:r>
      <w:r>
        <w:rPr>
          <w:rFonts w:hint="eastAsia" w:ascii="宋体" w:hAnsi="宋体" w:eastAsia="宋体" w:cs="宋体"/>
          <w:color w:val="auto"/>
          <w:spacing w:val="19"/>
          <w:sz w:val="21"/>
          <w:szCs w:val="21"/>
        </w:rPr>
        <w:t xml:space="preserve"> </w:t>
      </w:r>
      <w:r>
        <w:rPr>
          <w:rFonts w:hint="eastAsia" w:ascii="宋体" w:hAnsi="宋体" w:eastAsia="宋体" w:cs="宋体"/>
          <w:color w:val="auto"/>
          <w:sz w:val="21"/>
          <w:szCs w:val="21"/>
        </w:rPr>
        <w:t>万亩，文</w:t>
      </w:r>
      <w:r>
        <w:rPr>
          <w:rFonts w:hint="eastAsia" w:ascii="宋体" w:hAnsi="宋体" w:eastAsia="宋体" w:cs="宋体"/>
          <w:color w:val="auto"/>
          <w:spacing w:val="-1"/>
          <w:sz w:val="21"/>
          <w:szCs w:val="21"/>
        </w:rPr>
        <w:t>桥镇、两河镇、凤凰镇、永</w:t>
      </w:r>
      <w:r>
        <w:rPr>
          <w:rFonts w:hint="eastAsia" w:ascii="宋体" w:hAnsi="宋体" w:eastAsia="宋体" w:cs="宋体"/>
          <w:color w:val="auto"/>
          <w:sz w:val="21"/>
          <w:szCs w:val="21"/>
        </w:rPr>
        <w:t xml:space="preserve"> </w:t>
      </w:r>
      <w:r>
        <w:rPr>
          <w:rFonts w:hint="eastAsia" w:ascii="宋体" w:hAnsi="宋体" w:eastAsia="宋体" w:cs="宋体"/>
          <w:color w:val="auto"/>
          <w:spacing w:val="-6"/>
          <w:sz w:val="21"/>
          <w:szCs w:val="21"/>
        </w:rPr>
        <w:t>岁镇均超过</w:t>
      </w:r>
      <w:r>
        <w:rPr>
          <w:rFonts w:hint="eastAsia" w:ascii="宋体" w:hAnsi="宋体" w:eastAsia="宋体" w:cs="宋体"/>
          <w:color w:val="auto"/>
          <w:spacing w:val="-53"/>
          <w:sz w:val="21"/>
          <w:szCs w:val="21"/>
        </w:rPr>
        <w:t xml:space="preserve"> </w:t>
      </w:r>
      <w:r>
        <w:rPr>
          <w:rFonts w:hint="eastAsia" w:ascii="宋体" w:hAnsi="宋体" w:eastAsia="宋体" w:cs="宋体"/>
          <w:color w:val="auto"/>
          <w:spacing w:val="-6"/>
          <w:sz w:val="21"/>
          <w:szCs w:val="21"/>
        </w:rPr>
        <w:t>4万亩；东山乡、全州镇、才湾镇、龙水镇在</w:t>
      </w:r>
      <w:r>
        <w:rPr>
          <w:rFonts w:hint="eastAsia" w:ascii="宋体" w:hAnsi="宋体" w:eastAsia="宋体" w:cs="宋体"/>
          <w:color w:val="auto"/>
          <w:spacing w:val="-59"/>
          <w:sz w:val="21"/>
          <w:szCs w:val="21"/>
        </w:rPr>
        <w:t xml:space="preserve"> </w:t>
      </w:r>
      <w:r>
        <w:rPr>
          <w:rFonts w:hint="eastAsia" w:ascii="宋体" w:hAnsi="宋体" w:eastAsia="宋体" w:cs="宋体"/>
          <w:color w:val="auto"/>
          <w:spacing w:val="-6"/>
          <w:sz w:val="21"/>
          <w:szCs w:val="21"/>
        </w:rPr>
        <w:t>3~4万亩之间；</w:t>
      </w:r>
      <w:r>
        <w:rPr>
          <w:rFonts w:hint="eastAsia" w:ascii="宋体" w:hAnsi="宋体" w:eastAsia="宋体" w:cs="宋体"/>
          <w:color w:val="auto"/>
          <w:sz w:val="21"/>
          <w:szCs w:val="21"/>
        </w:rPr>
        <w:t xml:space="preserve"> </w:t>
      </w:r>
      <w:r>
        <w:rPr>
          <w:rFonts w:hint="eastAsia" w:ascii="宋体" w:hAnsi="宋体" w:eastAsia="宋体" w:cs="宋体"/>
          <w:color w:val="auto"/>
          <w:spacing w:val="-2"/>
          <w:sz w:val="21"/>
          <w:szCs w:val="21"/>
        </w:rPr>
        <w:t>而蕉江乡、咸水镇、咸水林场的松树面积较少，均低于</w:t>
      </w:r>
      <w:r>
        <w:rPr>
          <w:rFonts w:hint="eastAsia" w:ascii="宋体" w:hAnsi="宋体" w:eastAsia="宋体" w:cs="宋体"/>
          <w:color w:val="auto"/>
          <w:spacing w:val="-57"/>
          <w:sz w:val="21"/>
          <w:szCs w:val="21"/>
        </w:rPr>
        <w:t xml:space="preserve"> </w:t>
      </w:r>
      <w:r>
        <w:rPr>
          <w:rFonts w:hint="eastAsia" w:ascii="宋体" w:hAnsi="宋体" w:eastAsia="宋体" w:cs="宋体"/>
          <w:color w:val="auto"/>
          <w:spacing w:val="-2"/>
          <w:sz w:val="21"/>
          <w:szCs w:val="21"/>
        </w:rPr>
        <w:t>2万亩。</w:t>
      </w:r>
      <w:r>
        <w:rPr>
          <w:rFonts w:hint="eastAsia" w:ascii="宋体" w:hAnsi="宋体" w:eastAsia="宋体" w:cs="宋体"/>
          <w:b/>
          <w:bCs/>
          <w:color w:val="auto"/>
          <w:spacing w:val="-2"/>
          <w:sz w:val="21"/>
          <w:szCs w:val="21"/>
        </w:rPr>
        <w:t>全州县各乡镇松树面积及蓄积情况表</w:t>
      </w:r>
    </w:p>
    <w:tbl>
      <w:tblPr>
        <w:tblStyle w:val="32"/>
        <w:tblW w:w="90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1"/>
        <w:gridCol w:w="1769"/>
        <w:gridCol w:w="1992"/>
        <w:gridCol w:w="2059"/>
        <w:gridCol w:w="1997"/>
      </w:tblGrid>
      <w:tr w14:paraId="3E641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91" w:type="dxa"/>
            <w:vAlign w:val="top"/>
          </w:tcPr>
          <w:p w14:paraId="688641E3">
            <w:pPr>
              <w:spacing w:before="56" w:line="229" w:lineRule="auto"/>
              <w:ind w:left="188"/>
              <w:rPr>
                <w:rFonts w:hint="eastAsia" w:ascii="宋体" w:hAnsi="宋体" w:eastAsia="宋体" w:cs="宋体"/>
                <w:color w:val="auto"/>
                <w:sz w:val="21"/>
                <w:szCs w:val="21"/>
              </w:rPr>
            </w:pPr>
            <w:r>
              <w:rPr>
                <w:rFonts w:hint="eastAsia" w:ascii="宋体" w:hAnsi="宋体" w:eastAsia="宋体" w:cs="宋体"/>
                <w:b/>
                <w:bCs/>
                <w:color w:val="auto"/>
                <w:spacing w:val="4"/>
                <w:sz w:val="21"/>
                <w:szCs w:val="21"/>
              </w:rPr>
              <w:t>统计单位</w:t>
            </w:r>
          </w:p>
        </w:tc>
        <w:tc>
          <w:tcPr>
            <w:tcW w:w="1769" w:type="dxa"/>
            <w:vAlign w:val="top"/>
          </w:tcPr>
          <w:p w14:paraId="4DCB8A64">
            <w:pPr>
              <w:spacing w:before="55" w:line="232" w:lineRule="auto"/>
              <w:ind w:left="264"/>
              <w:rPr>
                <w:rFonts w:hint="eastAsia" w:ascii="宋体" w:hAnsi="宋体" w:eastAsia="宋体" w:cs="宋体"/>
                <w:color w:val="auto"/>
                <w:sz w:val="21"/>
                <w:szCs w:val="21"/>
              </w:rPr>
            </w:pPr>
            <w:r>
              <w:rPr>
                <w:rFonts w:hint="eastAsia" w:ascii="宋体" w:hAnsi="宋体" w:eastAsia="宋体" w:cs="宋体"/>
                <w:b/>
                <w:bCs/>
                <w:color w:val="auto"/>
                <w:spacing w:val="3"/>
                <w:sz w:val="21"/>
                <w:szCs w:val="21"/>
              </w:rPr>
              <w:t>面积（万亩）</w:t>
            </w:r>
          </w:p>
        </w:tc>
        <w:tc>
          <w:tcPr>
            <w:tcW w:w="1992" w:type="dxa"/>
            <w:vAlign w:val="top"/>
          </w:tcPr>
          <w:p w14:paraId="4F7C881B">
            <w:pPr>
              <w:spacing w:before="55" w:line="232" w:lineRule="auto"/>
              <w:ind w:left="274"/>
              <w:rPr>
                <w:rFonts w:hint="eastAsia" w:ascii="宋体" w:hAnsi="宋体" w:eastAsia="宋体" w:cs="宋体"/>
                <w:color w:val="auto"/>
                <w:sz w:val="21"/>
                <w:szCs w:val="21"/>
              </w:rPr>
            </w:pPr>
            <w:r>
              <w:rPr>
                <w:rFonts w:hint="eastAsia" w:ascii="宋体" w:hAnsi="宋体" w:eastAsia="宋体" w:cs="宋体"/>
                <w:b/>
                <w:bCs/>
                <w:color w:val="auto"/>
                <w:spacing w:val="4"/>
                <w:sz w:val="21"/>
                <w:szCs w:val="21"/>
              </w:rPr>
              <w:t>面积占比（%）</w:t>
            </w:r>
          </w:p>
        </w:tc>
        <w:tc>
          <w:tcPr>
            <w:tcW w:w="2059" w:type="dxa"/>
            <w:vAlign w:val="top"/>
          </w:tcPr>
          <w:p w14:paraId="0454CE2E">
            <w:pPr>
              <w:spacing w:before="56" w:line="231" w:lineRule="auto"/>
              <w:ind w:left="204"/>
              <w:rPr>
                <w:rFonts w:hint="eastAsia" w:ascii="宋体" w:hAnsi="宋体" w:eastAsia="宋体" w:cs="宋体"/>
                <w:color w:val="auto"/>
                <w:sz w:val="21"/>
                <w:szCs w:val="21"/>
              </w:rPr>
            </w:pPr>
            <w:r>
              <w:rPr>
                <w:rFonts w:hint="eastAsia" w:ascii="宋体" w:hAnsi="宋体" w:eastAsia="宋体" w:cs="宋体"/>
                <w:b/>
                <w:bCs/>
                <w:color w:val="auto"/>
                <w:spacing w:val="4"/>
                <w:sz w:val="21"/>
                <w:szCs w:val="21"/>
              </w:rPr>
              <w:t>蓄积（万立方米）</w:t>
            </w:r>
          </w:p>
        </w:tc>
        <w:tc>
          <w:tcPr>
            <w:tcW w:w="1997" w:type="dxa"/>
            <w:vAlign w:val="top"/>
          </w:tcPr>
          <w:p w14:paraId="51BD03AA">
            <w:pPr>
              <w:spacing w:before="56" w:line="231" w:lineRule="auto"/>
              <w:ind w:left="276"/>
              <w:rPr>
                <w:rFonts w:hint="eastAsia" w:ascii="宋体" w:hAnsi="宋体" w:eastAsia="宋体" w:cs="宋体"/>
                <w:color w:val="auto"/>
                <w:sz w:val="21"/>
                <w:szCs w:val="21"/>
              </w:rPr>
            </w:pPr>
            <w:r>
              <w:rPr>
                <w:rFonts w:hint="eastAsia" w:ascii="宋体" w:hAnsi="宋体" w:eastAsia="宋体" w:cs="宋体"/>
                <w:b/>
                <w:bCs/>
                <w:color w:val="auto"/>
                <w:spacing w:val="4"/>
                <w:sz w:val="21"/>
                <w:szCs w:val="21"/>
              </w:rPr>
              <w:t>蓄积占比（%）</w:t>
            </w:r>
          </w:p>
        </w:tc>
      </w:tr>
      <w:tr w14:paraId="6EFD7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91" w:type="dxa"/>
            <w:vAlign w:val="top"/>
          </w:tcPr>
          <w:p w14:paraId="16A401F4">
            <w:pPr>
              <w:spacing w:before="51" w:line="231" w:lineRule="auto"/>
              <w:ind w:left="187"/>
              <w:rPr>
                <w:rFonts w:hint="eastAsia" w:ascii="宋体" w:hAnsi="宋体" w:eastAsia="宋体" w:cs="宋体"/>
                <w:color w:val="auto"/>
                <w:sz w:val="21"/>
                <w:szCs w:val="21"/>
              </w:rPr>
            </w:pPr>
            <w:r>
              <w:rPr>
                <w:rFonts w:hint="eastAsia" w:ascii="宋体" w:hAnsi="宋体" w:eastAsia="宋体" w:cs="宋体"/>
                <w:color w:val="auto"/>
                <w:spacing w:val="5"/>
                <w:sz w:val="21"/>
                <w:szCs w:val="21"/>
              </w:rPr>
              <w:t>咸水林场</w:t>
            </w:r>
          </w:p>
        </w:tc>
        <w:tc>
          <w:tcPr>
            <w:tcW w:w="1769" w:type="dxa"/>
            <w:vAlign w:val="top"/>
          </w:tcPr>
          <w:p w14:paraId="689049E6">
            <w:pPr>
              <w:spacing w:before="87" w:line="195" w:lineRule="auto"/>
              <w:ind w:left="703"/>
              <w:rPr>
                <w:rFonts w:hint="eastAsia" w:ascii="宋体" w:hAnsi="宋体" w:eastAsia="宋体" w:cs="宋体"/>
                <w:color w:val="auto"/>
                <w:sz w:val="21"/>
                <w:szCs w:val="21"/>
              </w:rPr>
            </w:pPr>
            <w:r>
              <w:rPr>
                <w:rFonts w:hint="eastAsia" w:ascii="宋体" w:hAnsi="宋体" w:eastAsia="宋体" w:cs="宋体"/>
                <w:color w:val="auto"/>
                <w:spacing w:val="2"/>
                <w:sz w:val="21"/>
                <w:szCs w:val="21"/>
              </w:rPr>
              <w:t>0.31</w:t>
            </w:r>
          </w:p>
        </w:tc>
        <w:tc>
          <w:tcPr>
            <w:tcW w:w="1992" w:type="dxa"/>
            <w:vAlign w:val="top"/>
          </w:tcPr>
          <w:p w14:paraId="3278261F">
            <w:pPr>
              <w:spacing w:before="87" w:line="195" w:lineRule="auto"/>
              <w:ind w:left="815"/>
              <w:rPr>
                <w:rFonts w:hint="eastAsia" w:ascii="宋体" w:hAnsi="宋体" w:eastAsia="宋体" w:cs="宋体"/>
                <w:color w:val="auto"/>
                <w:sz w:val="21"/>
                <w:szCs w:val="21"/>
              </w:rPr>
            </w:pPr>
            <w:r>
              <w:rPr>
                <w:rFonts w:hint="eastAsia" w:ascii="宋体" w:hAnsi="宋体" w:eastAsia="宋体" w:cs="宋体"/>
                <w:color w:val="auto"/>
                <w:spacing w:val="2"/>
                <w:sz w:val="21"/>
                <w:szCs w:val="21"/>
              </w:rPr>
              <w:t>0.51</w:t>
            </w:r>
          </w:p>
        </w:tc>
        <w:tc>
          <w:tcPr>
            <w:tcW w:w="2059" w:type="dxa"/>
            <w:vAlign w:val="top"/>
          </w:tcPr>
          <w:p w14:paraId="34C7A4A8">
            <w:pPr>
              <w:spacing w:before="87" w:line="195" w:lineRule="auto"/>
              <w:ind w:left="868"/>
              <w:rPr>
                <w:rFonts w:hint="eastAsia" w:ascii="宋体" w:hAnsi="宋体" w:eastAsia="宋体" w:cs="宋体"/>
                <w:color w:val="auto"/>
                <w:sz w:val="21"/>
                <w:szCs w:val="21"/>
              </w:rPr>
            </w:pPr>
            <w:r>
              <w:rPr>
                <w:rFonts w:hint="eastAsia" w:ascii="宋体" w:hAnsi="宋体" w:eastAsia="宋体" w:cs="宋体"/>
                <w:color w:val="auto"/>
                <w:spacing w:val="-2"/>
                <w:sz w:val="21"/>
                <w:szCs w:val="21"/>
              </w:rPr>
              <w:t>1.81</w:t>
            </w:r>
          </w:p>
        </w:tc>
        <w:tc>
          <w:tcPr>
            <w:tcW w:w="1997" w:type="dxa"/>
            <w:vAlign w:val="top"/>
          </w:tcPr>
          <w:p w14:paraId="37FD8D5F">
            <w:pPr>
              <w:spacing w:before="87" w:line="195" w:lineRule="auto"/>
              <w:ind w:left="818"/>
              <w:rPr>
                <w:rFonts w:hint="eastAsia" w:ascii="宋体" w:hAnsi="宋体" w:eastAsia="宋体" w:cs="宋体"/>
                <w:color w:val="auto"/>
                <w:sz w:val="21"/>
                <w:szCs w:val="21"/>
              </w:rPr>
            </w:pPr>
            <w:r>
              <w:rPr>
                <w:rFonts w:hint="eastAsia" w:ascii="宋体" w:hAnsi="宋体" w:eastAsia="宋体" w:cs="宋体"/>
                <w:color w:val="auto"/>
                <w:spacing w:val="2"/>
                <w:sz w:val="21"/>
                <w:szCs w:val="21"/>
              </w:rPr>
              <w:t>0.45</w:t>
            </w:r>
          </w:p>
        </w:tc>
      </w:tr>
      <w:tr w14:paraId="36452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91" w:type="dxa"/>
            <w:vAlign w:val="top"/>
          </w:tcPr>
          <w:p w14:paraId="561408AF">
            <w:pPr>
              <w:spacing w:before="51" w:line="232" w:lineRule="auto"/>
              <w:ind w:left="293"/>
              <w:rPr>
                <w:rFonts w:hint="eastAsia" w:ascii="宋体" w:hAnsi="宋体" w:eastAsia="宋体" w:cs="宋体"/>
                <w:color w:val="auto"/>
                <w:sz w:val="21"/>
                <w:szCs w:val="21"/>
              </w:rPr>
            </w:pPr>
            <w:r>
              <w:rPr>
                <w:rFonts w:hint="eastAsia" w:ascii="宋体" w:hAnsi="宋体" w:eastAsia="宋体" w:cs="宋体"/>
                <w:color w:val="auto"/>
                <w:spacing w:val="4"/>
                <w:sz w:val="21"/>
                <w:szCs w:val="21"/>
              </w:rPr>
              <w:t>咸水镇</w:t>
            </w:r>
          </w:p>
        </w:tc>
        <w:tc>
          <w:tcPr>
            <w:tcW w:w="1769" w:type="dxa"/>
            <w:vAlign w:val="top"/>
          </w:tcPr>
          <w:p w14:paraId="2F6929AC">
            <w:pPr>
              <w:spacing w:before="87" w:line="195" w:lineRule="auto"/>
              <w:ind w:left="703"/>
              <w:rPr>
                <w:rFonts w:hint="eastAsia" w:ascii="宋体" w:hAnsi="宋体" w:eastAsia="宋体" w:cs="宋体"/>
                <w:color w:val="auto"/>
                <w:sz w:val="21"/>
                <w:szCs w:val="21"/>
              </w:rPr>
            </w:pPr>
            <w:r>
              <w:rPr>
                <w:rFonts w:hint="eastAsia" w:ascii="宋体" w:hAnsi="宋体" w:eastAsia="宋体" w:cs="宋体"/>
                <w:color w:val="auto"/>
                <w:spacing w:val="2"/>
                <w:sz w:val="21"/>
                <w:szCs w:val="21"/>
              </w:rPr>
              <w:t>0.89</w:t>
            </w:r>
          </w:p>
        </w:tc>
        <w:tc>
          <w:tcPr>
            <w:tcW w:w="1992" w:type="dxa"/>
            <w:vAlign w:val="top"/>
          </w:tcPr>
          <w:p w14:paraId="5F391E60">
            <w:pPr>
              <w:spacing w:before="87" w:line="195" w:lineRule="auto"/>
              <w:ind w:left="832"/>
              <w:rPr>
                <w:rFonts w:hint="eastAsia" w:ascii="宋体" w:hAnsi="宋体" w:eastAsia="宋体" w:cs="宋体"/>
                <w:color w:val="auto"/>
                <w:sz w:val="21"/>
                <w:szCs w:val="21"/>
              </w:rPr>
            </w:pPr>
            <w:r>
              <w:rPr>
                <w:rFonts w:hint="eastAsia" w:ascii="宋体" w:hAnsi="宋体" w:eastAsia="宋体" w:cs="宋体"/>
                <w:color w:val="auto"/>
                <w:spacing w:val="-2"/>
                <w:sz w:val="21"/>
                <w:szCs w:val="21"/>
              </w:rPr>
              <w:t>1.45</w:t>
            </w:r>
          </w:p>
        </w:tc>
        <w:tc>
          <w:tcPr>
            <w:tcW w:w="2059" w:type="dxa"/>
            <w:vAlign w:val="top"/>
          </w:tcPr>
          <w:p w14:paraId="6EF9FC7B">
            <w:pPr>
              <w:spacing w:before="87" w:line="195" w:lineRule="auto"/>
              <w:ind w:left="854"/>
              <w:rPr>
                <w:rFonts w:hint="eastAsia" w:ascii="宋体" w:hAnsi="宋体" w:eastAsia="宋体" w:cs="宋体"/>
                <w:color w:val="auto"/>
                <w:sz w:val="21"/>
                <w:szCs w:val="21"/>
              </w:rPr>
            </w:pPr>
            <w:r>
              <w:rPr>
                <w:rFonts w:hint="eastAsia" w:ascii="宋体" w:hAnsi="宋体" w:eastAsia="宋体" w:cs="宋体"/>
                <w:color w:val="auto"/>
                <w:spacing w:val="2"/>
                <w:sz w:val="21"/>
                <w:szCs w:val="21"/>
              </w:rPr>
              <w:t>5.76</w:t>
            </w:r>
          </w:p>
        </w:tc>
        <w:tc>
          <w:tcPr>
            <w:tcW w:w="1997" w:type="dxa"/>
            <w:vAlign w:val="top"/>
          </w:tcPr>
          <w:p w14:paraId="4A877E12">
            <w:pPr>
              <w:spacing w:before="87" w:line="195" w:lineRule="auto"/>
              <w:ind w:left="835"/>
              <w:rPr>
                <w:rFonts w:hint="eastAsia" w:ascii="宋体" w:hAnsi="宋体" w:eastAsia="宋体" w:cs="宋体"/>
                <w:color w:val="auto"/>
                <w:sz w:val="21"/>
                <w:szCs w:val="21"/>
              </w:rPr>
            </w:pPr>
            <w:r>
              <w:rPr>
                <w:rFonts w:hint="eastAsia" w:ascii="宋体" w:hAnsi="宋体" w:eastAsia="宋体" w:cs="宋体"/>
                <w:color w:val="auto"/>
                <w:spacing w:val="-2"/>
                <w:sz w:val="21"/>
                <w:szCs w:val="21"/>
              </w:rPr>
              <w:t>1.43</w:t>
            </w:r>
          </w:p>
        </w:tc>
      </w:tr>
      <w:tr w14:paraId="48861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91" w:type="dxa"/>
            <w:vAlign w:val="top"/>
          </w:tcPr>
          <w:p w14:paraId="3A5E2372">
            <w:pPr>
              <w:spacing w:before="52" w:line="233" w:lineRule="auto"/>
              <w:ind w:left="296"/>
              <w:rPr>
                <w:rFonts w:hint="eastAsia" w:ascii="宋体" w:hAnsi="宋体" w:eastAsia="宋体" w:cs="宋体"/>
                <w:color w:val="auto"/>
                <w:sz w:val="21"/>
                <w:szCs w:val="21"/>
              </w:rPr>
            </w:pPr>
            <w:r>
              <w:rPr>
                <w:rFonts w:hint="eastAsia" w:ascii="宋体" w:hAnsi="宋体" w:eastAsia="宋体" w:cs="宋体"/>
                <w:color w:val="auto"/>
                <w:spacing w:val="3"/>
                <w:sz w:val="21"/>
                <w:szCs w:val="21"/>
              </w:rPr>
              <w:t>蕉江乡</w:t>
            </w:r>
          </w:p>
        </w:tc>
        <w:tc>
          <w:tcPr>
            <w:tcW w:w="1769" w:type="dxa"/>
            <w:vAlign w:val="top"/>
          </w:tcPr>
          <w:p w14:paraId="0318B133">
            <w:pPr>
              <w:spacing w:before="88" w:line="195" w:lineRule="auto"/>
              <w:ind w:left="720"/>
              <w:rPr>
                <w:rFonts w:hint="eastAsia" w:ascii="宋体" w:hAnsi="宋体" w:eastAsia="宋体" w:cs="宋体"/>
                <w:color w:val="auto"/>
                <w:sz w:val="21"/>
                <w:szCs w:val="21"/>
              </w:rPr>
            </w:pPr>
            <w:r>
              <w:rPr>
                <w:rFonts w:hint="eastAsia" w:ascii="宋体" w:hAnsi="宋体" w:eastAsia="宋体" w:cs="宋体"/>
                <w:color w:val="auto"/>
                <w:spacing w:val="-2"/>
                <w:sz w:val="21"/>
                <w:szCs w:val="21"/>
              </w:rPr>
              <w:t>1.38</w:t>
            </w:r>
          </w:p>
        </w:tc>
        <w:tc>
          <w:tcPr>
            <w:tcW w:w="1992" w:type="dxa"/>
            <w:vAlign w:val="top"/>
          </w:tcPr>
          <w:p w14:paraId="3747992F">
            <w:pPr>
              <w:spacing w:before="88" w:line="195" w:lineRule="auto"/>
              <w:ind w:left="812"/>
              <w:rPr>
                <w:rFonts w:hint="eastAsia" w:ascii="宋体" w:hAnsi="宋体" w:eastAsia="宋体" w:cs="宋体"/>
                <w:color w:val="auto"/>
                <w:sz w:val="21"/>
                <w:szCs w:val="21"/>
              </w:rPr>
            </w:pPr>
            <w:r>
              <w:rPr>
                <w:rFonts w:hint="eastAsia" w:ascii="宋体" w:hAnsi="宋体" w:eastAsia="宋体" w:cs="宋体"/>
                <w:color w:val="auto"/>
                <w:spacing w:val="3"/>
                <w:sz w:val="21"/>
                <w:szCs w:val="21"/>
              </w:rPr>
              <w:t>2.25</w:t>
            </w:r>
          </w:p>
        </w:tc>
        <w:tc>
          <w:tcPr>
            <w:tcW w:w="2059" w:type="dxa"/>
            <w:vAlign w:val="top"/>
          </w:tcPr>
          <w:p w14:paraId="7D7A52E9">
            <w:pPr>
              <w:spacing w:before="88" w:line="195" w:lineRule="auto"/>
              <w:ind w:left="816"/>
              <w:rPr>
                <w:rFonts w:hint="eastAsia" w:ascii="宋体" w:hAnsi="宋体" w:eastAsia="宋体" w:cs="宋体"/>
                <w:color w:val="auto"/>
                <w:sz w:val="21"/>
                <w:szCs w:val="21"/>
              </w:rPr>
            </w:pPr>
            <w:r>
              <w:rPr>
                <w:rFonts w:hint="eastAsia" w:ascii="宋体" w:hAnsi="宋体" w:eastAsia="宋体" w:cs="宋体"/>
                <w:color w:val="auto"/>
                <w:spacing w:val="-1"/>
                <w:sz w:val="21"/>
                <w:szCs w:val="21"/>
              </w:rPr>
              <w:t>11.41</w:t>
            </w:r>
          </w:p>
        </w:tc>
        <w:tc>
          <w:tcPr>
            <w:tcW w:w="1997" w:type="dxa"/>
            <w:vAlign w:val="top"/>
          </w:tcPr>
          <w:p w14:paraId="3D82CC7D">
            <w:pPr>
              <w:spacing w:before="88" w:line="195" w:lineRule="auto"/>
              <w:ind w:left="815"/>
              <w:rPr>
                <w:rFonts w:hint="eastAsia" w:ascii="宋体" w:hAnsi="宋体" w:eastAsia="宋体" w:cs="宋体"/>
                <w:color w:val="auto"/>
                <w:sz w:val="21"/>
                <w:szCs w:val="21"/>
              </w:rPr>
            </w:pPr>
            <w:r>
              <w:rPr>
                <w:rFonts w:hint="eastAsia" w:ascii="宋体" w:hAnsi="宋体" w:eastAsia="宋体" w:cs="宋体"/>
                <w:color w:val="auto"/>
                <w:spacing w:val="3"/>
                <w:sz w:val="21"/>
                <w:szCs w:val="21"/>
              </w:rPr>
              <w:t>2.84</w:t>
            </w:r>
          </w:p>
        </w:tc>
      </w:tr>
      <w:tr w14:paraId="064B5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91" w:type="dxa"/>
            <w:vAlign w:val="top"/>
          </w:tcPr>
          <w:p w14:paraId="0CE09298">
            <w:pPr>
              <w:spacing w:before="55" w:line="231" w:lineRule="auto"/>
              <w:ind w:left="186"/>
              <w:rPr>
                <w:rFonts w:hint="eastAsia" w:ascii="宋体" w:hAnsi="宋体" w:eastAsia="宋体" w:cs="宋体"/>
                <w:color w:val="auto"/>
                <w:sz w:val="21"/>
                <w:szCs w:val="21"/>
              </w:rPr>
            </w:pPr>
            <w:r>
              <w:rPr>
                <w:rFonts w:hint="eastAsia" w:ascii="宋体" w:hAnsi="宋体" w:eastAsia="宋体" w:cs="宋体"/>
                <w:color w:val="auto"/>
                <w:spacing w:val="5"/>
                <w:sz w:val="21"/>
                <w:szCs w:val="21"/>
              </w:rPr>
              <w:t>黄沙河镇</w:t>
            </w:r>
          </w:p>
        </w:tc>
        <w:tc>
          <w:tcPr>
            <w:tcW w:w="1769" w:type="dxa"/>
            <w:vAlign w:val="top"/>
          </w:tcPr>
          <w:p w14:paraId="5937BF82">
            <w:pPr>
              <w:spacing w:before="91" w:line="195" w:lineRule="auto"/>
              <w:ind w:left="700"/>
              <w:rPr>
                <w:rFonts w:hint="eastAsia" w:ascii="宋体" w:hAnsi="宋体" w:eastAsia="宋体" w:cs="宋体"/>
                <w:color w:val="auto"/>
                <w:sz w:val="21"/>
                <w:szCs w:val="21"/>
              </w:rPr>
            </w:pPr>
            <w:r>
              <w:rPr>
                <w:rFonts w:hint="eastAsia" w:ascii="宋体" w:hAnsi="宋体" w:eastAsia="宋体" w:cs="宋体"/>
                <w:color w:val="auto"/>
                <w:spacing w:val="-3"/>
                <w:sz w:val="21"/>
                <w:szCs w:val="21"/>
              </w:rPr>
              <w:t>2.</w:t>
            </w:r>
            <w:r>
              <w:rPr>
                <w:rFonts w:hint="eastAsia" w:ascii="宋体" w:hAnsi="宋体" w:eastAsia="宋体" w:cs="宋体"/>
                <w:color w:val="auto"/>
                <w:spacing w:val="-25"/>
                <w:sz w:val="21"/>
                <w:szCs w:val="21"/>
              </w:rPr>
              <w:t xml:space="preserve"> </w:t>
            </w:r>
            <w:r>
              <w:rPr>
                <w:rFonts w:hint="eastAsia" w:ascii="宋体" w:hAnsi="宋体" w:eastAsia="宋体" w:cs="宋体"/>
                <w:color w:val="auto"/>
                <w:spacing w:val="-3"/>
                <w:sz w:val="21"/>
                <w:szCs w:val="21"/>
              </w:rPr>
              <w:t>12</w:t>
            </w:r>
          </w:p>
        </w:tc>
        <w:tc>
          <w:tcPr>
            <w:tcW w:w="1992" w:type="dxa"/>
            <w:vAlign w:val="top"/>
          </w:tcPr>
          <w:p w14:paraId="17989A01">
            <w:pPr>
              <w:spacing w:before="91" w:line="195" w:lineRule="auto"/>
              <w:ind w:left="816"/>
              <w:rPr>
                <w:rFonts w:hint="eastAsia" w:ascii="宋体" w:hAnsi="宋体" w:eastAsia="宋体" w:cs="宋体"/>
                <w:color w:val="auto"/>
                <w:sz w:val="21"/>
                <w:szCs w:val="21"/>
              </w:rPr>
            </w:pPr>
            <w:r>
              <w:rPr>
                <w:rFonts w:hint="eastAsia" w:ascii="宋体" w:hAnsi="宋体" w:eastAsia="宋体" w:cs="宋体"/>
                <w:color w:val="auto"/>
                <w:spacing w:val="2"/>
                <w:sz w:val="21"/>
                <w:szCs w:val="21"/>
              </w:rPr>
              <w:t>3.47</w:t>
            </w:r>
          </w:p>
        </w:tc>
        <w:tc>
          <w:tcPr>
            <w:tcW w:w="2059" w:type="dxa"/>
            <w:vAlign w:val="top"/>
          </w:tcPr>
          <w:p w14:paraId="556761D2">
            <w:pPr>
              <w:spacing w:before="91" w:line="195" w:lineRule="auto"/>
              <w:ind w:left="816"/>
              <w:rPr>
                <w:rFonts w:hint="eastAsia" w:ascii="宋体" w:hAnsi="宋体" w:eastAsia="宋体" w:cs="宋体"/>
                <w:color w:val="auto"/>
                <w:sz w:val="21"/>
                <w:szCs w:val="21"/>
              </w:rPr>
            </w:pPr>
            <w:r>
              <w:rPr>
                <w:rFonts w:hint="eastAsia" w:ascii="宋体" w:hAnsi="宋体" w:eastAsia="宋体" w:cs="宋体"/>
                <w:color w:val="auto"/>
                <w:spacing w:val="-1"/>
                <w:sz w:val="21"/>
                <w:szCs w:val="21"/>
              </w:rPr>
              <w:t>10.47</w:t>
            </w:r>
          </w:p>
        </w:tc>
        <w:tc>
          <w:tcPr>
            <w:tcW w:w="1997" w:type="dxa"/>
            <w:vAlign w:val="top"/>
          </w:tcPr>
          <w:p w14:paraId="0432632D">
            <w:pPr>
              <w:spacing w:before="91" w:line="195" w:lineRule="auto"/>
              <w:ind w:left="815"/>
              <w:rPr>
                <w:rFonts w:hint="eastAsia" w:ascii="宋体" w:hAnsi="宋体" w:eastAsia="宋体" w:cs="宋体"/>
                <w:color w:val="auto"/>
                <w:sz w:val="21"/>
                <w:szCs w:val="21"/>
              </w:rPr>
            </w:pPr>
            <w:r>
              <w:rPr>
                <w:rFonts w:hint="eastAsia" w:ascii="宋体" w:hAnsi="宋体" w:eastAsia="宋体" w:cs="宋体"/>
                <w:color w:val="auto"/>
                <w:spacing w:val="3"/>
                <w:sz w:val="21"/>
                <w:szCs w:val="21"/>
              </w:rPr>
              <w:t>2.61</w:t>
            </w:r>
          </w:p>
        </w:tc>
      </w:tr>
      <w:tr w14:paraId="2C106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91" w:type="dxa"/>
            <w:vAlign w:val="top"/>
          </w:tcPr>
          <w:p w14:paraId="334DC36D">
            <w:pPr>
              <w:spacing w:before="55" w:line="232" w:lineRule="auto"/>
              <w:ind w:left="295"/>
              <w:rPr>
                <w:rFonts w:hint="eastAsia" w:ascii="宋体" w:hAnsi="宋体" w:eastAsia="宋体" w:cs="宋体"/>
                <w:color w:val="auto"/>
                <w:sz w:val="21"/>
                <w:szCs w:val="21"/>
              </w:rPr>
            </w:pPr>
            <w:r>
              <w:rPr>
                <w:rFonts w:hint="eastAsia" w:ascii="宋体" w:hAnsi="宋体" w:eastAsia="宋体" w:cs="宋体"/>
                <w:color w:val="auto"/>
                <w:spacing w:val="4"/>
                <w:sz w:val="21"/>
                <w:szCs w:val="21"/>
              </w:rPr>
              <w:t>安和镇</w:t>
            </w:r>
          </w:p>
        </w:tc>
        <w:tc>
          <w:tcPr>
            <w:tcW w:w="1769" w:type="dxa"/>
            <w:vAlign w:val="top"/>
          </w:tcPr>
          <w:p w14:paraId="7EDAADCB">
            <w:pPr>
              <w:spacing w:before="91" w:line="195" w:lineRule="auto"/>
              <w:ind w:left="700"/>
              <w:rPr>
                <w:rFonts w:hint="eastAsia" w:ascii="宋体" w:hAnsi="宋体" w:eastAsia="宋体" w:cs="宋体"/>
                <w:color w:val="auto"/>
                <w:sz w:val="21"/>
                <w:szCs w:val="21"/>
              </w:rPr>
            </w:pPr>
            <w:r>
              <w:rPr>
                <w:rFonts w:hint="eastAsia" w:ascii="宋体" w:hAnsi="宋体" w:eastAsia="宋体" w:cs="宋体"/>
                <w:color w:val="auto"/>
                <w:spacing w:val="-3"/>
                <w:sz w:val="21"/>
                <w:szCs w:val="21"/>
              </w:rPr>
              <w:t>2.</w:t>
            </w:r>
            <w:r>
              <w:rPr>
                <w:rFonts w:hint="eastAsia" w:ascii="宋体" w:hAnsi="宋体" w:eastAsia="宋体" w:cs="宋体"/>
                <w:color w:val="auto"/>
                <w:spacing w:val="-25"/>
                <w:sz w:val="21"/>
                <w:szCs w:val="21"/>
              </w:rPr>
              <w:t xml:space="preserve"> </w:t>
            </w:r>
            <w:r>
              <w:rPr>
                <w:rFonts w:hint="eastAsia" w:ascii="宋体" w:hAnsi="宋体" w:eastAsia="宋体" w:cs="宋体"/>
                <w:color w:val="auto"/>
                <w:spacing w:val="-3"/>
                <w:sz w:val="21"/>
                <w:szCs w:val="21"/>
              </w:rPr>
              <w:t>14</w:t>
            </w:r>
          </w:p>
        </w:tc>
        <w:tc>
          <w:tcPr>
            <w:tcW w:w="1992" w:type="dxa"/>
            <w:vAlign w:val="top"/>
          </w:tcPr>
          <w:p w14:paraId="0A78106F">
            <w:pPr>
              <w:spacing w:before="91" w:line="195" w:lineRule="auto"/>
              <w:ind w:left="816"/>
              <w:rPr>
                <w:rFonts w:hint="eastAsia" w:ascii="宋体" w:hAnsi="宋体" w:eastAsia="宋体" w:cs="宋体"/>
                <w:color w:val="auto"/>
                <w:sz w:val="21"/>
                <w:szCs w:val="21"/>
              </w:rPr>
            </w:pPr>
            <w:r>
              <w:rPr>
                <w:rFonts w:hint="eastAsia" w:ascii="宋体" w:hAnsi="宋体" w:eastAsia="宋体" w:cs="宋体"/>
                <w:color w:val="auto"/>
                <w:spacing w:val="2"/>
                <w:sz w:val="21"/>
                <w:szCs w:val="21"/>
              </w:rPr>
              <w:t>3.50</w:t>
            </w:r>
          </w:p>
        </w:tc>
        <w:tc>
          <w:tcPr>
            <w:tcW w:w="2059" w:type="dxa"/>
            <w:vAlign w:val="top"/>
          </w:tcPr>
          <w:p w14:paraId="43DD49E1">
            <w:pPr>
              <w:spacing w:before="91" w:line="195" w:lineRule="auto"/>
              <w:ind w:left="816"/>
              <w:rPr>
                <w:rFonts w:hint="eastAsia" w:ascii="宋体" w:hAnsi="宋体" w:eastAsia="宋体" w:cs="宋体"/>
                <w:color w:val="auto"/>
                <w:sz w:val="21"/>
                <w:szCs w:val="21"/>
              </w:rPr>
            </w:pPr>
            <w:r>
              <w:rPr>
                <w:rFonts w:hint="eastAsia" w:ascii="宋体" w:hAnsi="宋体" w:eastAsia="宋体" w:cs="宋体"/>
                <w:color w:val="auto"/>
                <w:spacing w:val="-1"/>
                <w:sz w:val="21"/>
                <w:szCs w:val="21"/>
              </w:rPr>
              <w:t>18.68</w:t>
            </w:r>
          </w:p>
        </w:tc>
        <w:tc>
          <w:tcPr>
            <w:tcW w:w="1997" w:type="dxa"/>
            <w:vAlign w:val="top"/>
          </w:tcPr>
          <w:p w14:paraId="37E71B3A">
            <w:pPr>
              <w:spacing w:before="91" w:line="195" w:lineRule="auto"/>
              <w:ind w:left="814"/>
              <w:rPr>
                <w:rFonts w:hint="eastAsia" w:ascii="宋体" w:hAnsi="宋体" w:eastAsia="宋体" w:cs="宋体"/>
                <w:color w:val="auto"/>
                <w:sz w:val="21"/>
                <w:szCs w:val="21"/>
              </w:rPr>
            </w:pPr>
            <w:r>
              <w:rPr>
                <w:rFonts w:hint="eastAsia" w:ascii="宋体" w:hAnsi="宋体" w:eastAsia="宋体" w:cs="宋体"/>
                <w:color w:val="auto"/>
                <w:spacing w:val="3"/>
                <w:sz w:val="21"/>
                <w:szCs w:val="21"/>
              </w:rPr>
              <w:t>4.65</w:t>
            </w:r>
          </w:p>
        </w:tc>
      </w:tr>
      <w:tr w14:paraId="14BAB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91" w:type="dxa"/>
            <w:vAlign w:val="top"/>
          </w:tcPr>
          <w:p w14:paraId="4C50FFD3">
            <w:pPr>
              <w:spacing w:before="54" w:line="232" w:lineRule="auto"/>
              <w:ind w:left="189"/>
              <w:rPr>
                <w:rFonts w:hint="eastAsia" w:ascii="宋体" w:hAnsi="宋体" w:eastAsia="宋体" w:cs="宋体"/>
                <w:color w:val="auto"/>
                <w:sz w:val="21"/>
                <w:szCs w:val="21"/>
              </w:rPr>
            </w:pPr>
            <w:r>
              <w:rPr>
                <w:rFonts w:hint="eastAsia" w:ascii="宋体" w:hAnsi="宋体" w:eastAsia="宋体" w:cs="宋体"/>
                <w:color w:val="auto"/>
                <w:spacing w:val="5"/>
                <w:sz w:val="21"/>
                <w:szCs w:val="21"/>
              </w:rPr>
              <w:t>大西江镇</w:t>
            </w:r>
          </w:p>
        </w:tc>
        <w:tc>
          <w:tcPr>
            <w:tcW w:w="1769" w:type="dxa"/>
            <w:vAlign w:val="top"/>
          </w:tcPr>
          <w:p w14:paraId="0961C8ED">
            <w:pPr>
              <w:spacing w:before="91" w:line="195" w:lineRule="auto"/>
              <w:ind w:left="700"/>
              <w:rPr>
                <w:rFonts w:hint="eastAsia" w:ascii="宋体" w:hAnsi="宋体" w:eastAsia="宋体" w:cs="宋体"/>
                <w:color w:val="auto"/>
                <w:sz w:val="21"/>
                <w:szCs w:val="21"/>
              </w:rPr>
            </w:pPr>
            <w:r>
              <w:rPr>
                <w:rFonts w:hint="eastAsia" w:ascii="宋体" w:hAnsi="宋体" w:eastAsia="宋体" w:cs="宋体"/>
                <w:color w:val="auto"/>
                <w:spacing w:val="3"/>
                <w:sz w:val="21"/>
                <w:szCs w:val="21"/>
              </w:rPr>
              <w:t>2.27</w:t>
            </w:r>
          </w:p>
        </w:tc>
        <w:tc>
          <w:tcPr>
            <w:tcW w:w="1992" w:type="dxa"/>
            <w:vAlign w:val="top"/>
          </w:tcPr>
          <w:p w14:paraId="754F8E17">
            <w:pPr>
              <w:spacing w:before="91" w:line="195" w:lineRule="auto"/>
              <w:ind w:left="816"/>
              <w:rPr>
                <w:rFonts w:hint="eastAsia" w:ascii="宋体" w:hAnsi="宋体" w:eastAsia="宋体" w:cs="宋体"/>
                <w:color w:val="auto"/>
                <w:sz w:val="21"/>
                <w:szCs w:val="21"/>
              </w:rPr>
            </w:pPr>
            <w:r>
              <w:rPr>
                <w:rFonts w:hint="eastAsia" w:ascii="宋体" w:hAnsi="宋体" w:eastAsia="宋体" w:cs="宋体"/>
                <w:color w:val="auto"/>
                <w:spacing w:val="2"/>
                <w:sz w:val="21"/>
                <w:szCs w:val="21"/>
              </w:rPr>
              <w:t>3.71</w:t>
            </w:r>
          </w:p>
        </w:tc>
        <w:tc>
          <w:tcPr>
            <w:tcW w:w="2059" w:type="dxa"/>
            <w:vAlign w:val="top"/>
          </w:tcPr>
          <w:p w14:paraId="48436C62">
            <w:pPr>
              <w:spacing w:before="91" w:line="195" w:lineRule="auto"/>
              <w:ind w:left="816"/>
              <w:rPr>
                <w:rFonts w:hint="eastAsia" w:ascii="宋体" w:hAnsi="宋体" w:eastAsia="宋体" w:cs="宋体"/>
                <w:color w:val="auto"/>
                <w:sz w:val="21"/>
                <w:szCs w:val="21"/>
              </w:rPr>
            </w:pPr>
            <w:r>
              <w:rPr>
                <w:rFonts w:hint="eastAsia" w:ascii="宋体" w:hAnsi="宋体" w:eastAsia="宋体" w:cs="宋体"/>
                <w:color w:val="auto"/>
                <w:spacing w:val="-1"/>
                <w:sz w:val="21"/>
                <w:szCs w:val="21"/>
              </w:rPr>
              <w:t>14.31</w:t>
            </w:r>
          </w:p>
        </w:tc>
        <w:tc>
          <w:tcPr>
            <w:tcW w:w="1997" w:type="dxa"/>
            <w:vAlign w:val="top"/>
          </w:tcPr>
          <w:p w14:paraId="2A219B1B">
            <w:pPr>
              <w:spacing w:before="91" w:line="195" w:lineRule="auto"/>
              <w:ind w:left="819"/>
              <w:rPr>
                <w:rFonts w:hint="eastAsia" w:ascii="宋体" w:hAnsi="宋体" w:eastAsia="宋体" w:cs="宋体"/>
                <w:color w:val="auto"/>
                <w:sz w:val="21"/>
                <w:szCs w:val="21"/>
              </w:rPr>
            </w:pPr>
            <w:r>
              <w:rPr>
                <w:rFonts w:hint="eastAsia" w:ascii="宋体" w:hAnsi="宋体" w:eastAsia="宋体" w:cs="宋体"/>
                <w:color w:val="auto"/>
                <w:spacing w:val="2"/>
                <w:sz w:val="21"/>
                <w:szCs w:val="21"/>
              </w:rPr>
              <w:t>3.56</w:t>
            </w:r>
          </w:p>
        </w:tc>
      </w:tr>
      <w:tr w14:paraId="75764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91" w:type="dxa"/>
            <w:vAlign w:val="top"/>
          </w:tcPr>
          <w:p w14:paraId="02C1A35F">
            <w:pPr>
              <w:spacing w:before="54" w:line="232" w:lineRule="auto"/>
              <w:ind w:left="294"/>
              <w:rPr>
                <w:rFonts w:hint="eastAsia" w:ascii="宋体" w:hAnsi="宋体" w:eastAsia="宋体" w:cs="宋体"/>
                <w:color w:val="auto"/>
                <w:sz w:val="21"/>
                <w:szCs w:val="21"/>
              </w:rPr>
            </w:pPr>
            <w:r>
              <w:rPr>
                <w:rFonts w:hint="eastAsia" w:ascii="宋体" w:hAnsi="宋体" w:eastAsia="宋体" w:cs="宋体"/>
                <w:color w:val="auto"/>
                <w:spacing w:val="4"/>
                <w:sz w:val="21"/>
                <w:szCs w:val="21"/>
              </w:rPr>
              <w:t>绍水镇</w:t>
            </w:r>
          </w:p>
        </w:tc>
        <w:tc>
          <w:tcPr>
            <w:tcW w:w="1769" w:type="dxa"/>
            <w:vAlign w:val="top"/>
          </w:tcPr>
          <w:p w14:paraId="6710C542">
            <w:pPr>
              <w:spacing w:before="90" w:line="195" w:lineRule="auto"/>
              <w:ind w:left="700"/>
              <w:rPr>
                <w:rFonts w:hint="eastAsia" w:ascii="宋体" w:hAnsi="宋体" w:eastAsia="宋体" w:cs="宋体"/>
                <w:color w:val="auto"/>
                <w:sz w:val="21"/>
                <w:szCs w:val="21"/>
              </w:rPr>
            </w:pPr>
            <w:r>
              <w:rPr>
                <w:rFonts w:hint="eastAsia" w:ascii="宋体" w:hAnsi="宋体" w:eastAsia="宋体" w:cs="宋体"/>
                <w:color w:val="auto"/>
                <w:spacing w:val="3"/>
                <w:sz w:val="21"/>
                <w:szCs w:val="21"/>
              </w:rPr>
              <w:t>2.64</w:t>
            </w:r>
          </w:p>
        </w:tc>
        <w:tc>
          <w:tcPr>
            <w:tcW w:w="1992" w:type="dxa"/>
            <w:vAlign w:val="top"/>
          </w:tcPr>
          <w:p w14:paraId="5D1510D8">
            <w:pPr>
              <w:spacing w:before="90" w:line="195" w:lineRule="auto"/>
              <w:ind w:left="811"/>
              <w:rPr>
                <w:rFonts w:hint="eastAsia" w:ascii="宋体" w:hAnsi="宋体" w:eastAsia="宋体" w:cs="宋体"/>
                <w:color w:val="auto"/>
                <w:sz w:val="21"/>
                <w:szCs w:val="21"/>
              </w:rPr>
            </w:pPr>
            <w:r>
              <w:rPr>
                <w:rFonts w:hint="eastAsia" w:ascii="宋体" w:hAnsi="宋体" w:eastAsia="宋体" w:cs="宋体"/>
                <w:color w:val="auto"/>
                <w:spacing w:val="3"/>
                <w:sz w:val="21"/>
                <w:szCs w:val="21"/>
              </w:rPr>
              <w:t>4.32</w:t>
            </w:r>
          </w:p>
        </w:tc>
        <w:tc>
          <w:tcPr>
            <w:tcW w:w="2059" w:type="dxa"/>
            <w:vAlign w:val="top"/>
          </w:tcPr>
          <w:p w14:paraId="4C66916C">
            <w:pPr>
              <w:spacing w:before="90" w:line="195" w:lineRule="auto"/>
              <w:ind w:left="795"/>
              <w:rPr>
                <w:rFonts w:hint="eastAsia" w:ascii="宋体" w:hAnsi="宋体" w:eastAsia="宋体" w:cs="宋体"/>
                <w:color w:val="auto"/>
                <w:sz w:val="21"/>
                <w:szCs w:val="21"/>
              </w:rPr>
            </w:pPr>
            <w:r>
              <w:rPr>
                <w:rFonts w:hint="eastAsia" w:ascii="宋体" w:hAnsi="宋体" w:eastAsia="宋体" w:cs="宋体"/>
                <w:color w:val="auto"/>
                <w:spacing w:val="3"/>
                <w:sz w:val="21"/>
                <w:szCs w:val="21"/>
              </w:rPr>
              <w:t>20.07</w:t>
            </w:r>
          </w:p>
        </w:tc>
        <w:tc>
          <w:tcPr>
            <w:tcW w:w="1997" w:type="dxa"/>
            <w:vAlign w:val="top"/>
          </w:tcPr>
          <w:p w14:paraId="78A7A44B">
            <w:pPr>
              <w:spacing w:before="90" w:line="195" w:lineRule="auto"/>
              <w:ind w:left="814"/>
              <w:rPr>
                <w:rFonts w:hint="eastAsia" w:ascii="宋体" w:hAnsi="宋体" w:eastAsia="宋体" w:cs="宋体"/>
                <w:color w:val="auto"/>
                <w:sz w:val="21"/>
                <w:szCs w:val="21"/>
              </w:rPr>
            </w:pPr>
            <w:r>
              <w:rPr>
                <w:rFonts w:hint="eastAsia" w:ascii="宋体" w:hAnsi="宋体" w:eastAsia="宋体" w:cs="宋体"/>
                <w:color w:val="auto"/>
                <w:spacing w:val="3"/>
                <w:sz w:val="21"/>
                <w:szCs w:val="21"/>
              </w:rPr>
              <w:t>4.99</w:t>
            </w:r>
          </w:p>
        </w:tc>
      </w:tr>
      <w:tr w14:paraId="209B8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91" w:type="dxa"/>
            <w:vAlign w:val="top"/>
          </w:tcPr>
          <w:p w14:paraId="6F93DB3A">
            <w:pPr>
              <w:spacing w:before="54" w:line="233" w:lineRule="auto"/>
              <w:ind w:left="323"/>
              <w:rPr>
                <w:rFonts w:hint="eastAsia" w:ascii="宋体" w:hAnsi="宋体" w:eastAsia="宋体" w:cs="宋体"/>
                <w:color w:val="auto"/>
                <w:sz w:val="21"/>
                <w:szCs w:val="21"/>
              </w:rPr>
            </w:pPr>
            <w:r>
              <w:rPr>
                <w:rFonts w:hint="eastAsia" w:ascii="宋体" w:hAnsi="宋体" w:eastAsia="宋体" w:cs="宋体"/>
                <w:color w:val="auto"/>
                <w:spacing w:val="-6"/>
                <w:sz w:val="21"/>
                <w:szCs w:val="21"/>
              </w:rPr>
              <w:t>白宝乡</w:t>
            </w:r>
          </w:p>
        </w:tc>
        <w:tc>
          <w:tcPr>
            <w:tcW w:w="1769" w:type="dxa"/>
            <w:vAlign w:val="top"/>
          </w:tcPr>
          <w:p w14:paraId="719B2861">
            <w:pPr>
              <w:spacing w:before="90" w:line="195" w:lineRule="auto"/>
              <w:ind w:left="700"/>
              <w:rPr>
                <w:rFonts w:hint="eastAsia" w:ascii="宋体" w:hAnsi="宋体" w:eastAsia="宋体" w:cs="宋体"/>
                <w:color w:val="auto"/>
                <w:sz w:val="21"/>
                <w:szCs w:val="21"/>
              </w:rPr>
            </w:pPr>
            <w:r>
              <w:rPr>
                <w:rFonts w:hint="eastAsia" w:ascii="宋体" w:hAnsi="宋体" w:eastAsia="宋体" w:cs="宋体"/>
                <w:color w:val="auto"/>
                <w:spacing w:val="3"/>
                <w:sz w:val="21"/>
                <w:szCs w:val="21"/>
              </w:rPr>
              <w:t>2.88</w:t>
            </w:r>
          </w:p>
        </w:tc>
        <w:tc>
          <w:tcPr>
            <w:tcW w:w="1992" w:type="dxa"/>
            <w:vAlign w:val="top"/>
          </w:tcPr>
          <w:p w14:paraId="011170F6">
            <w:pPr>
              <w:spacing w:before="90" w:line="195" w:lineRule="auto"/>
              <w:ind w:left="811"/>
              <w:rPr>
                <w:rFonts w:hint="eastAsia" w:ascii="宋体" w:hAnsi="宋体" w:eastAsia="宋体" w:cs="宋体"/>
                <w:color w:val="auto"/>
                <w:sz w:val="21"/>
                <w:szCs w:val="21"/>
              </w:rPr>
            </w:pPr>
            <w:r>
              <w:rPr>
                <w:rFonts w:hint="eastAsia" w:ascii="宋体" w:hAnsi="宋体" w:eastAsia="宋体" w:cs="宋体"/>
                <w:color w:val="auto"/>
                <w:spacing w:val="3"/>
                <w:sz w:val="21"/>
                <w:szCs w:val="21"/>
              </w:rPr>
              <w:t>4.71</w:t>
            </w:r>
          </w:p>
        </w:tc>
        <w:tc>
          <w:tcPr>
            <w:tcW w:w="2059" w:type="dxa"/>
            <w:vAlign w:val="top"/>
          </w:tcPr>
          <w:p w14:paraId="6FF9C619">
            <w:pPr>
              <w:spacing w:before="90" w:line="195" w:lineRule="auto"/>
              <w:ind w:left="795"/>
              <w:rPr>
                <w:rFonts w:hint="eastAsia" w:ascii="宋体" w:hAnsi="宋体" w:eastAsia="宋体" w:cs="宋体"/>
                <w:color w:val="auto"/>
                <w:sz w:val="21"/>
                <w:szCs w:val="21"/>
              </w:rPr>
            </w:pPr>
            <w:r>
              <w:rPr>
                <w:rFonts w:hint="eastAsia" w:ascii="宋体" w:hAnsi="宋体" w:eastAsia="宋体" w:cs="宋体"/>
                <w:color w:val="auto"/>
                <w:spacing w:val="3"/>
                <w:sz w:val="21"/>
                <w:szCs w:val="21"/>
              </w:rPr>
              <w:t>20.68</w:t>
            </w:r>
          </w:p>
        </w:tc>
        <w:tc>
          <w:tcPr>
            <w:tcW w:w="1997" w:type="dxa"/>
            <w:vAlign w:val="top"/>
          </w:tcPr>
          <w:p w14:paraId="048A34A0">
            <w:pPr>
              <w:spacing w:before="90" w:line="195" w:lineRule="auto"/>
              <w:ind w:left="821"/>
              <w:rPr>
                <w:rFonts w:hint="eastAsia" w:ascii="宋体" w:hAnsi="宋体" w:eastAsia="宋体" w:cs="宋体"/>
                <w:color w:val="auto"/>
                <w:sz w:val="21"/>
                <w:szCs w:val="21"/>
              </w:rPr>
            </w:pPr>
            <w:r>
              <w:rPr>
                <w:rFonts w:hint="eastAsia" w:ascii="宋体" w:hAnsi="宋体" w:eastAsia="宋体" w:cs="宋体"/>
                <w:color w:val="auto"/>
                <w:spacing w:val="-5"/>
                <w:sz w:val="21"/>
                <w:szCs w:val="21"/>
              </w:rPr>
              <w:t>5.</w:t>
            </w:r>
            <w:r>
              <w:rPr>
                <w:rFonts w:hint="eastAsia" w:ascii="宋体" w:hAnsi="宋体" w:eastAsia="宋体" w:cs="宋体"/>
                <w:color w:val="auto"/>
                <w:spacing w:val="-23"/>
                <w:sz w:val="21"/>
                <w:szCs w:val="21"/>
              </w:rPr>
              <w:t xml:space="preserve"> </w:t>
            </w:r>
            <w:r>
              <w:rPr>
                <w:rFonts w:hint="eastAsia" w:ascii="宋体" w:hAnsi="宋体" w:eastAsia="宋体" w:cs="宋体"/>
                <w:color w:val="auto"/>
                <w:spacing w:val="-5"/>
                <w:sz w:val="21"/>
                <w:szCs w:val="21"/>
              </w:rPr>
              <w:t>14</w:t>
            </w:r>
          </w:p>
        </w:tc>
      </w:tr>
      <w:tr w14:paraId="7F1D1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91" w:type="dxa"/>
            <w:vAlign w:val="top"/>
          </w:tcPr>
          <w:p w14:paraId="639B81CC">
            <w:pPr>
              <w:spacing w:before="53" w:line="232" w:lineRule="auto"/>
              <w:ind w:left="292"/>
              <w:rPr>
                <w:rFonts w:hint="eastAsia" w:ascii="宋体" w:hAnsi="宋体" w:eastAsia="宋体" w:cs="宋体"/>
                <w:color w:val="auto"/>
                <w:sz w:val="21"/>
                <w:szCs w:val="21"/>
              </w:rPr>
            </w:pPr>
            <w:r>
              <w:rPr>
                <w:rFonts w:hint="eastAsia" w:ascii="宋体" w:hAnsi="宋体" w:eastAsia="宋体" w:cs="宋体"/>
                <w:color w:val="auto"/>
                <w:spacing w:val="5"/>
                <w:sz w:val="21"/>
                <w:szCs w:val="21"/>
              </w:rPr>
              <w:t>庙头镇</w:t>
            </w:r>
          </w:p>
        </w:tc>
        <w:tc>
          <w:tcPr>
            <w:tcW w:w="1769" w:type="dxa"/>
            <w:vAlign w:val="top"/>
          </w:tcPr>
          <w:p w14:paraId="3F8560DD">
            <w:pPr>
              <w:spacing w:before="90" w:line="195" w:lineRule="auto"/>
              <w:ind w:left="700"/>
              <w:rPr>
                <w:rFonts w:hint="eastAsia" w:ascii="宋体" w:hAnsi="宋体" w:eastAsia="宋体" w:cs="宋体"/>
                <w:color w:val="auto"/>
                <w:sz w:val="21"/>
                <w:szCs w:val="21"/>
              </w:rPr>
            </w:pPr>
            <w:r>
              <w:rPr>
                <w:rFonts w:hint="eastAsia" w:ascii="宋体" w:hAnsi="宋体" w:eastAsia="宋体" w:cs="宋体"/>
                <w:color w:val="auto"/>
                <w:spacing w:val="3"/>
                <w:sz w:val="21"/>
                <w:szCs w:val="21"/>
              </w:rPr>
              <w:t>2.89</w:t>
            </w:r>
          </w:p>
        </w:tc>
        <w:tc>
          <w:tcPr>
            <w:tcW w:w="1992" w:type="dxa"/>
            <w:vAlign w:val="top"/>
          </w:tcPr>
          <w:p w14:paraId="18AD9A59">
            <w:pPr>
              <w:spacing w:before="90" w:line="195" w:lineRule="auto"/>
              <w:ind w:left="811"/>
              <w:rPr>
                <w:rFonts w:hint="eastAsia" w:ascii="宋体" w:hAnsi="宋体" w:eastAsia="宋体" w:cs="宋体"/>
                <w:color w:val="auto"/>
                <w:sz w:val="21"/>
                <w:szCs w:val="21"/>
              </w:rPr>
            </w:pPr>
            <w:r>
              <w:rPr>
                <w:rFonts w:hint="eastAsia" w:ascii="宋体" w:hAnsi="宋体" w:eastAsia="宋体" w:cs="宋体"/>
                <w:color w:val="auto"/>
                <w:spacing w:val="3"/>
                <w:sz w:val="21"/>
                <w:szCs w:val="21"/>
              </w:rPr>
              <w:t>4.73</w:t>
            </w:r>
          </w:p>
        </w:tc>
        <w:tc>
          <w:tcPr>
            <w:tcW w:w="2059" w:type="dxa"/>
            <w:vAlign w:val="top"/>
          </w:tcPr>
          <w:p w14:paraId="3550299B">
            <w:pPr>
              <w:spacing w:before="90" w:line="195" w:lineRule="auto"/>
              <w:ind w:left="816"/>
              <w:rPr>
                <w:rFonts w:hint="eastAsia" w:ascii="宋体" w:hAnsi="宋体" w:eastAsia="宋体" w:cs="宋体"/>
                <w:color w:val="auto"/>
                <w:sz w:val="21"/>
                <w:szCs w:val="21"/>
              </w:rPr>
            </w:pPr>
            <w:r>
              <w:rPr>
                <w:rFonts w:hint="eastAsia" w:ascii="宋体" w:hAnsi="宋体" w:eastAsia="宋体" w:cs="宋体"/>
                <w:color w:val="auto"/>
                <w:spacing w:val="-1"/>
                <w:sz w:val="21"/>
                <w:szCs w:val="21"/>
              </w:rPr>
              <w:t>15.95</w:t>
            </w:r>
          </w:p>
        </w:tc>
        <w:tc>
          <w:tcPr>
            <w:tcW w:w="1997" w:type="dxa"/>
            <w:vAlign w:val="top"/>
          </w:tcPr>
          <w:p w14:paraId="3D25B4C4">
            <w:pPr>
              <w:spacing w:before="90" w:line="195" w:lineRule="auto"/>
              <w:ind w:left="819"/>
              <w:rPr>
                <w:rFonts w:hint="eastAsia" w:ascii="宋体" w:hAnsi="宋体" w:eastAsia="宋体" w:cs="宋体"/>
                <w:color w:val="auto"/>
                <w:sz w:val="21"/>
                <w:szCs w:val="21"/>
              </w:rPr>
            </w:pPr>
            <w:r>
              <w:rPr>
                <w:rFonts w:hint="eastAsia" w:ascii="宋体" w:hAnsi="宋体" w:eastAsia="宋体" w:cs="宋体"/>
                <w:color w:val="auto"/>
                <w:spacing w:val="2"/>
                <w:sz w:val="21"/>
                <w:szCs w:val="21"/>
              </w:rPr>
              <w:t>3.97</w:t>
            </w:r>
          </w:p>
        </w:tc>
      </w:tr>
      <w:tr w14:paraId="3D5B0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91" w:type="dxa"/>
            <w:vAlign w:val="top"/>
          </w:tcPr>
          <w:p w14:paraId="5283B4F3">
            <w:pPr>
              <w:spacing w:before="56" w:line="231" w:lineRule="auto"/>
              <w:ind w:left="292"/>
              <w:rPr>
                <w:rFonts w:hint="eastAsia" w:ascii="宋体" w:hAnsi="宋体" w:eastAsia="宋体" w:cs="宋体"/>
                <w:color w:val="auto"/>
                <w:sz w:val="21"/>
                <w:szCs w:val="21"/>
              </w:rPr>
            </w:pPr>
            <w:r>
              <w:rPr>
                <w:rFonts w:hint="eastAsia" w:ascii="宋体" w:hAnsi="宋体" w:eastAsia="宋体" w:cs="宋体"/>
                <w:color w:val="auto"/>
                <w:spacing w:val="5"/>
                <w:sz w:val="21"/>
                <w:szCs w:val="21"/>
              </w:rPr>
              <w:t>枧塘镇</w:t>
            </w:r>
          </w:p>
        </w:tc>
        <w:tc>
          <w:tcPr>
            <w:tcW w:w="1769" w:type="dxa"/>
            <w:vAlign w:val="top"/>
          </w:tcPr>
          <w:p w14:paraId="75939448">
            <w:pPr>
              <w:spacing w:before="92" w:line="195" w:lineRule="auto"/>
              <w:ind w:left="700"/>
              <w:rPr>
                <w:rFonts w:hint="eastAsia" w:ascii="宋体" w:hAnsi="宋体" w:eastAsia="宋体" w:cs="宋体"/>
                <w:color w:val="auto"/>
                <w:sz w:val="21"/>
                <w:szCs w:val="21"/>
              </w:rPr>
            </w:pPr>
            <w:r>
              <w:rPr>
                <w:rFonts w:hint="eastAsia" w:ascii="宋体" w:hAnsi="宋体" w:eastAsia="宋体" w:cs="宋体"/>
                <w:color w:val="auto"/>
                <w:spacing w:val="3"/>
                <w:sz w:val="21"/>
                <w:szCs w:val="21"/>
              </w:rPr>
              <w:t>2.94</w:t>
            </w:r>
          </w:p>
        </w:tc>
        <w:tc>
          <w:tcPr>
            <w:tcW w:w="1992" w:type="dxa"/>
            <w:vAlign w:val="top"/>
          </w:tcPr>
          <w:p w14:paraId="00194259">
            <w:pPr>
              <w:spacing w:before="92" w:line="195" w:lineRule="auto"/>
              <w:ind w:left="811"/>
              <w:rPr>
                <w:rFonts w:hint="eastAsia" w:ascii="宋体" w:hAnsi="宋体" w:eastAsia="宋体" w:cs="宋体"/>
                <w:color w:val="auto"/>
                <w:sz w:val="21"/>
                <w:szCs w:val="21"/>
              </w:rPr>
            </w:pPr>
            <w:r>
              <w:rPr>
                <w:rFonts w:hint="eastAsia" w:ascii="宋体" w:hAnsi="宋体" w:eastAsia="宋体" w:cs="宋体"/>
                <w:color w:val="auto"/>
                <w:spacing w:val="3"/>
                <w:sz w:val="21"/>
                <w:szCs w:val="21"/>
              </w:rPr>
              <w:t>4.81</w:t>
            </w:r>
          </w:p>
        </w:tc>
        <w:tc>
          <w:tcPr>
            <w:tcW w:w="2059" w:type="dxa"/>
            <w:vAlign w:val="top"/>
          </w:tcPr>
          <w:p w14:paraId="6CC320ED">
            <w:pPr>
              <w:spacing w:before="92" w:line="195" w:lineRule="auto"/>
              <w:ind w:left="816"/>
              <w:rPr>
                <w:rFonts w:hint="eastAsia" w:ascii="宋体" w:hAnsi="宋体" w:eastAsia="宋体" w:cs="宋体"/>
                <w:color w:val="auto"/>
                <w:sz w:val="21"/>
                <w:szCs w:val="21"/>
              </w:rPr>
            </w:pPr>
            <w:r>
              <w:rPr>
                <w:rFonts w:hint="eastAsia" w:ascii="宋体" w:hAnsi="宋体" w:eastAsia="宋体" w:cs="宋体"/>
                <w:color w:val="auto"/>
                <w:spacing w:val="-1"/>
                <w:sz w:val="21"/>
                <w:szCs w:val="21"/>
              </w:rPr>
              <w:t>19.27</w:t>
            </w:r>
          </w:p>
        </w:tc>
        <w:tc>
          <w:tcPr>
            <w:tcW w:w="1997" w:type="dxa"/>
            <w:vAlign w:val="top"/>
          </w:tcPr>
          <w:p w14:paraId="44711A37">
            <w:pPr>
              <w:spacing w:before="92" w:line="195" w:lineRule="auto"/>
              <w:ind w:left="814"/>
              <w:rPr>
                <w:rFonts w:hint="eastAsia" w:ascii="宋体" w:hAnsi="宋体" w:eastAsia="宋体" w:cs="宋体"/>
                <w:color w:val="auto"/>
                <w:sz w:val="21"/>
                <w:szCs w:val="21"/>
              </w:rPr>
            </w:pPr>
            <w:r>
              <w:rPr>
                <w:rFonts w:hint="eastAsia" w:ascii="宋体" w:hAnsi="宋体" w:eastAsia="宋体" w:cs="宋体"/>
                <w:color w:val="auto"/>
                <w:spacing w:val="3"/>
                <w:sz w:val="21"/>
                <w:szCs w:val="21"/>
              </w:rPr>
              <w:t>4.80</w:t>
            </w:r>
          </w:p>
        </w:tc>
      </w:tr>
      <w:tr w14:paraId="134CD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91" w:type="dxa"/>
            <w:vAlign w:val="top"/>
          </w:tcPr>
          <w:p w14:paraId="1318F3B8">
            <w:pPr>
              <w:spacing w:before="55" w:line="232" w:lineRule="auto"/>
              <w:ind w:left="297"/>
              <w:rPr>
                <w:rFonts w:hint="eastAsia" w:ascii="宋体" w:hAnsi="宋体" w:eastAsia="宋体" w:cs="宋体"/>
                <w:color w:val="auto"/>
                <w:sz w:val="21"/>
                <w:szCs w:val="21"/>
              </w:rPr>
            </w:pPr>
            <w:r>
              <w:rPr>
                <w:rFonts w:hint="eastAsia" w:ascii="宋体" w:hAnsi="宋体" w:eastAsia="宋体" w:cs="宋体"/>
                <w:color w:val="auto"/>
                <w:spacing w:val="3"/>
                <w:sz w:val="21"/>
                <w:szCs w:val="21"/>
              </w:rPr>
              <w:t>东山乡</w:t>
            </w:r>
          </w:p>
        </w:tc>
        <w:tc>
          <w:tcPr>
            <w:tcW w:w="1769" w:type="dxa"/>
            <w:vAlign w:val="top"/>
          </w:tcPr>
          <w:p w14:paraId="28C60142">
            <w:pPr>
              <w:spacing w:before="91" w:line="195" w:lineRule="auto"/>
              <w:ind w:left="704"/>
              <w:rPr>
                <w:rFonts w:hint="eastAsia" w:ascii="宋体" w:hAnsi="宋体" w:eastAsia="宋体" w:cs="宋体"/>
                <w:color w:val="auto"/>
                <w:sz w:val="21"/>
                <w:szCs w:val="21"/>
              </w:rPr>
            </w:pPr>
            <w:r>
              <w:rPr>
                <w:rFonts w:hint="eastAsia" w:ascii="宋体" w:hAnsi="宋体" w:eastAsia="宋体" w:cs="宋体"/>
                <w:color w:val="auto"/>
                <w:spacing w:val="2"/>
                <w:sz w:val="21"/>
                <w:szCs w:val="21"/>
              </w:rPr>
              <w:t>3.09</w:t>
            </w:r>
          </w:p>
        </w:tc>
        <w:tc>
          <w:tcPr>
            <w:tcW w:w="1992" w:type="dxa"/>
            <w:vAlign w:val="top"/>
          </w:tcPr>
          <w:p w14:paraId="7E6EC975">
            <w:pPr>
              <w:spacing w:before="91" w:line="195" w:lineRule="auto"/>
              <w:ind w:left="818"/>
              <w:rPr>
                <w:rFonts w:hint="eastAsia" w:ascii="宋体" w:hAnsi="宋体" w:eastAsia="宋体" w:cs="宋体"/>
                <w:color w:val="auto"/>
                <w:sz w:val="21"/>
                <w:szCs w:val="21"/>
              </w:rPr>
            </w:pPr>
            <w:r>
              <w:rPr>
                <w:rFonts w:hint="eastAsia" w:ascii="宋体" w:hAnsi="宋体" w:eastAsia="宋体" w:cs="宋体"/>
                <w:color w:val="auto"/>
                <w:spacing w:val="2"/>
                <w:sz w:val="21"/>
                <w:szCs w:val="21"/>
              </w:rPr>
              <w:t>5.06</w:t>
            </w:r>
          </w:p>
        </w:tc>
        <w:tc>
          <w:tcPr>
            <w:tcW w:w="2059" w:type="dxa"/>
            <w:vAlign w:val="top"/>
          </w:tcPr>
          <w:p w14:paraId="58008081">
            <w:pPr>
              <w:spacing w:before="91" w:line="195" w:lineRule="auto"/>
              <w:ind w:left="816"/>
              <w:rPr>
                <w:rFonts w:hint="eastAsia" w:ascii="宋体" w:hAnsi="宋体" w:eastAsia="宋体" w:cs="宋体"/>
                <w:color w:val="auto"/>
                <w:sz w:val="21"/>
                <w:szCs w:val="21"/>
              </w:rPr>
            </w:pPr>
            <w:r>
              <w:rPr>
                <w:rFonts w:hint="eastAsia" w:ascii="宋体" w:hAnsi="宋体" w:eastAsia="宋体" w:cs="宋体"/>
                <w:color w:val="auto"/>
                <w:spacing w:val="-6"/>
                <w:sz w:val="21"/>
                <w:szCs w:val="21"/>
              </w:rPr>
              <w:t>18.</w:t>
            </w:r>
            <w:r>
              <w:rPr>
                <w:rFonts w:hint="eastAsia" w:ascii="宋体" w:hAnsi="宋体" w:eastAsia="宋体" w:cs="宋体"/>
                <w:color w:val="auto"/>
                <w:spacing w:val="-24"/>
                <w:sz w:val="21"/>
                <w:szCs w:val="21"/>
              </w:rPr>
              <w:t xml:space="preserve"> </w:t>
            </w:r>
            <w:r>
              <w:rPr>
                <w:rFonts w:hint="eastAsia" w:ascii="宋体" w:hAnsi="宋体" w:eastAsia="宋体" w:cs="宋体"/>
                <w:color w:val="auto"/>
                <w:spacing w:val="-6"/>
                <w:sz w:val="21"/>
                <w:szCs w:val="21"/>
              </w:rPr>
              <w:t>12</w:t>
            </w:r>
          </w:p>
        </w:tc>
        <w:tc>
          <w:tcPr>
            <w:tcW w:w="1997" w:type="dxa"/>
            <w:vAlign w:val="top"/>
          </w:tcPr>
          <w:p w14:paraId="37CC37B1">
            <w:pPr>
              <w:spacing w:before="91" w:line="195" w:lineRule="auto"/>
              <w:ind w:left="814"/>
              <w:rPr>
                <w:rFonts w:hint="eastAsia" w:ascii="宋体" w:hAnsi="宋体" w:eastAsia="宋体" w:cs="宋体"/>
                <w:color w:val="auto"/>
                <w:sz w:val="21"/>
                <w:szCs w:val="21"/>
              </w:rPr>
            </w:pPr>
            <w:r>
              <w:rPr>
                <w:rFonts w:hint="eastAsia" w:ascii="宋体" w:hAnsi="宋体" w:eastAsia="宋体" w:cs="宋体"/>
                <w:color w:val="auto"/>
                <w:spacing w:val="3"/>
                <w:sz w:val="21"/>
                <w:szCs w:val="21"/>
              </w:rPr>
              <w:t>4.51</w:t>
            </w:r>
          </w:p>
        </w:tc>
      </w:tr>
      <w:tr w14:paraId="7B895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91" w:type="dxa"/>
            <w:vAlign w:val="top"/>
          </w:tcPr>
          <w:p w14:paraId="47DDE4A4">
            <w:pPr>
              <w:spacing w:before="55" w:line="231" w:lineRule="auto"/>
              <w:ind w:left="297"/>
              <w:rPr>
                <w:rFonts w:hint="eastAsia" w:ascii="宋体" w:hAnsi="宋体" w:eastAsia="宋体" w:cs="宋体"/>
                <w:color w:val="auto"/>
                <w:sz w:val="21"/>
                <w:szCs w:val="21"/>
              </w:rPr>
            </w:pPr>
            <w:r>
              <w:rPr>
                <w:rFonts w:hint="eastAsia" w:ascii="宋体" w:hAnsi="宋体" w:eastAsia="宋体" w:cs="宋体"/>
                <w:color w:val="auto"/>
                <w:spacing w:val="3"/>
                <w:sz w:val="21"/>
                <w:szCs w:val="21"/>
              </w:rPr>
              <w:t>全州镇</w:t>
            </w:r>
          </w:p>
        </w:tc>
        <w:tc>
          <w:tcPr>
            <w:tcW w:w="1769" w:type="dxa"/>
            <w:vAlign w:val="top"/>
          </w:tcPr>
          <w:p w14:paraId="0F68291C">
            <w:pPr>
              <w:spacing w:before="91" w:line="195" w:lineRule="auto"/>
              <w:ind w:left="704"/>
              <w:rPr>
                <w:rFonts w:hint="eastAsia" w:ascii="宋体" w:hAnsi="宋体" w:eastAsia="宋体" w:cs="宋体"/>
                <w:color w:val="auto"/>
                <w:sz w:val="21"/>
                <w:szCs w:val="21"/>
              </w:rPr>
            </w:pPr>
            <w:r>
              <w:rPr>
                <w:rFonts w:hint="eastAsia" w:ascii="宋体" w:hAnsi="宋体" w:eastAsia="宋体" w:cs="宋体"/>
                <w:color w:val="auto"/>
                <w:spacing w:val="2"/>
                <w:sz w:val="21"/>
                <w:szCs w:val="21"/>
              </w:rPr>
              <w:t>3.26</w:t>
            </w:r>
          </w:p>
        </w:tc>
        <w:tc>
          <w:tcPr>
            <w:tcW w:w="1992" w:type="dxa"/>
            <w:vAlign w:val="top"/>
          </w:tcPr>
          <w:p w14:paraId="13A4246D">
            <w:pPr>
              <w:spacing w:before="91" w:line="195" w:lineRule="auto"/>
              <w:ind w:left="818"/>
              <w:rPr>
                <w:rFonts w:hint="eastAsia" w:ascii="宋体" w:hAnsi="宋体" w:eastAsia="宋体" w:cs="宋体"/>
                <w:color w:val="auto"/>
                <w:sz w:val="21"/>
                <w:szCs w:val="21"/>
              </w:rPr>
            </w:pPr>
            <w:r>
              <w:rPr>
                <w:rFonts w:hint="eastAsia" w:ascii="宋体" w:hAnsi="宋体" w:eastAsia="宋体" w:cs="宋体"/>
                <w:color w:val="auto"/>
                <w:spacing w:val="2"/>
                <w:sz w:val="21"/>
                <w:szCs w:val="21"/>
              </w:rPr>
              <w:t>5.33</w:t>
            </w:r>
          </w:p>
        </w:tc>
        <w:tc>
          <w:tcPr>
            <w:tcW w:w="2059" w:type="dxa"/>
            <w:vAlign w:val="top"/>
          </w:tcPr>
          <w:p w14:paraId="4C6DEE88">
            <w:pPr>
              <w:spacing w:before="91" w:line="195" w:lineRule="auto"/>
              <w:ind w:left="795"/>
              <w:rPr>
                <w:rFonts w:hint="eastAsia" w:ascii="宋体" w:hAnsi="宋体" w:eastAsia="宋体" w:cs="宋体"/>
                <w:color w:val="auto"/>
                <w:sz w:val="21"/>
                <w:szCs w:val="21"/>
              </w:rPr>
            </w:pPr>
            <w:r>
              <w:rPr>
                <w:rFonts w:hint="eastAsia" w:ascii="宋体" w:hAnsi="宋体" w:eastAsia="宋体" w:cs="宋体"/>
                <w:color w:val="auto"/>
                <w:spacing w:val="3"/>
                <w:sz w:val="21"/>
                <w:szCs w:val="21"/>
              </w:rPr>
              <w:t>21.49</w:t>
            </w:r>
          </w:p>
        </w:tc>
        <w:tc>
          <w:tcPr>
            <w:tcW w:w="1997" w:type="dxa"/>
            <w:vAlign w:val="top"/>
          </w:tcPr>
          <w:p w14:paraId="44D1DCC8">
            <w:pPr>
              <w:spacing w:before="91" w:line="195" w:lineRule="auto"/>
              <w:ind w:left="821"/>
              <w:rPr>
                <w:rFonts w:hint="eastAsia" w:ascii="宋体" w:hAnsi="宋体" w:eastAsia="宋体" w:cs="宋体"/>
                <w:color w:val="auto"/>
                <w:sz w:val="21"/>
                <w:szCs w:val="21"/>
              </w:rPr>
            </w:pPr>
            <w:r>
              <w:rPr>
                <w:rFonts w:hint="eastAsia" w:ascii="宋体" w:hAnsi="宋体" w:eastAsia="宋体" w:cs="宋体"/>
                <w:color w:val="auto"/>
                <w:spacing w:val="2"/>
                <w:sz w:val="21"/>
                <w:szCs w:val="21"/>
              </w:rPr>
              <w:t>5.35</w:t>
            </w:r>
          </w:p>
        </w:tc>
      </w:tr>
      <w:tr w14:paraId="1676A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91" w:type="dxa"/>
            <w:vAlign w:val="top"/>
          </w:tcPr>
          <w:p w14:paraId="1AAA33B0">
            <w:pPr>
              <w:spacing w:before="54" w:line="231" w:lineRule="auto"/>
              <w:ind w:left="297"/>
              <w:rPr>
                <w:rFonts w:hint="eastAsia" w:ascii="宋体" w:hAnsi="宋体" w:eastAsia="宋体" w:cs="宋体"/>
                <w:color w:val="auto"/>
                <w:sz w:val="21"/>
                <w:szCs w:val="21"/>
              </w:rPr>
            </w:pPr>
            <w:r>
              <w:rPr>
                <w:rFonts w:hint="eastAsia" w:ascii="宋体" w:hAnsi="宋体" w:eastAsia="宋体" w:cs="宋体"/>
                <w:color w:val="auto"/>
                <w:spacing w:val="3"/>
                <w:sz w:val="21"/>
                <w:szCs w:val="21"/>
              </w:rPr>
              <w:t>才湾镇</w:t>
            </w:r>
          </w:p>
        </w:tc>
        <w:tc>
          <w:tcPr>
            <w:tcW w:w="1769" w:type="dxa"/>
            <w:vAlign w:val="top"/>
          </w:tcPr>
          <w:p w14:paraId="67F89CD8">
            <w:pPr>
              <w:spacing w:before="90" w:line="195" w:lineRule="auto"/>
              <w:ind w:left="704"/>
              <w:rPr>
                <w:rFonts w:hint="eastAsia" w:ascii="宋体" w:hAnsi="宋体" w:eastAsia="宋体" w:cs="宋体"/>
                <w:color w:val="auto"/>
                <w:sz w:val="21"/>
                <w:szCs w:val="21"/>
              </w:rPr>
            </w:pPr>
            <w:r>
              <w:rPr>
                <w:rFonts w:hint="eastAsia" w:ascii="宋体" w:hAnsi="宋体" w:eastAsia="宋体" w:cs="宋体"/>
                <w:color w:val="auto"/>
                <w:spacing w:val="2"/>
                <w:sz w:val="21"/>
                <w:szCs w:val="21"/>
              </w:rPr>
              <w:t>3.80</w:t>
            </w:r>
          </w:p>
        </w:tc>
        <w:tc>
          <w:tcPr>
            <w:tcW w:w="1992" w:type="dxa"/>
            <w:vAlign w:val="top"/>
          </w:tcPr>
          <w:p w14:paraId="2CB94F27">
            <w:pPr>
              <w:spacing w:before="90" w:line="195" w:lineRule="auto"/>
              <w:ind w:left="817"/>
              <w:rPr>
                <w:rFonts w:hint="eastAsia" w:ascii="宋体" w:hAnsi="宋体" w:eastAsia="宋体" w:cs="宋体"/>
                <w:color w:val="auto"/>
                <w:sz w:val="21"/>
                <w:szCs w:val="21"/>
              </w:rPr>
            </w:pPr>
            <w:r>
              <w:rPr>
                <w:rFonts w:hint="eastAsia" w:ascii="宋体" w:hAnsi="宋体" w:eastAsia="宋体" w:cs="宋体"/>
                <w:color w:val="auto"/>
                <w:spacing w:val="2"/>
                <w:sz w:val="21"/>
                <w:szCs w:val="21"/>
              </w:rPr>
              <w:t>6.21</w:t>
            </w:r>
          </w:p>
        </w:tc>
        <w:tc>
          <w:tcPr>
            <w:tcW w:w="2059" w:type="dxa"/>
            <w:vAlign w:val="top"/>
          </w:tcPr>
          <w:p w14:paraId="350C026A">
            <w:pPr>
              <w:spacing w:before="90" w:line="195" w:lineRule="auto"/>
              <w:ind w:left="795"/>
              <w:rPr>
                <w:rFonts w:hint="eastAsia" w:ascii="宋体" w:hAnsi="宋体" w:eastAsia="宋体" w:cs="宋体"/>
                <w:color w:val="auto"/>
                <w:sz w:val="21"/>
                <w:szCs w:val="21"/>
              </w:rPr>
            </w:pPr>
            <w:r>
              <w:rPr>
                <w:rFonts w:hint="eastAsia" w:ascii="宋体" w:hAnsi="宋体" w:eastAsia="宋体" w:cs="宋体"/>
                <w:color w:val="auto"/>
                <w:spacing w:val="3"/>
                <w:sz w:val="21"/>
                <w:szCs w:val="21"/>
              </w:rPr>
              <w:t>21.15</w:t>
            </w:r>
          </w:p>
        </w:tc>
        <w:tc>
          <w:tcPr>
            <w:tcW w:w="1997" w:type="dxa"/>
            <w:vAlign w:val="top"/>
          </w:tcPr>
          <w:p w14:paraId="4183F89A">
            <w:pPr>
              <w:spacing w:before="90" w:line="195" w:lineRule="auto"/>
              <w:ind w:left="821"/>
              <w:rPr>
                <w:rFonts w:hint="eastAsia" w:ascii="宋体" w:hAnsi="宋体" w:eastAsia="宋体" w:cs="宋体"/>
                <w:color w:val="auto"/>
                <w:sz w:val="21"/>
                <w:szCs w:val="21"/>
              </w:rPr>
            </w:pPr>
            <w:r>
              <w:rPr>
                <w:rFonts w:hint="eastAsia" w:ascii="宋体" w:hAnsi="宋体" w:eastAsia="宋体" w:cs="宋体"/>
                <w:color w:val="auto"/>
                <w:spacing w:val="2"/>
                <w:sz w:val="21"/>
                <w:szCs w:val="21"/>
              </w:rPr>
              <w:t>5.26</w:t>
            </w:r>
          </w:p>
        </w:tc>
      </w:tr>
      <w:tr w14:paraId="084B5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91" w:type="dxa"/>
            <w:vAlign w:val="top"/>
          </w:tcPr>
          <w:p w14:paraId="1DD32967">
            <w:pPr>
              <w:spacing w:before="54" w:line="232" w:lineRule="auto"/>
              <w:ind w:left="296"/>
              <w:rPr>
                <w:rFonts w:hint="eastAsia" w:ascii="宋体" w:hAnsi="宋体" w:eastAsia="宋体" w:cs="宋体"/>
                <w:color w:val="auto"/>
                <w:sz w:val="21"/>
                <w:szCs w:val="21"/>
              </w:rPr>
            </w:pPr>
            <w:r>
              <w:rPr>
                <w:rFonts w:hint="eastAsia" w:ascii="宋体" w:hAnsi="宋体" w:eastAsia="宋体" w:cs="宋体"/>
                <w:color w:val="auto"/>
                <w:spacing w:val="3"/>
                <w:sz w:val="21"/>
                <w:szCs w:val="21"/>
              </w:rPr>
              <w:t>龙水镇</w:t>
            </w:r>
          </w:p>
        </w:tc>
        <w:tc>
          <w:tcPr>
            <w:tcW w:w="1769" w:type="dxa"/>
            <w:vAlign w:val="top"/>
          </w:tcPr>
          <w:p w14:paraId="05AC66F3">
            <w:pPr>
              <w:spacing w:before="90" w:line="195" w:lineRule="auto"/>
              <w:ind w:left="704"/>
              <w:rPr>
                <w:rFonts w:hint="eastAsia" w:ascii="宋体" w:hAnsi="宋体" w:eastAsia="宋体" w:cs="宋体"/>
                <w:color w:val="auto"/>
                <w:sz w:val="21"/>
                <w:szCs w:val="21"/>
              </w:rPr>
            </w:pPr>
            <w:r>
              <w:rPr>
                <w:rFonts w:hint="eastAsia" w:ascii="宋体" w:hAnsi="宋体" w:eastAsia="宋体" w:cs="宋体"/>
                <w:color w:val="auto"/>
                <w:spacing w:val="2"/>
                <w:sz w:val="21"/>
                <w:szCs w:val="21"/>
              </w:rPr>
              <w:t>3.96</w:t>
            </w:r>
          </w:p>
        </w:tc>
        <w:tc>
          <w:tcPr>
            <w:tcW w:w="1992" w:type="dxa"/>
            <w:vAlign w:val="top"/>
          </w:tcPr>
          <w:p w14:paraId="0E3B79C6">
            <w:pPr>
              <w:spacing w:before="90" w:line="195" w:lineRule="auto"/>
              <w:ind w:left="817"/>
              <w:rPr>
                <w:rFonts w:hint="eastAsia" w:ascii="宋体" w:hAnsi="宋体" w:eastAsia="宋体" w:cs="宋体"/>
                <w:color w:val="auto"/>
                <w:sz w:val="21"/>
                <w:szCs w:val="21"/>
              </w:rPr>
            </w:pPr>
            <w:r>
              <w:rPr>
                <w:rFonts w:hint="eastAsia" w:ascii="宋体" w:hAnsi="宋体" w:eastAsia="宋体" w:cs="宋体"/>
                <w:color w:val="auto"/>
                <w:spacing w:val="2"/>
                <w:sz w:val="21"/>
                <w:szCs w:val="21"/>
              </w:rPr>
              <w:t>6.48</w:t>
            </w:r>
          </w:p>
        </w:tc>
        <w:tc>
          <w:tcPr>
            <w:tcW w:w="2059" w:type="dxa"/>
            <w:vAlign w:val="top"/>
          </w:tcPr>
          <w:p w14:paraId="49454C3B">
            <w:pPr>
              <w:spacing w:before="90" w:line="195" w:lineRule="auto"/>
              <w:ind w:left="795"/>
              <w:rPr>
                <w:rFonts w:hint="eastAsia" w:ascii="宋体" w:hAnsi="宋体" w:eastAsia="宋体" w:cs="宋体"/>
                <w:color w:val="auto"/>
                <w:sz w:val="21"/>
                <w:szCs w:val="21"/>
              </w:rPr>
            </w:pPr>
            <w:r>
              <w:rPr>
                <w:rFonts w:hint="eastAsia" w:ascii="宋体" w:hAnsi="宋体" w:eastAsia="宋体" w:cs="宋体"/>
                <w:color w:val="auto"/>
                <w:spacing w:val="3"/>
                <w:sz w:val="21"/>
                <w:szCs w:val="21"/>
              </w:rPr>
              <w:t>23.61</w:t>
            </w:r>
          </w:p>
        </w:tc>
        <w:tc>
          <w:tcPr>
            <w:tcW w:w="1997" w:type="dxa"/>
            <w:vAlign w:val="top"/>
          </w:tcPr>
          <w:p w14:paraId="04BED2D7">
            <w:pPr>
              <w:spacing w:before="90" w:line="195" w:lineRule="auto"/>
              <w:ind w:left="821"/>
              <w:rPr>
                <w:rFonts w:hint="eastAsia" w:ascii="宋体" w:hAnsi="宋体" w:eastAsia="宋体" w:cs="宋体"/>
                <w:color w:val="auto"/>
                <w:sz w:val="21"/>
                <w:szCs w:val="21"/>
              </w:rPr>
            </w:pPr>
            <w:r>
              <w:rPr>
                <w:rFonts w:hint="eastAsia" w:ascii="宋体" w:hAnsi="宋体" w:eastAsia="宋体" w:cs="宋体"/>
                <w:color w:val="auto"/>
                <w:spacing w:val="2"/>
                <w:sz w:val="21"/>
                <w:szCs w:val="21"/>
              </w:rPr>
              <w:t>5.87</w:t>
            </w:r>
          </w:p>
        </w:tc>
      </w:tr>
      <w:tr w14:paraId="13E93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91" w:type="dxa"/>
            <w:vAlign w:val="top"/>
          </w:tcPr>
          <w:p w14:paraId="1D14DCB9">
            <w:pPr>
              <w:spacing w:before="54" w:line="231" w:lineRule="auto"/>
              <w:ind w:left="292"/>
              <w:rPr>
                <w:rFonts w:hint="eastAsia" w:ascii="宋体" w:hAnsi="宋体" w:eastAsia="宋体" w:cs="宋体"/>
                <w:color w:val="auto"/>
                <w:sz w:val="21"/>
                <w:szCs w:val="21"/>
              </w:rPr>
            </w:pPr>
            <w:r>
              <w:rPr>
                <w:rFonts w:hint="eastAsia" w:ascii="宋体" w:hAnsi="宋体" w:eastAsia="宋体" w:cs="宋体"/>
                <w:color w:val="auto"/>
                <w:spacing w:val="5"/>
                <w:sz w:val="21"/>
                <w:szCs w:val="21"/>
              </w:rPr>
              <w:t>文桥镇</w:t>
            </w:r>
          </w:p>
        </w:tc>
        <w:tc>
          <w:tcPr>
            <w:tcW w:w="1769" w:type="dxa"/>
            <w:vAlign w:val="top"/>
          </w:tcPr>
          <w:p w14:paraId="4145084D">
            <w:pPr>
              <w:spacing w:before="90" w:line="195" w:lineRule="auto"/>
              <w:ind w:left="699"/>
              <w:rPr>
                <w:rFonts w:hint="eastAsia" w:ascii="宋体" w:hAnsi="宋体" w:eastAsia="宋体" w:cs="宋体"/>
                <w:color w:val="auto"/>
                <w:sz w:val="21"/>
                <w:szCs w:val="21"/>
              </w:rPr>
            </w:pPr>
            <w:r>
              <w:rPr>
                <w:rFonts w:hint="eastAsia" w:ascii="宋体" w:hAnsi="宋体" w:eastAsia="宋体" w:cs="宋体"/>
                <w:color w:val="auto"/>
                <w:spacing w:val="3"/>
                <w:sz w:val="21"/>
                <w:szCs w:val="21"/>
              </w:rPr>
              <w:t>4.57</w:t>
            </w:r>
          </w:p>
        </w:tc>
        <w:tc>
          <w:tcPr>
            <w:tcW w:w="1992" w:type="dxa"/>
            <w:vAlign w:val="top"/>
          </w:tcPr>
          <w:p w14:paraId="43C67060">
            <w:pPr>
              <w:spacing w:before="90" w:line="195" w:lineRule="auto"/>
              <w:ind w:left="816"/>
              <w:rPr>
                <w:rFonts w:hint="eastAsia" w:ascii="宋体" w:hAnsi="宋体" w:eastAsia="宋体" w:cs="宋体"/>
                <w:color w:val="auto"/>
                <w:sz w:val="21"/>
                <w:szCs w:val="21"/>
              </w:rPr>
            </w:pPr>
            <w:r>
              <w:rPr>
                <w:rFonts w:hint="eastAsia" w:ascii="宋体" w:hAnsi="宋体" w:eastAsia="宋体" w:cs="宋体"/>
                <w:color w:val="auto"/>
                <w:spacing w:val="2"/>
                <w:sz w:val="21"/>
                <w:szCs w:val="21"/>
              </w:rPr>
              <w:t>7.48</w:t>
            </w:r>
          </w:p>
        </w:tc>
        <w:tc>
          <w:tcPr>
            <w:tcW w:w="2059" w:type="dxa"/>
            <w:vAlign w:val="top"/>
          </w:tcPr>
          <w:p w14:paraId="37364564">
            <w:pPr>
              <w:spacing w:before="90" w:line="195" w:lineRule="auto"/>
              <w:ind w:left="800"/>
              <w:rPr>
                <w:rFonts w:hint="eastAsia" w:ascii="宋体" w:hAnsi="宋体" w:eastAsia="宋体" w:cs="宋体"/>
                <w:color w:val="auto"/>
                <w:sz w:val="21"/>
                <w:szCs w:val="21"/>
              </w:rPr>
            </w:pPr>
            <w:r>
              <w:rPr>
                <w:rFonts w:hint="eastAsia" w:ascii="宋体" w:hAnsi="宋体" w:eastAsia="宋体" w:cs="宋体"/>
                <w:color w:val="auto"/>
                <w:spacing w:val="2"/>
                <w:sz w:val="21"/>
                <w:szCs w:val="21"/>
              </w:rPr>
              <w:t>32.27</w:t>
            </w:r>
          </w:p>
        </w:tc>
        <w:tc>
          <w:tcPr>
            <w:tcW w:w="1997" w:type="dxa"/>
            <w:vAlign w:val="top"/>
          </w:tcPr>
          <w:p w14:paraId="07A93FF6">
            <w:pPr>
              <w:spacing w:before="90" w:line="195" w:lineRule="auto"/>
              <w:ind w:left="823"/>
              <w:rPr>
                <w:rFonts w:hint="eastAsia" w:ascii="宋体" w:hAnsi="宋体" w:eastAsia="宋体" w:cs="宋体"/>
                <w:color w:val="auto"/>
                <w:sz w:val="21"/>
                <w:szCs w:val="21"/>
              </w:rPr>
            </w:pPr>
            <w:r>
              <w:rPr>
                <w:rFonts w:hint="eastAsia" w:ascii="宋体" w:hAnsi="宋体" w:eastAsia="宋体" w:cs="宋体"/>
                <w:color w:val="auto"/>
                <w:spacing w:val="1"/>
                <w:sz w:val="21"/>
                <w:szCs w:val="21"/>
              </w:rPr>
              <w:t>8.03</w:t>
            </w:r>
          </w:p>
        </w:tc>
      </w:tr>
      <w:tr w14:paraId="4F0A5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91" w:type="dxa"/>
            <w:vAlign w:val="top"/>
          </w:tcPr>
          <w:p w14:paraId="17D97737">
            <w:pPr>
              <w:spacing w:before="56" w:line="231" w:lineRule="auto"/>
              <w:ind w:left="303"/>
              <w:rPr>
                <w:rFonts w:hint="eastAsia" w:ascii="宋体" w:hAnsi="宋体" w:eastAsia="宋体" w:cs="宋体"/>
                <w:color w:val="auto"/>
                <w:sz w:val="21"/>
                <w:szCs w:val="21"/>
              </w:rPr>
            </w:pPr>
            <w:r>
              <w:rPr>
                <w:rFonts w:hint="eastAsia" w:ascii="宋体" w:hAnsi="宋体" w:eastAsia="宋体" w:cs="宋体"/>
                <w:color w:val="auto"/>
                <w:spacing w:val="1"/>
                <w:sz w:val="21"/>
                <w:szCs w:val="21"/>
              </w:rPr>
              <w:t>两河镇</w:t>
            </w:r>
          </w:p>
        </w:tc>
        <w:tc>
          <w:tcPr>
            <w:tcW w:w="1769" w:type="dxa"/>
            <w:vAlign w:val="top"/>
          </w:tcPr>
          <w:p w14:paraId="44DF536E">
            <w:pPr>
              <w:spacing w:before="92" w:line="195" w:lineRule="auto"/>
              <w:ind w:left="699"/>
              <w:rPr>
                <w:rFonts w:hint="eastAsia" w:ascii="宋体" w:hAnsi="宋体" w:eastAsia="宋体" w:cs="宋体"/>
                <w:color w:val="auto"/>
                <w:sz w:val="21"/>
                <w:szCs w:val="21"/>
              </w:rPr>
            </w:pPr>
            <w:r>
              <w:rPr>
                <w:rFonts w:hint="eastAsia" w:ascii="宋体" w:hAnsi="宋体" w:eastAsia="宋体" w:cs="宋体"/>
                <w:color w:val="auto"/>
                <w:spacing w:val="3"/>
                <w:sz w:val="21"/>
                <w:szCs w:val="21"/>
              </w:rPr>
              <w:t>4.69</w:t>
            </w:r>
          </w:p>
        </w:tc>
        <w:tc>
          <w:tcPr>
            <w:tcW w:w="1992" w:type="dxa"/>
            <w:vAlign w:val="top"/>
          </w:tcPr>
          <w:p w14:paraId="4055A988">
            <w:pPr>
              <w:spacing w:before="92" w:line="195" w:lineRule="auto"/>
              <w:ind w:left="816"/>
              <w:rPr>
                <w:rFonts w:hint="eastAsia" w:ascii="宋体" w:hAnsi="宋体" w:eastAsia="宋体" w:cs="宋体"/>
                <w:color w:val="auto"/>
                <w:sz w:val="21"/>
                <w:szCs w:val="21"/>
              </w:rPr>
            </w:pPr>
            <w:r>
              <w:rPr>
                <w:rFonts w:hint="eastAsia" w:ascii="宋体" w:hAnsi="宋体" w:eastAsia="宋体" w:cs="宋体"/>
                <w:color w:val="auto"/>
                <w:spacing w:val="2"/>
                <w:sz w:val="21"/>
                <w:szCs w:val="21"/>
              </w:rPr>
              <w:t>7.67</w:t>
            </w:r>
          </w:p>
        </w:tc>
        <w:tc>
          <w:tcPr>
            <w:tcW w:w="2059" w:type="dxa"/>
            <w:vAlign w:val="top"/>
          </w:tcPr>
          <w:p w14:paraId="55E1886B">
            <w:pPr>
              <w:spacing w:before="92" w:line="195" w:lineRule="auto"/>
              <w:ind w:left="795"/>
              <w:rPr>
                <w:rFonts w:hint="eastAsia" w:ascii="宋体" w:hAnsi="宋体" w:eastAsia="宋体" w:cs="宋体"/>
                <w:color w:val="auto"/>
                <w:sz w:val="21"/>
                <w:szCs w:val="21"/>
              </w:rPr>
            </w:pPr>
            <w:r>
              <w:rPr>
                <w:rFonts w:hint="eastAsia" w:ascii="宋体" w:hAnsi="宋体" w:eastAsia="宋体" w:cs="宋体"/>
                <w:color w:val="auto"/>
                <w:spacing w:val="3"/>
                <w:sz w:val="21"/>
                <w:szCs w:val="21"/>
              </w:rPr>
              <w:t>27.33</w:t>
            </w:r>
          </w:p>
        </w:tc>
        <w:tc>
          <w:tcPr>
            <w:tcW w:w="1997" w:type="dxa"/>
            <w:vAlign w:val="top"/>
          </w:tcPr>
          <w:p w14:paraId="66E7E3A1">
            <w:pPr>
              <w:spacing w:before="92" w:line="195" w:lineRule="auto"/>
              <w:ind w:left="819"/>
              <w:rPr>
                <w:rFonts w:hint="eastAsia" w:ascii="宋体" w:hAnsi="宋体" w:eastAsia="宋体" w:cs="宋体"/>
                <w:color w:val="auto"/>
                <w:sz w:val="21"/>
                <w:szCs w:val="21"/>
              </w:rPr>
            </w:pPr>
            <w:r>
              <w:rPr>
                <w:rFonts w:hint="eastAsia" w:ascii="宋体" w:hAnsi="宋体" w:eastAsia="宋体" w:cs="宋体"/>
                <w:color w:val="auto"/>
                <w:spacing w:val="2"/>
                <w:sz w:val="21"/>
                <w:szCs w:val="21"/>
              </w:rPr>
              <w:t>6.80</w:t>
            </w:r>
          </w:p>
        </w:tc>
      </w:tr>
      <w:tr w14:paraId="791F0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91" w:type="dxa"/>
            <w:vAlign w:val="top"/>
          </w:tcPr>
          <w:p w14:paraId="5652FE4C">
            <w:pPr>
              <w:spacing w:before="55" w:line="232" w:lineRule="auto"/>
              <w:ind w:left="293"/>
              <w:rPr>
                <w:rFonts w:hint="eastAsia" w:ascii="宋体" w:hAnsi="宋体" w:eastAsia="宋体" w:cs="宋体"/>
                <w:color w:val="auto"/>
                <w:sz w:val="21"/>
                <w:szCs w:val="21"/>
              </w:rPr>
            </w:pPr>
            <w:r>
              <w:rPr>
                <w:rFonts w:hint="eastAsia" w:ascii="宋体" w:hAnsi="宋体" w:eastAsia="宋体" w:cs="宋体"/>
                <w:color w:val="auto"/>
                <w:spacing w:val="4"/>
                <w:sz w:val="21"/>
                <w:szCs w:val="21"/>
              </w:rPr>
              <w:t>凤凰镇</w:t>
            </w:r>
          </w:p>
        </w:tc>
        <w:tc>
          <w:tcPr>
            <w:tcW w:w="1769" w:type="dxa"/>
            <w:vAlign w:val="top"/>
          </w:tcPr>
          <w:p w14:paraId="1141E6E1">
            <w:pPr>
              <w:spacing w:before="91" w:line="195" w:lineRule="auto"/>
              <w:ind w:left="699"/>
              <w:rPr>
                <w:rFonts w:hint="eastAsia" w:ascii="宋体" w:hAnsi="宋体" w:eastAsia="宋体" w:cs="宋体"/>
                <w:color w:val="auto"/>
                <w:sz w:val="21"/>
                <w:szCs w:val="21"/>
              </w:rPr>
            </w:pPr>
            <w:r>
              <w:rPr>
                <w:rFonts w:hint="eastAsia" w:ascii="宋体" w:hAnsi="宋体" w:eastAsia="宋体" w:cs="宋体"/>
                <w:color w:val="auto"/>
                <w:spacing w:val="3"/>
                <w:sz w:val="21"/>
                <w:szCs w:val="21"/>
              </w:rPr>
              <w:t>4.76</w:t>
            </w:r>
          </w:p>
        </w:tc>
        <w:tc>
          <w:tcPr>
            <w:tcW w:w="1992" w:type="dxa"/>
            <w:vAlign w:val="top"/>
          </w:tcPr>
          <w:p w14:paraId="6EBF39A5">
            <w:pPr>
              <w:spacing w:before="91" w:line="195" w:lineRule="auto"/>
              <w:ind w:left="816"/>
              <w:rPr>
                <w:rFonts w:hint="eastAsia" w:ascii="宋体" w:hAnsi="宋体" w:eastAsia="宋体" w:cs="宋体"/>
                <w:color w:val="auto"/>
                <w:sz w:val="21"/>
                <w:szCs w:val="21"/>
              </w:rPr>
            </w:pPr>
            <w:r>
              <w:rPr>
                <w:rFonts w:hint="eastAsia" w:ascii="宋体" w:hAnsi="宋体" w:eastAsia="宋体" w:cs="宋体"/>
                <w:color w:val="auto"/>
                <w:spacing w:val="2"/>
                <w:sz w:val="21"/>
                <w:szCs w:val="21"/>
              </w:rPr>
              <w:t>7.79</w:t>
            </w:r>
          </w:p>
        </w:tc>
        <w:tc>
          <w:tcPr>
            <w:tcW w:w="2059" w:type="dxa"/>
            <w:vAlign w:val="top"/>
          </w:tcPr>
          <w:p w14:paraId="6CEA7779">
            <w:pPr>
              <w:spacing w:before="91" w:line="195" w:lineRule="auto"/>
              <w:ind w:left="800"/>
              <w:rPr>
                <w:rFonts w:hint="eastAsia" w:ascii="宋体" w:hAnsi="宋体" w:eastAsia="宋体" w:cs="宋体"/>
                <w:color w:val="auto"/>
                <w:sz w:val="21"/>
                <w:szCs w:val="21"/>
              </w:rPr>
            </w:pPr>
            <w:r>
              <w:rPr>
                <w:rFonts w:hint="eastAsia" w:ascii="宋体" w:hAnsi="宋体" w:eastAsia="宋体" w:cs="宋体"/>
                <w:color w:val="auto"/>
                <w:spacing w:val="2"/>
                <w:sz w:val="21"/>
                <w:szCs w:val="21"/>
              </w:rPr>
              <w:t>32.46</w:t>
            </w:r>
          </w:p>
        </w:tc>
        <w:tc>
          <w:tcPr>
            <w:tcW w:w="1997" w:type="dxa"/>
            <w:vAlign w:val="top"/>
          </w:tcPr>
          <w:p w14:paraId="55B925F9">
            <w:pPr>
              <w:spacing w:before="91" w:line="195" w:lineRule="auto"/>
              <w:ind w:left="823"/>
              <w:rPr>
                <w:rFonts w:hint="eastAsia" w:ascii="宋体" w:hAnsi="宋体" w:eastAsia="宋体" w:cs="宋体"/>
                <w:color w:val="auto"/>
                <w:sz w:val="21"/>
                <w:szCs w:val="21"/>
              </w:rPr>
            </w:pPr>
            <w:r>
              <w:rPr>
                <w:rFonts w:hint="eastAsia" w:ascii="宋体" w:hAnsi="宋体" w:eastAsia="宋体" w:cs="宋体"/>
                <w:color w:val="auto"/>
                <w:spacing w:val="1"/>
                <w:sz w:val="21"/>
                <w:szCs w:val="21"/>
              </w:rPr>
              <w:t>8.08</w:t>
            </w:r>
          </w:p>
        </w:tc>
      </w:tr>
      <w:tr w14:paraId="4AF48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91" w:type="dxa"/>
            <w:vAlign w:val="top"/>
          </w:tcPr>
          <w:p w14:paraId="2492C784">
            <w:pPr>
              <w:spacing w:before="55" w:line="231" w:lineRule="auto"/>
              <w:ind w:left="295"/>
              <w:rPr>
                <w:rFonts w:hint="eastAsia" w:ascii="宋体" w:hAnsi="宋体" w:eastAsia="宋体" w:cs="宋体"/>
                <w:color w:val="auto"/>
                <w:sz w:val="21"/>
                <w:szCs w:val="21"/>
              </w:rPr>
            </w:pPr>
            <w:r>
              <w:rPr>
                <w:rFonts w:hint="eastAsia" w:ascii="宋体" w:hAnsi="宋体" w:eastAsia="宋体" w:cs="宋体"/>
                <w:color w:val="auto"/>
                <w:spacing w:val="3"/>
                <w:sz w:val="21"/>
                <w:szCs w:val="21"/>
              </w:rPr>
              <w:t>永岁镇</w:t>
            </w:r>
          </w:p>
        </w:tc>
        <w:tc>
          <w:tcPr>
            <w:tcW w:w="1769" w:type="dxa"/>
            <w:vAlign w:val="top"/>
          </w:tcPr>
          <w:p w14:paraId="2C2C3915">
            <w:pPr>
              <w:spacing w:before="91" w:line="195" w:lineRule="auto"/>
              <w:ind w:left="705"/>
              <w:rPr>
                <w:rFonts w:hint="eastAsia" w:ascii="宋体" w:hAnsi="宋体" w:eastAsia="宋体" w:cs="宋体"/>
                <w:color w:val="auto"/>
                <w:sz w:val="21"/>
                <w:szCs w:val="21"/>
              </w:rPr>
            </w:pPr>
            <w:r>
              <w:rPr>
                <w:rFonts w:hint="eastAsia" w:ascii="宋体" w:hAnsi="宋体" w:eastAsia="宋体" w:cs="宋体"/>
                <w:color w:val="auto"/>
                <w:spacing w:val="2"/>
                <w:sz w:val="21"/>
                <w:szCs w:val="21"/>
              </w:rPr>
              <w:t>5.17</w:t>
            </w:r>
          </w:p>
        </w:tc>
        <w:tc>
          <w:tcPr>
            <w:tcW w:w="1992" w:type="dxa"/>
            <w:vAlign w:val="top"/>
          </w:tcPr>
          <w:p w14:paraId="7648B0C1">
            <w:pPr>
              <w:spacing w:before="91" w:line="195" w:lineRule="auto"/>
              <w:ind w:left="821"/>
              <w:rPr>
                <w:rFonts w:hint="eastAsia" w:ascii="宋体" w:hAnsi="宋体" w:eastAsia="宋体" w:cs="宋体"/>
                <w:color w:val="auto"/>
                <w:sz w:val="21"/>
                <w:szCs w:val="21"/>
              </w:rPr>
            </w:pPr>
            <w:r>
              <w:rPr>
                <w:rFonts w:hint="eastAsia" w:ascii="宋体" w:hAnsi="宋体" w:eastAsia="宋体" w:cs="宋体"/>
                <w:color w:val="auto"/>
                <w:spacing w:val="1"/>
                <w:sz w:val="21"/>
                <w:szCs w:val="21"/>
              </w:rPr>
              <w:t>8.46</w:t>
            </w:r>
          </w:p>
        </w:tc>
        <w:tc>
          <w:tcPr>
            <w:tcW w:w="2059" w:type="dxa"/>
            <w:vAlign w:val="top"/>
          </w:tcPr>
          <w:p w14:paraId="51D9BF2B">
            <w:pPr>
              <w:spacing w:before="91" w:line="195" w:lineRule="auto"/>
              <w:ind w:left="800"/>
              <w:rPr>
                <w:rFonts w:hint="eastAsia" w:ascii="宋体" w:hAnsi="宋体" w:eastAsia="宋体" w:cs="宋体"/>
                <w:color w:val="auto"/>
                <w:sz w:val="21"/>
                <w:szCs w:val="21"/>
              </w:rPr>
            </w:pPr>
            <w:r>
              <w:rPr>
                <w:rFonts w:hint="eastAsia" w:ascii="宋体" w:hAnsi="宋体" w:eastAsia="宋体" w:cs="宋体"/>
                <w:color w:val="auto"/>
                <w:spacing w:val="2"/>
                <w:sz w:val="21"/>
                <w:szCs w:val="21"/>
              </w:rPr>
              <w:t>31.85</w:t>
            </w:r>
          </w:p>
        </w:tc>
        <w:tc>
          <w:tcPr>
            <w:tcW w:w="1997" w:type="dxa"/>
            <w:vAlign w:val="top"/>
          </w:tcPr>
          <w:p w14:paraId="098FA1C5">
            <w:pPr>
              <w:spacing w:before="91" w:line="195" w:lineRule="auto"/>
              <w:ind w:left="818"/>
              <w:rPr>
                <w:rFonts w:hint="eastAsia" w:ascii="宋体" w:hAnsi="宋体" w:eastAsia="宋体" w:cs="宋体"/>
                <w:color w:val="auto"/>
                <w:sz w:val="21"/>
                <w:szCs w:val="21"/>
              </w:rPr>
            </w:pPr>
            <w:r>
              <w:rPr>
                <w:rFonts w:hint="eastAsia" w:ascii="宋体" w:hAnsi="宋体" w:eastAsia="宋体" w:cs="宋体"/>
                <w:color w:val="auto"/>
                <w:spacing w:val="2"/>
                <w:sz w:val="21"/>
                <w:szCs w:val="21"/>
              </w:rPr>
              <w:t>7.92</w:t>
            </w:r>
          </w:p>
        </w:tc>
      </w:tr>
      <w:tr w14:paraId="6131D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91" w:type="dxa"/>
            <w:vAlign w:val="top"/>
          </w:tcPr>
          <w:p w14:paraId="3A7521CA">
            <w:pPr>
              <w:spacing w:before="54" w:line="232" w:lineRule="auto"/>
              <w:ind w:left="292"/>
              <w:rPr>
                <w:rFonts w:hint="eastAsia" w:ascii="宋体" w:hAnsi="宋体" w:eastAsia="宋体" w:cs="宋体"/>
                <w:color w:val="auto"/>
                <w:sz w:val="21"/>
                <w:szCs w:val="21"/>
              </w:rPr>
            </w:pPr>
            <w:r>
              <w:rPr>
                <w:rFonts w:hint="eastAsia" w:ascii="宋体" w:hAnsi="宋体" w:eastAsia="宋体" w:cs="宋体"/>
                <w:color w:val="auto"/>
                <w:spacing w:val="5"/>
                <w:sz w:val="21"/>
                <w:szCs w:val="21"/>
              </w:rPr>
              <w:t>石塘镇</w:t>
            </w:r>
          </w:p>
        </w:tc>
        <w:tc>
          <w:tcPr>
            <w:tcW w:w="1769" w:type="dxa"/>
            <w:vAlign w:val="top"/>
          </w:tcPr>
          <w:p w14:paraId="414814E3">
            <w:pPr>
              <w:spacing w:before="90" w:line="195" w:lineRule="auto"/>
              <w:ind w:left="703"/>
              <w:rPr>
                <w:rFonts w:hint="eastAsia" w:ascii="宋体" w:hAnsi="宋体" w:eastAsia="宋体" w:cs="宋体"/>
                <w:color w:val="auto"/>
                <w:sz w:val="21"/>
                <w:szCs w:val="21"/>
              </w:rPr>
            </w:pPr>
            <w:r>
              <w:rPr>
                <w:rFonts w:hint="eastAsia" w:ascii="宋体" w:hAnsi="宋体" w:eastAsia="宋体" w:cs="宋体"/>
                <w:color w:val="auto"/>
                <w:spacing w:val="2"/>
                <w:sz w:val="21"/>
                <w:szCs w:val="21"/>
              </w:rPr>
              <w:t>7.36</w:t>
            </w:r>
          </w:p>
        </w:tc>
        <w:tc>
          <w:tcPr>
            <w:tcW w:w="1992" w:type="dxa"/>
            <w:vAlign w:val="top"/>
          </w:tcPr>
          <w:p w14:paraId="530A3E84">
            <w:pPr>
              <w:spacing w:before="90" w:line="195" w:lineRule="auto"/>
              <w:ind w:left="780"/>
              <w:rPr>
                <w:rFonts w:hint="eastAsia" w:ascii="宋体" w:hAnsi="宋体" w:eastAsia="宋体" w:cs="宋体"/>
                <w:color w:val="auto"/>
                <w:sz w:val="21"/>
                <w:szCs w:val="21"/>
              </w:rPr>
            </w:pPr>
            <w:r>
              <w:rPr>
                <w:rFonts w:hint="eastAsia" w:ascii="宋体" w:hAnsi="宋体" w:eastAsia="宋体" w:cs="宋体"/>
                <w:color w:val="auto"/>
                <w:spacing w:val="-1"/>
                <w:sz w:val="21"/>
                <w:szCs w:val="21"/>
              </w:rPr>
              <w:t>12.05</w:t>
            </w:r>
          </w:p>
        </w:tc>
        <w:tc>
          <w:tcPr>
            <w:tcW w:w="2059" w:type="dxa"/>
            <w:vAlign w:val="top"/>
          </w:tcPr>
          <w:p w14:paraId="4DC0A82F">
            <w:pPr>
              <w:spacing w:before="90" w:line="195" w:lineRule="auto"/>
              <w:ind w:left="801"/>
              <w:rPr>
                <w:rFonts w:hint="eastAsia" w:ascii="宋体" w:hAnsi="宋体" w:eastAsia="宋体" w:cs="宋体"/>
                <w:color w:val="auto"/>
                <w:sz w:val="21"/>
                <w:szCs w:val="21"/>
              </w:rPr>
            </w:pPr>
            <w:r>
              <w:rPr>
                <w:rFonts w:hint="eastAsia" w:ascii="宋体" w:hAnsi="宋体" w:eastAsia="宋体" w:cs="宋体"/>
                <w:color w:val="auto"/>
                <w:spacing w:val="2"/>
                <w:sz w:val="21"/>
                <w:szCs w:val="21"/>
              </w:rPr>
              <w:t>55.26</w:t>
            </w:r>
          </w:p>
        </w:tc>
        <w:tc>
          <w:tcPr>
            <w:tcW w:w="1997" w:type="dxa"/>
            <w:vAlign w:val="top"/>
          </w:tcPr>
          <w:p w14:paraId="577F8170">
            <w:pPr>
              <w:spacing w:before="90" w:line="195" w:lineRule="auto"/>
              <w:ind w:left="782"/>
              <w:rPr>
                <w:rFonts w:hint="eastAsia" w:ascii="宋体" w:hAnsi="宋体" w:eastAsia="宋体" w:cs="宋体"/>
                <w:color w:val="auto"/>
                <w:sz w:val="21"/>
                <w:szCs w:val="21"/>
              </w:rPr>
            </w:pPr>
            <w:r>
              <w:rPr>
                <w:rFonts w:hint="eastAsia" w:ascii="宋体" w:hAnsi="宋体" w:eastAsia="宋体" w:cs="宋体"/>
                <w:color w:val="auto"/>
                <w:spacing w:val="-1"/>
                <w:sz w:val="21"/>
                <w:szCs w:val="21"/>
              </w:rPr>
              <w:t>13.75</w:t>
            </w:r>
          </w:p>
        </w:tc>
      </w:tr>
      <w:tr w14:paraId="77341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91" w:type="dxa"/>
            <w:vAlign w:val="top"/>
          </w:tcPr>
          <w:p w14:paraId="75B1A930">
            <w:pPr>
              <w:spacing w:before="55" w:line="231" w:lineRule="auto"/>
              <w:ind w:left="404"/>
              <w:rPr>
                <w:rFonts w:hint="eastAsia" w:ascii="宋体" w:hAnsi="宋体" w:eastAsia="宋体" w:cs="宋体"/>
                <w:color w:val="auto"/>
                <w:sz w:val="21"/>
                <w:szCs w:val="21"/>
              </w:rPr>
            </w:pPr>
            <w:r>
              <w:rPr>
                <w:rFonts w:hint="eastAsia" w:ascii="宋体" w:hAnsi="宋体" w:eastAsia="宋体" w:cs="宋体"/>
                <w:color w:val="auto"/>
                <w:spacing w:val="-3"/>
                <w:sz w:val="21"/>
                <w:szCs w:val="21"/>
              </w:rPr>
              <w:t>总计</w:t>
            </w:r>
          </w:p>
        </w:tc>
        <w:tc>
          <w:tcPr>
            <w:tcW w:w="1769" w:type="dxa"/>
            <w:vAlign w:val="top"/>
          </w:tcPr>
          <w:p w14:paraId="7701763D">
            <w:pPr>
              <w:spacing w:before="91" w:line="195" w:lineRule="auto"/>
              <w:ind w:left="651"/>
              <w:rPr>
                <w:rFonts w:hint="eastAsia" w:ascii="宋体" w:hAnsi="宋体" w:eastAsia="宋体" w:cs="宋体"/>
                <w:color w:val="auto"/>
                <w:sz w:val="21"/>
                <w:szCs w:val="21"/>
              </w:rPr>
            </w:pPr>
            <w:r>
              <w:rPr>
                <w:rFonts w:hint="eastAsia" w:ascii="宋体" w:hAnsi="宋体" w:eastAsia="宋体" w:cs="宋体"/>
                <w:color w:val="auto"/>
                <w:spacing w:val="-2"/>
                <w:sz w:val="21"/>
                <w:szCs w:val="21"/>
              </w:rPr>
              <w:t>61.</w:t>
            </w:r>
            <w:r>
              <w:rPr>
                <w:rFonts w:hint="eastAsia" w:ascii="宋体" w:hAnsi="宋体" w:eastAsia="宋体" w:cs="宋体"/>
                <w:color w:val="auto"/>
                <w:spacing w:val="-25"/>
                <w:sz w:val="21"/>
                <w:szCs w:val="21"/>
              </w:rPr>
              <w:t xml:space="preserve"> </w:t>
            </w:r>
            <w:r>
              <w:rPr>
                <w:rFonts w:hint="eastAsia" w:ascii="宋体" w:hAnsi="宋体" w:eastAsia="宋体" w:cs="宋体"/>
                <w:color w:val="auto"/>
                <w:spacing w:val="-2"/>
                <w:sz w:val="21"/>
                <w:szCs w:val="21"/>
              </w:rPr>
              <w:t>12</w:t>
            </w:r>
          </w:p>
        </w:tc>
        <w:tc>
          <w:tcPr>
            <w:tcW w:w="1992" w:type="dxa"/>
            <w:vAlign w:val="top"/>
          </w:tcPr>
          <w:p w14:paraId="59CE79FF">
            <w:pPr>
              <w:spacing w:before="91" w:line="195" w:lineRule="auto"/>
              <w:ind w:left="727"/>
              <w:rPr>
                <w:rFonts w:hint="eastAsia" w:ascii="宋体" w:hAnsi="宋体" w:eastAsia="宋体" w:cs="宋体"/>
                <w:color w:val="auto"/>
                <w:sz w:val="21"/>
                <w:szCs w:val="21"/>
              </w:rPr>
            </w:pPr>
            <w:r>
              <w:rPr>
                <w:rFonts w:hint="eastAsia" w:ascii="宋体" w:hAnsi="宋体" w:eastAsia="宋体" w:cs="宋体"/>
                <w:color w:val="auto"/>
                <w:sz w:val="21"/>
                <w:szCs w:val="21"/>
              </w:rPr>
              <w:t>100.00</w:t>
            </w:r>
          </w:p>
        </w:tc>
        <w:tc>
          <w:tcPr>
            <w:tcW w:w="2059" w:type="dxa"/>
            <w:vAlign w:val="top"/>
          </w:tcPr>
          <w:p w14:paraId="3C7BE885">
            <w:pPr>
              <w:spacing w:before="91" w:line="195" w:lineRule="auto"/>
              <w:ind w:left="742"/>
              <w:rPr>
                <w:rFonts w:hint="eastAsia" w:ascii="宋体" w:hAnsi="宋体" w:eastAsia="宋体" w:cs="宋体"/>
                <w:color w:val="auto"/>
                <w:sz w:val="21"/>
                <w:szCs w:val="21"/>
              </w:rPr>
            </w:pPr>
            <w:r>
              <w:rPr>
                <w:rFonts w:hint="eastAsia" w:ascii="宋体" w:hAnsi="宋体" w:eastAsia="宋体" w:cs="宋体"/>
                <w:color w:val="auto"/>
                <w:spacing w:val="3"/>
                <w:sz w:val="21"/>
                <w:szCs w:val="21"/>
              </w:rPr>
              <w:t>401.96</w:t>
            </w:r>
          </w:p>
        </w:tc>
        <w:tc>
          <w:tcPr>
            <w:tcW w:w="1997" w:type="dxa"/>
            <w:vAlign w:val="top"/>
          </w:tcPr>
          <w:p w14:paraId="57DD0AB8">
            <w:pPr>
              <w:spacing w:before="91" w:line="195" w:lineRule="auto"/>
              <w:ind w:left="732"/>
              <w:rPr>
                <w:rFonts w:hint="eastAsia" w:ascii="宋体" w:hAnsi="宋体" w:eastAsia="宋体" w:cs="宋体"/>
                <w:color w:val="auto"/>
                <w:sz w:val="21"/>
                <w:szCs w:val="21"/>
              </w:rPr>
            </w:pPr>
            <w:r>
              <w:rPr>
                <w:rFonts w:hint="eastAsia" w:ascii="宋体" w:hAnsi="宋体" w:eastAsia="宋体" w:cs="宋体"/>
                <w:color w:val="auto"/>
                <w:sz w:val="21"/>
                <w:szCs w:val="21"/>
              </w:rPr>
              <w:t>100.00</w:t>
            </w:r>
          </w:p>
        </w:tc>
      </w:tr>
    </w:tbl>
    <w:p w14:paraId="12FF9B57">
      <w:pPr>
        <w:pStyle w:val="10"/>
        <w:ind w:left="0" w:leftChars="0" w:firstLine="420" w:firstLineChars="200"/>
        <w:rPr>
          <w:rFonts w:hint="default" w:ascii="宋体" w:hAnsi="宋体" w:eastAsia="宋体" w:cs="宋体"/>
          <w:b w:val="0"/>
          <w:bCs w:val="0"/>
          <w:color w:val="auto"/>
          <w:sz w:val="21"/>
          <w:szCs w:val="21"/>
          <w:lang w:val="en-US" w:eastAsia="zh-CN" w:bidi="zh-CN"/>
        </w:rPr>
      </w:pPr>
    </w:p>
    <w:p w14:paraId="0F497A25">
      <w:pPr>
        <w:pStyle w:val="10"/>
        <w:ind w:left="0" w:leftChars="0" w:firstLine="422" w:firstLineChars="200"/>
        <w:rPr>
          <w:rFonts w:hint="eastAsia" w:ascii="宋体" w:hAnsi="宋体" w:eastAsia="宋体" w:cs="宋体"/>
          <w:b w:val="0"/>
          <w:bCs w:val="0"/>
          <w:color w:val="auto"/>
          <w:sz w:val="21"/>
          <w:szCs w:val="21"/>
          <w:lang w:val="en-US" w:eastAsia="zh-CN" w:bidi="zh-CN"/>
        </w:rPr>
      </w:pPr>
      <w:r>
        <w:rPr>
          <w:rFonts w:hint="eastAsia" w:ascii="宋体" w:hAnsi="宋体" w:eastAsia="宋体" w:cs="宋体"/>
          <w:b/>
          <w:bCs/>
          <w:color w:val="auto"/>
          <w:sz w:val="21"/>
          <w:szCs w:val="21"/>
          <w:lang w:val="en-US" w:eastAsia="zh-CN" w:bidi="zh-CN"/>
        </w:rPr>
        <w:t>3、采购预算：</w:t>
      </w:r>
      <w:r>
        <w:rPr>
          <w:rFonts w:hint="eastAsia" w:ascii="宋体" w:hAnsi="宋体" w:eastAsia="宋体" w:cs="宋体"/>
          <w:b w:val="0"/>
          <w:bCs w:val="0"/>
          <w:color w:val="auto"/>
          <w:sz w:val="21"/>
          <w:szCs w:val="21"/>
          <w:lang w:val="en-US" w:eastAsia="zh-CN" w:bidi="zh-CN"/>
        </w:rPr>
        <w:t>人民币肆仟肆佰柒拾壹万壹仟壹佰肆拾元整（￥44711140.00 万元）</w:t>
      </w:r>
    </w:p>
    <w:p w14:paraId="3D7D9B21">
      <w:pPr>
        <w:spacing w:before="79" w:line="222" w:lineRule="auto"/>
        <w:ind w:left="438"/>
        <w:jc w:val="center"/>
        <w:rPr>
          <w:rFonts w:hint="eastAsia" w:ascii="宋体" w:hAnsi="宋体" w:eastAsia="宋体" w:cs="宋体"/>
          <w:color w:val="auto"/>
          <w:sz w:val="21"/>
          <w:szCs w:val="21"/>
        </w:rPr>
      </w:pPr>
      <w:r>
        <w:rPr>
          <w:rFonts w:hint="eastAsia" w:ascii="宋体" w:hAnsi="宋体" w:eastAsia="宋体" w:cs="宋体"/>
          <w:b/>
          <w:bCs/>
          <w:color w:val="auto"/>
          <w:spacing w:val="-2"/>
          <w:sz w:val="21"/>
          <w:szCs w:val="21"/>
          <w:lang w:val="en-US" w:eastAsia="zh-CN"/>
        </w:rPr>
        <w:t>2024</w:t>
      </w:r>
      <w:r>
        <w:rPr>
          <w:rFonts w:hint="eastAsia" w:ascii="宋体" w:hAnsi="宋体" w:eastAsia="宋体" w:cs="宋体"/>
          <w:b/>
          <w:bCs/>
          <w:color w:val="auto"/>
          <w:spacing w:val="-2"/>
          <w:sz w:val="21"/>
          <w:szCs w:val="21"/>
        </w:rPr>
        <w:t>-</w:t>
      </w:r>
      <w:r>
        <w:rPr>
          <w:rFonts w:hint="eastAsia" w:ascii="宋体" w:hAnsi="宋体" w:eastAsia="宋体" w:cs="宋体"/>
          <w:b/>
          <w:bCs/>
          <w:color w:val="auto"/>
          <w:spacing w:val="-2"/>
          <w:sz w:val="21"/>
          <w:szCs w:val="21"/>
          <w:lang w:val="en-US" w:eastAsia="zh-CN"/>
        </w:rPr>
        <w:t>2026</w:t>
      </w:r>
      <w:r>
        <w:rPr>
          <w:rFonts w:hint="eastAsia" w:ascii="宋体" w:hAnsi="宋体" w:eastAsia="宋体" w:cs="宋体"/>
          <w:b/>
          <w:bCs/>
          <w:color w:val="auto"/>
          <w:spacing w:val="-2"/>
          <w:sz w:val="21"/>
          <w:szCs w:val="21"/>
        </w:rPr>
        <w:t>年全州县松材线虫病疫情防治绩效承包工程量及</w:t>
      </w:r>
      <w:r>
        <w:rPr>
          <w:rFonts w:hint="eastAsia" w:ascii="宋体" w:hAnsi="宋体" w:eastAsia="宋体" w:cs="宋体"/>
          <w:b/>
          <w:bCs/>
          <w:color w:val="auto"/>
          <w:spacing w:val="-3"/>
          <w:sz w:val="21"/>
          <w:szCs w:val="21"/>
        </w:rPr>
        <w:t>费用统计表</w:t>
      </w:r>
    </w:p>
    <w:tbl>
      <w:tblPr>
        <w:tblStyle w:val="32"/>
        <w:tblW w:w="94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3"/>
        <w:gridCol w:w="1533"/>
        <w:gridCol w:w="1500"/>
        <w:gridCol w:w="1605"/>
        <w:gridCol w:w="1605"/>
        <w:gridCol w:w="1440"/>
      </w:tblGrid>
      <w:tr w14:paraId="46135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803" w:type="dxa"/>
            <w:vAlign w:val="top"/>
          </w:tcPr>
          <w:p w14:paraId="1616758E">
            <w:pPr>
              <w:spacing w:before="212" w:line="228" w:lineRule="auto"/>
              <w:ind w:left="698"/>
              <w:rPr>
                <w:rFonts w:hint="eastAsia" w:ascii="宋体" w:hAnsi="宋体" w:eastAsia="宋体" w:cs="宋体"/>
                <w:color w:val="auto"/>
                <w:sz w:val="21"/>
                <w:szCs w:val="21"/>
              </w:rPr>
            </w:pPr>
            <w:r>
              <w:rPr>
                <w:rFonts w:hint="eastAsia" w:ascii="宋体" w:hAnsi="宋体" w:eastAsia="宋体" w:cs="宋体"/>
                <w:color w:val="auto"/>
                <w:spacing w:val="4"/>
                <w:sz w:val="21"/>
                <w:szCs w:val="21"/>
              </w:rPr>
              <w:t>年度</w:t>
            </w:r>
          </w:p>
        </w:tc>
        <w:tc>
          <w:tcPr>
            <w:tcW w:w="1533" w:type="dxa"/>
            <w:vAlign w:val="top"/>
          </w:tcPr>
          <w:p w14:paraId="11DC2089">
            <w:pPr>
              <w:spacing w:before="212" w:line="228" w:lineRule="auto"/>
              <w:ind w:left="112"/>
              <w:rPr>
                <w:rFonts w:hint="eastAsia" w:ascii="宋体" w:hAnsi="宋体" w:eastAsia="宋体" w:cs="宋体"/>
                <w:color w:val="auto"/>
                <w:sz w:val="21"/>
                <w:szCs w:val="21"/>
              </w:rPr>
            </w:pPr>
            <w:r>
              <w:rPr>
                <w:rFonts w:hint="eastAsia" w:ascii="宋体" w:hAnsi="宋体" w:eastAsia="宋体" w:cs="宋体"/>
                <w:color w:val="auto"/>
                <w:spacing w:val="8"/>
                <w:sz w:val="21"/>
                <w:szCs w:val="21"/>
              </w:rPr>
              <w:t>预计枯死松树总数/万株</w:t>
            </w:r>
          </w:p>
        </w:tc>
        <w:tc>
          <w:tcPr>
            <w:tcW w:w="1500" w:type="dxa"/>
            <w:vAlign w:val="top"/>
          </w:tcPr>
          <w:p w14:paraId="4DB6FE14">
            <w:pPr>
              <w:spacing w:before="212" w:line="228" w:lineRule="auto"/>
              <w:ind w:left="112"/>
              <w:rPr>
                <w:rFonts w:hint="default" w:ascii="宋体" w:hAnsi="宋体" w:eastAsia="宋体" w:cs="宋体"/>
                <w:color w:val="auto"/>
                <w:spacing w:val="8"/>
                <w:sz w:val="21"/>
                <w:szCs w:val="21"/>
                <w:lang w:val="en-US" w:eastAsia="zh-CN"/>
              </w:rPr>
            </w:pPr>
            <w:r>
              <w:rPr>
                <w:rFonts w:hint="eastAsia" w:ascii="宋体" w:hAnsi="宋体" w:eastAsia="宋体" w:cs="宋体"/>
                <w:color w:val="auto"/>
                <w:spacing w:val="-4"/>
                <w:sz w:val="21"/>
                <w:szCs w:val="21"/>
              </w:rPr>
              <w:t>除治费用每株</w:t>
            </w:r>
            <w:r>
              <w:rPr>
                <w:rFonts w:hint="eastAsia" w:ascii="宋体" w:hAnsi="宋体" w:eastAsia="宋体" w:cs="宋体"/>
                <w:color w:val="auto"/>
                <w:spacing w:val="-4"/>
                <w:sz w:val="21"/>
                <w:szCs w:val="21"/>
                <w:lang w:val="en-US" w:eastAsia="zh-CN"/>
              </w:rPr>
              <w:t>/元</w:t>
            </w:r>
          </w:p>
        </w:tc>
        <w:tc>
          <w:tcPr>
            <w:tcW w:w="1605" w:type="dxa"/>
            <w:vAlign w:val="top"/>
          </w:tcPr>
          <w:p w14:paraId="0FB379C8">
            <w:pPr>
              <w:spacing w:before="56" w:line="261" w:lineRule="auto"/>
              <w:ind w:left="510" w:right="120" w:hanging="379"/>
              <w:rPr>
                <w:rFonts w:hint="eastAsia" w:ascii="宋体" w:hAnsi="宋体" w:eastAsia="宋体" w:cs="宋体"/>
                <w:color w:val="auto"/>
                <w:sz w:val="21"/>
                <w:szCs w:val="21"/>
              </w:rPr>
            </w:pPr>
            <w:r>
              <w:rPr>
                <w:rFonts w:hint="eastAsia" w:ascii="宋体" w:hAnsi="宋体" w:eastAsia="宋体" w:cs="宋体"/>
                <w:color w:val="auto"/>
                <w:spacing w:val="7"/>
                <w:sz w:val="21"/>
                <w:szCs w:val="21"/>
              </w:rPr>
              <w:t>择伐除治费用</w:t>
            </w:r>
            <w:r>
              <w:rPr>
                <w:rFonts w:hint="eastAsia" w:ascii="宋体" w:hAnsi="宋体" w:eastAsia="宋体" w:cs="宋体"/>
                <w:color w:val="auto"/>
                <w:spacing w:val="4"/>
                <w:sz w:val="21"/>
                <w:szCs w:val="21"/>
              </w:rPr>
              <w:t xml:space="preserve"> </w:t>
            </w:r>
            <w:r>
              <w:rPr>
                <w:rFonts w:hint="eastAsia" w:ascii="宋体" w:hAnsi="宋体" w:eastAsia="宋体" w:cs="宋体"/>
                <w:color w:val="auto"/>
                <w:spacing w:val="7"/>
                <w:sz w:val="21"/>
                <w:szCs w:val="21"/>
              </w:rPr>
              <w:t>/万元</w:t>
            </w:r>
          </w:p>
        </w:tc>
        <w:tc>
          <w:tcPr>
            <w:tcW w:w="1605" w:type="dxa"/>
            <w:vAlign w:val="top"/>
          </w:tcPr>
          <w:p w14:paraId="1EF271BC">
            <w:pPr>
              <w:spacing w:before="56" w:line="261" w:lineRule="auto"/>
              <w:ind w:left="416" w:right="121" w:hanging="283"/>
              <w:rPr>
                <w:rFonts w:hint="eastAsia" w:ascii="宋体" w:hAnsi="宋体" w:eastAsia="宋体" w:cs="宋体"/>
                <w:color w:val="auto"/>
                <w:sz w:val="21"/>
                <w:szCs w:val="21"/>
              </w:rPr>
            </w:pPr>
            <w:r>
              <w:rPr>
                <w:rFonts w:hint="eastAsia" w:ascii="宋体" w:hAnsi="宋体" w:eastAsia="宋体" w:cs="宋体"/>
                <w:color w:val="auto"/>
                <w:spacing w:val="7"/>
                <w:sz w:val="21"/>
                <w:szCs w:val="21"/>
              </w:rPr>
              <w:t>非立木清理费</w:t>
            </w:r>
            <w:r>
              <w:rPr>
                <w:rFonts w:hint="eastAsia" w:ascii="宋体" w:hAnsi="宋体" w:eastAsia="宋体" w:cs="宋体"/>
                <w:color w:val="auto"/>
                <w:spacing w:val="3"/>
                <w:sz w:val="21"/>
                <w:szCs w:val="21"/>
              </w:rPr>
              <w:t xml:space="preserve"> </w:t>
            </w:r>
            <w:r>
              <w:rPr>
                <w:rFonts w:hint="eastAsia" w:ascii="宋体" w:hAnsi="宋体" w:eastAsia="宋体" w:cs="宋体"/>
                <w:color w:val="auto"/>
                <w:spacing w:val="5"/>
                <w:sz w:val="21"/>
                <w:szCs w:val="21"/>
              </w:rPr>
              <w:t>用/万元</w:t>
            </w:r>
          </w:p>
        </w:tc>
        <w:tc>
          <w:tcPr>
            <w:tcW w:w="1440" w:type="dxa"/>
            <w:vAlign w:val="top"/>
          </w:tcPr>
          <w:p w14:paraId="30450D06">
            <w:pPr>
              <w:spacing w:before="212" w:line="228" w:lineRule="auto"/>
              <w:ind w:left="311"/>
              <w:rPr>
                <w:rFonts w:hint="eastAsia" w:ascii="宋体" w:hAnsi="宋体" w:eastAsia="宋体" w:cs="宋体"/>
                <w:color w:val="auto"/>
                <w:sz w:val="21"/>
                <w:szCs w:val="21"/>
              </w:rPr>
            </w:pPr>
            <w:r>
              <w:rPr>
                <w:rFonts w:hint="eastAsia" w:ascii="宋体" w:hAnsi="宋体" w:eastAsia="宋体" w:cs="宋体"/>
                <w:color w:val="auto"/>
                <w:spacing w:val="6"/>
                <w:sz w:val="21"/>
                <w:szCs w:val="21"/>
              </w:rPr>
              <w:t>合计/万元</w:t>
            </w:r>
          </w:p>
        </w:tc>
      </w:tr>
      <w:tr w14:paraId="509D8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03" w:type="dxa"/>
            <w:vAlign w:val="top"/>
          </w:tcPr>
          <w:p w14:paraId="3B7D8BEB">
            <w:pPr>
              <w:spacing w:before="47" w:line="217" w:lineRule="auto"/>
              <w:ind w:left="547"/>
              <w:rPr>
                <w:rFonts w:hint="eastAsia" w:ascii="宋体" w:hAnsi="宋体" w:eastAsia="宋体" w:cs="宋体"/>
                <w:color w:val="auto"/>
                <w:sz w:val="21"/>
                <w:szCs w:val="21"/>
              </w:rPr>
            </w:pPr>
            <w:r>
              <w:rPr>
                <w:rFonts w:hint="eastAsia" w:ascii="宋体" w:hAnsi="宋体" w:eastAsia="宋体" w:cs="宋体"/>
                <w:color w:val="auto"/>
                <w:spacing w:val="-1"/>
                <w:sz w:val="21"/>
                <w:szCs w:val="21"/>
              </w:rPr>
              <w:t>2024</w:t>
            </w:r>
            <w:r>
              <w:rPr>
                <w:rFonts w:hint="eastAsia" w:ascii="宋体" w:hAnsi="宋体" w:eastAsia="宋体" w:cs="宋体"/>
                <w:color w:val="auto"/>
                <w:spacing w:val="8"/>
                <w:sz w:val="21"/>
                <w:szCs w:val="21"/>
              </w:rPr>
              <w:t xml:space="preserve"> </w:t>
            </w:r>
            <w:r>
              <w:rPr>
                <w:rFonts w:hint="eastAsia" w:ascii="宋体" w:hAnsi="宋体" w:eastAsia="宋体" w:cs="宋体"/>
                <w:color w:val="auto"/>
                <w:spacing w:val="-1"/>
                <w:sz w:val="21"/>
                <w:szCs w:val="21"/>
              </w:rPr>
              <w:t>年</w:t>
            </w:r>
          </w:p>
        </w:tc>
        <w:tc>
          <w:tcPr>
            <w:tcW w:w="1533" w:type="dxa"/>
            <w:vAlign w:val="center"/>
          </w:tcPr>
          <w:p w14:paraId="0ACD9450">
            <w:pPr>
              <w:spacing w:before="85" w:line="189" w:lineRule="auto"/>
              <w:jc w:val="center"/>
              <w:rPr>
                <w:rFonts w:hint="eastAsia" w:ascii="宋体" w:hAnsi="宋体" w:eastAsia="宋体" w:cs="宋体"/>
                <w:color w:val="auto"/>
                <w:sz w:val="21"/>
                <w:szCs w:val="21"/>
              </w:rPr>
            </w:pPr>
            <w:r>
              <w:rPr>
                <w:rFonts w:hint="eastAsia" w:ascii="宋体" w:hAnsi="宋体" w:eastAsia="宋体" w:cs="宋体"/>
                <w:color w:val="auto"/>
                <w:spacing w:val="-2"/>
                <w:sz w:val="21"/>
                <w:szCs w:val="21"/>
              </w:rPr>
              <w:t>9.4289</w:t>
            </w:r>
          </w:p>
        </w:tc>
        <w:tc>
          <w:tcPr>
            <w:tcW w:w="1500" w:type="dxa"/>
            <w:vAlign w:val="center"/>
          </w:tcPr>
          <w:p w14:paraId="35881E61">
            <w:pPr>
              <w:spacing w:before="86" w:line="189" w:lineRule="auto"/>
              <w:jc w:val="center"/>
              <w:rPr>
                <w:rFonts w:hint="default" w:ascii="宋体" w:hAnsi="宋体" w:eastAsia="宋体" w:cs="宋体"/>
                <w:color w:val="auto"/>
                <w:spacing w:val="-3"/>
                <w:sz w:val="21"/>
                <w:szCs w:val="21"/>
                <w:lang w:val="en-US" w:eastAsia="zh-CN"/>
              </w:rPr>
            </w:pPr>
            <w:r>
              <w:rPr>
                <w:rFonts w:hint="eastAsia" w:ascii="宋体" w:hAnsi="宋体" w:eastAsia="宋体" w:cs="宋体"/>
                <w:color w:val="auto"/>
                <w:spacing w:val="-3"/>
                <w:sz w:val="21"/>
                <w:szCs w:val="21"/>
                <w:lang w:val="en-US" w:eastAsia="zh-CN"/>
              </w:rPr>
              <w:t>190</w:t>
            </w:r>
          </w:p>
        </w:tc>
        <w:tc>
          <w:tcPr>
            <w:tcW w:w="1605" w:type="dxa"/>
            <w:vAlign w:val="top"/>
          </w:tcPr>
          <w:p w14:paraId="6F7E422E">
            <w:pPr>
              <w:spacing w:before="85" w:line="189" w:lineRule="auto"/>
              <w:ind w:left="418"/>
              <w:rPr>
                <w:rFonts w:hint="eastAsia" w:ascii="宋体" w:hAnsi="宋体" w:eastAsia="宋体" w:cs="宋体"/>
                <w:color w:val="auto"/>
                <w:sz w:val="21"/>
                <w:szCs w:val="21"/>
              </w:rPr>
            </w:pPr>
            <w:r>
              <w:rPr>
                <w:rFonts w:hint="eastAsia" w:ascii="宋体" w:hAnsi="宋体" w:eastAsia="宋体" w:cs="宋体"/>
                <w:color w:val="auto"/>
                <w:spacing w:val="-4"/>
                <w:sz w:val="21"/>
                <w:szCs w:val="21"/>
              </w:rPr>
              <w:t>1791.49</w:t>
            </w:r>
          </w:p>
        </w:tc>
        <w:tc>
          <w:tcPr>
            <w:tcW w:w="1605" w:type="dxa"/>
            <w:vAlign w:val="top"/>
          </w:tcPr>
          <w:p w14:paraId="45318C35">
            <w:pPr>
              <w:spacing w:before="85" w:line="189" w:lineRule="auto"/>
              <w:ind w:left="565"/>
              <w:rPr>
                <w:rFonts w:hint="eastAsia" w:ascii="宋体" w:hAnsi="宋体" w:eastAsia="宋体" w:cs="宋体"/>
                <w:color w:val="auto"/>
                <w:sz w:val="21"/>
                <w:szCs w:val="21"/>
              </w:rPr>
            </w:pPr>
            <w:r>
              <w:rPr>
                <w:rFonts w:hint="eastAsia" w:ascii="宋体" w:hAnsi="宋体" w:eastAsia="宋体" w:cs="宋体"/>
                <w:color w:val="auto"/>
                <w:spacing w:val="-1"/>
                <w:sz w:val="21"/>
                <w:szCs w:val="21"/>
              </w:rPr>
              <w:t>2.00</w:t>
            </w:r>
          </w:p>
        </w:tc>
        <w:tc>
          <w:tcPr>
            <w:tcW w:w="1440" w:type="dxa"/>
            <w:vAlign w:val="top"/>
          </w:tcPr>
          <w:p w14:paraId="44D72B1B">
            <w:pPr>
              <w:spacing w:before="85" w:line="189" w:lineRule="auto"/>
              <w:ind w:left="422"/>
              <w:rPr>
                <w:rFonts w:hint="eastAsia" w:ascii="宋体" w:hAnsi="宋体" w:eastAsia="宋体" w:cs="宋体"/>
                <w:color w:val="auto"/>
                <w:sz w:val="21"/>
                <w:szCs w:val="21"/>
              </w:rPr>
            </w:pPr>
            <w:r>
              <w:rPr>
                <w:rFonts w:hint="eastAsia" w:ascii="宋体" w:hAnsi="宋体" w:eastAsia="宋体" w:cs="宋体"/>
                <w:color w:val="auto"/>
                <w:spacing w:val="-4"/>
                <w:sz w:val="21"/>
                <w:szCs w:val="21"/>
              </w:rPr>
              <w:t>1793.49</w:t>
            </w:r>
          </w:p>
        </w:tc>
      </w:tr>
      <w:tr w14:paraId="77197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03" w:type="dxa"/>
            <w:vAlign w:val="top"/>
          </w:tcPr>
          <w:p w14:paraId="14523732">
            <w:pPr>
              <w:spacing w:before="48" w:line="216" w:lineRule="auto"/>
              <w:ind w:left="547"/>
              <w:rPr>
                <w:rFonts w:hint="eastAsia" w:ascii="宋体" w:hAnsi="宋体" w:eastAsia="宋体" w:cs="宋体"/>
                <w:color w:val="auto"/>
                <w:sz w:val="21"/>
                <w:szCs w:val="21"/>
              </w:rPr>
            </w:pPr>
            <w:r>
              <w:rPr>
                <w:rFonts w:hint="eastAsia" w:ascii="宋体" w:hAnsi="宋体" w:eastAsia="宋体" w:cs="宋体"/>
                <w:color w:val="auto"/>
                <w:spacing w:val="-1"/>
                <w:sz w:val="21"/>
                <w:szCs w:val="21"/>
              </w:rPr>
              <w:t>2025</w:t>
            </w:r>
            <w:r>
              <w:rPr>
                <w:rFonts w:hint="eastAsia" w:ascii="宋体" w:hAnsi="宋体" w:eastAsia="宋体" w:cs="宋体"/>
                <w:color w:val="auto"/>
                <w:spacing w:val="8"/>
                <w:sz w:val="21"/>
                <w:szCs w:val="21"/>
              </w:rPr>
              <w:t xml:space="preserve"> </w:t>
            </w:r>
            <w:r>
              <w:rPr>
                <w:rFonts w:hint="eastAsia" w:ascii="宋体" w:hAnsi="宋体" w:eastAsia="宋体" w:cs="宋体"/>
                <w:color w:val="auto"/>
                <w:spacing w:val="-1"/>
                <w:sz w:val="21"/>
                <w:szCs w:val="21"/>
              </w:rPr>
              <w:t>年</w:t>
            </w:r>
          </w:p>
        </w:tc>
        <w:tc>
          <w:tcPr>
            <w:tcW w:w="1533" w:type="dxa"/>
            <w:vAlign w:val="center"/>
          </w:tcPr>
          <w:p w14:paraId="6BFA2011">
            <w:pPr>
              <w:spacing w:before="86" w:line="189" w:lineRule="auto"/>
              <w:jc w:val="center"/>
              <w:rPr>
                <w:rFonts w:hint="eastAsia" w:ascii="宋体" w:hAnsi="宋体" w:eastAsia="宋体" w:cs="宋体"/>
                <w:color w:val="auto"/>
                <w:sz w:val="21"/>
                <w:szCs w:val="21"/>
              </w:rPr>
            </w:pPr>
            <w:r>
              <w:rPr>
                <w:rFonts w:hint="eastAsia" w:ascii="宋体" w:hAnsi="宋体" w:eastAsia="宋体" w:cs="宋体"/>
                <w:color w:val="auto"/>
                <w:spacing w:val="-1"/>
                <w:sz w:val="21"/>
                <w:szCs w:val="21"/>
              </w:rPr>
              <w:t>7.7317</w:t>
            </w:r>
          </w:p>
        </w:tc>
        <w:tc>
          <w:tcPr>
            <w:tcW w:w="1500" w:type="dxa"/>
            <w:vAlign w:val="center"/>
          </w:tcPr>
          <w:p w14:paraId="57700F70">
            <w:pPr>
              <w:spacing w:before="86" w:line="189" w:lineRule="auto"/>
              <w:jc w:val="center"/>
              <w:rPr>
                <w:rFonts w:hint="default" w:ascii="宋体" w:hAnsi="宋体" w:eastAsia="宋体" w:cs="宋体"/>
                <w:color w:val="auto"/>
                <w:spacing w:val="-3"/>
                <w:sz w:val="21"/>
                <w:szCs w:val="21"/>
                <w:lang w:val="en-US" w:eastAsia="zh-CN"/>
              </w:rPr>
            </w:pPr>
            <w:r>
              <w:rPr>
                <w:rFonts w:hint="eastAsia" w:ascii="宋体" w:hAnsi="宋体" w:eastAsia="宋体" w:cs="宋体"/>
                <w:color w:val="auto"/>
                <w:spacing w:val="-3"/>
                <w:sz w:val="21"/>
                <w:szCs w:val="21"/>
                <w:lang w:val="en-US" w:eastAsia="zh-CN"/>
              </w:rPr>
              <w:t>190</w:t>
            </w:r>
          </w:p>
        </w:tc>
        <w:tc>
          <w:tcPr>
            <w:tcW w:w="1605" w:type="dxa"/>
            <w:vAlign w:val="top"/>
          </w:tcPr>
          <w:p w14:paraId="6894F99A">
            <w:pPr>
              <w:spacing w:before="86" w:line="189" w:lineRule="auto"/>
              <w:ind w:left="418"/>
              <w:rPr>
                <w:rFonts w:hint="eastAsia" w:ascii="宋体" w:hAnsi="宋体" w:eastAsia="宋体" w:cs="宋体"/>
                <w:color w:val="auto"/>
                <w:sz w:val="21"/>
                <w:szCs w:val="21"/>
              </w:rPr>
            </w:pPr>
            <w:r>
              <w:rPr>
                <w:rFonts w:hint="eastAsia" w:ascii="宋体" w:hAnsi="宋体" w:eastAsia="宋体" w:cs="宋体"/>
                <w:color w:val="auto"/>
                <w:spacing w:val="-4"/>
                <w:sz w:val="21"/>
                <w:szCs w:val="21"/>
              </w:rPr>
              <w:t>1469.02</w:t>
            </w:r>
          </w:p>
        </w:tc>
        <w:tc>
          <w:tcPr>
            <w:tcW w:w="1605" w:type="dxa"/>
            <w:vAlign w:val="top"/>
          </w:tcPr>
          <w:p w14:paraId="2A3503A7">
            <w:pPr>
              <w:spacing w:before="86" w:line="189" w:lineRule="auto"/>
              <w:ind w:left="565"/>
              <w:rPr>
                <w:rFonts w:hint="eastAsia" w:ascii="宋体" w:hAnsi="宋体" w:eastAsia="宋体" w:cs="宋体"/>
                <w:color w:val="auto"/>
                <w:sz w:val="21"/>
                <w:szCs w:val="21"/>
              </w:rPr>
            </w:pPr>
            <w:r>
              <w:rPr>
                <w:rFonts w:hint="eastAsia" w:ascii="宋体" w:hAnsi="宋体" w:eastAsia="宋体" w:cs="宋体"/>
                <w:color w:val="auto"/>
                <w:spacing w:val="-1"/>
                <w:sz w:val="21"/>
                <w:szCs w:val="21"/>
              </w:rPr>
              <w:t>2.00</w:t>
            </w:r>
          </w:p>
        </w:tc>
        <w:tc>
          <w:tcPr>
            <w:tcW w:w="1440" w:type="dxa"/>
            <w:vAlign w:val="top"/>
          </w:tcPr>
          <w:p w14:paraId="72CFD00C">
            <w:pPr>
              <w:spacing w:before="86" w:line="189" w:lineRule="auto"/>
              <w:ind w:left="422"/>
              <w:rPr>
                <w:rFonts w:hint="eastAsia" w:ascii="宋体" w:hAnsi="宋体" w:eastAsia="宋体" w:cs="宋体"/>
                <w:color w:val="auto"/>
                <w:sz w:val="21"/>
                <w:szCs w:val="21"/>
              </w:rPr>
            </w:pPr>
            <w:r>
              <w:rPr>
                <w:rFonts w:hint="eastAsia" w:ascii="宋体" w:hAnsi="宋体" w:eastAsia="宋体" w:cs="宋体"/>
                <w:color w:val="auto"/>
                <w:spacing w:val="-4"/>
                <w:sz w:val="21"/>
                <w:szCs w:val="21"/>
              </w:rPr>
              <w:t>1471.02</w:t>
            </w:r>
          </w:p>
        </w:tc>
      </w:tr>
      <w:tr w14:paraId="71B83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03" w:type="dxa"/>
            <w:vAlign w:val="top"/>
          </w:tcPr>
          <w:p w14:paraId="2875E0DC">
            <w:pPr>
              <w:spacing w:before="50" w:line="214" w:lineRule="auto"/>
              <w:ind w:left="547"/>
              <w:rPr>
                <w:rFonts w:hint="eastAsia" w:ascii="宋体" w:hAnsi="宋体" w:eastAsia="宋体" w:cs="宋体"/>
                <w:color w:val="auto"/>
                <w:sz w:val="21"/>
                <w:szCs w:val="21"/>
              </w:rPr>
            </w:pPr>
            <w:r>
              <w:rPr>
                <w:rFonts w:hint="eastAsia" w:ascii="宋体" w:hAnsi="宋体" w:eastAsia="宋体" w:cs="宋体"/>
                <w:color w:val="auto"/>
                <w:spacing w:val="-1"/>
                <w:sz w:val="21"/>
                <w:szCs w:val="21"/>
              </w:rPr>
              <w:t>2026</w:t>
            </w:r>
            <w:r>
              <w:rPr>
                <w:rFonts w:hint="eastAsia" w:ascii="宋体" w:hAnsi="宋体" w:eastAsia="宋体" w:cs="宋体"/>
                <w:color w:val="auto"/>
                <w:spacing w:val="8"/>
                <w:sz w:val="21"/>
                <w:szCs w:val="21"/>
              </w:rPr>
              <w:t xml:space="preserve"> </w:t>
            </w:r>
            <w:r>
              <w:rPr>
                <w:rFonts w:hint="eastAsia" w:ascii="宋体" w:hAnsi="宋体" w:eastAsia="宋体" w:cs="宋体"/>
                <w:color w:val="auto"/>
                <w:spacing w:val="-1"/>
                <w:sz w:val="21"/>
                <w:szCs w:val="21"/>
              </w:rPr>
              <w:t>年</w:t>
            </w:r>
          </w:p>
        </w:tc>
        <w:tc>
          <w:tcPr>
            <w:tcW w:w="1533" w:type="dxa"/>
            <w:vAlign w:val="center"/>
          </w:tcPr>
          <w:p w14:paraId="580E01E3">
            <w:pPr>
              <w:spacing w:before="86" w:line="189" w:lineRule="auto"/>
              <w:jc w:val="center"/>
              <w:rPr>
                <w:rFonts w:hint="eastAsia" w:ascii="宋体" w:hAnsi="宋体" w:eastAsia="宋体" w:cs="宋体"/>
                <w:color w:val="auto"/>
                <w:sz w:val="21"/>
                <w:szCs w:val="21"/>
              </w:rPr>
            </w:pPr>
            <w:r>
              <w:rPr>
                <w:rFonts w:hint="eastAsia" w:ascii="宋体" w:hAnsi="宋体" w:eastAsia="宋体" w:cs="宋体"/>
                <w:color w:val="auto"/>
                <w:spacing w:val="-3"/>
                <w:sz w:val="21"/>
                <w:szCs w:val="21"/>
              </w:rPr>
              <w:t>6.34</w:t>
            </w:r>
          </w:p>
        </w:tc>
        <w:tc>
          <w:tcPr>
            <w:tcW w:w="1500" w:type="dxa"/>
            <w:vAlign w:val="center"/>
          </w:tcPr>
          <w:p w14:paraId="2C336AEF">
            <w:pPr>
              <w:spacing w:before="86" w:line="189" w:lineRule="auto"/>
              <w:jc w:val="center"/>
              <w:rPr>
                <w:rFonts w:hint="default" w:ascii="宋体" w:hAnsi="宋体" w:eastAsia="宋体" w:cs="宋体"/>
                <w:color w:val="auto"/>
                <w:spacing w:val="-3"/>
                <w:sz w:val="21"/>
                <w:szCs w:val="21"/>
                <w:lang w:val="en-US" w:eastAsia="zh-CN"/>
              </w:rPr>
            </w:pPr>
            <w:r>
              <w:rPr>
                <w:rFonts w:hint="eastAsia" w:ascii="宋体" w:hAnsi="宋体" w:eastAsia="宋体" w:cs="宋体"/>
                <w:color w:val="auto"/>
                <w:spacing w:val="-3"/>
                <w:sz w:val="21"/>
                <w:szCs w:val="21"/>
                <w:lang w:val="en-US" w:eastAsia="zh-CN"/>
              </w:rPr>
              <w:t>190</w:t>
            </w:r>
          </w:p>
        </w:tc>
        <w:tc>
          <w:tcPr>
            <w:tcW w:w="1605" w:type="dxa"/>
            <w:vAlign w:val="top"/>
          </w:tcPr>
          <w:p w14:paraId="15424B56">
            <w:pPr>
              <w:spacing w:before="86" w:line="189" w:lineRule="auto"/>
              <w:ind w:left="418"/>
              <w:rPr>
                <w:rFonts w:hint="default" w:ascii="宋体" w:hAnsi="宋体" w:eastAsia="宋体" w:cs="宋体"/>
                <w:color w:val="auto"/>
                <w:sz w:val="21"/>
                <w:szCs w:val="21"/>
                <w:lang w:val="en-US" w:eastAsia="zh-CN"/>
              </w:rPr>
            </w:pPr>
            <w:r>
              <w:rPr>
                <w:rFonts w:hint="eastAsia" w:ascii="宋体" w:hAnsi="宋体" w:eastAsia="宋体" w:cs="宋体"/>
                <w:color w:val="auto"/>
                <w:spacing w:val="-4"/>
                <w:sz w:val="21"/>
                <w:szCs w:val="21"/>
                <w:lang w:val="en-US" w:eastAsia="zh-CN"/>
              </w:rPr>
              <w:t>1204.6</w:t>
            </w:r>
          </w:p>
        </w:tc>
        <w:tc>
          <w:tcPr>
            <w:tcW w:w="1605" w:type="dxa"/>
            <w:vAlign w:val="top"/>
          </w:tcPr>
          <w:p w14:paraId="24E96833">
            <w:pPr>
              <w:spacing w:before="86" w:line="189" w:lineRule="auto"/>
              <w:ind w:left="565"/>
              <w:rPr>
                <w:rFonts w:hint="eastAsia" w:ascii="宋体" w:hAnsi="宋体" w:eastAsia="宋体" w:cs="宋体"/>
                <w:color w:val="auto"/>
                <w:sz w:val="21"/>
                <w:szCs w:val="21"/>
              </w:rPr>
            </w:pPr>
            <w:r>
              <w:rPr>
                <w:rFonts w:hint="eastAsia" w:ascii="宋体" w:hAnsi="宋体" w:eastAsia="宋体" w:cs="宋体"/>
                <w:color w:val="auto"/>
                <w:spacing w:val="-1"/>
                <w:sz w:val="21"/>
                <w:szCs w:val="21"/>
              </w:rPr>
              <w:t>2.00</w:t>
            </w:r>
          </w:p>
        </w:tc>
        <w:tc>
          <w:tcPr>
            <w:tcW w:w="1440" w:type="dxa"/>
            <w:vAlign w:val="top"/>
          </w:tcPr>
          <w:p w14:paraId="6055658A">
            <w:pPr>
              <w:spacing w:before="86" w:line="189" w:lineRule="auto"/>
              <w:ind w:left="422"/>
              <w:rPr>
                <w:rFonts w:hint="default" w:ascii="宋体" w:hAnsi="宋体" w:eastAsia="宋体" w:cs="宋体"/>
                <w:color w:val="auto"/>
                <w:sz w:val="21"/>
                <w:szCs w:val="21"/>
                <w:lang w:val="en-US" w:eastAsia="zh-CN"/>
              </w:rPr>
            </w:pPr>
            <w:r>
              <w:rPr>
                <w:rFonts w:hint="eastAsia" w:ascii="宋体" w:hAnsi="宋体" w:eastAsia="宋体" w:cs="宋体"/>
                <w:color w:val="auto"/>
                <w:spacing w:val="-4"/>
                <w:sz w:val="21"/>
                <w:szCs w:val="21"/>
                <w:lang w:val="en-US" w:eastAsia="zh-CN"/>
              </w:rPr>
              <w:t>1206.6</w:t>
            </w:r>
          </w:p>
        </w:tc>
      </w:tr>
      <w:tr w14:paraId="0BF55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803" w:type="dxa"/>
            <w:vAlign w:val="top"/>
          </w:tcPr>
          <w:p w14:paraId="209C815D">
            <w:pPr>
              <w:spacing w:before="51" w:line="218" w:lineRule="auto"/>
              <w:ind w:left="689"/>
              <w:rPr>
                <w:rFonts w:hint="eastAsia" w:ascii="宋体" w:hAnsi="宋体" w:eastAsia="宋体" w:cs="宋体"/>
                <w:color w:val="auto"/>
                <w:sz w:val="21"/>
                <w:szCs w:val="21"/>
              </w:rPr>
            </w:pPr>
            <w:r>
              <w:rPr>
                <w:rFonts w:hint="eastAsia" w:ascii="宋体" w:hAnsi="宋体" w:eastAsia="宋体" w:cs="宋体"/>
                <w:color w:val="auto"/>
                <w:spacing w:val="-4"/>
                <w:sz w:val="21"/>
                <w:szCs w:val="21"/>
              </w:rPr>
              <w:t>合计</w:t>
            </w:r>
          </w:p>
        </w:tc>
        <w:tc>
          <w:tcPr>
            <w:tcW w:w="1533" w:type="dxa"/>
            <w:vAlign w:val="center"/>
          </w:tcPr>
          <w:p w14:paraId="32650D61">
            <w:pPr>
              <w:spacing w:before="87" w:line="189" w:lineRule="auto"/>
              <w:jc w:val="center"/>
              <w:rPr>
                <w:rFonts w:hint="eastAsia" w:ascii="宋体" w:hAnsi="宋体" w:eastAsia="宋体" w:cs="宋体"/>
                <w:color w:val="auto"/>
                <w:sz w:val="21"/>
                <w:szCs w:val="21"/>
              </w:rPr>
            </w:pPr>
            <w:r>
              <w:rPr>
                <w:rFonts w:hint="eastAsia" w:ascii="宋体" w:hAnsi="宋体" w:eastAsia="宋体" w:cs="宋体"/>
                <w:color w:val="auto"/>
                <w:spacing w:val="-1"/>
                <w:sz w:val="21"/>
                <w:szCs w:val="21"/>
              </w:rPr>
              <w:t>23.5006</w:t>
            </w:r>
          </w:p>
        </w:tc>
        <w:tc>
          <w:tcPr>
            <w:tcW w:w="1500" w:type="dxa"/>
            <w:vAlign w:val="top"/>
          </w:tcPr>
          <w:p w14:paraId="539305B5">
            <w:pPr>
              <w:spacing w:before="86" w:line="189" w:lineRule="auto"/>
              <w:jc w:val="center"/>
              <w:rPr>
                <w:rFonts w:hint="default" w:ascii="宋体" w:hAnsi="宋体" w:eastAsia="宋体" w:cs="宋体"/>
                <w:color w:val="auto"/>
                <w:spacing w:val="-3"/>
                <w:sz w:val="21"/>
                <w:szCs w:val="21"/>
                <w:lang w:val="en-US" w:eastAsia="zh-CN"/>
              </w:rPr>
            </w:pPr>
          </w:p>
        </w:tc>
        <w:tc>
          <w:tcPr>
            <w:tcW w:w="1605" w:type="dxa"/>
            <w:vAlign w:val="top"/>
          </w:tcPr>
          <w:p w14:paraId="3B6EE4EE">
            <w:pPr>
              <w:spacing w:before="87" w:line="189" w:lineRule="auto"/>
              <w:ind w:left="396"/>
              <w:rPr>
                <w:rFonts w:hint="eastAsia" w:ascii="宋体" w:hAnsi="宋体" w:eastAsia="宋体" w:cs="宋体"/>
                <w:color w:val="auto"/>
                <w:sz w:val="21"/>
                <w:szCs w:val="21"/>
              </w:rPr>
            </w:pPr>
            <w:r>
              <w:rPr>
                <w:rFonts w:hint="eastAsia" w:ascii="宋体" w:hAnsi="宋体" w:eastAsia="宋体" w:cs="宋体"/>
                <w:color w:val="auto"/>
                <w:spacing w:val="-1"/>
                <w:sz w:val="21"/>
                <w:szCs w:val="21"/>
              </w:rPr>
              <w:t>4465.11</w:t>
            </w:r>
          </w:p>
        </w:tc>
        <w:tc>
          <w:tcPr>
            <w:tcW w:w="1605" w:type="dxa"/>
            <w:vAlign w:val="top"/>
          </w:tcPr>
          <w:p w14:paraId="74950B1F">
            <w:pPr>
              <w:spacing w:before="87" w:line="189" w:lineRule="auto"/>
              <w:ind w:left="570"/>
              <w:rPr>
                <w:rFonts w:hint="eastAsia" w:ascii="宋体" w:hAnsi="宋体" w:eastAsia="宋体" w:cs="宋体"/>
                <w:color w:val="auto"/>
                <w:sz w:val="21"/>
                <w:szCs w:val="21"/>
              </w:rPr>
            </w:pPr>
            <w:r>
              <w:rPr>
                <w:rFonts w:hint="eastAsia" w:ascii="宋体" w:hAnsi="宋体" w:eastAsia="宋体" w:cs="宋体"/>
                <w:color w:val="auto"/>
                <w:spacing w:val="-3"/>
                <w:sz w:val="21"/>
                <w:szCs w:val="21"/>
              </w:rPr>
              <w:t>6.00</w:t>
            </w:r>
          </w:p>
        </w:tc>
        <w:tc>
          <w:tcPr>
            <w:tcW w:w="1440" w:type="dxa"/>
            <w:vAlign w:val="top"/>
          </w:tcPr>
          <w:p w14:paraId="15555057">
            <w:pPr>
              <w:spacing w:before="87" w:line="189" w:lineRule="auto"/>
              <w:ind w:left="399"/>
              <w:rPr>
                <w:rFonts w:hint="eastAsia" w:ascii="宋体" w:hAnsi="宋体" w:eastAsia="宋体" w:cs="宋体"/>
                <w:color w:val="auto"/>
                <w:sz w:val="21"/>
                <w:szCs w:val="21"/>
              </w:rPr>
            </w:pPr>
            <w:r>
              <w:rPr>
                <w:rFonts w:hint="eastAsia" w:ascii="宋体" w:hAnsi="宋体" w:eastAsia="宋体" w:cs="宋体"/>
                <w:color w:val="auto"/>
                <w:spacing w:val="-1"/>
                <w:sz w:val="21"/>
                <w:szCs w:val="21"/>
              </w:rPr>
              <w:t>4471.11</w:t>
            </w:r>
          </w:p>
        </w:tc>
      </w:tr>
    </w:tbl>
    <w:p w14:paraId="5D51AF35">
      <w:pPr>
        <w:pStyle w:val="10"/>
        <w:ind w:left="0" w:leftChars="0" w:firstLine="420" w:firstLineChars="200"/>
        <w:rPr>
          <w:rFonts w:hint="eastAsia" w:ascii="宋体" w:hAnsi="宋体" w:eastAsia="宋体" w:cs="宋体"/>
          <w:b w:val="0"/>
          <w:bCs w:val="0"/>
          <w:color w:val="auto"/>
          <w:sz w:val="21"/>
          <w:szCs w:val="21"/>
          <w:lang w:val="en-US" w:eastAsia="zh-CN" w:bidi="zh-CN"/>
        </w:rPr>
      </w:pPr>
    </w:p>
    <w:p w14:paraId="78AC72C4">
      <w:pPr>
        <w:pStyle w:val="10"/>
        <w:numPr>
          <w:ilvl w:val="0"/>
          <w:numId w:val="0"/>
        </w:numPr>
        <w:spacing w:line="240" w:lineRule="auto"/>
        <w:ind w:leftChars="0" w:firstLine="422" w:firstLineChars="200"/>
        <w:rPr>
          <w:rFonts w:hint="eastAsia" w:ascii="宋体" w:hAnsi="宋体" w:eastAsia="宋体" w:cs="宋体"/>
          <w:b w:val="0"/>
          <w:bCs w:val="0"/>
          <w:color w:val="auto"/>
          <w:sz w:val="21"/>
          <w:szCs w:val="21"/>
          <w:lang w:val="en-US" w:eastAsia="zh-CN" w:bidi="zh-CN"/>
        </w:rPr>
      </w:pPr>
      <w:r>
        <w:rPr>
          <w:rFonts w:hint="eastAsia" w:ascii="宋体" w:hAnsi="宋体" w:eastAsia="宋体" w:cs="宋体"/>
          <w:b/>
          <w:bCs/>
          <w:color w:val="auto"/>
          <w:sz w:val="21"/>
          <w:szCs w:val="21"/>
          <w:lang w:val="en-US" w:eastAsia="zh-CN" w:bidi="zh-CN"/>
        </w:rPr>
        <w:t>3、采购内容</w:t>
      </w:r>
    </w:p>
    <w:p w14:paraId="55AC31BA">
      <w:pPr>
        <w:pStyle w:val="10"/>
        <w:numPr>
          <w:ilvl w:val="0"/>
          <w:numId w:val="0"/>
        </w:numPr>
        <w:spacing w:line="480" w:lineRule="auto"/>
        <w:ind w:leftChars="0" w:firstLine="420" w:firstLineChars="200"/>
        <w:rPr>
          <w:rFonts w:hint="default" w:ascii="宋体" w:hAnsi="宋体" w:eastAsia="宋体" w:cs="宋体"/>
          <w:b w:val="0"/>
          <w:bCs w:val="0"/>
          <w:color w:val="auto"/>
          <w:sz w:val="21"/>
          <w:szCs w:val="21"/>
          <w:lang w:val="en-US" w:eastAsia="zh-CN" w:bidi="zh-CN"/>
        </w:rPr>
      </w:pPr>
      <w:r>
        <w:rPr>
          <w:rFonts w:hint="default" w:ascii="宋体" w:hAnsi="宋体" w:eastAsia="宋体" w:cs="宋体"/>
          <w:b w:val="0"/>
          <w:bCs w:val="0"/>
          <w:color w:val="auto"/>
          <w:sz w:val="21"/>
          <w:szCs w:val="21"/>
          <w:lang w:val="en-US" w:eastAsia="zh-CN" w:bidi="zh-CN"/>
        </w:rPr>
        <w:t>根据国家林业和草原局重新修订的《松材线虫病疫区和疫木管理办法》（林生发〔2018〕117 号）、《松材线虫病防治技术方案》（林生发〔2022〕94 号）的规定，对全州县 18 个乡镇和 1 个林场进行松材线虫病的疫木清理具体如下：</w:t>
      </w:r>
    </w:p>
    <w:p w14:paraId="46BA75F8">
      <w:pPr>
        <w:pStyle w:val="10"/>
        <w:numPr>
          <w:ilvl w:val="0"/>
          <w:numId w:val="0"/>
        </w:numPr>
        <w:spacing w:line="240" w:lineRule="auto"/>
        <w:ind w:leftChars="0" w:firstLine="420" w:firstLineChars="200"/>
        <w:rPr>
          <w:rFonts w:hint="default" w:ascii="宋体" w:hAnsi="宋体" w:eastAsia="宋体" w:cs="宋体"/>
          <w:b w:val="0"/>
          <w:bCs w:val="0"/>
          <w:color w:val="auto"/>
          <w:sz w:val="21"/>
          <w:szCs w:val="21"/>
          <w:lang w:val="en-US" w:eastAsia="zh-CN" w:bidi="zh-CN"/>
        </w:rPr>
      </w:pPr>
      <w:r>
        <w:rPr>
          <w:rFonts w:hint="eastAsia" w:ascii="宋体" w:hAnsi="宋体" w:eastAsia="宋体" w:cs="宋体"/>
          <w:b w:val="0"/>
          <w:bCs w:val="0"/>
          <w:color w:val="auto"/>
          <w:sz w:val="21"/>
          <w:szCs w:val="21"/>
          <w:lang w:val="en-US" w:eastAsia="zh-CN" w:bidi="zh-CN"/>
        </w:rPr>
        <w:t>（1）</w:t>
      </w:r>
      <w:r>
        <w:rPr>
          <w:rFonts w:hint="eastAsia" w:ascii="宋体" w:hAnsi="宋体" w:eastAsia="宋体" w:cs="宋体"/>
          <w:color w:val="auto"/>
          <w:sz w:val="21"/>
          <w:szCs w:val="21"/>
        </w:rPr>
        <w:t>山上疫木清理</w:t>
      </w:r>
    </w:p>
    <w:p w14:paraId="26911101">
      <w:pPr>
        <w:pStyle w:val="10"/>
        <w:numPr>
          <w:ilvl w:val="0"/>
          <w:numId w:val="0"/>
        </w:numPr>
        <w:spacing w:line="480" w:lineRule="auto"/>
        <w:ind w:leftChars="0" w:firstLine="420" w:firstLineChars="200"/>
        <w:rPr>
          <w:rFonts w:hint="default" w:ascii="宋体" w:hAnsi="宋体" w:eastAsia="宋体" w:cs="宋体"/>
          <w:b w:val="0"/>
          <w:bCs w:val="0"/>
          <w:color w:val="auto"/>
          <w:sz w:val="21"/>
          <w:szCs w:val="21"/>
          <w:lang w:val="en-US" w:eastAsia="zh-CN" w:bidi="zh-CN"/>
        </w:rPr>
      </w:pPr>
      <w:r>
        <w:rPr>
          <w:rFonts w:hint="default" w:ascii="宋体" w:hAnsi="宋体" w:eastAsia="宋体" w:cs="宋体"/>
          <w:b w:val="0"/>
          <w:bCs w:val="0"/>
          <w:color w:val="auto"/>
          <w:sz w:val="21"/>
          <w:szCs w:val="21"/>
          <w:lang w:val="en-US" w:eastAsia="zh-CN" w:bidi="zh-CN"/>
        </w:rPr>
        <w:t>山上松类枯死木包括病死、风折木、倒伏木、林中外来松木及制品、以及其它原因致死的松木清理，及时择伐率 100%。清理工作分为集中清理和“即死即清”，集中清理在每年 10 月至次年 2 月底前全部清理完毕， 集中清理完成后出现的零星枯死松树采取“即死即清”。由于松褐天牛在桂林为 1-2 代，世代发育最短时间为 2 个月，在 2 个月内对新枯死松树完成清理，有利于防止疫情传播的可能性。每次集中清理后，对新枯死松树 2 个月内完成即死即清，即 4、6、8 月份各清理 1 次。</w:t>
      </w:r>
    </w:p>
    <w:p w14:paraId="6BAA698A">
      <w:pPr>
        <w:pStyle w:val="10"/>
        <w:numPr>
          <w:ilvl w:val="0"/>
          <w:numId w:val="0"/>
        </w:numPr>
        <w:spacing w:line="480" w:lineRule="auto"/>
        <w:ind w:leftChars="0" w:firstLine="420" w:firstLineChars="200"/>
        <w:rPr>
          <w:rFonts w:hint="default" w:ascii="宋体" w:hAnsi="宋体" w:eastAsia="宋体" w:cs="宋体"/>
          <w:b w:val="0"/>
          <w:bCs w:val="0"/>
          <w:color w:val="auto"/>
          <w:sz w:val="21"/>
          <w:szCs w:val="21"/>
          <w:lang w:val="en-US" w:eastAsia="zh-CN" w:bidi="zh-CN"/>
        </w:rPr>
      </w:pPr>
      <w:r>
        <w:rPr>
          <w:rFonts w:hint="eastAsia" w:ascii="宋体" w:hAnsi="宋体" w:eastAsia="宋体" w:cs="宋体"/>
          <w:b w:val="0"/>
          <w:bCs w:val="0"/>
          <w:color w:val="auto"/>
          <w:sz w:val="21"/>
          <w:szCs w:val="21"/>
          <w:lang w:val="en-US" w:eastAsia="zh-CN" w:bidi="zh-CN"/>
        </w:rPr>
        <w:t>（2）</w:t>
      </w:r>
      <w:r>
        <w:rPr>
          <w:rFonts w:hint="default" w:ascii="宋体" w:hAnsi="宋体" w:eastAsia="宋体" w:cs="宋体"/>
          <w:b w:val="0"/>
          <w:bCs w:val="0"/>
          <w:color w:val="auto"/>
          <w:sz w:val="21"/>
          <w:szCs w:val="21"/>
          <w:lang w:val="en-US" w:eastAsia="zh-CN" w:bidi="zh-CN"/>
        </w:rPr>
        <w:t>疫情发生林分及周边居民点周边非立木清理</w:t>
      </w:r>
    </w:p>
    <w:p w14:paraId="52614023">
      <w:pPr>
        <w:pStyle w:val="10"/>
        <w:numPr>
          <w:ilvl w:val="0"/>
          <w:numId w:val="0"/>
        </w:numPr>
        <w:spacing w:line="480" w:lineRule="auto"/>
        <w:ind w:leftChars="0" w:firstLine="420" w:firstLineChars="200"/>
        <w:rPr>
          <w:rFonts w:hint="eastAsia" w:ascii="宋体" w:hAnsi="宋体" w:eastAsia="宋体" w:cs="宋体"/>
          <w:color w:val="auto"/>
          <w:spacing w:val="-8"/>
          <w:sz w:val="21"/>
          <w:szCs w:val="21"/>
        </w:rPr>
      </w:pPr>
      <w:r>
        <w:rPr>
          <w:rFonts w:hint="eastAsia" w:ascii="宋体" w:hAnsi="宋体" w:eastAsia="宋体" w:cs="宋体"/>
          <w:color w:val="auto"/>
          <w:sz w:val="21"/>
          <w:szCs w:val="21"/>
        </w:rPr>
        <w:t>对疫情发生林分及周边的居民家中、房前屋后进行排查，发现松材（柴）及松木制品（不含松木类旧家具）进行除害处理</w:t>
      </w:r>
      <w:r>
        <w:rPr>
          <w:rFonts w:hint="eastAsia" w:ascii="宋体" w:hAnsi="宋体" w:eastAsia="宋体" w:cs="宋体"/>
          <w:color w:val="auto"/>
          <w:sz w:val="21"/>
          <w:szCs w:val="21"/>
          <w:lang w:eastAsia="zh-CN"/>
        </w:rPr>
        <w:t>率</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，防止带病松材（柴）及松木制品成为疫源，造成疫情扩散。每年上半年和下半年各集中开展 1 次以上，</w:t>
      </w:r>
      <w:r>
        <w:rPr>
          <w:rFonts w:hint="eastAsia" w:ascii="宋体" w:hAnsi="宋体" w:eastAsia="宋体" w:cs="宋体"/>
          <w:color w:val="auto"/>
          <w:spacing w:val="-6"/>
          <w:sz w:val="21"/>
          <w:szCs w:val="21"/>
        </w:rPr>
        <w:t xml:space="preserve">且第一次清理须在 </w:t>
      </w:r>
      <w:r>
        <w:rPr>
          <w:rFonts w:hint="eastAsia" w:ascii="宋体" w:hAnsi="宋体" w:eastAsia="宋体" w:cs="宋体"/>
          <w:color w:val="auto"/>
          <w:sz w:val="21"/>
          <w:szCs w:val="21"/>
        </w:rPr>
        <w:t>2 月底前完成。在疫情除治期结束前，实现山下疫木</w:t>
      </w:r>
      <w:r>
        <w:rPr>
          <w:rFonts w:hint="eastAsia" w:ascii="宋体" w:hAnsi="宋体" w:eastAsia="宋体" w:cs="宋体"/>
          <w:color w:val="auto"/>
          <w:spacing w:val="-8"/>
          <w:sz w:val="21"/>
          <w:szCs w:val="21"/>
        </w:rPr>
        <w:t>清零。</w:t>
      </w:r>
    </w:p>
    <w:p w14:paraId="1F13B3FA">
      <w:pPr>
        <w:pStyle w:val="10"/>
        <w:numPr>
          <w:ilvl w:val="0"/>
          <w:numId w:val="0"/>
        </w:numPr>
        <w:spacing w:line="480" w:lineRule="auto"/>
        <w:ind w:leftChars="0" w:firstLine="390" w:firstLineChars="200"/>
        <w:rPr>
          <w:rFonts w:hint="eastAsia" w:ascii="宋体" w:hAnsi="宋体" w:eastAsia="宋体" w:cs="宋体"/>
          <w:color w:val="auto"/>
          <w:sz w:val="21"/>
          <w:szCs w:val="21"/>
          <w:lang w:eastAsia="zh-CN"/>
        </w:rPr>
      </w:pPr>
      <w:r>
        <w:rPr>
          <w:rFonts w:hint="eastAsia" w:ascii="宋体" w:hAnsi="宋体" w:eastAsia="宋体" w:cs="宋体"/>
          <w:b/>
          <w:bCs/>
          <w:color w:val="auto"/>
          <w:spacing w:val="-8"/>
          <w:sz w:val="21"/>
          <w:szCs w:val="21"/>
          <w:lang w:val="en-US" w:eastAsia="zh-CN"/>
        </w:rPr>
        <w:t>4、</w:t>
      </w:r>
      <w:r>
        <w:rPr>
          <w:rFonts w:hint="eastAsia" w:ascii="宋体" w:hAnsi="宋体" w:eastAsia="宋体" w:cs="宋体"/>
          <w:b/>
          <w:bCs/>
          <w:color w:val="auto"/>
          <w:sz w:val="21"/>
          <w:szCs w:val="21"/>
        </w:rPr>
        <w:t>防治绩效承包期限</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为了建立系统的、连贯的整体绩效考核机制，全州县松材线虫病防治绩效承包时间，</w:t>
      </w:r>
      <w:r>
        <w:rPr>
          <w:rFonts w:hint="eastAsia" w:ascii="宋体" w:hAnsi="宋体" w:eastAsia="宋体" w:cs="宋体"/>
          <w:color w:val="auto"/>
          <w:sz w:val="21"/>
          <w:szCs w:val="21"/>
          <w:lang w:eastAsia="zh-CN"/>
        </w:rPr>
        <w:t>从</w:t>
      </w:r>
      <w:r>
        <w:rPr>
          <w:rFonts w:hint="eastAsia" w:ascii="宋体" w:hAnsi="宋体" w:eastAsia="宋体" w:cs="宋体"/>
          <w:color w:val="auto"/>
          <w:sz w:val="21"/>
          <w:szCs w:val="21"/>
        </w:rPr>
        <w:t>合同签订之日起至 2026 年 10 月止</w:t>
      </w:r>
      <w:r>
        <w:rPr>
          <w:rFonts w:hint="eastAsia" w:ascii="宋体" w:hAnsi="宋体" w:eastAsia="宋体" w:cs="宋体"/>
          <w:color w:val="auto"/>
          <w:sz w:val="21"/>
          <w:szCs w:val="21"/>
          <w:lang w:eastAsia="zh-CN"/>
        </w:rPr>
        <w:t>。</w:t>
      </w:r>
    </w:p>
    <w:p w14:paraId="554C61AC">
      <w:pPr>
        <w:pStyle w:val="10"/>
        <w:numPr>
          <w:ilvl w:val="0"/>
          <w:numId w:val="0"/>
        </w:numPr>
        <w:spacing w:line="480" w:lineRule="auto"/>
        <w:ind w:leftChars="0" w:firstLine="422" w:firstLineChars="200"/>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5、</w:t>
      </w:r>
      <w:r>
        <w:rPr>
          <w:rFonts w:hint="eastAsia" w:ascii="宋体" w:hAnsi="宋体" w:eastAsia="宋体" w:cs="宋体"/>
          <w:b/>
          <w:bCs/>
          <w:color w:val="auto"/>
          <w:sz w:val="21"/>
          <w:szCs w:val="21"/>
        </w:rPr>
        <w:t>绩效承包地点</w:t>
      </w:r>
      <w:r>
        <w:rPr>
          <w:rFonts w:hint="eastAsia" w:ascii="宋体" w:hAnsi="宋体" w:eastAsia="宋体" w:cs="宋体"/>
          <w:color w:val="auto"/>
          <w:sz w:val="21"/>
          <w:szCs w:val="21"/>
          <w:lang w:eastAsia="zh-CN"/>
        </w:rPr>
        <w:t>：全州县松材线虫病防治绩效承包项目（2023-2026 年）的实施地点在全州县，范围包括全县 18 个乡镇、1 个林场。</w:t>
      </w:r>
    </w:p>
    <w:p w14:paraId="5DE42BB3">
      <w:pPr>
        <w:pStyle w:val="10"/>
        <w:ind w:left="0" w:leftChars="0" w:firstLine="0" w:firstLineChars="0"/>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bidi="zh-CN"/>
        </w:rPr>
        <w:t>二、项目</w:t>
      </w:r>
      <w:r>
        <w:rPr>
          <w:rFonts w:hint="eastAsia" w:ascii="宋体" w:hAnsi="宋体" w:eastAsia="宋体" w:cs="宋体"/>
          <w:b/>
          <w:bCs/>
          <w:color w:val="auto"/>
          <w:sz w:val="21"/>
          <w:szCs w:val="21"/>
        </w:rPr>
        <w:t>防控目标</w:t>
      </w:r>
      <w:bookmarkStart w:id="2" w:name="4.1 防控目标"/>
      <w:bookmarkEnd w:id="2"/>
      <w:bookmarkStart w:id="3" w:name="_bookmark14"/>
      <w:bookmarkEnd w:id="3"/>
      <w:bookmarkStart w:id="4" w:name="_bookmark14"/>
      <w:bookmarkEnd w:id="4"/>
    </w:p>
    <w:p w14:paraId="07747655">
      <w:pPr>
        <w:pStyle w:val="10"/>
        <w:keepNext w:val="0"/>
        <w:keepLines w:val="0"/>
        <w:pageBreakBefore w:val="0"/>
        <w:widowControl/>
        <w:kinsoku/>
        <w:wordWrap/>
        <w:overflowPunct/>
        <w:topLinePunct w:val="0"/>
        <w:autoSpaceDE/>
        <w:autoSpaceDN/>
        <w:bidi w:val="0"/>
        <w:adjustRightInd w:val="0"/>
        <w:snapToGrid w:val="0"/>
        <w:spacing w:after="0" w:line="48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贯彻落实《全国松材线虫病疫情防控五年攻坚行动计划（2021-2025）》（林生发〔2021〕56 号）、《广西松材线虫病疫情防控五年攻坚行动方案（2021-2025 年）》（桂林防控〔2021〕5 号）和《广西开展松材线虫病疫情防控五年攻坚行动八条措施》等，对照控制增量、消减存量，疫情新发生疫点实现“早发现、早报告、早除治、早拔除”，原有乡镇疫点实现“拔除疫点与压缩面积相结合”的总体要求，松材线虫病疫情防控形势实现根本好转。</w:t>
      </w:r>
    </w:p>
    <w:p w14:paraId="5D1F46A8">
      <w:pPr>
        <w:pStyle w:val="4"/>
        <w:numPr>
          <w:ilvl w:val="0"/>
          <w:numId w:val="0"/>
        </w:numPr>
        <w:tabs>
          <w:tab w:val="left" w:pos="1481"/>
        </w:tabs>
        <w:spacing w:before="73" w:after="0" w:line="480" w:lineRule="auto"/>
        <w:ind w:right="0" w:rightChars="0"/>
        <w:jc w:val="left"/>
        <w:rPr>
          <w:rFonts w:hint="eastAsia" w:ascii="宋体" w:hAnsi="宋体" w:eastAsia="宋体" w:cs="宋体"/>
          <w:b/>
          <w:color w:val="auto"/>
          <w:sz w:val="21"/>
          <w:szCs w:val="21"/>
        </w:rPr>
      </w:pPr>
      <w:bookmarkStart w:id="5" w:name="4.1.1 总体目标"/>
      <w:bookmarkEnd w:id="5"/>
      <w:bookmarkStart w:id="6" w:name="4.1.1 总体目标"/>
      <w:bookmarkEnd w:id="6"/>
      <w:r>
        <w:rPr>
          <w:rFonts w:hint="eastAsia" w:cs="宋体"/>
          <w:color w:val="auto"/>
          <w:sz w:val="21"/>
          <w:szCs w:val="21"/>
          <w:lang w:val="en-US" w:eastAsia="zh-CN"/>
        </w:rPr>
        <w:t>1、</w:t>
      </w:r>
      <w:r>
        <w:rPr>
          <w:rFonts w:hint="eastAsia" w:ascii="宋体" w:hAnsi="宋体" w:eastAsia="宋体" w:cs="宋体"/>
          <w:color w:val="auto"/>
          <w:sz w:val="21"/>
          <w:szCs w:val="21"/>
        </w:rPr>
        <w:t>总体目标</w:t>
      </w:r>
    </w:p>
    <w:p w14:paraId="47731BB4">
      <w:pPr>
        <w:pStyle w:val="10"/>
        <w:keepNext w:val="0"/>
        <w:keepLines w:val="0"/>
        <w:pageBreakBefore w:val="0"/>
        <w:widowControl/>
        <w:kinsoku/>
        <w:wordWrap/>
        <w:overflowPunct/>
        <w:topLinePunct w:val="0"/>
        <w:autoSpaceDE/>
        <w:autoSpaceDN/>
        <w:bidi w:val="0"/>
        <w:adjustRightInd w:val="0"/>
        <w:snapToGrid w:val="0"/>
        <w:spacing w:after="0" w:line="480" w:lineRule="auto"/>
        <w:ind w:left="0" w:leftChars="0" w:right="0" w:firstLine="428"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pacing w:val="2"/>
          <w:sz w:val="21"/>
          <w:szCs w:val="21"/>
        </w:rPr>
        <w:t>坚持</w:t>
      </w:r>
      <w:r>
        <w:rPr>
          <w:rFonts w:hint="eastAsia" w:ascii="宋体" w:hAnsi="宋体" w:eastAsia="宋体" w:cs="宋体"/>
          <w:color w:val="auto"/>
          <w:spacing w:val="4"/>
          <w:sz w:val="21"/>
          <w:szCs w:val="21"/>
        </w:rPr>
        <w:t>“</w:t>
      </w:r>
      <w:r>
        <w:rPr>
          <w:rFonts w:hint="eastAsia" w:ascii="宋体" w:hAnsi="宋体" w:eastAsia="宋体" w:cs="宋体"/>
          <w:color w:val="auto"/>
          <w:sz w:val="21"/>
          <w:szCs w:val="21"/>
        </w:rPr>
        <w:t>内防扩散、外防输出、全面攻坚</w:t>
      </w:r>
      <w:r>
        <w:rPr>
          <w:rFonts w:hint="eastAsia" w:ascii="宋体" w:hAnsi="宋体" w:eastAsia="宋体" w:cs="宋体"/>
          <w:color w:val="auto"/>
          <w:spacing w:val="4"/>
          <w:sz w:val="21"/>
          <w:szCs w:val="21"/>
        </w:rPr>
        <w:t>”</w:t>
      </w:r>
      <w:r>
        <w:rPr>
          <w:rFonts w:hint="eastAsia" w:ascii="宋体" w:hAnsi="宋体" w:eastAsia="宋体" w:cs="宋体"/>
          <w:color w:val="auto"/>
          <w:sz w:val="21"/>
          <w:szCs w:val="21"/>
        </w:rPr>
        <w:t>的防控方针，疫情连片发生区由外向内逐步压缩，控制发生范围、减轻疫情生态灾害损失，将疫情控制由发展态势转向趋于平稳，实现疫情整体稳控、逐步压缩、定点清</w:t>
      </w:r>
      <w:r>
        <w:rPr>
          <w:rFonts w:hint="eastAsia" w:ascii="宋体" w:hAnsi="宋体" w:eastAsia="宋体" w:cs="宋体"/>
          <w:color w:val="auto"/>
          <w:spacing w:val="-22"/>
          <w:sz w:val="21"/>
          <w:szCs w:val="21"/>
        </w:rPr>
        <w:t xml:space="preserve">除。到 </w:t>
      </w:r>
      <w:r>
        <w:rPr>
          <w:rFonts w:hint="eastAsia" w:ascii="宋体" w:hAnsi="宋体" w:eastAsia="宋体" w:cs="宋体"/>
          <w:color w:val="auto"/>
          <w:sz w:val="21"/>
          <w:szCs w:val="21"/>
        </w:rPr>
        <w:t xml:space="preserve">2026 </w:t>
      </w:r>
      <w:r>
        <w:rPr>
          <w:rFonts w:hint="eastAsia" w:ascii="宋体" w:hAnsi="宋体" w:eastAsia="宋体" w:cs="宋体"/>
          <w:color w:val="auto"/>
          <w:spacing w:val="-4"/>
          <w:sz w:val="21"/>
          <w:szCs w:val="21"/>
        </w:rPr>
        <w:t>年全县松材线虫病疫情发生面积、疫点数量和疫情小班实现“</w:t>
      </w:r>
      <w:r>
        <w:rPr>
          <w:rFonts w:hint="eastAsia" w:ascii="宋体" w:hAnsi="宋体" w:eastAsia="宋体" w:cs="宋体"/>
          <w:color w:val="auto"/>
          <w:spacing w:val="2"/>
          <w:sz w:val="21"/>
          <w:szCs w:val="21"/>
        </w:rPr>
        <w:t>三下降</w:t>
      </w:r>
      <w:r>
        <w:rPr>
          <w:rFonts w:hint="eastAsia" w:ascii="宋体" w:hAnsi="宋体" w:eastAsia="宋体" w:cs="宋体"/>
          <w:color w:val="auto"/>
          <w:spacing w:val="3"/>
          <w:sz w:val="21"/>
          <w:szCs w:val="21"/>
        </w:rPr>
        <w:t>”</w:t>
      </w:r>
      <w:r>
        <w:rPr>
          <w:rFonts w:hint="eastAsia" w:ascii="宋体" w:hAnsi="宋体" w:eastAsia="宋体" w:cs="宋体"/>
          <w:color w:val="auto"/>
          <w:sz w:val="21"/>
          <w:szCs w:val="21"/>
        </w:rPr>
        <w:t>，拔除龙水镇、庙头镇、才湾镇三个疫点，全州镇、枧塘镇疫</w:t>
      </w:r>
      <w:r>
        <w:rPr>
          <w:rFonts w:hint="eastAsia" w:ascii="宋体" w:hAnsi="宋体" w:eastAsia="宋体" w:cs="宋体"/>
          <w:color w:val="auto"/>
          <w:spacing w:val="-14"/>
          <w:sz w:val="21"/>
          <w:szCs w:val="21"/>
        </w:rPr>
        <w:t xml:space="preserve">情面积下降 </w:t>
      </w:r>
      <w:r>
        <w:rPr>
          <w:rFonts w:hint="eastAsia" w:ascii="宋体" w:hAnsi="宋体" w:eastAsia="宋体" w:cs="宋体"/>
          <w:color w:val="auto"/>
          <w:sz w:val="21"/>
          <w:szCs w:val="21"/>
        </w:rPr>
        <w:t>20%。</w:t>
      </w:r>
    </w:p>
    <w:p w14:paraId="07EAA94C">
      <w:pPr>
        <w:pStyle w:val="4"/>
        <w:numPr>
          <w:ilvl w:val="0"/>
          <w:numId w:val="0"/>
        </w:numPr>
        <w:tabs>
          <w:tab w:val="left" w:pos="1481"/>
        </w:tabs>
        <w:spacing w:before="74" w:after="0" w:line="360" w:lineRule="auto"/>
        <w:ind w:right="0" w:rightChars="0"/>
        <w:jc w:val="left"/>
        <w:rPr>
          <w:rFonts w:hint="eastAsia" w:ascii="宋体" w:hAnsi="宋体" w:eastAsia="宋体" w:cs="宋体"/>
          <w:b/>
          <w:color w:val="auto"/>
          <w:sz w:val="21"/>
          <w:szCs w:val="21"/>
        </w:rPr>
      </w:pPr>
      <w:bookmarkStart w:id="7" w:name="4.1.2 年度目标"/>
      <w:bookmarkEnd w:id="7"/>
      <w:bookmarkStart w:id="8" w:name="4.1.2 年度目标"/>
      <w:bookmarkEnd w:id="8"/>
      <w:r>
        <w:rPr>
          <w:rFonts w:hint="eastAsia" w:cs="宋体"/>
          <w:color w:val="auto"/>
          <w:sz w:val="21"/>
          <w:szCs w:val="21"/>
          <w:lang w:val="en-US" w:eastAsia="zh-CN"/>
        </w:rPr>
        <w:t>2、</w:t>
      </w:r>
      <w:r>
        <w:rPr>
          <w:rFonts w:hint="eastAsia" w:ascii="宋体" w:hAnsi="宋体" w:eastAsia="宋体" w:cs="宋体"/>
          <w:color w:val="auto"/>
          <w:sz w:val="21"/>
          <w:szCs w:val="21"/>
        </w:rPr>
        <w:t>年度目标</w:t>
      </w:r>
    </w:p>
    <w:p w14:paraId="4FCC7788">
      <w:pPr>
        <w:pStyle w:val="10"/>
        <w:spacing w:line="360" w:lineRule="auto"/>
        <w:ind w:left="0" w:leftChars="0"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（1）2024 年年度目标</w:t>
      </w:r>
    </w:p>
    <w:p w14:paraId="33BAA6E1">
      <w:pPr>
        <w:pStyle w:val="10"/>
        <w:keepNext w:val="0"/>
        <w:keepLines w:val="0"/>
        <w:pageBreakBefore w:val="0"/>
        <w:widowControl/>
        <w:kinsoku/>
        <w:wordWrap/>
        <w:overflowPunct/>
        <w:topLinePunct w:val="0"/>
        <w:autoSpaceDE/>
        <w:autoSpaceDN/>
        <w:bidi w:val="0"/>
        <w:adjustRightInd w:val="0"/>
        <w:snapToGrid w:val="0"/>
        <w:spacing w:after="0" w:line="48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控制疫情不扩散的同时，拔除龙水镇、庙头镇疫点；才湾镇实现无疫情；全州镇、枧塘镇疫情面积不增加。若发现新疫点，必须当年治理， 一年内实现无疫情。</w:t>
      </w:r>
    </w:p>
    <w:p w14:paraId="348B70A4">
      <w:pPr>
        <w:pStyle w:val="10"/>
        <w:spacing w:line="358" w:lineRule="exact"/>
        <w:ind w:left="0" w:leftChars="0" w:firstLine="210" w:firstLineChars="100"/>
        <w:jc w:val="both"/>
        <w:rPr>
          <w:rFonts w:hint="eastAsia" w:ascii="宋体" w:hAnsi="宋体" w:eastAsia="宋体" w:cs="宋体"/>
          <w:color w:val="auto"/>
          <w:sz w:val="21"/>
          <w:szCs w:val="21"/>
        </w:rPr>
      </w:pPr>
      <w:r>
        <w:rPr>
          <w:rFonts w:hint="eastAsia" w:ascii="宋体" w:hAnsi="宋体" w:eastAsia="宋体" w:cs="宋体"/>
          <w:color w:val="auto"/>
          <w:sz w:val="21"/>
          <w:szCs w:val="21"/>
        </w:rPr>
        <w:t>（2）2025 年年度目标</w:t>
      </w:r>
    </w:p>
    <w:p w14:paraId="3AB154DB">
      <w:pPr>
        <w:pStyle w:val="10"/>
        <w:keepNext w:val="0"/>
        <w:keepLines w:val="0"/>
        <w:pageBreakBefore w:val="0"/>
        <w:widowControl/>
        <w:kinsoku/>
        <w:wordWrap/>
        <w:overflowPunct/>
        <w:topLinePunct w:val="0"/>
        <w:autoSpaceDE/>
        <w:autoSpaceDN/>
        <w:bidi w:val="0"/>
        <w:adjustRightInd w:val="0"/>
        <w:snapToGrid w:val="0"/>
        <w:spacing w:line="418" w:lineRule="auto"/>
        <w:ind w:left="0" w:right="0" w:firstLine="561"/>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巩固已拔除疫点单位的防控成果，确保疫情不反弹，当年拔除才湾</w:t>
      </w:r>
      <w:r>
        <w:rPr>
          <w:rFonts w:hint="eastAsia" w:ascii="宋体" w:hAnsi="宋体" w:eastAsia="宋体" w:cs="宋体"/>
          <w:color w:val="auto"/>
          <w:spacing w:val="-12"/>
          <w:sz w:val="21"/>
          <w:szCs w:val="21"/>
        </w:rPr>
        <w:t xml:space="preserve">镇疫点，全州镇、枧塘镇疫情面积下降 </w:t>
      </w:r>
      <w:r>
        <w:rPr>
          <w:rFonts w:hint="eastAsia" w:ascii="宋体" w:hAnsi="宋体" w:eastAsia="宋体" w:cs="宋体"/>
          <w:color w:val="auto"/>
          <w:spacing w:val="-6"/>
          <w:sz w:val="21"/>
          <w:szCs w:val="21"/>
        </w:rPr>
        <w:t>10%（</w:t>
      </w:r>
      <w:r>
        <w:rPr>
          <w:rFonts w:hint="eastAsia" w:ascii="宋体" w:hAnsi="宋体" w:eastAsia="宋体" w:cs="宋体"/>
          <w:color w:val="auto"/>
          <w:spacing w:val="-34"/>
          <w:sz w:val="21"/>
          <w:szCs w:val="21"/>
        </w:rPr>
        <w:t xml:space="preserve">以 </w:t>
      </w:r>
      <w:r>
        <w:rPr>
          <w:rFonts w:hint="eastAsia" w:ascii="宋体" w:hAnsi="宋体" w:eastAsia="宋体" w:cs="宋体"/>
          <w:color w:val="auto"/>
          <w:sz w:val="21"/>
          <w:szCs w:val="21"/>
        </w:rPr>
        <w:t xml:space="preserve">2023 </w:t>
      </w:r>
      <w:r>
        <w:rPr>
          <w:rFonts w:hint="eastAsia" w:ascii="宋体" w:hAnsi="宋体" w:eastAsia="宋体" w:cs="宋体"/>
          <w:color w:val="auto"/>
          <w:spacing w:val="-3"/>
          <w:sz w:val="21"/>
          <w:szCs w:val="21"/>
        </w:rPr>
        <w:t>年度疫情面积为基础）。若发生新疫点，当年治理，一年内实现无疫情。</w:t>
      </w:r>
    </w:p>
    <w:p w14:paraId="5A247B35">
      <w:pPr>
        <w:pStyle w:val="10"/>
        <w:spacing w:line="358" w:lineRule="exact"/>
        <w:ind w:left="0" w:leftChars="0"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（3）2026 年年度目标</w:t>
      </w:r>
    </w:p>
    <w:p w14:paraId="4F3B69A4">
      <w:pPr>
        <w:pStyle w:val="10"/>
        <w:keepNext w:val="0"/>
        <w:keepLines w:val="0"/>
        <w:pageBreakBefore w:val="0"/>
        <w:widowControl/>
        <w:kinsoku/>
        <w:wordWrap/>
        <w:overflowPunct/>
        <w:topLinePunct w:val="0"/>
        <w:autoSpaceDE/>
        <w:autoSpaceDN/>
        <w:bidi w:val="0"/>
        <w:adjustRightInd w:val="0"/>
        <w:snapToGrid w:val="0"/>
        <w:spacing w:after="0" w:line="418" w:lineRule="auto"/>
        <w:ind w:left="0" w:right="0" w:firstLine="561"/>
        <w:jc w:val="both"/>
        <w:textAlignment w:val="auto"/>
        <w:rPr>
          <w:rFonts w:hint="eastAsia" w:ascii="宋体" w:hAnsi="宋体" w:eastAsia="宋体" w:cs="宋体"/>
          <w:b/>
          <w:color w:val="auto"/>
          <w:sz w:val="38"/>
        </w:rPr>
      </w:pPr>
      <w:r>
        <w:rPr>
          <w:rFonts w:hint="eastAsia" w:ascii="宋体" w:hAnsi="宋体" w:eastAsia="宋体" w:cs="宋体"/>
          <w:color w:val="auto"/>
          <w:sz w:val="21"/>
          <w:szCs w:val="21"/>
        </w:rPr>
        <w:t>巩固已拔除疫点单位的防控成果，确保疫情不反弹，全州镇、枧塘</w:t>
      </w:r>
      <w:r>
        <w:rPr>
          <w:rFonts w:hint="eastAsia" w:ascii="宋体" w:hAnsi="宋体" w:eastAsia="宋体" w:cs="宋体"/>
          <w:color w:val="auto"/>
          <w:spacing w:val="-12"/>
          <w:sz w:val="21"/>
          <w:szCs w:val="21"/>
        </w:rPr>
        <w:t xml:space="preserve">镇疫情面积下降 </w:t>
      </w:r>
      <w:r>
        <w:rPr>
          <w:rFonts w:hint="eastAsia" w:ascii="宋体" w:hAnsi="宋体" w:eastAsia="宋体" w:cs="宋体"/>
          <w:color w:val="auto"/>
          <w:sz w:val="21"/>
          <w:szCs w:val="21"/>
        </w:rPr>
        <w:t>10%（</w:t>
      </w:r>
      <w:r>
        <w:rPr>
          <w:rFonts w:hint="eastAsia" w:ascii="宋体" w:hAnsi="宋体" w:eastAsia="宋体" w:cs="宋体"/>
          <w:color w:val="auto"/>
          <w:spacing w:val="-35"/>
          <w:sz w:val="21"/>
          <w:szCs w:val="21"/>
        </w:rPr>
        <w:t xml:space="preserve">以 </w:t>
      </w:r>
      <w:r>
        <w:rPr>
          <w:rFonts w:hint="eastAsia" w:ascii="宋体" w:hAnsi="宋体" w:eastAsia="宋体" w:cs="宋体"/>
          <w:color w:val="auto"/>
          <w:sz w:val="21"/>
          <w:szCs w:val="21"/>
        </w:rPr>
        <w:t xml:space="preserve">2023 </w:t>
      </w:r>
      <w:r>
        <w:rPr>
          <w:rFonts w:hint="eastAsia" w:ascii="宋体" w:hAnsi="宋体" w:eastAsia="宋体" w:cs="宋体"/>
          <w:color w:val="auto"/>
          <w:spacing w:val="-3"/>
          <w:sz w:val="21"/>
          <w:szCs w:val="21"/>
        </w:rPr>
        <w:t>年度疫情面积为基础</w:t>
      </w:r>
      <w:r>
        <w:rPr>
          <w:rFonts w:hint="eastAsia" w:ascii="宋体" w:hAnsi="宋体" w:eastAsia="宋体" w:cs="宋体"/>
          <w:color w:val="auto"/>
          <w:sz w:val="21"/>
          <w:szCs w:val="21"/>
        </w:rPr>
        <w:t>）</w:t>
      </w:r>
      <w:r>
        <w:rPr>
          <w:rFonts w:hint="eastAsia" w:ascii="宋体" w:hAnsi="宋体" w:eastAsia="宋体" w:cs="宋体"/>
          <w:color w:val="auto"/>
          <w:spacing w:val="-3"/>
          <w:sz w:val="21"/>
          <w:szCs w:val="21"/>
        </w:rPr>
        <w:t>。若发生新疫点， 当年治理，一年内实现无疫情。</w:t>
      </w:r>
    </w:p>
    <w:p w14:paraId="4F23C32B">
      <w:pPr>
        <w:pStyle w:val="4"/>
        <w:numPr>
          <w:ilvl w:val="0"/>
          <w:numId w:val="0"/>
        </w:numPr>
        <w:tabs>
          <w:tab w:val="left" w:pos="1241"/>
        </w:tabs>
        <w:spacing w:before="0" w:after="0" w:line="360" w:lineRule="auto"/>
        <w:ind w:right="0" w:rightChars="0"/>
        <w:jc w:val="left"/>
        <w:rPr>
          <w:rFonts w:hint="eastAsia" w:ascii="宋体" w:hAnsi="宋体" w:eastAsia="宋体" w:cs="宋体"/>
          <w:b/>
          <w:color w:val="auto"/>
          <w:sz w:val="21"/>
          <w:szCs w:val="21"/>
        </w:rPr>
      </w:pPr>
      <w:bookmarkStart w:id="9" w:name="4.2 主要任务"/>
      <w:bookmarkEnd w:id="9"/>
      <w:bookmarkStart w:id="10" w:name="_bookmark15"/>
      <w:bookmarkEnd w:id="10"/>
      <w:bookmarkStart w:id="11" w:name="_bookmark15"/>
      <w:bookmarkEnd w:id="11"/>
      <w:r>
        <w:rPr>
          <w:rFonts w:hint="eastAsia" w:cs="宋体"/>
          <w:color w:val="auto"/>
          <w:sz w:val="21"/>
          <w:szCs w:val="21"/>
          <w:lang w:val="en-US" w:eastAsia="zh-CN"/>
        </w:rPr>
        <w:t>三、</w:t>
      </w:r>
      <w:r>
        <w:rPr>
          <w:rFonts w:hint="eastAsia" w:cs="宋体"/>
          <w:color w:val="auto"/>
          <w:sz w:val="21"/>
          <w:szCs w:val="21"/>
          <w:lang w:eastAsia="zh-CN"/>
        </w:rPr>
        <w:t>服务要求</w:t>
      </w:r>
      <w:bookmarkStart w:id="12" w:name="4.2.1 防治绩效承包工作"/>
      <w:bookmarkEnd w:id="12"/>
      <w:bookmarkStart w:id="13" w:name="4.2.1 防治绩效承包工作"/>
      <w:bookmarkEnd w:id="13"/>
      <w:bookmarkStart w:id="14" w:name="6.1.1 枯死疫木的择伐清理"/>
      <w:bookmarkEnd w:id="14"/>
      <w:bookmarkStart w:id="15" w:name="6.1.1 枯死疫木的择伐清理"/>
      <w:bookmarkEnd w:id="15"/>
    </w:p>
    <w:p w14:paraId="72DAF474">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2" w:firstLineChars="200"/>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1、择伐清理</w:t>
      </w:r>
    </w:p>
    <w:p w14:paraId="1A084DCC">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择伐清理指对松材线虫病疫情小班及其周边松林中的病死（濒死、枯死、因灾致死等）松树进行采伐的方式。择伐清理包括集中除治和即死即清 2 种方式。“集中除治”即在冬春媒介昆虫非羽化期内（10 月至次年 2 月下旬）采伐清理病死（濒死、枯死、因灾致死等）松树并进行除害处理；“即死即清”为集中除治后又发现零星死亡松树时，及时采伐并进行除害处理的方式。</w:t>
      </w:r>
    </w:p>
    <w:p w14:paraId="656F77C8">
      <w:pPr>
        <w:pStyle w:val="31"/>
        <w:keepNext w:val="0"/>
        <w:keepLines w:val="0"/>
        <w:pageBreakBefore w:val="0"/>
        <w:widowControl/>
        <w:numPr>
          <w:ilvl w:val="0"/>
          <w:numId w:val="0"/>
        </w:numPr>
        <w:tabs>
          <w:tab w:val="left" w:pos="1943"/>
        </w:tabs>
        <w:kinsoku/>
        <w:wordWrap/>
        <w:overflowPunct/>
        <w:topLinePunct w:val="0"/>
        <w:autoSpaceDE/>
        <w:autoSpaceDN/>
        <w:bidi w:val="0"/>
        <w:adjustRightInd w:val="0"/>
        <w:snapToGrid w:val="0"/>
        <w:spacing w:after="0" w:line="480" w:lineRule="auto"/>
        <w:ind w:left="0" w:leftChars="0" w:right="0" w:rightChars="0" w:firstLine="408"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lang w:eastAsia="zh-CN"/>
        </w:rPr>
        <w:t>（</w:t>
      </w:r>
      <w:r>
        <w:rPr>
          <w:rFonts w:hint="eastAsia" w:ascii="宋体" w:hAnsi="宋体" w:eastAsia="宋体" w:cs="宋体"/>
          <w:color w:val="auto"/>
          <w:spacing w:val="-3"/>
          <w:sz w:val="21"/>
          <w:szCs w:val="21"/>
          <w:lang w:val="en-US" w:eastAsia="zh-CN"/>
        </w:rPr>
        <w:t>1</w:t>
      </w:r>
      <w:r>
        <w:rPr>
          <w:rFonts w:hint="eastAsia" w:ascii="宋体" w:hAnsi="宋体" w:eastAsia="宋体" w:cs="宋体"/>
          <w:color w:val="auto"/>
          <w:spacing w:val="-3"/>
          <w:sz w:val="21"/>
          <w:szCs w:val="21"/>
          <w:lang w:eastAsia="zh-CN"/>
        </w:rPr>
        <w:t>）</w:t>
      </w:r>
      <w:r>
        <w:rPr>
          <w:rFonts w:hint="eastAsia" w:ascii="宋体" w:hAnsi="宋体" w:eastAsia="宋体" w:cs="宋体"/>
          <w:color w:val="auto"/>
          <w:spacing w:val="-3"/>
          <w:sz w:val="21"/>
          <w:szCs w:val="21"/>
        </w:rPr>
        <w:t>作业要求：</w:t>
      </w:r>
    </w:p>
    <w:p w14:paraId="271D0B1E">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对择伐的松木上直径超过 1 厘米的枝桠进行全部清理，并实行全过程现场监管。</w:t>
      </w:r>
    </w:p>
    <w:p w14:paraId="6B178250">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采取集中除治方式的松木和直径超过 1 厘米的枝桠应在疫区内就地就近及时进行除害处理，于媒介昆虫进入羽化期前全部处置完毕；采取即死即清方式的松木和直径超过 1 厘米的枝桠，必须按照当日采伐当日就地粉碎（削片）或烧毁的要求进行处置。</w:t>
      </w:r>
    </w:p>
    <w:p w14:paraId="02A53068">
      <w:pPr>
        <w:pStyle w:val="31"/>
        <w:keepNext w:val="0"/>
        <w:keepLines w:val="0"/>
        <w:pageBreakBefore w:val="0"/>
        <w:widowControl/>
        <w:numPr>
          <w:ilvl w:val="0"/>
          <w:numId w:val="0"/>
        </w:numPr>
        <w:tabs>
          <w:tab w:val="left" w:pos="1943"/>
        </w:tabs>
        <w:kinsoku/>
        <w:wordWrap/>
        <w:overflowPunct/>
        <w:topLinePunct w:val="0"/>
        <w:autoSpaceDE/>
        <w:autoSpaceDN/>
        <w:bidi w:val="0"/>
        <w:adjustRightInd w:val="0"/>
        <w:snapToGrid w:val="0"/>
        <w:spacing w:after="0" w:line="480" w:lineRule="auto"/>
        <w:ind w:left="0" w:leftChars="0" w:right="0" w:rightChars="0" w:firstLine="408"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lang w:eastAsia="zh-CN"/>
        </w:rPr>
        <w:t>（</w:t>
      </w:r>
      <w:r>
        <w:rPr>
          <w:rFonts w:hint="eastAsia" w:ascii="宋体" w:hAnsi="宋体" w:eastAsia="宋体" w:cs="宋体"/>
          <w:color w:val="auto"/>
          <w:spacing w:val="-3"/>
          <w:sz w:val="21"/>
          <w:szCs w:val="21"/>
          <w:lang w:val="en-US" w:eastAsia="zh-CN"/>
        </w:rPr>
        <w:t>2</w:t>
      </w:r>
      <w:r>
        <w:rPr>
          <w:rFonts w:hint="eastAsia" w:ascii="宋体" w:hAnsi="宋体" w:eastAsia="宋体" w:cs="宋体"/>
          <w:color w:val="auto"/>
          <w:spacing w:val="-3"/>
          <w:sz w:val="21"/>
          <w:szCs w:val="21"/>
          <w:lang w:eastAsia="zh-CN"/>
        </w:rPr>
        <w:t>）</w:t>
      </w:r>
      <w:r>
        <w:rPr>
          <w:rFonts w:hint="eastAsia" w:ascii="宋体" w:hAnsi="宋体" w:eastAsia="宋体" w:cs="宋体"/>
          <w:color w:val="auto"/>
          <w:spacing w:val="-3"/>
          <w:sz w:val="21"/>
          <w:szCs w:val="21"/>
        </w:rPr>
        <w:t>数据记录：砍伐的每株疫木须记录砍伐日期、砍伐地点乡镇、</w:t>
      </w:r>
      <w:r>
        <w:rPr>
          <w:rFonts w:hint="eastAsia" w:ascii="宋体" w:hAnsi="宋体" w:eastAsia="宋体" w:cs="宋体"/>
          <w:color w:val="auto"/>
          <w:spacing w:val="-2"/>
          <w:sz w:val="21"/>
          <w:szCs w:val="21"/>
        </w:rPr>
        <w:t>村、林班、小班、编号、经纬度等信息。处理的疫木全过程要拍照或录</w:t>
      </w:r>
      <w:r>
        <w:rPr>
          <w:rFonts w:hint="eastAsia" w:ascii="宋体" w:hAnsi="宋体" w:eastAsia="宋体" w:cs="宋体"/>
          <w:color w:val="auto"/>
          <w:spacing w:val="-5"/>
          <w:sz w:val="21"/>
          <w:szCs w:val="21"/>
        </w:rPr>
        <w:t>像，剪集影像资料存档。根据要求将除治数据上传至</w:t>
      </w:r>
      <w:r>
        <w:rPr>
          <w:rFonts w:hint="eastAsia" w:ascii="宋体" w:hAnsi="宋体" w:eastAsia="宋体" w:cs="宋体"/>
          <w:color w:val="auto"/>
          <w:sz w:val="21"/>
          <w:szCs w:val="21"/>
        </w:rPr>
        <w:t>“</w:t>
      </w:r>
      <w:r>
        <w:rPr>
          <w:rFonts w:hint="eastAsia" w:ascii="宋体" w:hAnsi="宋体" w:eastAsia="宋体" w:cs="宋体"/>
          <w:color w:val="auto"/>
          <w:spacing w:val="-3"/>
          <w:sz w:val="21"/>
          <w:szCs w:val="21"/>
        </w:rPr>
        <w:t>松材线虫病疫情防控监管平台</w:t>
      </w:r>
      <w:r>
        <w:rPr>
          <w:rFonts w:hint="eastAsia" w:ascii="宋体" w:hAnsi="宋体" w:eastAsia="宋体" w:cs="宋体"/>
          <w:color w:val="auto"/>
          <w:sz w:val="21"/>
          <w:szCs w:val="21"/>
        </w:rPr>
        <w:t>”。</w:t>
      </w:r>
    </w:p>
    <w:p w14:paraId="3218FD46">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2、伐桩处理</w:t>
      </w:r>
    </w:p>
    <w:p w14:paraId="5D202121">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《广西壮族自治区松材线虫病防控工作领导小组关于印发广西松材</w:t>
      </w:r>
      <w:r>
        <w:rPr>
          <w:rFonts w:hint="eastAsia" w:ascii="宋体" w:hAnsi="宋体" w:eastAsia="宋体" w:cs="宋体"/>
          <w:color w:val="auto"/>
          <w:spacing w:val="-4"/>
          <w:sz w:val="21"/>
          <w:szCs w:val="21"/>
        </w:rPr>
        <w:t>线虫病疫情防控五年攻坚行动方案</w:t>
      </w:r>
      <w:r>
        <w:rPr>
          <w:rFonts w:hint="eastAsia" w:ascii="宋体" w:hAnsi="宋体" w:eastAsia="宋体" w:cs="宋体"/>
          <w:color w:val="auto"/>
          <w:sz w:val="21"/>
          <w:szCs w:val="21"/>
        </w:rPr>
        <w:t>（2021-2025 年</w:t>
      </w:r>
      <w:r>
        <w:rPr>
          <w:rFonts w:hint="eastAsia" w:ascii="宋体" w:hAnsi="宋体" w:eastAsia="宋体" w:cs="宋体"/>
          <w:color w:val="auto"/>
          <w:spacing w:val="-15"/>
          <w:sz w:val="21"/>
          <w:szCs w:val="21"/>
        </w:rPr>
        <w:t>）</w:t>
      </w:r>
      <w:r>
        <w:rPr>
          <w:rFonts w:hint="eastAsia" w:ascii="宋体" w:hAnsi="宋体" w:eastAsia="宋体" w:cs="宋体"/>
          <w:color w:val="auto"/>
          <w:spacing w:val="-9"/>
          <w:sz w:val="21"/>
          <w:szCs w:val="21"/>
        </w:rPr>
        <w:t>的通知》</w:t>
      </w:r>
      <w:r>
        <w:rPr>
          <w:rFonts w:hint="eastAsia" w:ascii="宋体" w:hAnsi="宋体" w:eastAsia="宋体" w:cs="宋体"/>
          <w:color w:val="auto"/>
          <w:sz w:val="21"/>
          <w:szCs w:val="21"/>
        </w:rPr>
        <w:t>（</w:t>
      </w:r>
      <w:r>
        <w:rPr>
          <w:rFonts w:hint="eastAsia" w:ascii="宋体" w:hAnsi="宋体" w:eastAsia="宋体" w:cs="宋体"/>
          <w:color w:val="auto"/>
          <w:spacing w:val="-2"/>
          <w:sz w:val="21"/>
          <w:szCs w:val="21"/>
        </w:rPr>
        <w:t>桂林防治</w:t>
      </w:r>
      <w:r>
        <w:rPr>
          <w:rFonts w:hint="eastAsia" w:ascii="宋体" w:hAnsi="宋体" w:eastAsia="宋体" w:cs="宋体"/>
          <w:color w:val="auto"/>
          <w:spacing w:val="-3"/>
          <w:sz w:val="21"/>
          <w:szCs w:val="21"/>
        </w:rPr>
        <w:t>〔</w:t>
      </w:r>
      <w:r>
        <w:rPr>
          <w:rFonts w:hint="eastAsia" w:ascii="宋体" w:hAnsi="宋体" w:eastAsia="宋体" w:cs="宋体"/>
          <w:color w:val="auto"/>
          <w:sz w:val="21"/>
          <w:szCs w:val="21"/>
        </w:rPr>
        <w:t>2021</w:t>
      </w:r>
      <w:r>
        <w:rPr>
          <w:rFonts w:hint="eastAsia" w:ascii="宋体" w:hAnsi="宋体" w:eastAsia="宋体" w:cs="宋体"/>
          <w:color w:val="auto"/>
          <w:spacing w:val="-27"/>
          <w:sz w:val="21"/>
          <w:szCs w:val="21"/>
        </w:rPr>
        <w:t>〕</w:t>
      </w:r>
      <w:r>
        <w:rPr>
          <w:rFonts w:hint="eastAsia" w:ascii="宋体" w:hAnsi="宋体" w:eastAsia="宋体" w:cs="宋体"/>
          <w:color w:val="auto"/>
          <w:sz w:val="21"/>
          <w:szCs w:val="21"/>
        </w:rPr>
        <w:t>5 号</w:t>
      </w:r>
      <w:r>
        <w:rPr>
          <w:rFonts w:hint="eastAsia" w:ascii="宋体" w:hAnsi="宋体" w:eastAsia="宋体" w:cs="宋体"/>
          <w:color w:val="auto"/>
          <w:spacing w:val="-27"/>
          <w:sz w:val="21"/>
          <w:szCs w:val="21"/>
        </w:rPr>
        <w:t>）</w:t>
      </w:r>
      <w:r>
        <w:rPr>
          <w:rFonts w:hint="eastAsia" w:ascii="宋体" w:hAnsi="宋体" w:eastAsia="宋体" w:cs="宋体"/>
          <w:color w:val="auto"/>
          <w:spacing w:val="-6"/>
          <w:sz w:val="21"/>
          <w:szCs w:val="21"/>
        </w:rPr>
        <w:t xml:space="preserve">文件划定全州县为松材线虫病疫情的重型区。根据《松材线虫病防治技术方案》（林生发〔2022〕94 </w:t>
      </w:r>
      <w:r>
        <w:rPr>
          <w:rFonts w:hint="eastAsia" w:ascii="宋体" w:hAnsi="宋体" w:eastAsia="宋体" w:cs="宋体"/>
          <w:color w:val="auto"/>
          <w:sz w:val="21"/>
          <w:szCs w:val="21"/>
        </w:rPr>
        <w:t>号）的规定，重型疫区伐桩</w:t>
      </w:r>
      <w:r>
        <w:rPr>
          <w:rFonts w:hint="eastAsia" w:ascii="宋体" w:hAnsi="宋体" w:eastAsia="宋体" w:cs="宋体"/>
          <w:color w:val="auto"/>
          <w:spacing w:val="-5"/>
          <w:sz w:val="21"/>
          <w:szCs w:val="21"/>
        </w:rPr>
        <w:t xml:space="preserve">高度不得超过 </w:t>
      </w:r>
      <w:r>
        <w:rPr>
          <w:rFonts w:hint="eastAsia" w:ascii="宋体" w:hAnsi="宋体" w:eastAsia="宋体" w:cs="宋体"/>
          <w:color w:val="auto"/>
          <w:sz w:val="21"/>
          <w:szCs w:val="21"/>
        </w:rPr>
        <w:t>5 厘米，可不做处理。但重型疫区内以拔除疫情为防控目</w:t>
      </w:r>
      <w:r>
        <w:rPr>
          <w:rFonts w:hint="eastAsia" w:ascii="宋体" w:hAnsi="宋体" w:eastAsia="宋体" w:cs="宋体"/>
          <w:color w:val="auto"/>
          <w:spacing w:val="-3"/>
          <w:sz w:val="21"/>
          <w:szCs w:val="21"/>
        </w:rPr>
        <w:t>标的疫点，需对伐桩进行处理。</w:t>
      </w:r>
    </w:p>
    <w:p w14:paraId="057B7514">
      <w:pPr>
        <w:pStyle w:val="31"/>
        <w:keepNext w:val="0"/>
        <w:keepLines w:val="0"/>
        <w:pageBreakBefore w:val="0"/>
        <w:widowControl/>
        <w:numPr>
          <w:ilvl w:val="0"/>
          <w:numId w:val="0"/>
        </w:numPr>
        <w:tabs>
          <w:tab w:val="left" w:pos="1943"/>
        </w:tabs>
        <w:kinsoku/>
        <w:wordWrap/>
        <w:overflowPunct/>
        <w:topLinePunct w:val="0"/>
        <w:autoSpaceDE/>
        <w:autoSpaceDN/>
        <w:bidi w:val="0"/>
        <w:adjustRightInd w:val="0"/>
        <w:snapToGrid w:val="0"/>
        <w:spacing w:after="0" w:line="480" w:lineRule="auto"/>
        <w:ind w:left="0" w:leftChars="0" w:right="0" w:rightChars="0" w:firstLine="408"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lang w:eastAsia="zh-CN"/>
        </w:rPr>
        <w:t>（</w:t>
      </w:r>
      <w:r>
        <w:rPr>
          <w:rFonts w:hint="eastAsia" w:ascii="宋体" w:hAnsi="宋体" w:eastAsia="宋体" w:cs="宋体"/>
          <w:color w:val="auto"/>
          <w:spacing w:val="-3"/>
          <w:sz w:val="21"/>
          <w:szCs w:val="21"/>
          <w:lang w:val="en-US" w:eastAsia="zh-CN"/>
        </w:rPr>
        <w:t>1</w:t>
      </w:r>
      <w:r>
        <w:rPr>
          <w:rFonts w:hint="eastAsia" w:ascii="宋体" w:hAnsi="宋体" w:eastAsia="宋体" w:cs="宋体"/>
          <w:color w:val="auto"/>
          <w:spacing w:val="-3"/>
          <w:sz w:val="21"/>
          <w:szCs w:val="21"/>
          <w:lang w:eastAsia="zh-CN"/>
        </w:rPr>
        <w:t>）</w:t>
      </w:r>
      <w:r>
        <w:rPr>
          <w:rFonts w:hint="eastAsia" w:ascii="宋体" w:hAnsi="宋体" w:eastAsia="宋体" w:cs="宋体"/>
          <w:color w:val="auto"/>
          <w:spacing w:val="-3"/>
          <w:sz w:val="21"/>
          <w:szCs w:val="21"/>
        </w:rPr>
        <w:t>不同区域处理措施分类</w:t>
      </w:r>
    </w:p>
    <w:p w14:paraId="4A3B5276">
      <w:pPr>
        <w:pStyle w:val="31"/>
        <w:keepNext w:val="0"/>
        <w:keepLines w:val="0"/>
        <w:pageBreakBefore w:val="0"/>
        <w:widowControl/>
        <w:numPr>
          <w:ilvl w:val="0"/>
          <w:numId w:val="0"/>
        </w:numPr>
        <w:tabs>
          <w:tab w:val="left" w:pos="1662"/>
        </w:tabs>
        <w:kinsoku/>
        <w:wordWrap/>
        <w:overflowPunct/>
        <w:topLinePunct w:val="0"/>
        <w:autoSpaceDE/>
        <w:autoSpaceDN/>
        <w:bidi w:val="0"/>
        <w:adjustRightInd w:val="0"/>
        <w:snapToGrid w:val="0"/>
        <w:spacing w:after="0" w:line="480" w:lineRule="auto"/>
        <w:ind w:left="0" w:leftChars="0" w:right="0" w:rightChars="0" w:firstLine="408"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lang w:val="en-US" w:eastAsia="zh-CN"/>
        </w:rPr>
        <w:t>1）</w:t>
      </w:r>
      <w:r>
        <w:rPr>
          <w:rFonts w:hint="eastAsia" w:ascii="宋体" w:hAnsi="宋体" w:eastAsia="宋体" w:cs="宋体"/>
          <w:color w:val="auto"/>
          <w:spacing w:val="-3"/>
          <w:sz w:val="21"/>
          <w:szCs w:val="21"/>
        </w:rPr>
        <w:t>需要处理伐桩的区域为：龙水镇、庙头镇、才湾镇。</w:t>
      </w:r>
    </w:p>
    <w:p w14:paraId="2A24DDCA">
      <w:pPr>
        <w:pStyle w:val="31"/>
        <w:keepNext w:val="0"/>
        <w:keepLines w:val="0"/>
        <w:pageBreakBefore w:val="0"/>
        <w:widowControl/>
        <w:numPr>
          <w:ilvl w:val="0"/>
          <w:numId w:val="0"/>
        </w:numPr>
        <w:tabs>
          <w:tab w:val="left" w:pos="1662"/>
        </w:tabs>
        <w:kinsoku/>
        <w:wordWrap/>
        <w:overflowPunct/>
        <w:topLinePunct w:val="0"/>
        <w:autoSpaceDE/>
        <w:autoSpaceDN/>
        <w:bidi w:val="0"/>
        <w:adjustRightInd w:val="0"/>
        <w:snapToGrid w:val="0"/>
        <w:spacing w:after="0" w:line="480" w:lineRule="auto"/>
        <w:ind w:left="0" w:leftChars="0" w:right="0" w:rightChars="0" w:firstLine="420" w:firstLineChars="200"/>
        <w:jc w:val="left"/>
        <w:textAlignment w:val="auto"/>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lang w:val="en-US" w:eastAsia="zh-CN" w:bidi="zh-CN"/>
        </w:rPr>
        <w:t>2)</w:t>
      </w:r>
      <w:r>
        <w:rPr>
          <w:rFonts w:hint="eastAsia" w:ascii="宋体" w:hAnsi="宋体" w:eastAsia="宋体" w:cs="宋体"/>
          <w:color w:val="auto"/>
          <w:sz w:val="21"/>
          <w:szCs w:val="21"/>
          <w:lang w:val="zh-CN" w:eastAsia="zh-CN" w:bidi="zh-CN"/>
        </w:rPr>
        <w:t>不需要处理伐桩的区域为：龙水镇、庙头镇、才湾镇除外的范围。</w:t>
      </w:r>
    </w:p>
    <w:p w14:paraId="4944263E">
      <w:pPr>
        <w:pStyle w:val="31"/>
        <w:keepNext w:val="0"/>
        <w:keepLines w:val="0"/>
        <w:pageBreakBefore w:val="0"/>
        <w:widowControl/>
        <w:numPr>
          <w:ilvl w:val="0"/>
          <w:numId w:val="0"/>
        </w:numPr>
        <w:tabs>
          <w:tab w:val="left" w:pos="1943"/>
        </w:tabs>
        <w:kinsoku/>
        <w:wordWrap/>
        <w:overflowPunct/>
        <w:topLinePunct w:val="0"/>
        <w:autoSpaceDE/>
        <w:autoSpaceDN/>
        <w:bidi w:val="0"/>
        <w:adjustRightInd w:val="0"/>
        <w:snapToGrid w:val="0"/>
        <w:spacing w:after="0" w:line="480" w:lineRule="auto"/>
        <w:ind w:left="0" w:leftChars="0" w:right="0" w:rightChars="0" w:firstLine="412"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pacing w:val="-2"/>
          <w:sz w:val="21"/>
          <w:szCs w:val="21"/>
          <w:lang w:val="en-US" w:eastAsia="zh-CN"/>
        </w:rPr>
        <w:t>(2)</w:t>
      </w:r>
      <w:r>
        <w:rPr>
          <w:rFonts w:hint="eastAsia" w:ascii="宋体" w:hAnsi="宋体" w:eastAsia="宋体" w:cs="宋体"/>
          <w:color w:val="auto"/>
          <w:spacing w:val="-2"/>
          <w:sz w:val="21"/>
          <w:szCs w:val="21"/>
        </w:rPr>
        <w:t>处理方式</w:t>
      </w:r>
    </w:p>
    <w:p w14:paraId="1219F16E">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1）覆膜处理</w:t>
      </w:r>
    </w:p>
    <w:p w14:paraId="0F3A4C2C">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适用范围：适用于所有疫情发生区，原则上重点生态区域禁止使用。作业方式：剥去伐桩树皮；在伐桩上放置磷化铝片 1-2 粒；用 0.1 毫米以上厚度的塑料薄膜覆盖，绑紧后用土将塑料薄膜四周压实，盖土厚度超过 10 厘米。</w:t>
      </w:r>
    </w:p>
    <w:p w14:paraId="40D99959">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2）钢丝网罩</w:t>
      </w:r>
    </w:p>
    <w:p w14:paraId="6000C34F">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适用范围：适用于所有疫情发生区。</w:t>
      </w:r>
    </w:p>
    <w:p w14:paraId="4C545823">
      <w:pPr>
        <w:pStyle w:val="10"/>
        <w:keepNext w:val="0"/>
        <w:keepLines w:val="0"/>
        <w:pageBreakBefore w:val="0"/>
        <w:widowControl/>
        <w:kinsoku/>
        <w:wordWrap/>
        <w:overflowPunct/>
        <w:topLinePunct w:val="0"/>
        <w:autoSpaceDE/>
        <w:autoSpaceDN/>
        <w:bidi w:val="0"/>
        <w:adjustRightInd w:val="0"/>
        <w:snapToGrid w:val="0"/>
        <w:spacing w:after="0" w:line="480" w:lineRule="auto"/>
        <w:ind w:left="0" w:leftChars="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作业方式：使用钢丝直径≥0.12 毫米，网目数≥20 目的锻压钢丝网罩覆盖伐桩，并将钢丝网罩严密固定在伐桩。</w:t>
      </w:r>
    </w:p>
    <w:p w14:paraId="7C65447E">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3</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疫木处理</w:t>
      </w:r>
    </w:p>
    <w:p w14:paraId="02F56420">
      <w:pPr>
        <w:pStyle w:val="31"/>
        <w:keepNext w:val="0"/>
        <w:keepLines w:val="0"/>
        <w:pageBreakBefore w:val="0"/>
        <w:widowControl/>
        <w:numPr>
          <w:ilvl w:val="0"/>
          <w:numId w:val="0"/>
        </w:numPr>
        <w:tabs>
          <w:tab w:val="left" w:pos="1943"/>
        </w:tabs>
        <w:kinsoku/>
        <w:wordWrap/>
        <w:overflowPunct/>
        <w:topLinePunct w:val="0"/>
        <w:autoSpaceDE/>
        <w:autoSpaceDN/>
        <w:bidi w:val="0"/>
        <w:adjustRightInd w:val="0"/>
        <w:snapToGrid w:val="0"/>
        <w:spacing w:after="0" w:line="480" w:lineRule="auto"/>
        <w:ind w:left="0" w:leftChars="0" w:right="0" w:rightChars="0" w:firstLine="408"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lang w:val="en-US" w:eastAsia="zh-CN"/>
        </w:rPr>
        <w:t>(1)</w:t>
      </w:r>
      <w:r>
        <w:rPr>
          <w:rFonts w:hint="eastAsia" w:ascii="宋体" w:hAnsi="宋体" w:eastAsia="宋体" w:cs="宋体"/>
          <w:color w:val="auto"/>
          <w:spacing w:val="-3"/>
          <w:sz w:val="21"/>
          <w:szCs w:val="21"/>
        </w:rPr>
        <w:t>烧毁处理。</w:t>
      </w:r>
    </w:p>
    <w:p w14:paraId="312F63CF">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适用范围：适用于所有区域。</w:t>
      </w:r>
    </w:p>
    <w:p w14:paraId="7F2D149D">
      <w:pPr>
        <w:pStyle w:val="10"/>
        <w:keepNext w:val="0"/>
        <w:keepLines w:val="0"/>
        <w:pageBreakBefore w:val="0"/>
        <w:widowControl/>
        <w:kinsoku/>
        <w:wordWrap/>
        <w:overflowPunct/>
        <w:topLinePunct w:val="0"/>
        <w:autoSpaceDE/>
        <w:autoSpaceDN/>
        <w:bidi w:val="0"/>
        <w:adjustRightInd w:val="0"/>
        <w:snapToGrid w:val="0"/>
        <w:spacing w:after="0" w:line="480" w:lineRule="auto"/>
        <w:ind w:left="0" w:leftChars="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作业要求：就地烧毁采伐清理的疫木及直径 1 厘米以上的枝桠，实行全过程现场监管，确保用火安全。</w:t>
      </w:r>
    </w:p>
    <w:p w14:paraId="43C8137D">
      <w:pPr>
        <w:pStyle w:val="31"/>
        <w:keepNext w:val="0"/>
        <w:keepLines w:val="0"/>
        <w:pageBreakBefore w:val="0"/>
        <w:widowControl/>
        <w:numPr>
          <w:ilvl w:val="0"/>
          <w:numId w:val="0"/>
        </w:numPr>
        <w:tabs>
          <w:tab w:val="left" w:pos="1943"/>
        </w:tabs>
        <w:kinsoku/>
        <w:wordWrap/>
        <w:overflowPunct/>
        <w:topLinePunct w:val="0"/>
        <w:autoSpaceDE/>
        <w:autoSpaceDN/>
        <w:bidi w:val="0"/>
        <w:adjustRightInd w:val="0"/>
        <w:snapToGrid w:val="0"/>
        <w:spacing w:after="0" w:line="480" w:lineRule="auto"/>
        <w:ind w:left="0" w:leftChars="0" w:right="0" w:rightChars="0" w:firstLine="412"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pacing w:val="-2"/>
          <w:sz w:val="21"/>
          <w:szCs w:val="21"/>
          <w:lang w:val="en-US" w:eastAsia="zh-CN"/>
        </w:rPr>
        <w:t>(2)</w:t>
      </w:r>
      <w:r>
        <w:rPr>
          <w:rFonts w:hint="eastAsia" w:ascii="宋体" w:hAnsi="宋体" w:eastAsia="宋体" w:cs="宋体"/>
          <w:color w:val="auto"/>
          <w:spacing w:val="-2"/>
          <w:sz w:val="21"/>
          <w:szCs w:val="21"/>
        </w:rPr>
        <w:t>粉碎</w:t>
      </w:r>
      <w:r>
        <w:rPr>
          <w:rFonts w:hint="eastAsia" w:ascii="宋体" w:hAnsi="宋体" w:eastAsia="宋体" w:cs="宋体"/>
          <w:color w:val="auto"/>
          <w:sz w:val="21"/>
          <w:szCs w:val="21"/>
        </w:rPr>
        <w:t>（</w:t>
      </w:r>
      <w:r>
        <w:rPr>
          <w:rFonts w:hint="eastAsia" w:ascii="宋体" w:hAnsi="宋体" w:eastAsia="宋体" w:cs="宋体"/>
          <w:color w:val="auto"/>
          <w:spacing w:val="-2"/>
          <w:sz w:val="21"/>
          <w:szCs w:val="21"/>
        </w:rPr>
        <w:t>削片</w:t>
      </w:r>
      <w:r>
        <w:rPr>
          <w:rFonts w:hint="eastAsia" w:ascii="宋体" w:hAnsi="宋体" w:eastAsia="宋体" w:cs="宋体"/>
          <w:color w:val="auto"/>
          <w:sz w:val="21"/>
          <w:szCs w:val="21"/>
        </w:rPr>
        <w:t>）</w:t>
      </w:r>
      <w:r>
        <w:rPr>
          <w:rFonts w:hint="eastAsia" w:ascii="宋体" w:hAnsi="宋体" w:eastAsia="宋体" w:cs="宋体"/>
          <w:color w:val="auto"/>
          <w:spacing w:val="-2"/>
          <w:sz w:val="21"/>
          <w:szCs w:val="21"/>
        </w:rPr>
        <w:t xml:space="preserve">处理。  </w:t>
      </w:r>
      <w:r>
        <w:rPr>
          <w:rFonts w:hint="eastAsia" w:ascii="宋体" w:hAnsi="宋体" w:eastAsia="宋体" w:cs="宋体"/>
          <w:color w:val="auto"/>
          <w:spacing w:val="-3"/>
          <w:sz w:val="21"/>
          <w:szCs w:val="21"/>
        </w:rPr>
        <w:t>适用范围：适用于所有区域。</w:t>
      </w:r>
    </w:p>
    <w:p w14:paraId="4D2BF37E">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作业要求：就地就近使用粉碎（削片</w:t>
      </w:r>
      <w:r>
        <w:rPr>
          <w:rFonts w:hint="eastAsia" w:ascii="宋体" w:hAnsi="宋体" w:eastAsia="宋体" w:cs="宋体"/>
          <w:color w:val="auto"/>
          <w:spacing w:val="4"/>
          <w:sz w:val="21"/>
          <w:szCs w:val="21"/>
        </w:rPr>
        <w:t>）</w:t>
      </w:r>
      <w:r>
        <w:rPr>
          <w:rFonts w:hint="eastAsia" w:ascii="宋体" w:hAnsi="宋体" w:eastAsia="宋体" w:cs="宋体"/>
          <w:color w:val="auto"/>
          <w:spacing w:val="-4"/>
          <w:sz w:val="21"/>
          <w:szCs w:val="21"/>
        </w:rPr>
        <w:t xml:space="preserve">机对疫木及直径超过 </w:t>
      </w:r>
      <w:r>
        <w:rPr>
          <w:rFonts w:hint="eastAsia" w:ascii="宋体" w:hAnsi="宋体" w:eastAsia="宋体" w:cs="宋体"/>
          <w:color w:val="auto"/>
          <w:sz w:val="21"/>
          <w:szCs w:val="21"/>
        </w:rPr>
        <w:t>1</w:t>
      </w:r>
      <w:r>
        <w:rPr>
          <w:rFonts w:hint="eastAsia" w:ascii="宋体" w:hAnsi="宋体" w:eastAsia="宋体" w:cs="宋体"/>
          <w:color w:val="auto"/>
          <w:spacing w:val="36"/>
          <w:sz w:val="21"/>
          <w:szCs w:val="21"/>
        </w:rPr>
        <w:t xml:space="preserve"> </w:t>
      </w:r>
      <w:r>
        <w:rPr>
          <w:rFonts w:hint="eastAsia" w:ascii="宋体" w:hAnsi="宋体" w:eastAsia="宋体" w:cs="宋体"/>
          <w:color w:val="auto"/>
          <w:sz w:val="21"/>
          <w:szCs w:val="21"/>
        </w:rPr>
        <w:t>厘米的枝桠进行粉碎（</w:t>
      </w:r>
      <w:r>
        <w:rPr>
          <w:rFonts w:hint="eastAsia" w:ascii="宋体" w:hAnsi="宋体" w:eastAsia="宋体" w:cs="宋体"/>
          <w:color w:val="auto"/>
          <w:spacing w:val="2"/>
          <w:sz w:val="21"/>
          <w:szCs w:val="21"/>
        </w:rPr>
        <w:t>削片</w:t>
      </w:r>
      <w:r>
        <w:rPr>
          <w:rFonts w:hint="eastAsia" w:ascii="宋体" w:hAnsi="宋体" w:eastAsia="宋体" w:cs="宋体"/>
          <w:color w:val="auto"/>
          <w:sz w:val="21"/>
          <w:szCs w:val="21"/>
        </w:rPr>
        <w:t>），</w:t>
      </w:r>
      <w:r>
        <w:rPr>
          <w:rFonts w:hint="eastAsia" w:ascii="宋体" w:hAnsi="宋体" w:eastAsia="宋体" w:cs="宋体"/>
          <w:color w:val="auto"/>
          <w:spacing w:val="-3"/>
          <w:sz w:val="21"/>
          <w:szCs w:val="21"/>
        </w:rPr>
        <w:t xml:space="preserve">粉碎物短粒径不超过 </w:t>
      </w:r>
      <w:r>
        <w:rPr>
          <w:rFonts w:hint="eastAsia" w:ascii="宋体" w:hAnsi="宋体" w:eastAsia="宋体" w:cs="宋体"/>
          <w:color w:val="auto"/>
          <w:sz w:val="21"/>
          <w:szCs w:val="21"/>
        </w:rPr>
        <w:t>1</w:t>
      </w:r>
      <w:r>
        <w:rPr>
          <w:rFonts w:hint="eastAsia" w:ascii="宋体" w:hAnsi="宋体" w:eastAsia="宋体" w:cs="宋体"/>
          <w:color w:val="auto"/>
          <w:spacing w:val="43"/>
          <w:sz w:val="21"/>
          <w:szCs w:val="21"/>
        </w:rPr>
        <w:t xml:space="preserve"> </w:t>
      </w:r>
      <w:r>
        <w:rPr>
          <w:rFonts w:hint="eastAsia" w:ascii="宋体" w:hAnsi="宋体" w:eastAsia="宋体" w:cs="宋体"/>
          <w:color w:val="auto"/>
          <w:sz w:val="21"/>
          <w:szCs w:val="21"/>
        </w:rPr>
        <w:t>厘米（削片厚度不超</w:t>
      </w:r>
      <w:r>
        <w:rPr>
          <w:rFonts w:hint="eastAsia" w:ascii="宋体" w:hAnsi="宋体" w:eastAsia="宋体" w:cs="宋体"/>
          <w:color w:val="auto"/>
          <w:spacing w:val="-33"/>
          <w:sz w:val="21"/>
          <w:szCs w:val="21"/>
        </w:rPr>
        <w:t xml:space="preserve">过 </w:t>
      </w:r>
      <w:r>
        <w:rPr>
          <w:rFonts w:hint="eastAsia" w:ascii="宋体" w:hAnsi="宋体" w:eastAsia="宋体" w:cs="宋体"/>
          <w:color w:val="auto"/>
          <w:sz w:val="21"/>
          <w:szCs w:val="21"/>
        </w:rPr>
        <w:t xml:space="preserve">0.6 </w:t>
      </w:r>
      <w:r>
        <w:rPr>
          <w:rFonts w:hint="eastAsia" w:ascii="宋体" w:hAnsi="宋体" w:eastAsia="宋体" w:cs="宋体"/>
          <w:color w:val="auto"/>
          <w:spacing w:val="-2"/>
          <w:sz w:val="21"/>
          <w:szCs w:val="21"/>
        </w:rPr>
        <w:t>厘米</w:t>
      </w:r>
      <w:r>
        <w:rPr>
          <w:rFonts w:hint="eastAsia" w:ascii="宋体" w:hAnsi="宋体" w:eastAsia="宋体" w:cs="宋体"/>
          <w:color w:val="auto"/>
          <w:spacing w:val="-22"/>
          <w:sz w:val="21"/>
          <w:szCs w:val="21"/>
        </w:rPr>
        <w:t>）</w:t>
      </w:r>
      <w:r>
        <w:rPr>
          <w:rFonts w:hint="eastAsia" w:ascii="宋体" w:hAnsi="宋体" w:eastAsia="宋体" w:cs="宋体"/>
          <w:color w:val="auto"/>
          <w:spacing w:val="-10"/>
          <w:sz w:val="21"/>
          <w:szCs w:val="21"/>
        </w:rPr>
        <w:t>。疫木粉碎</w:t>
      </w:r>
      <w:r>
        <w:rPr>
          <w:rFonts w:hint="eastAsia" w:ascii="宋体" w:hAnsi="宋体" w:eastAsia="宋体" w:cs="宋体"/>
          <w:color w:val="auto"/>
          <w:sz w:val="21"/>
          <w:szCs w:val="21"/>
        </w:rPr>
        <w:t>（</w:t>
      </w:r>
      <w:r>
        <w:rPr>
          <w:rFonts w:hint="eastAsia" w:ascii="宋体" w:hAnsi="宋体" w:eastAsia="宋体" w:cs="宋体"/>
          <w:color w:val="auto"/>
          <w:spacing w:val="-2"/>
          <w:sz w:val="21"/>
          <w:szCs w:val="21"/>
        </w:rPr>
        <w:t>削片</w:t>
      </w:r>
      <w:r>
        <w:rPr>
          <w:rFonts w:hint="eastAsia" w:ascii="宋体" w:hAnsi="宋体" w:eastAsia="宋体" w:cs="宋体"/>
          <w:color w:val="auto"/>
          <w:spacing w:val="-22"/>
          <w:sz w:val="21"/>
          <w:szCs w:val="21"/>
        </w:rPr>
        <w:t>）</w:t>
      </w:r>
      <w:r>
        <w:rPr>
          <w:rFonts w:hint="eastAsia" w:ascii="宋体" w:hAnsi="宋体" w:eastAsia="宋体" w:cs="宋体"/>
          <w:color w:val="auto"/>
          <w:spacing w:val="-5"/>
          <w:sz w:val="21"/>
          <w:szCs w:val="21"/>
        </w:rPr>
        <w:t>处理应当全过程监管。对集中除治和皆</w:t>
      </w:r>
      <w:r>
        <w:rPr>
          <w:rFonts w:hint="eastAsia" w:ascii="宋体" w:hAnsi="宋体" w:eastAsia="宋体" w:cs="宋体"/>
          <w:color w:val="auto"/>
          <w:spacing w:val="-3"/>
          <w:sz w:val="21"/>
          <w:szCs w:val="21"/>
        </w:rPr>
        <w:t>伐清理的疫木采取粉碎</w:t>
      </w:r>
      <w:r>
        <w:rPr>
          <w:rFonts w:hint="eastAsia" w:ascii="宋体" w:hAnsi="宋体" w:eastAsia="宋体" w:cs="宋体"/>
          <w:color w:val="auto"/>
          <w:sz w:val="21"/>
          <w:szCs w:val="21"/>
        </w:rPr>
        <w:t>（削片）处理措施的，仅限在媒介昆虫非羽化期</w:t>
      </w:r>
      <w:r>
        <w:rPr>
          <w:rFonts w:hint="eastAsia" w:ascii="宋体" w:hAnsi="宋体" w:eastAsia="宋体" w:cs="宋体"/>
          <w:color w:val="auto"/>
          <w:spacing w:val="-3"/>
          <w:sz w:val="21"/>
          <w:szCs w:val="21"/>
        </w:rPr>
        <w:t>内进行，确保搬运过程疫木不流失、不遗落。</w:t>
      </w:r>
    </w:p>
    <w:p w14:paraId="210AD679">
      <w:pPr>
        <w:pStyle w:val="31"/>
        <w:keepNext w:val="0"/>
        <w:keepLines w:val="0"/>
        <w:pageBreakBefore w:val="0"/>
        <w:widowControl/>
        <w:numPr>
          <w:ilvl w:val="0"/>
          <w:numId w:val="0"/>
        </w:numPr>
        <w:tabs>
          <w:tab w:val="left" w:pos="1804"/>
        </w:tabs>
        <w:kinsoku/>
        <w:wordWrap/>
        <w:overflowPunct/>
        <w:topLinePunct w:val="0"/>
        <w:autoSpaceDE/>
        <w:autoSpaceDN/>
        <w:bidi w:val="0"/>
        <w:adjustRightInd w:val="0"/>
        <w:snapToGrid w:val="0"/>
        <w:spacing w:after="0" w:line="480" w:lineRule="auto"/>
        <w:ind w:left="0" w:leftChars="0" w:right="0" w:rightChars="0" w:firstLine="412"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pacing w:val="-2"/>
          <w:sz w:val="21"/>
          <w:szCs w:val="21"/>
          <w:lang w:val="en-US" w:eastAsia="zh-CN"/>
        </w:rPr>
        <w:t>(3)</w:t>
      </w:r>
      <w:r>
        <w:rPr>
          <w:rFonts w:hint="eastAsia" w:ascii="宋体" w:hAnsi="宋体" w:eastAsia="宋体" w:cs="宋体"/>
          <w:color w:val="auto"/>
          <w:spacing w:val="-2"/>
          <w:sz w:val="21"/>
          <w:szCs w:val="21"/>
        </w:rPr>
        <w:t>旋切处理</w:t>
      </w:r>
    </w:p>
    <w:p w14:paraId="501DFED7">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08" w:firstLineChars="200"/>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rPr>
        <w:t>适用范围：适用于所有区域。</w:t>
      </w:r>
    </w:p>
    <w:p w14:paraId="69E99723">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作业要求：仅限在媒介昆虫非羽化期内进行，确保搬运过程疫木不流失、不遗落。在疫区内就近选择集中处理点，对采伐的疫木进行旋切</w:t>
      </w:r>
      <w:r>
        <w:rPr>
          <w:rFonts w:hint="eastAsia" w:ascii="宋体" w:hAnsi="宋体" w:eastAsia="宋体" w:cs="宋体"/>
          <w:color w:val="auto"/>
          <w:spacing w:val="-15"/>
          <w:sz w:val="21"/>
          <w:szCs w:val="21"/>
        </w:rPr>
        <w:t xml:space="preserve">处理，旋切厚度应小于 </w:t>
      </w:r>
      <w:r>
        <w:rPr>
          <w:rFonts w:hint="eastAsia" w:ascii="宋体" w:hAnsi="宋体" w:eastAsia="宋体" w:cs="宋体"/>
          <w:color w:val="auto"/>
          <w:sz w:val="21"/>
          <w:szCs w:val="21"/>
        </w:rPr>
        <w:t xml:space="preserve">0.3 </w:t>
      </w:r>
      <w:r>
        <w:rPr>
          <w:rFonts w:hint="eastAsia" w:ascii="宋体" w:hAnsi="宋体" w:eastAsia="宋体" w:cs="宋体"/>
          <w:color w:val="auto"/>
          <w:spacing w:val="-8"/>
          <w:sz w:val="21"/>
          <w:szCs w:val="21"/>
        </w:rPr>
        <w:t>厘米，木芯和边角料等剩余物必须及时粉碎或</w:t>
      </w:r>
      <w:r>
        <w:rPr>
          <w:rFonts w:hint="eastAsia" w:ascii="宋体" w:hAnsi="宋体" w:eastAsia="宋体" w:cs="宋体"/>
          <w:color w:val="auto"/>
          <w:spacing w:val="-3"/>
          <w:sz w:val="21"/>
          <w:szCs w:val="21"/>
        </w:rPr>
        <w:t>焚烧、碳化处理，并进行全过程视频监控。</w:t>
      </w:r>
    </w:p>
    <w:p w14:paraId="0AF5CF04">
      <w:pPr>
        <w:pStyle w:val="31"/>
        <w:keepNext w:val="0"/>
        <w:keepLines w:val="0"/>
        <w:pageBreakBefore w:val="0"/>
        <w:widowControl/>
        <w:numPr>
          <w:ilvl w:val="0"/>
          <w:numId w:val="0"/>
        </w:numPr>
        <w:tabs>
          <w:tab w:val="left" w:pos="1804"/>
        </w:tabs>
        <w:kinsoku/>
        <w:wordWrap/>
        <w:overflowPunct/>
        <w:topLinePunct w:val="0"/>
        <w:autoSpaceDE/>
        <w:autoSpaceDN/>
        <w:bidi w:val="0"/>
        <w:adjustRightInd w:val="0"/>
        <w:snapToGrid w:val="0"/>
        <w:spacing w:after="0" w:line="480" w:lineRule="auto"/>
        <w:ind w:left="0" w:leftChars="0" w:right="0" w:rightChars="0" w:firstLine="408"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lang w:val="en-US" w:eastAsia="zh-CN"/>
        </w:rPr>
        <w:t>(4)</w:t>
      </w:r>
      <w:r>
        <w:rPr>
          <w:rFonts w:hint="eastAsia" w:ascii="宋体" w:hAnsi="宋体" w:eastAsia="宋体" w:cs="宋体"/>
          <w:color w:val="auto"/>
          <w:spacing w:val="-3"/>
          <w:sz w:val="21"/>
          <w:szCs w:val="21"/>
        </w:rPr>
        <w:t>钢丝网罩处理</w:t>
      </w:r>
    </w:p>
    <w:p w14:paraId="1CDD8D40">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360" w:firstLineChars="200"/>
        <w:textAlignment w:val="auto"/>
        <w:rPr>
          <w:rFonts w:hint="eastAsia" w:ascii="宋体" w:hAnsi="宋体" w:eastAsia="宋体" w:cs="宋体"/>
          <w:color w:val="auto"/>
          <w:sz w:val="21"/>
          <w:szCs w:val="21"/>
        </w:rPr>
      </w:pPr>
      <w:r>
        <w:rPr>
          <w:rFonts w:hint="eastAsia" w:ascii="宋体" w:hAnsi="宋体" w:eastAsia="宋体" w:cs="宋体"/>
          <w:color w:val="auto"/>
          <w:spacing w:val="-15"/>
          <w:sz w:val="21"/>
          <w:szCs w:val="21"/>
        </w:rPr>
        <w:t>适用范围：山高坡陡、不同道路、人迹罕至，且不具备粉碎</w:t>
      </w:r>
      <w:r>
        <w:rPr>
          <w:rFonts w:hint="eastAsia" w:ascii="宋体" w:hAnsi="宋体" w:eastAsia="宋体" w:cs="宋体"/>
          <w:color w:val="auto"/>
          <w:spacing w:val="-3"/>
          <w:sz w:val="21"/>
          <w:szCs w:val="21"/>
        </w:rPr>
        <w:t>（</w:t>
      </w:r>
      <w:r>
        <w:rPr>
          <w:rFonts w:hint="eastAsia" w:ascii="宋体" w:hAnsi="宋体" w:eastAsia="宋体" w:cs="宋体"/>
          <w:color w:val="auto"/>
          <w:sz w:val="21"/>
          <w:szCs w:val="21"/>
        </w:rPr>
        <w:t>削片</w:t>
      </w:r>
      <w:r>
        <w:rPr>
          <w:rFonts w:hint="eastAsia" w:ascii="宋体" w:hAnsi="宋体" w:eastAsia="宋体" w:cs="宋体"/>
          <w:color w:val="auto"/>
          <w:spacing w:val="-142"/>
          <w:sz w:val="21"/>
          <w:szCs w:val="21"/>
        </w:rPr>
        <w:t>）</w:t>
      </w:r>
      <w:r>
        <w:rPr>
          <w:rFonts w:hint="eastAsia" w:ascii="宋体" w:hAnsi="宋体" w:eastAsia="宋体" w:cs="宋体"/>
          <w:color w:val="auto"/>
          <w:sz w:val="21"/>
          <w:szCs w:val="21"/>
        </w:rPr>
        <w:t>、</w:t>
      </w:r>
      <w:r>
        <w:rPr>
          <w:rFonts w:hint="eastAsia" w:ascii="宋体" w:hAnsi="宋体" w:eastAsia="宋体" w:cs="宋体"/>
          <w:color w:val="auto"/>
          <w:spacing w:val="-3"/>
          <w:sz w:val="21"/>
          <w:szCs w:val="21"/>
        </w:rPr>
        <w:t>旋切、烧毁等除害处理条件的疫木除治区域。</w:t>
      </w:r>
    </w:p>
    <w:p w14:paraId="0F3D456C">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作业要求：使用钢丝直径≥0.12 毫米，网目数≥20 目的锻压钢丝网罩严密包裹采伐清理的疫木及直径超过 1 厘米的枝桠，并进行锁边。</w:t>
      </w:r>
      <w:bookmarkStart w:id="16" w:name="6.1.2 非立木清理"/>
      <w:bookmarkEnd w:id="16"/>
      <w:bookmarkStart w:id="17" w:name="6.1.2 非立木清理"/>
      <w:bookmarkEnd w:id="17"/>
    </w:p>
    <w:p w14:paraId="124730A1">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4、</w:t>
      </w:r>
      <w:r>
        <w:rPr>
          <w:rFonts w:hint="eastAsia" w:ascii="宋体" w:hAnsi="宋体" w:eastAsia="宋体" w:cs="宋体"/>
          <w:b/>
          <w:bCs/>
          <w:color w:val="auto"/>
          <w:sz w:val="21"/>
          <w:szCs w:val="21"/>
        </w:rPr>
        <w:t>非立木清理</w:t>
      </w:r>
    </w:p>
    <w:p w14:paraId="1D844E12">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非立木清理是指对疫情发生点周边居民家中及房前屋后松材（柴） 及松木制品（不含松木类旧家具），散落在林中的松木及制品（如松木质包装材料、光（线）缆盘）及未经除害处理的树桩等需要除害处理的非立木进行除害处理。</w:t>
      </w:r>
    </w:p>
    <w:p w14:paraId="74BEC8B2">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textAlignment w:val="auto"/>
        <w:rPr>
          <w:rFonts w:hint="eastAsia" w:ascii="宋体" w:hAnsi="宋体" w:eastAsia="宋体" w:cs="宋体"/>
          <w:color w:val="auto"/>
          <w:sz w:val="20"/>
        </w:rPr>
      </w:pPr>
      <w:r>
        <w:rPr>
          <w:rFonts w:hint="eastAsia" w:ascii="宋体" w:hAnsi="宋体" w:eastAsia="宋体" w:cs="宋体"/>
          <w:color w:val="auto"/>
          <w:sz w:val="21"/>
          <w:szCs w:val="21"/>
        </w:rPr>
        <w:t>作业要求</w:t>
      </w:r>
      <w:r>
        <w:rPr>
          <w:rFonts w:hint="eastAsia" w:ascii="宋体" w:hAnsi="宋体" w:eastAsia="宋体" w:cs="宋体"/>
          <w:color w:val="auto"/>
          <w:sz w:val="21"/>
          <w:szCs w:val="21"/>
          <w:lang w:eastAsia="zh-CN"/>
        </w:rPr>
        <w:t>：</w:t>
      </w:r>
      <w:r>
        <w:rPr>
          <w:rFonts w:hint="eastAsia" w:ascii="宋体" w:hAnsi="宋体" w:eastAsia="宋体" w:cs="宋体"/>
          <w:color w:val="auto"/>
          <w:spacing w:val="-10"/>
          <w:sz w:val="21"/>
          <w:szCs w:val="21"/>
        </w:rPr>
        <w:t>松材</w:t>
      </w:r>
      <w:r>
        <w:rPr>
          <w:rFonts w:hint="eastAsia" w:ascii="宋体" w:hAnsi="宋体" w:eastAsia="宋体" w:cs="宋体"/>
          <w:color w:val="auto"/>
          <w:spacing w:val="-3"/>
          <w:sz w:val="21"/>
          <w:szCs w:val="21"/>
        </w:rPr>
        <w:t>（</w:t>
      </w:r>
      <w:r>
        <w:rPr>
          <w:rFonts w:hint="eastAsia" w:ascii="宋体" w:hAnsi="宋体" w:eastAsia="宋体" w:cs="宋体"/>
          <w:color w:val="auto"/>
          <w:sz w:val="21"/>
          <w:szCs w:val="21"/>
        </w:rPr>
        <w:t>柴</w:t>
      </w:r>
      <w:r>
        <w:rPr>
          <w:rFonts w:hint="eastAsia" w:ascii="宋体" w:hAnsi="宋体" w:eastAsia="宋体" w:cs="宋体"/>
          <w:color w:val="auto"/>
          <w:spacing w:val="-20"/>
          <w:sz w:val="21"/>
          <w:szCs w:val="21"/>
        </w:rPr>
        <w:t>）</w:t>
      </w:r>
      <w:r>
        <w:rPr>
          <w:rFonts w:hint="eastAsia" w:ascii="宋体" w:hAnsi="宋体" w:eastAsia="宋体" w:cs="宋体"/>
          <w:color w:val="auto"/>
          <w:spacing w:val="-7"/>
          <w:sz w:val="21"/>
          <w:szCs w:val="21"/>
        </w:rPr>
        <w:t xml:space="preserve">及松木制品进行烧毁或粉碎处理 </w:t>
      </w:r>
      <w:r>
        <w:rPr>
          <w:rFonts w:hint="eastAsia" w:ascii="宋体" w:hAnsi="宋体" w:eastAsia="宋体" w:cs="宋体"/>
          <w:color w:val="auto"/>
          <w:spacing w:val="-5"/>
          <w:sz w:val="21"/>
          <w:szCs w:val="21"/>
        </w:rPr>
        <w:t>100%</w:t>
      </w:r>
      <w:r>
        <w:rPr>
          <w:rFonts w:hint="eastAsia" w:ascii="宋体" w:hAnsi="宋体" w:eastAsia="宋体" w:cs="宋体"/>
          <w:color w:val="auto"/>
          <w:spacing w:val="-3"/>
          <w:sz w:val="21"/>
          <w:szCs w:val="21"/>
        </w:rPr>
        <w:t>；未经除害处理的</w:t>
      </w:r>
      <w:r>
        <w:rPr>
          <w:rFonts w:hint="eastAsia" w:ascii="宋体" w:hAnsi="宋体" w:eastAsia="宋体" w:cs="宋体"/>
          <w:color w:val="auto"/>
          <w:spacing w:val="-8"/>
          <w:sz w:val="21"/>
          <w:szCs w:val="21"/>
        </w:rPr>
        <w:t xml:space="preserve">树桩按伐桩处理要求进行清理 </w:t>
      </w:r>
      <w:r>
        <w:rPr>
          <w:rFonts w:hint="eastAsia" w:ascii="宋体" w:hAnsi="宋体" w:eastAsia="宋体" w:cs="宋体"/>
          <w:color w:val="auto"/>
          <w:sz w:val="21"/>
          <w:szCs w:val="21"/>
        </w:rPr>
        <w:t>100%。</w:t>
      </w:r>
    </w:p>
    <w:p w14:paraId="27EF8CF0">
      <w:pPr>
        <w:pStyle w:val="3"/>
        <w:pageBreakBefore w:val="0"/>
        <w:widowControl/>
        <w:tabs>
          <w:tab w:val="left" w:pos="2013"/>
        </w:tabs>
        <w:kinsoku/>
        <w:wordWrap/>
        <w:overflowPunct/>
        <w:topLinePunct w:val="0"/>
        <w:autoSpaceDE/>
        <w:autoSpaceDN/>
        <w:bidi w:val="0"/>
        <w:adjustRightInd w:val="0"/>
        <w:snapToGrid w:val="0"/>
        <w:spacing w:before="0" w:after="0"/>
        <w:ind w:left="0" w:right="0"/>
        <w:textAlignment w:val="auto"/>
        <w:rPr>
          <w:rFonts w:hint="eastAsia" w:ascii="宋体" w:hAnsi="宋体" w:eastAsia="宋体" w:cs="宋体"/>
          <w:color w:val="auto"/>
          <w:sz w:val="21"/>
          <w:szCs w:val="21"/>
        </w:rPr>
      </w:pPr>
      <w:bookmarkStart w:id="18" w:name="第7章  防控绩效验收"/>
      <w:bookmarkEnd w:id="18"/>
      <w:bookmarkStart w:id="19" w:name="_bookmark21"/>
      <w:bookmarkEnd w:id="19"/>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验收</w:t>
      </w:r>
    </w:p>
    <w:p w14:paraId="54DCC13C">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jc w:val="both"/>
        <w:textAlignment w:val="auto"/>
        <w:rPr>
          <w:rFonts w:hint="eastAsia" w:ascii="宋体" w:hAnsi="宋体" w:eastAsia="宋体" w:cs="宋体"/>
          <w:color w:val="auto"/>
          <w:sz w:val="21"/>
          <w:szCs w:val="21"/>
        </w:rPr>
      </w:pPr>
      <w:bookmarkStart w:id="20" w:name="_bookmark22"/>
      <w:bookmarkEnd w:id="20"/>
      <w:bookmarkStart w:id="21" w:name="7.1 组织形式"/>
      <w:bookmarkEnd w:id="21"/>
      <w:bookmarkStart w:id="22" w:name="_bookmark22"/>
      <w:bookmarkEnd w:id="22"/>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验收组织形式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采用日常监督、阶段验收和竣工验收相结合的方法。验收结果作为资金拨付依据。</w:t>
      </w:r>
    </w:p>
    <w:p w14:paraId="4A1D9FB4">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jc w:val="both"/>
        <w:textAlignment w:val="auto"/>
        <w:rPr>
          <w:rFonts w:hint="eastAsia" w:ascii="宋体" w:hAnsi="宋体" w:eastAsia="宋体" w:cs="宋体"/>
          <w:color w:val="auto"/>
          <w:sz w:val="21"/>
          <w:szCs w:val="21"/>
        </w:rPr>
      </w:pPr>
      <w:bookmarkStart w:id="23" w:name="7.1.1 日常监督验收"/>
      <w:bookmarkEnd w:id="23"/>
      <w:bookmarkStart w:id="24" w:name="7.1.1 日常监督验收"/>
      <w:bookmarkEnd w:id="24"/>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日常监督验收</w:t>
      </w:r>
    </w:p>
    <w:p w14:paraId="1B8E0662">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常监督验收主要包括三方面：一是委托第三方监管，对实施过程进行全程监管，若发现不按技术要求或合同要求施工的，应及时向业主方如实反映情况，项目结束后出具监管报告；二是全州县林业局组织人员不定期、随机抽查施工点进行日常监督中不达标、不合格、弄虚作假等违规事实的记录；三是县级、市级、自治区等各级监管的日常调研、日常督导、专项检查中不达标、不合格、弄虚作假等违规事实的记录。</w:t>
      </w:r>
    </w:p>
    <w:p w14:paraId="6E57DFFF">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420" w:firstLineChars="200"/>
        <w:jc w:val="both"/>
        <w:textAlignment w:val="auto"/>
        <w:rPr>
          <w:rFonts w:hint="eastAsia" w:ascii="宋体" w:hAnsi="宋体" w:eastAsia="宋体" w:cs="宋体"/>
          <w:b/>
          <w:color w:val="auto"/>
          <w:sz w:val="21"/>
          <w:szCs w:val="21"/>
        </w:rPr>
      </w:pPr>
      <w:bookmarkStart w:id="25" w:name="7.1.2 阶段性验收及竣工验收"/>
      <w:bookmarkEnd w:id="25"/>
      <w:bookmarkStart w:id="26" w:name="7.1.2 阶段性验收及竣工验收"/>
      <w:bookmarkEnd w:id="26"/>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阶段性验收及竣工验收</w:t>
      </w:r>
    </w:p>
    <w:p w14:paraId="3E0CDB9F">
      <w:pPr>
        <w:pStyle w:val="10"/>
        <w:pageBreakBefore w:val="0"/>
        <w:widowControl/>
        <w:kinsoku/>
        <w:wordWrap/>
        <w:overflowPunct/>
        <w:topLinePunct w:val="0"/>
        <w:autoSpaceDE/>
        <w:autoSpaceDN/>
        <w:bidi w:val="0"/>
        <w:adjustRightInd w:val="0"/>
        <w:snapToGrid w:val="0"/>
        <w:spacing w:after="0" w:line="480" w:lineRule="auto"/>
        <w:ind w:left="0" w:right="0" w:firstLine="559"/>
        <w:jc w:val="both"/>
        <w:textAlignment w:val="auto"/>
        <w:rPr>
          <w:rFonts w:hint="eastAsia" w:ascii="宋体" w:hAnsi="宋体" w:eastAsia="宋体" w:cs="宋体"/>
          <w:color w:val="auto"/>
          <w:sz w:val="21"/>
          <w:szCs w:val="21"/>
        </w:rPr>
      </w:pPr>
      <w:r>
        <w:rPr>
          <w:rFonts w:hint="eastAsia" w:ascii="宋体" w:hAnsi="宋体" w:eastAsia="宋体" w:cs="宋体"/>
          <w:color w:val="auto"/>
          <w:spacing w:val="-8"/>
          <w:sz w:val="21"/>
          <w:szCs w:val="21"/>
        </w:rPr>
        <w:t>到达验收时间，绩效承包商将验收申请、实施方案、自检报告、实施</w:t>
      </w:r>
      <w:r>
        <w:rPr>
          <w:rFonts w:hint="eastAsia" w:ascii="宋体" w:hAnsi="宋体" w:eastAsia="宋体" w:cs="宋体"/>
          <w:color w:val="auto"/>
          <w:spacing w:val="-6"/>
          <w:sz w:val="21"/>
          <w:szCs w:val="21"/>
        </w:rPr>
        <w:t>工作台账等相关材料均提交全州县林业局，由全州县林业局组织专家、财</w:t>
      </w:r>
      <w:r>
        <w:rPr>
          <w:rFonts w:hint="eastAsia" w:ascii="宋体" w:hAnsi="宋体" w:eastAsia="宋体" w:cs="宋体"/>
          <w:color w:val="auto"/>
          <w:spacing w:val="-9"/>
          <w:sz w:val="21"/>
          <w:szCs w:val="21"/>
        </w:rPr>
        <w:t>务、技术员等组成验收组进行检查验收，采用现场核查验</w:t>
      </w:r>
      <w:r>
        <w:rPr>
          <w:rFonts w:hint="eastAsia" w:ascii="宋体" w:hAnsi="宋体" w:eastAsia="宋体" w:cs="宋体"/>
          <w:color w:val="auto"/>
          <w:spacing w:val="-8"/>
          <w:sz w:val="21"/>
          <w:szCs w:val="21"/>
        </w:rPr>
        <w:t>收和资料查验相结合，</w:t>
      </w:r>
      <w:r>
        <w:rPr>
          <w:rFonts w:hint="eastAsia" w:ascii="宋体" w:hAnsi="宋体" w:eastAsia="宋体" w:cs="宋体"/>
          <w:color w:val="auto"/>
          <w:spacing w:val="-3"/>
          <w:sz w:val="21"/>
          <w:szCs w:val="21"/>
        </w:rPr>
        <w:t>综合评定出验收结果。</w:t>
      </w:r>
    </w:p>
    <w:p w14:paraId="07BEB8CA">
      <w:pPr>
        <w:pStyle w:val="4"/>
        <w:pageBreakBefore w:val="0"/>
        <w:widowControl/>
        <w:numPr>
          <w:ilvl w:val="0"/>
          <w:numId w:val="0"/>
        </w:numPr>
        <w:tabs>
          <w:tab w:val="left" w:pos="1241"/>
        </w:tabs>
        <w:kinsoku/>
        <w:wordWrap/>
        <w:overflowPunct/>
        <w:topLinePunct w:val="0"/>
        <w:autoSpaceDE/>
        <w:autoSpaceDN/>
        <w:bidi w:val="0"/>
        <w:adjustRightInd w:val="0"/>
        <w:snapToGrid w:val="0"/>
        <w:spacing w:after="0" w:line="240" w:lineRule="auto"/>
        <w:ind w:left="-560" w:leftChars="0" w:right="0" w:rightChars="0" w:firstLine="422" w:firstLineChars="200"/>
        <w:jc w:val="left"/>
        <w:textAlignment w:val="auto"/>
        <w:rPr>
          <w:rFonts w:hint="eastAsia" w:ascii="宋体" w:hAnsi="宋体" w:eastAsia="宋体" w:cs="宋体"/>
          <w:color w:val="auto"/>
          <w:sz w:val="21"/>
          <w:szCs w:val="21"/>
        </w:rPr>
      </w:pPr>
      <w:bookmarkStart w:id="27" w:name="7.2 验收时间"/>
      <w:bookmarkEnd w:id="27"/>
      <w:bookmarkStart w:id="28" w:name="_bookmark23"/>
      <w:bookmarkEnd w:id="28"/>
      <w:bookmarkStart w:id="29" w:name="_bookmark23"/>
      <w:bookmarkEnd w:id="29"/>
      <w:r>
        <w:rPr>
          <w:rFonts w:hint="eastAsia" w:cs="宋体"/>
          <w:color w:val="auto"/>
          <w:sz w:val="21"/>
          <w:szCs w:val="21"/>
          <w:lang w:val="en-US" w:eastAsia="zh-CN"/>
        </w:rPr>
        <w:t>4、</w:t>
      </w:r>
      <w:r>
        <w:rPr>
          <w:rFonts w:hint="eastAsia" w:ascii="宋体" w:hAnsi="宋体" w:eastAsia="宋体" w:cs="宋体"/>
          <w:color w:val="auto"/>
          <w:sz w:val="21"/>
          <w:szCs w:val="21"/>
        </w:rPr>
        <w:t>验收时间</w:t>
      </w:r>
    </w:p>
    <w:p w14:paraId="7C3C49B0">
      <w:pPr>
        <w:pStyle w:val="10"/>
        <w:pageBreakBefore w:val="0"/>
        <w:widowControl/>
        <w:kinsoku/>
        <w:wordWrap/>
        <w:overflowPunct/>
        <w:topLinePunct w:val="0"/>
        <w:autoSpaceDE/>
        <w:autoSpaceDN/>
        <w:bidi w:val="0"/>
        <w:adjustRightInd w:val="0"/>
        <w:snapToGrid w:val="0"/>
        <w:spacing w:after="0"/>
        <w:ind w:left="0" w:right="0"/>
        <w:textAlignment w:val="auto"/>
        <w:rPr>
          <w:rFonts w:hint="eastAsia" w:ascii="宋体" w:hAnsi="宋体" w:eastAsia="宋体" w:cs="宋体"/>
          <w:b/>
          <w:color w:val="auto"/>
          <w:sz w:val="21"/>
          <w:szCs w:val="21"/>
        </w:rPr>
      </w:pPr>
    </w:p>
    <w:p w14:paraId="4CA9B7C9">
      <w:pPr>
        <w:pStyle w:val="10"/>
        <w:pageBreakBefore w:val="0"/>
        <w:widowControl/>
        <w:kinsoku/>
        <w:wordWrap/>
        <w:overflowPunct/>
        <w:topLinePunct w:val="0"/>
        <w:autoSpaceDE/>
        <w:autoSpaceDN/>
        <w:bidi w:val="0"/>
        <w:adjustRightInd w:val="0"/>
        <w:snapToGrid w:val="0"/>
        <w:spacing w:after="0" w:line="480" w:lineRule="auto"/>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1、日常监督验收：服务期内任何时间、不限次数。</w:t>
      </w:r>
    </w:p>
    <w:p w14:paraId="5B9E9FA5">
      <w:pPr>
        <w:pStyle w:val="10"/>
        <w:pageBreakBefore w:val="0"/>
        <w:widowControl/>
        <w:kinsoku/>
        <w:wordWrap/>
        <w:overflowPunct/>
        <w:topLinePunct w:val="0"/>
        <w:autoSpaceDE/>
        <w:autoSpaceDN/>
        <w:bidi w:val="0"/>
        <w:adjustRightInd w:val="0"/>
        <w:snapToGrid w:val="0"/>
        <w:spacing w:after="0" w:line="480" w:lineRule="auto"/>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 xml:space="preserve">2、阶段验收：2024 年 </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 xml:space="preserve"> 月、</w:t>
      </w:r>
      <w:r>
        <w:rPr>
          <w:rFonts w:hint="eastAsia" w:ascii="宋体" w:hAnsi="宋体" w:eastAsia="宋体" w:cs="宋体"/>
          <w:color w:val="auto"/>
          <w:sz w:val="21"/>
          <w:szCs w:val="21"/>
        </w:rPr>
        <w:t>2025 年 5 月；2026 年 5 月。</w:t>
      </w:r>
    </w:p>
    <w:p w14:paraId="210B7227">
      <w:pPr>
        <w:pStyle w:val="10"/>
        <w:pageBreakBefore w:val="0"/>
        <w:widowControl/>
        <w:kinsoku/>
        <w:wordWrap/>
        <w:overflowPunct/>
        <w:topLinePunct w:val="0"/>
        <w:autoSpaceDE/>
        <w:autoSpaceDN/>
        <w:bidi w:val="0"/>
        <w:adjustRightInd w:val="0"/>
        <w:snapToGrid w:val="0"/>
        <w:spacing w:after="0" w:line="480" w:lineRule="auto"/>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3、竣工验收：2026 年 11-12 月。</w:t>
      </w:r>
    </w:p>
    <w:p w14:paraId="1539DD56">
      <w:pPr>
        <w:pStyle w:val="4"/>
        <w:pageBreakBefore w:val="0"/>
        <w:widowControl/>
        <w:numPr>
          <w:ilvl w:val="0"/>
          <w:numId w:val="0"/>
        </w:numPr>
        <w:tabs>
          <w:tab w:val="left" w:pos="1241"/>
        </w:tabs>
        <w:kinsoku/>
        <w:wordWrap/>
        <w:overflowPunct/>
        <w:topLinePunct w:val="0"/>
        <w:autoSpaceDE/>
        <w:autoSpaceDN/>
        <w:bidi w:val="0"/>
        <w:adjustRightInd w:val="0"/>
        <w:snapToGrid w:val="0"/>
        <w:spacing w:after="0" w:line="240" w:lineRule="auto"/>
        <w:ind w:left="-560" w:leftChars="0" w:right="0" w:rightChars="0" w:firstLine="422" w:firstLineChars="200"/>
        <w:jc w:val="left"/>
        <w:textAlignment w:val="auto"/>
        <w:rPr>
          <w:rFonts w:hint="eastAsia" w:ascii="宋体" w:hAnsi="宋体" w:eastAsia="宋体" w:cs="宋体"/>
          <w:color w:val="auto"/>
          <w:sz w:val="21"/>
          <w:szCs w:val="21"/>
        </w:rPr>
      </w:pPr>
      <w:bookmarkStart w:id="30" w:name="7.3 验收依据和标准"/>
      <w:bookmarkEnd w:id="30"/>
      <w:bookmarkStart w:id="31" w:name="_bookmark24"/>
      <w:bookmarkEnd w:id="31"/>
      <w:bookmarkStart w:id="32" w:name="_bookmark24"/>
      <w:bookmarkEnd w:id="32"/>
      <w:r>
        <w:rPr>
          <w:rFonts w:hint="eastAsia" w:cs="宋体"/>
          <w:color w:val="auto"/>
          <w:sz w:val="21"/>
          <w:szCs w:val="21"/>
          <w:lang w:val="en-US" w:eastAsia="zh-CN"/>
        </w:rPr>
        <w:t>5、</w:t>
      </w:r>
      <w:r>
        <w:rPr>
          <w:rFonts w:hint="eastAsia" w:ascii="宋体" w:hAnsi="宋体" w:eastAsia="宋体" w:cs="宋体"/>
          <w:color w:val="auto"/>
          <w:sz w:val="21"/>
          <w:szCs w:val="21"/>
        </w:rPr>
        <w:t>验收依据和标准</w:t>
      </w:r>
    </w:p>
    <w:p w14:paraId="5B5B3874">
      <w:pPr>
        <w:pStyle w:val="10"/>
        <w:pageBreakBefore w:val="0"/>
        <w:widowControl/>
        <w:kinsoku/>
        <w:wordWrap/>
        <w:overflowPunct/>
        <w:topLinePunct w:val="0"/>
        <w:autoSpaceDE/>
        <w:autoSpaceDN/>
        <w:bidi w:val="0"/>
        <w:adjustRightInd w:val="0"/>
        <w:snapToGrid w:val="0"/>
        <w:spacing w:after="0"/>
        <w:ind w:left="0" w:right="0"/>
        <w:textAlignment w:val="auto"/>
        <w:rPr>
          <w:rFonts w:hint="eastAsia" w:ascii="宋体" w:hAnsi="宋体" w:eastAsia="宋体" w:cs="宋体"/>
          <w:b/>
          <w:color w:val="auto"/>
          <w:sz w:val="21"/>
          <w:szCs w:val="21"/>
        </w:rPr>
      </w:pPr>
    </w:p>
    <w:p w14:paraId="54489A5A">
      <w:pPr>
        <w:pStyle w:val="10"/>
        <w:pageBreakBefore w:val="0"/>
        <w:widowControl/>
        <w:kinsoku/>
        <w:wordWrap/>
        <w:overflowPunct/>
        <w:topLinePunct w:val="0"/>
        <w:autoSpaceDE/>
        <w:autoSpaceDN/>
        <w:bidi w:val="0"/>
        <w:adjustRightInd w:val="0"/>
        <w:snapToGrid w:val="0"/>
        <w:spacing w:after="0" w:line="480" w:lineRule="auto"/>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eastAsia="zh-CN"/>
        </w:rPr>
        <w:t>《全州县松材线虫病疫情防控绩效承包方案（</w:t>
      </w:r>
      <w:r>
        <w:rPr>
          <w:rFonts w:hint="eastAsia" w:ascii="宋体" w:hAnsi="宋体" w:eastAsia="宋体" w:cs="宋体"/>
          <w:color w:val="auto"/>
          <w:sz w:val="21"/>
          <w:szCs w:val="21"/>
          <w:lang w:val="en-US" w:eastAsia="zh-CN"/>
        </w:rPr>
        <w:t>2023-2026年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p>
    <w:p w14:paraId="48BEBC5F">
      <w:pPr>
        <w:pStyle w:val="10"/>
        <w:pageBreakBefore w:val="0"/>
        <w:widowControl/>
        <w:kinsoku/>
        <w:wordWrap/>
        <w:overflowPunct/>
        <w:topLinePunct w:val="0"/>
        <w:autoSpaceDE/>
        <w:autoSpaceDN/>
        <w:bidi w:val="0"/>
        <w:adjustRightInd w:val="0"/>
        <w:snapToGrid w:val="0"/>
        <w:spacing w:after="0" w:line="480" w:lineRule="auto"/>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2、《项目合同》及合同附件。</w:t>
      </w:r>
    </w:p>
    <w:p w14:paraId="749763BF">
      <w:pPr>
        <w:pStyle w:val="10"/>
        <w:pageBreakBefore w:val="0"/>
        <w:widowControl/>
        <w:kinsoku/>
        <w:wordWrap/>
        <w:overflowPunct/>
        <w:topLinePunct w:val="0"/>
        <w:autoSpaceDE/>
        <w:autoSpaceDN/>
        <w:bidi w:val="0"/>
        <w:adjustRightInd w:val="0"/>
        <w:snapToGrid w:val="0"/>
        <w:spacing w:after="0" w:line="480" w:lineRule="auto"/>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3、《松材线虫病防控技术方案（2022 年版）》。</w:t>
      </w:r>
    </w:p>
    <w:p w14:paraId="4F96C467">
      <w:pPr>
        <w:pStyle w:val="10"/>
        <w:pageBreakBefore w:val="0"/>
        <w:widowControl/>
        <w:kinsoku/>
        <w:wordWrap/>
        <w:overflowPunct/>
        <w:topLinePunct w:val="0"/>
        <w:autoSpaceDE/>
        <w:autoSpaceDN/>
        <w:bidi w:val="0"/>
        <w:adjustRightInd w:val="0"/>
        <w:snapToGrid w:val="0"/>
        <w:spacing w:after="0" w:line="480" w:lineRule="auto"/>
        <w:ind w:left="0" w:right="0"/>
        <w:textAlignment w:val="auto"/>
        <w:rPr>
          <w:rFonts w:hint="eastAsia" w:ascii="宋体" w:hAnsi="宋体" w:eastAsia="宋体" w:cs="宋体"/>
          <w:color w:val="auto"/>
          <w:spacing w:val="-3"/>
          <w:sz w:val="21"/>
          <w:szCs w:val="21"/>
        </w:rPr>
      </w:pPr>
      <w:r>
        <w:rPr>
          <w:rFonts w:hint="eastAsia" w:ascii="宋体" w:hAnsi="宋体" w:eastAsia="宋体" w:cs="宋体"/>
          <w:color w:val="auto"/>
          <w:sz w:val="21"/>
          <w:szCs w:val="21"/>
        </w:rPr>
        <w:t>4</w:t>
      </w:r>
      <w:r>
        <w:rPr>
          <w:rFonts w:hint="eastAsia" w:ascii="宋体" w:hAnsi="宋体" w:eastAsia="宋体" w:cs="宋体"/>
          <w:color w:val="auto"/>
          <w:spacing w:val="-3"/>
          <w:sz w:val="21"/>
          <w:szCs w:val="21"/>
        </w:rPr>
        <w:t xml:space="preserve">、《广西壮族自治区松材线虫病疫木清理效果查验方法》。  </w:t>
      </w:r>
    </w:p>
    <w:p w14:paraId="5E5FBB2F">
      <w:pPr>
        <w:pStyle w:val="10"/>
        <w:pageBreakBefore w:val="0"/>
        <w:widowControl/>
        <w:kinsoku/>
        <w:wordWrap/>
        <w:overflowPunct/>
        <w:topLinePunct w:val="0"/>
        <w:autoSpaceDE/>
        <w:autoSpaceDN/>
        <w:bidi w:val="0"/>
        <w:adjustRightInd w:val="0"/>
        <w:snapToGrid w:val="0"/>
        <w:spacing w:after="0" w:line="480" w:lineRule="auto"/>
        <w:ind w:left="0" w:right="0"/>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rPr>
        <w:t>如遇上述技术规程在绩效承包期内有更新参照最新的技术标准。</w:t>
      </w:r>
    </w:p>
    <w:p w14:paraId="0D280163">
      <w:pPr>
        <w:pStyle w:val="4"/>
        <w:pageBreakBefore w:val="0"/>
        <w:widowControl/>
        <w:numPr>
          <w:ilvl w:val="0"/>
          <w:numId w:val="0"/>
        </w:numPr>
        <w:tabs>
          <w:tab w:val="left" w:pos="1241"/>
        </w:tabs>
        <w:kinsoku/>
        <w:wordWrap/>
        <w:overflowPunct/>
        <w:topLinePunct w:val="0"/>
        <w:autoSpaceDE/>
        <w:autoSpaceDN/>
        <w:bidi w:val="0"/>
        <w:adjustRightInd w:val="0"/>
        <w:snapToGrid w:val="0"/>
        <w:spacing w:after="0" w:line="240" w:lineRule="auto"/>
        <w:ind w:left="-560" w:leftChars="0" w:right="0" w:rightChars="0" w:firstLine="422" w:firstLineChars="200"/>
        <w:jc w:val="left"/>
        <w:textAlignment w:val="auto"/>
        <w:rPr>
          <w:rFonts w:hint="eastAsia" w:ascii="宋体" w:hAnsi="宋体" w:eastAsia="宋体" w:cs="宋体"/>
          <w:color w:val="auto"/>
          <w:sz w:val="21"/>
          <w:szCs w:val="21"/>
        </w:rPr>
      </w:pPr>
      <w:bookmarkStart w:id="33" w:name="7.4 验收内容"/>
      <w:bookmarkEnd w:id="33"/>
      <w:bookmarkStart w:id="34" w:name="_bookmark25"/>
      <w:bookmarkEnd w:id="34"/>
      <w:bookmarkStart w:id="35" w:name="_bookmark25"/>
      <w:bookmarkEnd w:id="35"/>
      <w:r>
        <w:rPr>
          <w:rFonts w:hint="eastAsia" w:cs="宋体"/>
          <w:color w:val="auto"/>
          <w:sz w:val="21"/>
          <w:szCs w:val="21"/>
          <w:lang w:val="en-US" w:eastAsia="zh-CN"/>
        </w:rPr>
        <w:t>6、</w:t>
      </w:r>
      <w:r>
        <w:rPr>
          <w:rFonts w:hint="eastAsia" w:ascii="宋体" w:hAnsi="宋体" w:eastAsia="宋体" w:cs="宋体"/>
          <w:color w:val="auto"/>
          <w:sz w:val="21"/>
          <w:szCs w:val="21"/>
        </w:rPr>
        <w:t>验收内容</w:t>
      </w:r>
    </w:p>
    <w:p w14:paraId="68EECF50">
      <w:pPr>
        <w:pStyle w:val="10"/>
        <w:pageBreakBefore w:val="0"/>
        <w:widowControl/>
        <w:kinsoku/>
        <w:wordWrap/>
        <w:overflowPunct/>
        <w:topLinePunct w:val="0"/>
        <w:autoSpaceDE/>
        <w:autoSpaceDN/>
        <w:bidi w:val="0"/>
        <w:adjustRightInd w:val="0"/>
        <w:snapToGrid w:val="0"/>
        <w:spacing w:after="0"/>
        <w:ind w:left="0" w:right="0"/>
        <w:textAlignment w:val="auto"/>
        <w:rPr>
          <w:rFonts w:hint="eastAsia" w:ascii="宋体" w:hAnsi="宋体" w:eastAsia="宋体" w:cs="宋体"/>
          <w:b/>
          <w:color w:val="auto"/>
          <w:sz w:val="21"/>
          <w:szCs w:val="21"/>
        </w:rPr>
      </w:pPr>
    </w:p>
    <w:p w14:paraId="69E56109">
      <w:pPr>
        <w:pStyle w:val="10"/>
        <w:pageBreakBefore w:val="0"/>
        <w:widowControl/>
        <w:kinsoku/>
        <w:wordWrap/>
        <w:overflowPunct/>
        <w:topLinePunct w:val="0"/>
        <w:autoSpaceDE/>
        <w:autoSpaceDN/>
        <w:bidi w:val="0"/>
        <w:adjustRightInd w:val="0"/>
        <w:snapToGrid w:val="0"/>
        <w:spacing w:after="0" w:line="48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1、防治成效验收，是否还存在未除治的枯死松树。</w:t>
      </w:r>
    </w:p>
    <w:p w14:paraId="07A29F8D">
      <w:pPr>
        <w:pStyle w:val="10"/>
        <w:pageBreakBefore w:val="0"/>
        <w:widowControl/>
        <w:kinsoku/>
        <w:wordWrap/>
        <w:overflowPunct/>
        <w:topLinePunct w:val="0"/>
        <w:autoSpaceDE/>
        <w:autoSpaceDN/>
        <w:bidi w:val="0"/>
        <w:adjustRightInd w:val="0"/>
        <w:snapToGrid w:val="0"/>
        <w:spacing w:after="0" w:line="480" w:lineRule="auto"/>
        <w:ind w:left="0" w:leftChars="0" w:right="0" w:firstLine="416" w:firstLineChars="200"/>
        <w:textAlignment w:val="auto"/>
        <w:rPr>
          <w:rFonts w:hint="eastAsia" w:ascii="宋体" w:hAnsi="宋体" w:eastAsia="宋体" w:cs="宋体"/>
          <w:color w:val="auto"/>
          <w:sz w:val="21"/>
          <w:szCs w:val="21"/>
        </w:rPr>
      </w:pPr>
      <w:r>
        <w:rPr>
          <w:rFonts w:hint="eastAsia" w:ascii="宋体" w:hAnsi="宋体" w:eastAsia="宋体" w:cs="宋体"/>
          <w:color w:val="auto"/>
          <w:spacing w:val="-1"/>
          <w:sz w:val="21"/>
          <w:szCs w:val="21"/>
        </w:rPr>
        <w:t>2</w:t>
      </w:r>
      <w:r>
        <w:rPr>
          <w:rFonts w:hint="eastAsia" w:ascii="宋体" w:hAnsi="宋体" w:eastAsia="宋体" w:cs="宋体"/>
          <w:color w:val="auto"/>
          <w:spacing w:val="-9"/>
          <w:sz w:val="21"/>
          <w:szCs w:val="21"/>
        </w:rPr>
        <w:t>、除治质量验收，检查除治质量，重点检查伐桩高度、施药、覆膜、盖土、树干和枝桠处理、枝干碳化情况、疫情发生林分及周</w:t>
      </w:r>
      <w:r>
        <w:rPr>
          <w:rFonts w:hint="eastAsia" w:ascii="宋体" w:hAnsi="宋体" w:eastAsia="宋体" w:cs="宋体"/>
          <w:color w:val="auto"/>
          <w:sz w:val="21"/>
          <w:szCs w:val="21"/>
        </w:rPr>
        <w:t>边松类采伐剩余物等 7 项；</w:t>
      </w:r>
    </w:p>
    <w:p w14:paraId="06CB21C9">
      <w:pPr>
        <w:pStyle w:val="10"/>
        <w:pageBreakBefore w:val="0"/>
        <w:widowControl/>
        <w:kinsoku/>
        <w:wordWrap/>
        <w:overflowPunct/>
        <w:topLinePunct w:val="0"/>
        <w:autoSpaceDE/>
        <w:autoSpaceDN/>
        <w:bidi w:val="0"/>
        <w:adjustRightInd w:val="0"/>
        <w:snapToGrid w:val="0"/>
        <w:spacing w:after="0" w:line="480" w:lineRule="auto"/>
        <w:ind w:left="0" w:right="0" w:firstLine="559"/>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3、绩效承包工作进度验收，检查是否按合同约定期限完成绩效承包任务。</w:t>
      </w:r>
    </w:p>
    <w:p w14:paraId="31FF4B9B">
      <w:pPr>
        <w:pStyle w:val="10"/>
        <w:pageBreakBefore w:val="0"/>
        <w:widowControl/>
        <w:kinsoku/>
        <w:wordWrap/>
        <w:overflowPunct/>
        <w:topLinePunct w:val="0"/>
        <w:autoSpaceDE/>
        <w:autoSpaceDN/>
        <w:bidi w:val="0"/>
        <w:adjustRightInd w:val="0"/>
        <w:snapToGrid w:val="0"/>
        <w:spacing w:after="0" w:line="480" w:lineRule="auto"/>
        <w:ind w:left="0" w:right="0" w:firstLine="559"/>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4、安全生产验收，检查服务期间是否按要求落实安全生产措施，是否购买有效的人身意外伤害保险，是否发生安全生产事故。</w:t>
      </w:r>
    </w:p>
    <w:p w14:paraId="1D38239C">
      <w:pPr>
        <w:pStyle w:val="10"/>
        <w:pageBreakBefore w:val="0"/>
        <w:widowControl/>
        <w:kinsoku/>
        <w:wordWrap/>
        <w:overflowPunct/>
        <w:topLinePunct w:val="0"/>
        <w:autoSpaceDE/>
        <w:autoSpaceDN/>
        <w:bidi w:val="0"/>
        <w:adjustRightInd w:val="0"/>
        <w:snapToGrid w:val="0"/>
        <w:spacing w:after="0" w:line="480" w:lineRule="auto"/>
        <w:ind w:left="0" w:right="0" w:firstLine="559"/>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5、廉政与纪律验收，调查项目实施期间，是否存在威胁恫吓或贿赂</w:t>
      </w:r>
      <w:r>
        <w:rPr>
          <w:rFonts w:hint="eastAsia" w:ascii="宋体" w:hAnsi="宋体" w:eastAsia="宋体" w:cs="宋体"/>
          <w:color w:val="auto"/>
          <w:spacing w:val="-10"/>
          <w:sz w:val="21"/>
          <w:szCs w:val="21"/>
        </w:rPr>
        <w:t>监理方、政府的工作人员；是否存在不接受不配合各级</w:t>
      </w:r>
      <w:r>
        <w:rPr>
          <w:rFonts w:hint="eastAsia" w:ascii="宋体" w:hAnsi="宋体" w:eastAsia="宋体" w:cs="宋体"/>
          <w:color w:val="auto"/>
          <w:sz w:val="21"/>
          <w:szCs w:val="21"/>
        </w:rPr>
        <w:t>林业主管部门的工作督促与检</w:t>
      </w:r>
      <w:r>
        <w:rPr>
          <w:rFonts w:hint="eastAsia" w:ascii="宋体" w:hAnsi="宋体" w:eastAsia="宋体" w:cs="宋体"/>
          <w:color w:val="auto"/>
          <w:spacing w:val="-9"/>
          <w:sz w:val="21"/>
          <w:szCs w:val="21"/>
        </w:rPr>
        <w:t>查；是否存在不尊重当地村委会工作人员；是否存在损害村民</w:t>
      </w:r>
      <w:r>
        <w:rPr>
          <w:rFonts w:hint="eastAsia" w:ascii="宋体" w:hAnsi="宋体" w:eastAsia="宋体" w:cs="宋体"/>
          <w:color w:val="auto"/>
          <w:spacing w:val="-3"/>
          <w:sz w:val="21"/>
          <w:szCs w:val="21"/>
        </w:rPr>
        <w:t>正当权益而引发矛盾纠纷。</w:t>
      </w:r>
    </w:p>
    <w:p w14:paraId="7F0CA119">
      <w:pPr>
        <w:pStyle w:val="10"/>
        <w:pageBreakBefore w:val="0"/>
        <w:widowControl/>
        <w:kinsoku/>
        <w:wordWrap/>
        <w:overflowPunct/>
        <w:topLinePunct w:val="0"/>
        <w:autoSpaceDE/>
        <w:autoSpaceDN/>
        <w:bidi w:val="0"/>
        <w:adjustRightInd w:val="0"/>
        <w:snapToGrid w:val="0"/>
        <w:spacing w:after="0" w:line="480" w:lineRule="auto"/>
        <w:ind w:left="0" w:right="0" w:firstLine="559"/>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6、信息档案验收，包括但不限于重点检查项目的任务来源文件、会</w:t>
      </w:r>
      <w:r>
        <w:rPr>
          <w:rFonts w:hint="eastAsia" w:ascii="宋体" w:hAnsi="宋体" w:eastAsia="宋体" w:cs="宋体"/>
          <w:color w:val="auto"/>
          <w:spacing w:val="-9"/>
          <w:sz w:val="21"/>
          <w:szCs w:val="21"/>
        </w:rPr>
        <w:t>议纪要、招投标文件、中标文件、服务合同、施工方案、工作台账</w:t>
      </w:r>
      <w:r>
        <w:rPr>
          <w:rFonts w:hint="eastAsia" w:ascii="宋体" w:hAnsi="宋体" w:eastAsia="宋体" w:cs="宋体"/>
          <w:color w:val="auto"/>
          <w:sz w:val="21"/>
          <w:szCs w:val="21"/>
        </w:rPr>
        <w:t>（包含</w:t>
      </w:r>
      <w:r>
        <w:rPr>
          <w:rFonts w:hint="eastAsia" w:ascii="宋体" w:hAnsi="宋体" w:eastAsia="宋体" w:cs="宋体"/>
          <w:color w:val="auto"/>
          <w:spacing w:val="-5"/>
          <w:sz w:val="21"/>
          <w:szCs w:val="21"/>
        </w:rPr>
        <w:t>工作人员和工作量的工日记录表、汇总表、照片等图文表材料</w:t>
      </w:r>
      <w:r>
        <w:rPr>
          <w:rFonts w:hint="eastAsia" w:ascii="宋体" w:hAnsi="宋体" w:eastAsia="宋体" w:cs="宋体"/>
          <w:color w:val="auto"/>
          <w:spacing w:val="-15"/>
          <w:sz w:val="21"/>
          <w:szCs w:val="21"/>
        </w:rPr>
        <w:t>）</w:t>
      </w:r>
      <w:r>
        <w:rPr>
          <w:rFonts w:hint="eastAsia" w:ascii="宋体" w:hAnsi="宋体" w:eastAsia="宋体" w:cs="宋体"/>
          <w:color w:val="auto"/>
          <w:spacing w:val="-6"/>
          <w:sz w:val="21"/>
          <w:szCs w:val="21"/>
        </w:rPr>
        <w:t>、质量检</w:t>
      </w:r>
      <w:r>
        <w:rPr>
          <w:rFonts w:hint="eastAsia" w:ascii="宋体" w:hAnsi="宋体" w:eastAsia="宋体" w:cs="宋体"/>
          <w:color w:val="auto"/>
          <w:spacing w:val="-9"/>
          <w:sz w:val="21"/>
          <w:szCs w:val="21"/>
        </w:rPr>
        <w:t>查方案、质量检查报告、监理日志、监理报告、自检报告、复检报告、验</w:t>
      </w:r>
      <w:r>
        <w:rPr>
          <w:rFonts w:hint="eastAsia" w:ascii="宋体" w:hAnsi="宋体" w:eastAsia="宋体" w:cs="宋体"/>
          <w:color w:val="auto"/>
          <w:spacing w:val="-3"/>
          <w:sz w:val="21"/>
          <w:szCs w:val="21"/>
        </w:rPr>
        <w:t>收方案、验收报告、款项支付材料等。</w:t>
      </w:r>
    </w:p>
    <w:p w14:paraId="58727144">
      <w:pPr>
        <w:pStyle w:val="4"/>
        <w:pageBreakBefore w:val="0"/>
        <w:widowControl/>
        <w:numPr>
          <w:ilvl w:val="0"/>
          <w:numId w:val="0"/>
        </w:numPr>
        <w:tabs>
          <w:tab w:val="left" w:pos="1241"/>
        </w:tabs>
        <w:kinsoku/>
        <w:wordWrap/>
        <w:overflowPunct/>
        <w:topLinePunct w:val="0"/>
        <w:autoSpaceDE/>
        <w:autoSpaceDN/>
        <w:bidi w:val="0"/>
        <w:adjustRightInd w:val="0"/>
        <w:snapToGrid w:val="0"/>
        <w:spacing w:after="0" w:line="240" w:lineRule="auto"/>
        <w:ind w:left="-560" w:leftChars="0" w:right="0" w:rightChars="0" w:firstLine="632" w:firstLineChars="300"/>
        <w:jc w:val="left"/>
        <w:textAlignment w:val="auto"/>
        <w:rPr>
          <w:rFonts w:hint="eastAsia" w:ascii="宋体" w:hAnsi="宋体" w:eastAsia="宋体" w:cs="宋体"/>
          <w:color w:val="auto"/>
          <w:sz w:val="21"/>
          <w:szCs w:val="21"/>
        </w:rPr>
      </w:pPr>
      <w:bookmarkStart w:id="36" w:name="7.5 验收方法"/>
      <w:bookmarkEnd w:id="36"/>
      <w:bookmarkStart w:id="37" w:name="_bookmark26"/>
      <w:bookmarkEnd w:id="37"/>
      <w:bookmarkStart w:id="38" w:name="_bookmark26"/>
      <w:bookmarkEnd w:id="38"/>
      <w:r>
        <w:rPr>
          <w:rFonts w:hint="eastAsia" w:cs="宋体"/>
          <w:color w:val="auto"/>
          <w:sz w:val="21"/>
          <w:szCs w:val="21"/>
          <w:lang w:val="en-US" w:eastAsia="zh-CN"/>
        </w:rPr>
        <w:t>7、</w:t>
      </w:r>
      <w:r>
        <w:rPr>
          <w:rFonts w:hint="eastAsia" w:ascii="宋体" w:hAnsi="宋体" w:eastAsia="宋体" w:cs="宋体"/>
          <w:color w:val="auto"/>
          <w:sz w:val="21"/>
          <w:szCs w:val="21"/>
        </w:rPr>
        <w:t>验收方法</w:t>
      </w:r>
    </w:p>
    <w:p w14:paraId="39E399C4">
      <w:pPr>
        <w:pStyle w:val="10"/>
        <w:pageBreakBefore w:val="0"/>
        <w:widowControl/>
        <w:kinsoku/>
        <w:wordWrap/>
        <w:overflowPunct/>
        <w:topLinePunct w:val="0"/>
        <w:autoSpaceDE/>
        <w:autoSpaceDN/>
        <w:bidi w:val="0"/>
        <w:adjustRightInd w:val="0"/>
        <w:snapToGrid w:val="0"/>
        <w:spacing w:after="0"/>
        <w:ind w:left="0" w:right="0"/>
        <w:textAlignment w:val="auto"/>
        <w:rPr>
          <w:rFonts w:hint="eastAsia" w:ascii="宋体" w:hAnsi="宋体" w:eastAsia="宋体" w:cs="宋体"/>
          <w:b/>
          <w:color w:val="auto"/>
          <w:sz w:val="21"/>
          <w:szCs w:val="21"/>
        </w:rPr>
      </w:pPr>
    </w:p>
    <w:p w14:paraId="57941701">
      <w:pPr>
        <w:pStyle w:val="10"/>
        <w:pageBreakBefore w:val="0"/>
        <w:widowControl/>
        <w:kinsoku/>
        <w:wordWrap/>
        <w:overflowPunct/>
        <w:topLinePunct w:val="0"/>
        <w:autoSpaceDE/>
        <w:autoSpaceDN/>
        <w:bidi w:val="0"/>
        <w:adjustRightInd w:val="0"/>
        <w:snapToGrid w:val="0"/>
        <w:spacing w:after="0" w:line="417" w:lineRule="auto"/>
        <w:ind w:left="0" w:right="0" w:firstLine="559"/>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1、根据监理提供的监理报告，结合日常监测或秋季普查的第一手资</w:t>
      </w:r>
      <w:r>
        <w:rPr>
          <w:rFonts w:hint="eastAsia" w:ascii="宋体" w:hAnsi="宋体" w:eastAsia="宋体" w:cs="宋体"/>
          <w:color w:val="auto"/>
          <w:spacing w:val="-8"/>
          <w:sz w:val="21"/>
          <w:szCs w:val="21"/>
        </w:rPr>
        <w:t>料，对全域进行可见枯死疫木的确认及补充调查，调查是否存在可见枯死</w:t>
      </w:r>
      <w:r>
        <w:rPr>
          <w:rFonts w:hint="eastAsia" w:ascii="宋体" w:hAnsi="宋体" w:eastAsia="宋体" w:cs="宋体"/>
          <w:color w:val="auto"/>
          <w:spacing w:val="-3"/>
          <w:sz w:val="21"/>
          <w:szCs w:val="21"/>
        </w:rPr>
        <w:t>疫木。对查实有可见的枯死疫木小班进行详查。</w:t>
      </w:r>
    </w:p>
    <w:p w14:paraId="6C198960">
      <w:pPr>
        <w:pStyle w:val="10"/>
        <w:pageBreakBefore w:val="0"/>
        <w:widowControl/>
        <w:kinsoku/>
        <w:wordWrap/>
        <w:overflowPunct/>
        <w:topLinePunct w:val="0"/>
        <w:autoSpaceDE/>
        <w:autoSpaceDN/>
        <w:bidi w:val="0"/>
        <w:adjustRightInd w:val="0"/>
        <w:snapToGrid w:val="0"/>
        <w:spacing w:after="0" w:line="417" w:lineRule="auto"/>
        <w:ind w:left="0" w:right="0" w:firstLine="559"/>
        <w:textAlignment w:val="auto"/>
        <w:rPr>
          <w:rFonts w:hint="eastAsia" w:ascii="宋体" w:hAnsi="宋体" w:eastAsia="宋体" w:cs="宋体"/>
          <w:color w:val="auto"/>
          <w:sz w:val="21"/>
          <w:szCs w:val="21"/>
        </w:rPr>
      </w:pPr>
      <w:r>
        <w:rPr>
          <w:rFonts w:hint="eastAsia" w:ascii="宋体" w:hAnsi="宋体" w:eastAsia="宋体" w:cs="宋体"/>
          <w:color w:val="auto"/>
          <w:spacing w:val="-1"/>
          <w:sz w:val="21"/>
          <w:szCs w:val="21"/>
        </w:rPr>
        <w:t>2</w:t>
      </w:r>
      <w:r>
        <w:rPr>
          <w:rFonts w:hint="eastAsia" w:ascii="宋体" w:hAnsi="宋体" w:eastAsia="宋体" w:cs="宋体"/>
          <w:color w:val="auto"/>
          <w:spacing w:val="-9"/>
          <w:sz w:val="21"/>
          <w:szCs w:val="21"/>
        </w:rPr>
        <w:t>、疫木择伐清理检查：包含疫木清理和除害处理情况，除治区枯死、</w:t>
      </w:r>
      <w:r>
        <w:rPr>
          <w:rFonts w:hint="eastAsia" w:ascii="宋体" w:hAnsi="宋体" w:eastAsia="宋体" w:cs="宋体"/>
          <w:color w:val="auto"/>
          <w:spacing w:val="-7"/>
          <w:sz w:val="21"/>
          <w:szCs w:val="21"/>
        </w:rPr>
        <w:t>濒死松树情况，伐桩处理和枝桠清理情况，疫木粉碎</w:t>
      </w:r>
      <w:r>
        <w:rPr>
          <w:rFonts w:hint="eastAsia" w:ascii="宋体" w:hAnsi="宋体" w:eastAsia="宋体" w:cs="宋体"/>
          <w:color w:val="auto"/>
          <w:spacing w:val="-3"/>
          <w:sz w:val="21"/>
          <w:szCs w:val="21"/>
        </w:rPr>
        <w:t>（</w:t>
      </w:r>
      <w:r>
        <w:rPr>
          <w:rFonts w:hint="eastAsia" w:ascii="宋体" w:hAnsi="宋体" w:eastAsia="宋体" w:cs="宋体"/>
          <w:color w:val="auto"/>
          <w:spacing w:val="-2"/>
          <w:sz w:val="21"/>
          <w:szCs w:val="21"/>
        </w:rPr>
        <w:t>削片</w:t>
      </w:r>
      <w:r>
        <w:rPr>
          <w:rFonts w:hint="eastAsia" w:ascii="宋体" w:hAnsi="宋体" w:eastAsia="宋体" w:cs="宋体"/>
          <w:color w:val="auto"/>
          <w:spacing w:val="-15"/>
          <w:sz w:val="21"/>
          <w:szCs w:val="21"/>
        </w:rPr>
        <w:t>）</w:t>
      </w:r>
      <w:r>
        <w:rPr>
          <w:rFonts w:hint="eastAsia" w:ascii="宋体" w:hAnsi="宋体" w:eastAsia="宋体" w:cs="宋体"/>
          <w:color w:val="auto"/>
          <w:spacing w:val="-2"/>
          <w:sz w:val="21"/>
          <w:szCs w:val="21"/>
        </w:rPr>
        <w:t>或者烧毁情况等。</w:t>
      </w:r>
    </w:p>
    <w:p w14:paraId="37A62693">
      <w:pPr>
        <w:pStyle w:val="10"/>
        <w:pageBreakBefore w:val="0"/>
        <w:widowControl/>
        <w:kinsoku/>
        <w:wordWrap/>
        <w:overflowPunct/>
        <w:topLinePunct w:val="0"/>
        <w:autoSpaceDE/>
        <w:autoSpaceDN/>
        <w:bidi w:val="0"/>
        <w:adjustRightInd w:val="0"/>
        <w:snapToGrid w:val="0"/>
        <w:spacing w:after="0" w:line="417" w:lineRule="auto"/>
        <w:ind w:left="0" w:right="0" w:firstLine="559"/>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3、各乡镇人民政府、县林业局对疫情发生林分及周边的居民家中、房前屋后进行排查发现的疫木通知绩效承包商后是否按要求清理。</w:t>
      </w:r>
    </w:p>
    <w:p w14:paraId="31255CF0">
      <w:pPr>
        <w:pStyle w:val="10"/>
        <w:pageBreakBefore w:val="0"/>
        <w:widowControl/>
        <w:kinsoku/>
        <w:wordWrap/>
        <w:overflowPunct/>
        <w:topLinePunct w:val="0"/>
        <w:autoSpaceDE/>
        <w:autoSpaceDN/>
        <w:bidi w:val="0"/>
        <w:adjustRightInd w:val="0"/>
        <w:snapToGrid w:val="0"/>
        <w:spacing w:after="0" w:line="417" w:lineRule="auto"/>
        <w:ind w:left="0" w:right="0" w:firstLine="559"/>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4、对绩效承包商上报桂林市全州县进行除治小班的数量抽样数按绩效承包商上报除治的枯死疫木小班总数的 2024 年 10%；2025 年 15%；2026年 20%进行抽取（不足 5 个的全抽）。</w:t>
      </w:r>
    </w:p>
    <w:p w14:paraId="730F331F">
      <w:pPr>
        <w:pStyle w:val="10"/>
        <w:pageBreakBefore w:val="0"/>
        <w:widowControl/>
        <w:kinsoku/>
        <w:wordWrap/>
        <w:overflowPunct/>
        <w:topLinePunct w:val="0"/>
        <w:autoSpaceDE/>
        <w:autoSpaceDN/>
        <w:bidi w:val="0"/>
        <w:adjustRightInd w:val="0"/>
        <w:snapToGrid w:val="0"/>
        <w:spacing w:after="0" w:line="417" w:lineRule="auto"/>
        <w:ind w:left="0" w:right="0" w:firstLine="559"/>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r>
        <w:rPr>
          <w:rFonts w:hint="eastAsia" w:ascii="宋体" w:hAnsi="宋体" w:eastAsia="宋体" w:cs="宋体"/>
          <w:color w:val="auto"/>
          <w:spacing w:val="-7"/>
          <w:sz w:val="21"/>
          <w:szCs w:val="21"/>
        </w:rPr>
        <w:t xml:space="preserve">、其他小班数量抽样数其他小班总数的 </w:t>
      </w:r>
      <w:r>
        <w:rPr>
          <w:rFonts w:hint="eastAsia" w:ascii="宋体" w:hAnsi="宋体" w:eastAsia="宋体" w:cs="宋体"/>
          <w:color w:val="auto"/>
          <w:sz w:val="21"/>
          <w:szCs w:val="21"/>
        </w:rPr>
        <w:t>1%-5%</w:t>
      </w:r>
      <w:r>
        <w:rPr>
          <w:rFonts w:hint="eastAsia" w:ascii="宋体" w:hAnsi="宋体" w:eastAsia="宋体" w:cs="宋体"/>
          <w:color w:val="auto"/>
          <w:spacing w:val="-1"/>
          <w:sz w:val="21"/>
          <w:szCs w:val="21"/>
        </w:rPr>
        <w:t>进行抽取</w:t>
      </w:r>
      <w:r>
        <w:rPr>
          <w:rFonts w:hint="eastAsia" w:ascii="宋体" w:hAnsi="宋体" w:eastAsia="宋体" w:cs="宋体"/>
          <w:color w:val="auto"/>
          <w:sz w:val="21"/>
          <w:szCs w:val="21"/>
        </w:rPr>
        <w:t>（</w:t>
      </w:r>
      <w:r>
        <w:rPr>
          <w:rFonts w:hint="eastAsia" w:ascii="宋体" w:hAnsi="宋体" w:eastAsia="宋体" w:cs="宋体"/>
          <w:color w:val="auto"/>
          <w:spacing w:val="-24"/>
          <w:sz w:val="21"/>
          <w:szCs w:val="21"/>
        </w:rPr>
        <w:t xml:space="preserve">不足 </w:t>
      </w:r>
      <w:r>
        <w:rPr>
          <w:rFonts w:hint="eastAsia" w:ascii="宋体" w:hAnsi="宋体" w:eastAsia="宋体" w:cs="宋体"/>
          <w:color w:val="auto"/>
          <w:sz w:val="21"/>
          <w:szCs w:val="21"/>
        </w:rPr>
        <w:t>5 个</w:t>
      </w:r>
      <w:r>
        <w:rPr>
          <w:rFonts w:hint="eastAsia" w:ascii="宋体" w:hAnsi="宋体" w:eastAsia="宋体" w:cs="宋体"/>
          <w:color w:val="auto"/>
          <w:spacing w:val="-2"/>
          <w:sz w:val="21"/>
          <w:szCs w:val="21"/>
        </w:rPr>
        <w:t>的全抽</w:t>
      </w:r>
      <w:r>
        <w:rPr>
          <w:rFonts w:hint="eastAsia" w:ascii="宋体" w:hAnsi="宋体" w:eastAsia="宋体" w:cs="宋体"/>
          <w:color w:val="auto"/>
          <w:sz w:val="21"/>
          <w:szCs w:val="21"/>
        </w:rPr>
        <w:t>）。</w:t>
      </w:r>
    </w:p>
    <w:p w14:paraId="2ADEE17B">
      <w:pPr>
        <w:pStyle w:val="10"/>
        <w:pageBreakBefore w:val="0"/>
        <w:widowControl/>
        <w:kinsoku/>
        <w:wordWrap/>
        <w:overflowPunct/>
        <w:topLinePunct w:val="0"/>
        <w:autoSpaceDE/>
        <w:autoSpaceDN/>
        <w:bidi w:val="0"/>
        <w:adjustRightInd w:val="0"/>
        <w:snapToGrid w:val="0"/>
        <w:spacing w:after="0" w:line="405" w:lineRule="auto"/>
        <w:ind w:left="0" w:right="0" w:firstLine="559"/>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6、疫木清理抽样数：在抽取的小班里，按择伐小班疫木清理总株数的 10%-20%抽取（不足 5 株的全抽，最多抽 20 株）。</w:t>
      </w:r>
    </w:p>
    <w:p w14:paraId="7BC79F98">
      <w:pPr>
        <w:pStyle w:val="4"/>
        <w:pageBreakBefore w:val="0"/>
        <w:widowControl/>
        <w:numPr>
          <w:ilvl w:val="0"/>
          <w:numId w:val="0"/>
        </w:numPr>
        <w:tabs>
          <w:tab w:val="left" w:pos="1241"/>
        </w:tabs>
        <w:kinsoku/>
        <w:wordWrap/>
        <w:overflowPunct/>
        <w:topLinePunct w:val="0"/>
        <w:autoSpaceDE/>
        <w:autoSpaceDN/>
        <w:bidi w:val="0"/>
        <w:adjustRightInd w:val="0"/>
        <w:snapToGrid w:val="0"/>
        <w:spacing w:after="0" w:line="240" w:lineRule="auto"/>
        <w:ind w:left="-560" w:leftChars="0" w:right="0" w:rightChars="0" w:firstLine="632" w:firstLineChars="300"/>
        <w:jc w:val="left"/>
        <w:textAlignment w:val="auto"/>
        <w:rPr>
          <w:rFonts w:hint="eastAsia" w:ascii="宋体" w:hAnsi="宋体" w:eastAsia="宋体" w:cs="宋体"/>
          <w:color w:val="auto"/>
          <w:sz w:val="21"/>
          <w:szCs w:val="21"/>
        </w:rPr>
      </w:pPr>
      <w:bookmarkStart w:id="39" w:name="7.6 扣罚标准"/>
      <w:bookmarkEnd w:id="39"/>
      <w:bookmarkStart w:id="40" w:name="_bookmark27"/>
      <w:bookmarkEnd w:id="40"/>
      <w:bookmarkStart w:id="41" w:name="_bookmark27"/>
      <w:bookmarkEnd w:id="41"/>
      <w:r>
        <w:rPr>
          <w:rFonts w:hint="eastAsia" w:cs="宋体"/>
          <w:color w:val="auto"/>
          <w:sz w:val="21"/>
          <w:szCs w:val="21"/>
          <w:lang w:val="en-US" w:eastAsia="zh-CN"/>
        </w:rPr>
        <w:t>8、</w:t>
      </w:r>
      <w:r>
        <w:rPr>
          <w:rFonts w:hint="eastAsia" w:ascii="宋体" w:hAnsi="宋体" w:eastAsia="宋体" w:cs="宋体"/>
          <w:color w:val="auto"/>
          <w:sz w:val="21"/>
          <w:szCs w:val="21"/>
        </w:rPr>
        <w:t>扣罚标准</w:t>
      </w:r>
    </w:p>
    <w:p w14:paraId="274A5E8F">
      <w:pPr>
        <w:pStyle w:val="10"/>
        <w:pageBreakBefore w:val="0"/>
        <w:widowControl/>
        <w:kinsoku/>
        <w:wordWrap/>
        <w:overflowPunct/>
        <w:topLinePunct w:val="0"/>
        <w:autoSpaceDE/>
        <w:autoSpaceDN/>
        <w:bidi w:val="0"/>
        <w:adjustRightInd w:val="0"/>
        <w:snapToGrid w:val="0"/>
        <w:spacing w:after="0"/>
        <w:ind w:left="0" w:right="0"/>
        <w:textAlignment w:val="auto"/>
        <w:rPr>
          <w:rFonts w:hint="eastAsia" w:ascii="宋体" w:hAnsi="宋体" w:eastAsia="宋体" w:cs="宋体"/>
          <w:b/>
          <w:color w:val="auto"/>
          <w:sz w:val="21"/>
          <w:szCs w:val="21"/>
        </w:rPr>
      </w:pPr>
    </w:p>
    <w:p w14:paraId="70D1501B">
      <w:pPr>
        <w:pStyle w:val="10"/>
        <w:pageBreakBefore w:val="0"/>
        <w:widowControl/>
        <w:kinsoku/>
        <w:wordWrap/>
        <w:overflowPunct/>
        <w:topLinePunct w:val="0"/>
        <w:autoSpaceDE/>
        <w:autoSpaceDN/>
        <w:bidi w:val="0"/>
        <w:adjustRightInd w:val="0"/>
        <w:snapToGrid w:val="0"/>
        <w:spacing w:after="0" w:line="417" w:lineRule="auto"/>
        <w:ind w:left="0" w:right="0" w:firstLine="559"/>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在各阶段施工期间，凡抽查评估与验收抽样，不达标、不合格情形均按比例计算扣罚金额。具体细则如下：</w:t>
      </w:r>
    </w:p>
    <w:p w14:paraId="61AB6948">
      <w:pPr>
        <w:tabs>
          <w:tab w:val="left" w:pos="1101"/>
        </w:tabs>
        <w:spacing w:before="90"/>
        <w:ind w:left="0" w:right="141" w:firstLine="0"/>
        <w:jc w:val="center"/>
        <w:rPr>
          <w:rFonts w:hint="eastAsia" w:ascii="宋体" w:hAnsi="宋体" w:eastAsia="宋体" w:cs="宋体"/>
          <w:b/>
          <w:color w:val="auto"/>
          <w:sz w:val="24"/>
        </w:rPr>
      </w:pPr>
      <w:r>
        <w:rPr>
          <w:rFonts w:hint="eastAsia" w:ascii="宋体" w:hAnsi="宋体" w:eastAsia="宋体" w:cs="宋体"/>
          <w:b/>
          <w:color w:val="auto"/>
          <w:sz w:val="24"/>
        </w:rPr>
        <w:t>全州县松材线虫病疫情防控绩效承包实施扣罚情况表</w:t>
      </w:r>
    </w:p>
    <w:p w14:paraId="665B1219">
      <w:pPr>
        <w:pStyle w:val="10"/>
        <w:spacing w:before="3"/>
        <w:ind w:left="0"/>
        <w:rPr>
          <w:rFonts w:hint="eastAsia" w:ascii="宋体" w:hAnsi="宋体" w:eastAsia="宋体" w:cs="宋体"/>
          <w:b/>
          <w:color w:val="auto"/>
          <w:sz w:val="6"/>
        </w:rPr>
      </w:pPr>
    </w:p>
    <w:tbl>
      <w:tblPr>
        <w:tblStyle w:val="19"/>
        <w:tblW w:w="0" w:type="auto"/>
        <w:tblInd w:w="5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5"/>
        <w:gridCol w:w="2934"/>
        <w:gridCol w:w="4178"/>
      </w:tblGrid>
      <w:tr w14:paraId="75702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965" w:type="dxa"/>
          </w:tcPr>
          <w:p w14:paraId="716DCD41">
            <w:pPr>
              <w:pStyle w:val="30"/>
              <w:spacing w:before="98"/>
              <w:ind w:left="328" w:right="321"/>
              <w:rPr>
                <w:rFonts w:hint="eastAsia" w:ascii="宋体" w:hAnsi="宋体" w:eastAsia="宋体" w:cs="宋体"/>
                <w:b/>
                <w:color w:val="auto"/>
                <w:sz w:val="21"/>
              </w:rPr>
            </w:pPr>
            <w:r>
              <w:rPr>
                <w:rFonts w:hint="eastAsia" w:ascii="宋体" w:hAnsi="宋体" w:eastAsia="宋体" w:cs="宋体"/>
                <w:b/>
                <w:color w:val="auto"/>
                <w:sz w:val="21"/>
              </w:rPr>
              <w:t>检查验收项目</w:t>
            </w:r>
          </w:p>
        </w:tc>
        <w:tc>
          <w:tcPr>
            <w:tcW w:w="2934" w:type="dxa"/>
          </w:tcPr>
          <w:p w14:paraId="34A0BDF9">
            <w:pPr>
              <w:pStyle w:val="30"/>
              <w:spacing w:before="98"/>
              <w:ind w:left="183" w:right="179"/>
              <w:rPr>
                <w:rFonts w:hint="eastAsia" w:ascii="宋体" w:hAnsi="宋体" w:eastAsia="宋体" w:cs="宋体"/>
                <w:b/>
                <w:color w:val="auto"/>
                <w:sz w:val="21"/>
              </w:rPr>
            </w:pPr>
            <w:r>
              <w:rPr>
                <w:rFonts w:hint="eastAsia" w:ascii="宋体" w:hAnsi="宋体" w:eastAsia="宋体" w:cs="宋体"/>
                <w:b/>
                <w:color w:val="auto"/>
                <w:sz w:val="21"/>
              </w:rPr>
              <w:t>不达标或违规情形</w:t>
            </w:r>
          </w:p>
        </w:tc>
        <w:tc>
          <w:tcPr>
            <w:tcW w:w="4178" w:type="dxa"/>
          </w:tcPr>
          <w:p w14:paraId="4AF330C5">
            <w:pPr>
              <w:pStyle w:val="30"/>
              <w:spacing w:before="98"/>
              <w:ind w:left="1646" w:right="1638"/>
              <w:rPr>
                <w:rFonts w:hint="eastAsia" w:ascii="宋体" w:hAnsi="宋体" w:eastAsia="宋体" w:cs="宋体"/>
                <w:b/>
                <w:color w:val="auto"/>
                <w:sz w:val="21"/>
              </w:rPr>
            </w:pPr>
            <w:r>
              <w:rPr>
                <w:rFonts w:hint="eastAsia" w:ascii="宋体" w:hAnsi="宋体" w:eastAsia="宋体" w:cs="宋体"/>
                <w:b/>
                <w:color w:val="auto"/>
                <w:sz w:val="21"/>
              </w:rPr>
              <w:t>扣罚金额</w:t>
            </w:r>
          </w:p>
        </w:tc>
      </w:tr>
      <w:tr w14:paraId="43F46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restart"/>
          </w:tcPr>
          <w:p w14:paraId="012365A2">
            <w:pPr>
              <w:pStyle w:val="30"/>
              <w:ind w:left="0"/>
              <w:jc w:val="left"/>
              <w:rPr>
                <w:rFonts w:hint="eastAsia" w:ascii="宋体" w:hAnsi="宋体" w:eastAsia="宋体" w:cs="宋体"/>
                <w:b/>
                <w:color w:val="auto"/>
                <w:sz w:val="20"/>
              </w:rPr>
            </w:pPr>
          </w:p>
          <w:p w14:paraId="1AB4B232">
            <w:pPr>
              <w:pStyle w:val="30"/>
              <w:spacing w:before="7"/>
              <w:ind w:left="0"/>
              <w:jc w:val="left"/>
              <w:rPr>
                <w:rFonts w:hint="eastAsia" w:ascii="宋体" w:hAnsi="宋体" w:eastAsia="宋体" w:cs="宋体"/>
                <w:b/>
                <w:color w:val="auto"/>
                <w:sz w:val="27"/>
              </w:rPr>
            </w:pPr>
          </w:p>
          <w:p w14:paraId="7B69D694">
            <w:pPr>
              <w:pStyle w:val="30"/>
              <w:ind w:left="561"/>
              <w:jc w:val="left"/>
              <w:rPr>
                <w:rFonts w:hint="eastAsia" w:ascii="宋体" w:hAnsi="宋体" w:eastAsia="宋体" w:cs="宋体"/>
                <w:color w:val="auto"/>
                <w:sz w:val="21"/>
              </w:rPr>
            </w:pPr>
            <w:r>
              <w:rPr>
                <w:rFonts w:hint="eastAsia" w:ascii="宋体" w:hAnsi="宋体" w:eastAsia="宋体" w:cs="宋体"/>
                <w:color w:val="auto"/>
                <w:sz w:val="21"/>
              </w:rPr>
              <w:t>安全生产</w:t>
            </w:r>
          </w:p>
        </w:tc>
        <w:tc>
          <w:tcPr>
            <w:tcW w:w="2934" w:type="dxa"/>
          </w:tcPr>
          <w:p w14:paraId="5038052B">
            <w:pPr>
              <w:pStyle w:val="30"/>
              <w:spacing w:before="69" w:line="261" w:lineRule="exact"/>
              <w:ind w:left="185" w:right="179"/>
              <w:rPr>
                <w:rFonts w:hint="eastAsia" w:ascii="宋体" w:hAnsi="宋体" w:eastAsia="宋体" w:cs="宋体"/>
                <w:color w:val="auto"/>
                <w:sz w:val="21"/>
              </w:rPr>
            </w:pPr>
            <w:r>
              <w:rPr>
                <w:rFonts w:hint="eastAsia" w:ascii="宋体" w:hAnsi="宋体" w:eastAsia="宋体" w:cs="宋体"/>
                <w:color w:val="auto"/>
                <w:sz w:val="21"/>
              </w:rPr>
              <w:t>人员与备案不符合</w:t>
            </w:r>
          </w:p>
        </w:tc>
        <w:tc>
          <w:tcPr>
            <w:tcW w:w="4178" w:type="dxa"/>
          </w:tcPr>
          <w:p w14:paraId="42231141">
            <w:pPr>
              <w:pStyle w:val="30"/>
              <w:spacing w:before="69" w:line="261" w:lineRule="exact"/>
              <w:ind w:left="106"/>
              <w:jc w:val="left"/>
              <w:rPr>
                <w:rFonts w:hint="eastAsia" w:ascii="宋体" w:hAnsi="宋体" w:eastAsia="宋体" w:cs="宋体"/>
                <w:color w:val="auto"/>
                <w:sz w:val="21"/>
              </w:rPr>
            </w:pPr>
            <w:r>
              <w:rPr>
                <w:rFonts w:hint="eastAsia" w:ascii="宋体" w:hAnsi="宋体" w:eastAsia="宋体" w:cs="宋体"/>
                <w:color w:val="auto"/>
                <w:sz w:val="21"/>
              </w:rPr>
              <w:t>每例扣罚 1000 元，累加。</w:t>
            </w:r>
          </w:p>
        </w:tc>
      </w:tr>
      <w:tr w14:paraId="07615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continue"/>
            <w:tcBorders>
              <w:top w:val="nil"/>
            </w:tcBorders>
          </w:tcPr>
          <w:p w14:paraId="36A8CCF0">
            <w:pPr>
              <w:rPr>
                <w:rFonts w:hint="eastAsia" w:ascii="宋体" w:hAnsi="宋体" w:eastAsia="宋体" w:cs="宋体"/>
                <w:color w:val="auto"/>
                <w:sz w:val="2"/>
                <w:szCs w:val="2"/>
              </w:rPr>
            </w:pPr>
          </w:p>
        </w:tc>
        <w:tc>
          <w:tcPr>
            <w:tcW w:w="2934" w:type="dxa"/>
          </w:tcPr>
          <w:p w14:paraId="678CDD59">
            <w:pPr>
              <w:pStyle w:val="30"/>
              <w:spacing w:before="69" w:line="261" w:lineRule="exact"/>
              <w:ind w:left="185" w:right="176"/>
              <w:rPr>
                <w:rFonts w:hint="eastAsia" w:ascii="宋体" w:hAnsi="宋体" w:eastAsia="宋体" w:cs="宋体"/>
                <w:color w:val="auto"/>
                <w:sz w:val="21"/>
              </w:rPr>
            </w:pPr>
            <w:r>
              <w:rPr>
                <w:rFonts w:hint="eastAsia" w:ascii="宋体" w:hAnsi="宋体" w:eastAsia="宋体" w:cs="宋体"/>
                <w:color w:val="auto"/>
                <w:sz w:val="21"/>
              </w:rPr>
              <w:t>无有效砍伐险</w:t>
            </w:r>
          </w:p>
        </w:tc>
        <w:tc>
          <w:tcPr>
            <w:tcW w:w="4178" w:type="dxa"/>
          </w:tcPr>
          <w:p w14:paraId="1BF0046D">
            <w:pPr>
              <w:pStyle w:val="30"/>
              <w:spacing w:before="69" w:line="261" w:lineRule="exact"/>
              <w:ind w:left="106"/>
              <w:jc w:val="left"/>
              <w:rPr>
                <w:rFonts w:hint="eastAsia" w:ascii="宋体" w:hAnsi="宋体" w:eastAsia="宋体" w:cs="宋体"/>
                <w:color w:val="auto"/>
                <w:sz w:val="21"/>
              </w:rPr>
            </w:pPr>
            <w:r>
              <w:rPr>
                <w:rFonts w:hint="eastAsia" w:ascii="宋体" w:hAnsi="宋体" w:eastAsia="宋体" w:cs="宋体"/>
                <w:color w:val="auto"/>
                <w:sz w:val="21"/>
              </w:rPr>
              <w:t>每例扣罚 1000 元，累加。</w:t>
            </w:r>
          </w:p>
        </w:tc>
      </w:tr>
      <w:tr w14:paraId="513F2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continue"/>
            <w:tcBorders>
              <w:top w:val="nil"/>
            </w:tcBorders>
          </w:tcPr>
          <w:p w14:paraId="2AFA39F4">
            <w:pPr>
              <w:rPr>
                <w:rFonts w:hint="eastAsia" w:ascii="宋体" w:hAnsi="宋体" w:eastAsia="宋体" w:cs="宋体"/>
                <w:color w:val="auto"/>
                <w:sz w:val="2"/>
                <w:szCs w:val="2"/>
              </w:rPr>
            </w:pPr>
          </w:p>
        </w:tc>
        <w:tc>
          <w:tcPr>
            <w:tcW w:w="2934" w:type="dxa"/>
          </w:tcPr>
          <w:p w14:paraId="6886C552">
            <w:pPr>
              <w:pStyle w:val="30"/>
              <w:spacing w:before="69" w:line="261" w:lineRule="exact"/>
              <w:ind w:left="185" w:right="176"/>
              <w:rPr>
                <w:rFonts w:hint="eastAsia" w:ascii="宋体" w:hAnsi="宋体" w:eastAsia="宋体" w:cs="宋体"/>
                <w:color w:val="auto"/>
                <w:sz w:val="21"/>
              </w:rPr>
            </w:pPr>
            <w:r>
              <w:rPr>
                <w:rFonts w:hint="eastAsia" w:ascii="宋体" w:hAnsi="宋体" w:eastAsia="宋体" w:cs="宋体"/>
                <w:color w:val="auto"/>
                <w:sz w:val="21"/>
              </w:rPr>
              <w:t>安全措施不达标</w:t>
            </w:r>
          </w:p>
        </w:tc>
        <w:tc>
          <w:tcPr>
            <w:tcW w:w="4178" w:type="dxa"/>
          </w:tcPr>
          <w:p w14:paraId="3A4C329F">
            <w:pPr>
              <w:pStyle w:val="30"/>
              <w:spacing w:before="69" w:line="261" w:lineRule="exact"/>
              <w:ind w:left="106"/>
              <w:jc w:val="left"/>
              <w:rPr>
                <w:rFonts w:hint="eastAsia" w:ascii="宋体" w:hAnsi="宋体" w:eastAsia="宋体" w:cs="宋体"/>
                <w:color w:val="auto"/>
                <w:sz w:val="21"/>
              </w:rPr>
            </w:pPr>
            <w:r>
              <w:rPr>
                <w:rFonts w:hint="eastAsia" w:ascii="宋体" w:hAnsi="宋体" w:eastAsia="宋体" w:cs="宋体"/>
                <w:color w:val="auto"/>
                <w:sz w:val="21"/>
              </w:rPr>
              <w:t>每项扣罚 2000 元，累加。</w:t>
            </w:r>
          </w:p>
        </w:tc>
      </w:tr>
      <w:tr w14:paraId="5B37D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continue"/>
            <w:tcBorders>
              <w:top w:val="nil"/>
            </w:tcBorders>
          </w:tcPr>
          <w:p w14:paraId="21609FD9">
            <w:pPr>
              <w:rPr>
                <w:rFonts w:hint="eastAsia" w:ascii="宋体" w:hAnsi="宋体" w:eastAsia="宋体" w:cs="宋体"/>
                <w:color w:val="auto"/>
                <w:sz w:val="2"/>
                <w:szCs w:val="2"/>
              </w:rPr>
            </w:pPr>
          </w:p>
        </w:tc>
        <w:tc>
          <w:tcPr>
            <w:tcW w:w="2934" w:type="dxa"/>
          </w:tcPr>
          <w:p w14:paraId="43F48677">
            <w:pPr>
              <w:pStyle w:val="30"/>
              <w:spacing w:before="69" w:line="261" w:lineRule="exact"/>
              <w:ind w:left="185" w:right="176"/>
              <w:rPr>
                <w:rFonts w:hint="eastAsia" w:ascii="宋体" w:hAnsi="宋体" w:eastAsia="宋体" w:cs="宋体"/>
                <w:color w:val="auto"/>
                <w:sz w:val="21"/>
              </w:rPr>
            </w:pPr>
            <w:r>
              <w:rPr>
                <w:rFonts w:hint="eastAsia" w:ascii="宋体" w:hAnsi="宋体" w:eastAsia="宋体" w:cs="宋体"/>
                <w:color w:val="auto"/>
                <w:sz w:val="21"/>
              </w:rPr>
              <w:t>提供虚假材料</w:t>
            </w:r>
          </w:p>
        </w:tc>
        <w:tc>
          <w:tcPr>
            <w:tcW w:w="4178" w:type="dxa"/>
          </w:tcPr>
          <w:p w14:paraId="3F4768F2">
            <w:pPr>
              <w:pStyle w:val="30"/>
              <w:spacing w:before="69" w:line="261" w:lineRule="exact"/>
              <w:ind w:left="932"/>
              <w:jc w:val="left"/>
              <w:rPr>
                <w:rFonts w:hint="eastAsia" w:ascii="宋体" w:hAnsi="宋体" w:eastAsia="宋体" w:cs="宋体"/>
                <w:color w:val="auto"/>
                <w:sz w:val="21"/>
              </w:rPr>
            </w:pPr>
            <w:r>
              <w:rPr>
                <w:rFonts w:hint="eastAsia" w:ascii="宋体" w:hAnsi="宋体" w:eastAsia="宋体" w:cs="宋体"/>
                <w:color w:val="auto"/>
                <w:sz w:val="21"/>
              </w:rPr>
              <w:t>每份扣罚 1 万元，累加。</w:t>
            </w:r>
          </w:p>
        </w:tc>
      </w:tr>
      <w:tr w14:paraId="7DD28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restart"/>
          </w:tcPr>
          <w:p w14:paraId="40AFE0B1">
            <w:pPr>
              <w:pStyle w:val="30"/>
              <w:ind w:left="0"/>
              <w:jc w:val="left"/>
              <w:rPr>
                <w:rFonts w:hint="eastAsia" w:ascii="宋体" w:hAnsi="宋体" w:eastAsia="宋体" w:cs="宋体"/>
                <w:b/>
                <w:color w:val="auto"/>
                <w:sz w:val="20"/>
              </w:rPr>
            </w:pPr>
          </w:p>
          <w:p w14:paraId="0161C4CA">
            <w:pPr>
              <w:pStyle w:val="30"/>
              <w:spacing w:before="173"/>
              <w:ind w:left="561"/>
              <w:jc w:val="left"/>
              <w:rPr>
                <w:rFonts w:hint="eastAsia" w:ascii="宋体" w:hAnsi="宋体" w:eastAsia="宋体" w:cs="宋体"/>
                <w:color w:val="auto"/>
                <w:sz w:val="21"/>
              </w:rPr>
            </w:pPr>
            <w:r>
              <w:rPr>
                <w:rFonts w:hint="eastAsia" w:ascii="宋体" w:hAnsi="宋体" w:eastAsia="宋体" w:cs="宋体"/>
                <w:color w:val="auto"/>
                <w:sz w:val="21"/>
              </w:rPr>
              <w:t>生产进度</w:t>
            </w:r>
          </w:p>
        </w:tc>
        <w:tc>
          <w:tcPr>
            <w:tcW w:w="2934" w:type="dxa"/>
          </w:tcPr>
          <w:p w14:paraId="5FD067EC">
            <w:pPr>
              <w:pStyle w:val="30"/>
              <w:spacing w:before="69" w:line="261" w:lineRule="exact"/>
              <w:ind w:left="185" w:right="178"/>
              <w:rPr>
                <w:rFonts w:hint="eastAsia" w:ascii="宋体" w:hAnsi="宋体" w:eastAsia="宋体" w:cs="宋体"/>
                <w:color w:val="auto"/>
                <w:sz w:val="21"/>
              </w:rPr>
            </w:pPr>
            <w:r>
              <w:rPr>
                <w:rFonts w:hint="eastAsia" w:ascii="宋体" w:hAnsi="宋体" w:eastAsia="宋体" w:cs="宋体"/>
                <w:color w:val="auto"/>
                <w:sz w:val="21"/>
              </w:rPr>
              <w:t>赶进度期间不足 50 人</w:t>
            </w:r>
          </w:p>
        </w:tc>
        <w:tc>
          <w:tcPr>
            <w:tcW w:w="4178" w:type="dxa"/>
          </w:tcPr>
          <w:p w14:paraId="5661817F">
            <w:pPr>
              <w:pStyle w:val="30"/>
              <w:spacing w:before="69" w:line="261" w:lineRule="exact"/>
              <w:ind w:left="106"/>
              <w:jc w:val="left"/>
              <w:rPr>
                <w:rFonts w:hint="eastAsia" w:ascii="宋体" w:hAnsi="宋体" w:eastAsia="宋体" w:cs="宋体"/>
                <w:color w:val="auto"/>
                <w:sz w:val="21"/>
              </w:rPr>
            </w:pPr>
            <w:r>
              <w:rPr>
                <w:rFonts w:hint="eastAsia" w:ascii="宋体" w:hAnsi="宋体" w:eastAsia="宋体" w:cs="宋体"/>
                <w:color w:val="auto"/>
                <w:sz w:val="21"/>
              </w:rPr>
              <w:t>每少 1 人每天扣罚 500 元，累加。</w:t>
            </w:r>
          </w:p>
        </w:tc>
      </w:tr>
      <w:tr w14:paraId="32DD8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continue"/>
            <w:tcBorders>
              <w:top w:val="nil"/>
            </w:tcBorders>
          </w:tcPr>
          <w:p w14:paraId="5F841B9E">
            <w:pPr>
              <w:rPr>
                <w:rFonts w:hint="eastAsia" w:ascii="宋体" w:hAnsi="宋体" w:eastAsia="宋体" w:cs="宋体"/>
                <w:color w:val="auto"/>
                <w:sz w:val="2"/>
                <w:szCs w:val="2"/>
              </w:rPr>
            </w:pPr>
          </w:p>
        </w:tc>
        <w:tc>
          <w:tcPr>
            <w:tcW w:w="2934" w:type="dxa"/>
          </w:tcPr>
          <w:p w14:paraId="69F7C659">
            <w:pPr>
              <w:pStyle w:val="30"/>
              <w:spacing w:before="69" w:line="261" w:lineRule="exact"/>
              <w:ind w:left="185" w:right="176"/>
              <w:rPr>
                <w:rFonts w:hint="eastAsia" w:ascii="宋体" w:hAnsi="宋体" w:eastAsia="宋体" w:cs="宋体"/>
                <w:color w:val="auto"/>
                <w:sz w:val="21"/>
              </w:rPr>
            </w:pPr>
            <w:r>
              <w:rPr>
                <w:rFonts w:hint="eastAsia" w:ascii="宋体" w:hAnsi="宋体" w:eastAsia="宋体" w:cs="宋体"/>
                <w:color w:val="auto"/>
                <w:sz w:val="21"/>
              </w:rPr>
              <w:t>未按时间要求除治完工</w:t>
            </w:r>
          </w:p>
        </w:tc>
        <w:tc>
          <w:tcPr>
            <w:tcW w:w="4178" w:type="dxa"/>
          </w:tcPr>
          <w:p w14:paraId="43946FD1">
            <w:pPr>
              <w:pStyle w:val="30"/>
              <w:spacing w:before="69" w:line="261" w:lineRule="exact"/>
              <w:ind w:left="106"/>
              <w:jc w:val="left"/>
              <w:rPr>
                <w:rFonts w:hint="eastAsia" w:ascii="宋体" w:hAnsi="宋体" w:eastAsia="宋体" w:cs="宋体"/>
                <w:color w:val="auto"/>
                <w:sz w:val="21"/>
              </w:rPr>
            </w:pPr>
            <w:r>
              <w:rPr>
                <w:rFonts w:hint="eastAsia" w:ascii="宋体" w:hAnsi="宋体" w:eastAsia="宋体" w:cs="宋体"/>
                <w:color w:val="auto"/>
                <w:sz w:val="21"/>
              </w:rPr>
              <w:t>每天扣罚 5000 元，累加。</w:t>
            </w:r>
          </w:p>
        </w:tc>
      </w:tr>
      <w:tr w14:paraId="26821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continue"/>
            <w:tcBorders>
              <w:top w:val="nil"/>
              <w:bottom w:val="single" w:color="auto" w:sz="4" w:space="0"/>
            </w:tcBorders>
          </w:tcPr>
          <w:p w14:paraId="4F8AC43E">
            <w:pPr>
              <w:rPr>
                <w:rFonts w:hint="eastAsia" w:ascii="宋体" w:hAnsi="宋体" w:eastAsia="宋体" w:cs="宋体"/>
                <w:color w:val="auto"/>
                <w:sz w:val="2"/>
                <w:szCs w:val="2"/>
              </w:rPr>
            </w:pPr>
          </w:p>
        </w:tc>
        <w:tc>
          <w:tcPr>
            <w:tcW w:w="2934" w:type="dxa"/>
            <w:tcBorders>
              <w:bottom w:val="single" w:color="auto" w:sz="4" w:space="0"/>
            </w:tcBorders>
          </w:tcPr>
          <w:p w14:paraId="2F1149F5">
            <w:pPr>
              <w:pStyle w:val="30"/>
              <w:spacing w:before="69" w:line="261" w:lineRule="exact"/>
              <w:ind w:left="185" w:right="176"/>
              <w:rPr>
                <w:rFonts w:hint="eastAsia" w:ascii="宋体" w:hAnsi="宋体" w:eastAsia="宋体" w:cs="宋体"/>
                <w:color w:val="auto"/>
                <w:sz w:val="21"/>
              </w:rPr>
            </w:pPr>
            <w:r>
              <w:rPr>
                <w:rFonts w:hint="eastAsia" w:ascii="宋体" w:hAnsi="宋体" w:eastAsia="宋体" w:cs="宋体"/>
                <w:color w:val="auto"/>
                <w:sz w:val="21"/>
              </w:rPr>
              <w:t>未经批准停工</w:t>
            </w:r>
          </w:p>
        </w:tc>
        <w:tc>
          <w:tcPr>
            <w:tcW w:w="4178" w:type="dxa"/>
            <w:tcBorders>
              <w:bottom w:val="single" w:color="auto" w:sz="4" w:space="0"/>
            </w:tcBorders>
          </w:tcPr>
          <w:p w14:paraId="5D2D83E8">
            <w:pPr>
              <w:pStyle w:val="30"/>
              <w:spacing w:before="69" w:line="261" w:lineRule="exact"/>
              <w:ind w:left="106"/>
              <w:jc w:val="left"/>
              <w:rPr>
                <w:rFonts w:hint="eastAsia" w:ascii="宋体" w:hAnsi="宋体" w:eastAsia="宋体" w:cs="宋体"/>
                <w:color w:val="auto"/>
                <w:sz w:val="21"/>
              </w:rPr>
            </w:pPr>
            <w:r>
              <w:rPr>
                <w:rFonts w:hint="eastAsia" w:ascii="宋体" w:hAnsi="宋体" w:eastAsia="宋体" w:cs="宋体"/>
                <w:color w:val="auto"/>
                <w:sz w:val="21"/>
              </w:rPr>
              <w:t>每天扣罚 5000 元，累加。</w:t>
            </w:r>
          </w:p>
        </w:tc>
      </w:tr>
      <w:tr w14:paraId="236BC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restart"/>
            <w:tcBorders>
              <w:top w:val="single" w:color="auto" w:sz="4" w:space="0"/>
              <w:left w:val="single" w:color="auto" w:sz="4" w:space="0"/>
              <w:bottom w:val="single" w:color="auto" w:sz="4" w:space="0"/>
            </w:tcBorders>
          </w:tcPr>
          <w:p w14:paraId="0DC2A57C">
            <w:pPr>
              <w:pStyle w:val="30"/>
              <w:spacing w:line="312" w:lineRule="auto"/>
              <w:ind w:left="106" w:right="70" w:hanging="29"/>
              <w:rPr>
                <w:rFonts w:hint="eastAsia" w:ascii="宋体" w:hAnsi="宋体" w:eastAsia="宋体" w:cs="宋体"/>
                <w:color w:val="auto"/>
                <w:spacing w:val="-10"/>
                <w:sz w:val="21"/>
              </w:rPr>
            </w:pPr>
          </w:p>
          <w:p w14:paraId="6DCBADC1">
            <w:pPr>
              <w:pStyle w:val="30"/>
              <w:spacing w:line="312" w:lineRule="auto"/>
              <w:ind w:left="106" w:right="70" w:hanging="29"/>
              <w:rPr>
                <w:rFonts w:hint="eastAsia" w:ascii="宋体" w:hAnsi="宋体" w:eastAsia="宋体" w:cs="宋体"/>
                <w:color w:val="auto"/>
                <w:spacing w:val="-10"/>
                <w:sz w:val="21"/>
              </w:rPr>
            </w:pPr>
          </w:p>
          <w:p w14:paraId="49C65DE8">
            <w:pPr>
              <w:pStyle w:val="30"/>
              <w:spacing w:line="312" w:lineRule="auto"/>
              <w:ind w:left="106" w:right="70" w:hanging="29"/>
              <w:rPr>
                <w:rFonts w:hint="eastAsia" w:ascii="宋体" w:hAnsi="宋体" w:eastAsia="宋体" w:cs="宋体"/>
                <w:color w:val="auto"/>
                <w:spacing w:val="-10"/>
                <w:sz w:val="21"/>
              </w:rPr>
            </w:pPr>
          </w:p>
          <w:p w14:paraId="301D6B1C">
            <w:pPr>
              <w:pStyle w:val="30"/>
              <w:spacing w:line="312" w:lineRule="auto"/>
              <w:ind w:left="106" w:right="70" w:hanging="29"/>
              <w:rPr>
                <w:rFonts w:hint="eastAsia" w:ascii="宋体" w:hAnsi="宋体" w:eastAsia="宋体" w:cs="宋体"/>
                <w:color w:val="auto"/>
                <w:spacing w:val="-10"/>
                <w:sz w:val="21"/>
              </w:rPr>
            </w:pPr>
            <w:r>
              <w:rPr>
                <w:rFonts w:hint="eastAsia" w:ascii="宋体" w:hAnsi="宋体" w:eastAsia="宋体" w:cs="宋体"/>
                <w:color w:val="auto"/>
                <w:spacing w:val="-10"/>
                <w:sz w:val="21"/>
              </w:rPr>
              <w:t>伐桩处理</w:t>
            </w:r>
          </w:p>
        </w:tc>
        <w:tc>
          <w:tcPr>
            <w:tcW w:w="2934" w:type="dxa"/>
            <w:tcBorders>
              <w:top w:val="single" w:color="auto" w:sz="4" w:space="0"/>
              <w:bottom w:val="single" w:color="auto" w:sz="4" w:space="0"/>
            </w:tcBorders>
            <w:vAlign w:val="center"/>
          </w:tcPr>
          <w:p w14:paraId="334077CD">
            <w:pPr>
              <w:pStyle w:val="30"/>
              <w:spacing w:before="69" w:line="261" w:lineRule="exact"/>
              <w:ind w:left="185" w:right="179"/>
              <w:rPr>
                <w:rFonts w:hint="eastAsia" w:ascii="宋体" w:hAnsi="宋体" w:eastAsia="宋体" w:cs="宋体"/>
                <w:color w:val="auto"/>
                <w:sz w:val="21"/>
              </w:rPr>
            </w:pPr>
            <w:r>
              <w:rPr>
                <w:rFonts w:hint="eastAsia" w:ascii="宋体" w:hAnsi="宋体" w:eastAsia="宋体" w:cs="宋体"/>
                <w:color w:val="auto"/>
                <w:sz w:val="21"/>
              </w:rPr>
              <w:t>高于 5cm</w:t>
            </w:r>
          </w:p>
        </w:tc>
        <w:tc>
          <w:tcPr>
            <w:tcW w:w="4178" w:type="dxa"/>
            <w:vMerge w:val="restart"/>
            <w:tcBorders>
              <w:top w:val="single" w:color="auto" w:sz="4" w:space="0"/>
              <w:bottom w:val="single" w:color="auto" w:sz="4" w:space="0"/>
              <w:right w:val="single" w:color="auto" w:sz="4" w:space="0"/>
            </w:tcBorders>
          </w:tcPr>
          <w:p w14:paraId="681CE4B0">
            <w:pPr>
              <w:pStyle w:val="30"/>
              <w:spacing w:line="312" w:lineRule="auto"/>
              <w:ind w:left="106" w:right="70" w:hanging="29"/>
              <w:rPr>
                <w:rFonts w:hint="eastAsia" w:ascii="宋体" w:hAnsi="宋体" w:eastAsia="宋体" w:cs="宋体"/>
                <w:color w:val="auto"/>
                <w:spacing w:val="-10"/>
                <w:sz w:val="21"/>
              </w:rPr>
            </w:pPr>
          </w:p>
          <w:p w14:paraId="3AE9BCB6">
            <w:pPr>
              <w:pStyle w:val="30"/>
              <w:spacing w:line="312" w:lineRule="auto"/>
              <w:ind w:left="106" w:right="70" w:hanging="29"/>
              <w:rPr>
                <w:rFonts w:hint="eastAsia" w:ascii="宋体" w:hAnsi="宋体" w:eastAsia="宋体" w:cs="宋体"/>
                <w:color w:val="auto"/>
                <w:spacing w:val="-10"/>
                <w:sz w:val="21"/>
              </w:rPr>
            </w:pPr>
          </w:p>
          <w:p w14:paraId="1E991BAD">
            <w:pPr>
              <w:pStyle w:val="30"/>
              <w:spacing w:line="312" w:lineRule="auto"/>
              <w:ind w:left="106" w:right="70" w:hanging="29"/>
              <w:rPr>
                <w:rFonts w:hint="eastAsia" w:ascii="宋体" w:hAnsi="宋体" w:eastAsia="宋体" w:cs="宋体"/>
                <w:color w:val="auto"/>
                <w:spacing w:val="-10"/>
                <w:sz w:val="21"/>
              </w:rPr>
            </w:pPr>
            <w:r>
              <w:rPr>
                <w:rFonts w:hint="eastAsia" w:ascii="宋体" w:hAnsi="宋体" w:eastAsia="宋体" w:cs="宋体"/>
                <w:color w:val="auto"/>
                <w:spacing w:val="-10"/>
                <w:sz w:val="21"/>
              </w:rPr>
              <w:t>具备情形之一，每株扣罚 500 元（2022 年版方案有规定的除外，单株多种情形不累加， 不同一株的累加）。</w:t>
            </w:r>
          </w:p>
        </w:tc>
      </w:tr>
      <w:tr w14:paraId="6F307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continue"/>
            <w:tcBorders>
              <w:top w:val="single" w:color="auto" w:sz="4" w:space="0"/>
              <w:left w:val="single" w:color="auto" w:sz="4" w:space="0"/>
            </w:tcBorders>
          </w:tcPr>
          <w:p w14:paraId="66A87CE3">
            <w:pPr>
              <w:pStyle w:val="30"/>
              <w:spacing w:line="312" w:lineRule="auto"/>
              <w:ind w:left="106" w:right="70" w:hanging="29"/>
              <w:rPr>
                <w:rFonts w:hint="eastAsia" w:ascii="宋体" w:hAnsi="宋体" w:eastAsia="宋体" w:cs="宋体"/>
                <w:color w:val="auto"/>
                <w:spacing w:val="-10"/>
                <w:sz w:val="21"/>
              </w:rPr>
            </w:pPr>
          </w:p>
        </w:tc>
        <w:tc>
          <w:tcPr>
            <w:tcW w:w="2934" w:type="dxa"/>
            <w:tcBorders>
              <w:top w:val="single" w:color="auto" w:sz="4" w:space="0"/>
            </w:tcBorders>
            <w:vAlign w:val="center"/>
          </w:tcPr>
          <w:p w14:paraId="4472E589">
            <w:pPr>
              <w:pStyle w:val="30"/>
              <w:spacing w:before="69" w:line="261" w:lineRule="exact"/>
              <w:ind w:left="185" w:right="179"/>
              <w:rPr>
                <w:rFonts w:hint="eastAsia" w:ascii="宋体" w:hAnsi="宋体" w:eastAsia="宋体" w:cs="宋体"/>
                <w:color w:val="auto"/>
                <w:sz w:val="21"/>
              </w:rPr>
            </w:pPr>
            <w:r>
              <w:rPr>
                <w:rFonts w:hint="eastAsia" w:ascii="宋体" w:hAnsi="宋体" w:eastAsia="宋体" w:cs="宋体"/>
                <w:color w:val="auto"/>
                <w:sz w:val="21"/>
              </w:rPr>
              <w:t>施药不合格</w:t>
            </w:r>
          </w:p>
        </w:tc>
        <w:tc>
          <w:tcPr>
            <w:tcW w:w="4178" w:type="dxa"/>
            <w:vMerge w:val="continue"/>
            <w:tcBorders>
              <w:top w:val="single" w:color="auto" w:sz="4" w:space="0"/>
              <w:right w:val="single" w:color="auto" w:sz="4" w:space="0"/>
            </w:tcBorders>
          </w:tcPr>
          <w:p w14:paraId="777B17E0">
            <w:pPr>
              <w:pStyle w:val="30"/>
              <w:spacing w:line="312" w:lineRule="auto"/>
              <w:ind w:left="106" w:right="70" w:hanging="29"/>
              <w:rPr>
                <w:rFonts w:hint="eastAsia" w:ascii="宋体" w:hAnsi="宋体" w:eastAsia="宋体" w:cs="宋体"/>
                <w:color w:val="auto"/>
                <w:spacing w:val="-10"/>
                <w:sz w:val="21"/>
              </w:rPr>
            </w:pPr>
          </w:p>
        </w:tc>
      </w:tr>
      <w:tr w14:paraId="41348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continue"/>
            <w:tcBorders>
              <w:top w:val="nil"/>
              <w:left w:val="single" w:color="auto" w:sz="4" w:space="0"/>
            </w:tcBorders>
          </w:tcPr>
          <w:p w14:paraId="2BE863EB">
            <w:pPr>
              <w:rPr>
                <w:rFonts w:hint="eastAsia" w:ascii="宋体" w:hAnsi="宋体" w:eastAsia="宋体" w:cs="宋体"/>
                <w:color w:val="auto"/>
                <w:sz w:val="2"/>
                <w:szCs w:val="2"/>
              </w:rPr>
            </w:pPr>
          </w:p>
        </w:tc>
        <w:tc>
          <w:tcPr>
            <w:tcW w:w="2934" w:type="dxa"/>
          </w:tcPr>
          <w:p w14:paraId="0BD7563B">
            <w:pPr>
              <w:pStyle w:val="30"/>
              <w:spacing w:before="69" w:line="261" w:lineRule="exact"/>
              <w:ind w:left="185" w:right="179"/>
              <w:rPr>
                <w:rFonts w:hint="eastAsia" w:ascii="宋体" w:hAnsi="宋体" w:eastAsia="宋体" w:cs="宋体"/>
                <w:color w:val="auto"/>
                <w:sz w:val="21"/>
              </w:rPr>
            </w:pPr>
            <w:r>
              <w:rPr>
                <w:rFonts w:hint="eastAsia" w:ascii="宋体" w:hAnsi="宋体" w:eastAsia="宋体" w:cs="宋体"/>
                <w:color w:val="auto"/>
                <w:sz w:val="21"/>
              </w:rPr>
              <w:t>盖膜不合格</w:t>
            </w:r>
          </w:p>
        </w:tc>
        <w:tc>
          <w:tcPr>
            <w:tcW w:w="4178" w:type="dxa"/>
            <w:vMerge w:val="continue"/>
            <w:tcBorders>
              <w:top w:val="nil"/>
              <w:right w:val="single" w:color="auto" w:sz="4" w:space="0"/>
            </w:tcBorders>
          </w:tcPr>
          <w:p w14:paraId="11E43335">
            <w:pPr>
              <w:rPr>
                <w:rFonts w:hint="eastAsia" w:ascii="宋体" w:hAnsi="宋体" w:eastAsia="宋体" w:cs="宋体"/>
                <w:color w:val="auto"/>
                <w:sz w:val="2"/>
                <w:szCs w:val="2"/>
              </w:rPr>
            </w:pPr>
          </w:p>
        </w:tc>
      </w:tr>
      <w:tr w14:paraId="3F789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continue"/>
            <w:tcBorders>
              <w:top w:val="nil"/>
              <w:left w:val="single" w:color="auto" w:sz="4" w:space="0"/>
            </w:tcBorders>
          </w:tcPr>
          <w:p w14:paraId="77316EE4">
            <w:pPr>
              <w:rPr>
                <w:rFonts w:hint="eastAsia" w:ascii="宋体" w:hAnsi="宋体" w:eastAsia="宋体" w:cs="宋体"/>
                <w:color w:val="auto"/>
                <w:sz w:val="2"/>
                <w:szCs w:val="2"/>
              </w:rPr>
            </w:pPr>
          </w:p>
        </w:tc>
        <w:tc>
          <w:tcPr>
            <w:tcW w:w="2934" w:type="dxa"/>
          </w:tcPr>
          <w:p w14:paraId="143BE7F2">
            <w:pPr>
              <w:pStyle w:val="30"/>
              <w:spacing w:before="69" w:line="261" w:lineRule="exact"/>
              <w:ind w:left="185" w:right="179"/>
              <w:rPr>
                <w:rFonts w:hint="eastAsia" w:ascii="宋体" w:hAnsi="宋体" w:eastAsia="宋体" w:cs="宋体"/>
                <w:color w:val="auto"/>
                <w:sz w:val="21"/>
              </w:rPr>
            </w:pPr>
            <w:r>
              <w:rPr>
                <w:rFonts w:hint="eastAsia" w:ascii="宋体" w:hAnsi="宋体" w:eastAsia="宋体" w:cs="宋体"/>
                <w:color w:val="auto"/>
                <w:sz w:val="21"/>
              </w:rPr>
              <w:t>覆土不合格</w:t>
            </w:r>
          </w:p>
        </w:tc>
        <w:tc>
          <w:tcPr>
            <w:tcW w:w="4178" w:type="dxa"/>
            <w:vMerge w:val="continue"/>
            <w:tcBorders>
              <w:top w:val="nil"/>
              <w:right w:val="single" w:color="auto" w:sz="4" w:space="0"/>
            </w:tcBorders>
          </w:tcPr>
          <w:p w14:paraId="74905C54">
            <w:pPr>
              <w:rPr>
                <w:rFonts w:hint="eastAsia" w:ascii="宋体" w:hAnsi="宋体" w:eastAsia="宋体" w:cs="宋体"/>
                <w:color w:val="auto"/>
                <w:sz w:val="2"/>
                <w:szCs w:val="2"/>
              </w:rPr>
            </w:pPr>
          </w:p>
        </w:tc>
      </w:tr>
      <w:tr w14:paraId="2204E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continue"/>
            <w:tcBorders>
              <w:top w:val="nil"/>
              <w:left w:val="single" w:color="auto" w:sz="4" w:space="0"/>
            </w:tcBorders>
          </w:tcPr>
          <w:p w14:paraId="723D5F64">
            <w:pPr>
              <w:rPr>
                <w:rFonts w:hint="eastAsia" w:ascii="宋体" w:hAnsi="宋体" w:eastAsia="宋体" w:cs="宋体"/>
                <w:color w:val="auto"/>
                <w:sz w:val="2"/>
                <w:szCs w:val="2"/>
              </w:rPr>
            </w:pPr>
          </w:p>
        </w:tc>
        <w:tc>
          <w:tcPr>
            <w:tcW w:w="2934" w:type="dxa"/>
          </w:tcPr>
          <w:p w14:paraId="6C012269">
            <w:pPr>
              <w:pStyle w:val="30"/>
              <w:spacing w:before="69" w:line="261" w:lineRule="exact"/>
              <w:ind w:left="185" w:right="179"/>
              <w:rPr>
                <w:rFonts w:hint="eastAsia" w:ascii="宋体" w:hAnsi="宋体" w:eastAsia="宋体" w:cs="宋体"/>
                <w:color w:val="auto"/>
                <w:sz w:val="21"/>
              </w:rPr>
            </w:pPr>
            <w:r>
              <w:rPr>
                <w:rFonts w:hint="eastAsia" w:ascii="宋体" w:hAnsi="宋体" w:eastAsia="宋体" w:cs="宋体"/>
                <w:color w:val="auto"/>
                <w:sz w:val="21"/>
              </w:rPr>
              <w:t>非当天处理</w:t>
            </w:r>
          </w:p>
        </w:tc>
        <w:tc>
          <w:tcPr>
            <w:tcW w:w="4178" w:type="dxa"/>
            <w:vMerge w:val="continue"/>
            <w:tcBorders>
              <w:top w:val="nil"/>
              <w:right w:val="single" w:color="auto" w:sz="4" w:space="0"/>
            </w:tcBorders>
          </w:tcPr>
          <w:p w14:paraId="3248FDB2">
            <w:pPr>
              <w:rPr>
                <w:rFonts w:hint="eastAsia" w:ascii="宋体" w:hAnsi="宋体" w:eastAsia="宋体" w:cs="宋体"/>
                <w:color w:val="auto"/>
                <w:sz w:val="2"/>
                <w:szCs w:val="2"/>
              </w:rPr>
            </w:pPr>
          </w:p>
        </w:tc>
      </w:tr>
      <w:tr w14:paraId="673BB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965" w:type="dxa"/>
            <w:vMerge w:val="restart"/>
          </w:tcPr>
          <w:p w14:paraId="203FDA66">
            <w:pPr>
              <w:pStyle w:val="30"/>
              <w:ind w:left="0"/>
              <w:jc w:val="left"/>
              <w:rPr>
                <w:rFonts w:hint="eastAsia" w:ascii="宋体" w:hAnsi="宋体" w:eastAsia="宋体" w:cs="宋体"/>
                <w:b/>
                <w:color w:val="auto"/>
                <w:sz w:val="20"/>
              </w:rPr>
            </w:pPr>
          </w:p>
          <w:p w14:paraId="65CE738D">
            <w:pPr>
              <w:pStyle w:val="30"/>
              <w:ind w:left="0"/>
              <w:jc w:val="left"/>
              <w:rPr>
                <w:rFonts w:hint="eastAsia" w:ascii="宋体" w:hAnsi="宋体" w:eastAsia="宋体" w:cs="宋体"/>
                <w:b/>
                <w:color w:val="auto"/>
                <w:sz w:val="20"/>
              </w:rPr>
            </w:pPr>
          </w:p>
          <w:p w14:paraId="25B37372">
            <w:pPr>
              <w:pStyle w:val="30"/>
              <w:spacing w:before="11"/>
              <w:ind w:left="0"/>
              <w:jc w:val="left"/>
              <w:rPr>
                <w:rFonts w:hint="eastAsia" w:ascii="宋体" w:hAnsi="宋体" w:eastAsia="宋体" w:cs="宋体"/>
                <w:b/>
                <w:color w:val="auto"/>
                <w:sz w:val="23"/>
              </w:rPr>
            </w:pPr>
          </w:p>
          <w:p w14:paraId="150EC186">
            <w:pPr>
              <w:pStyle w:val="30"/>
              <w:spacing w:line="309" w:lineRule="auto"/>
              <w:ind w:left="561" w:right="134" w:hanging="420"/>
              <w:jc w:val="left"/>
              <w:rPr>
                <w:rFonts w:hint="eastAsia" w:ascii="宋体" w:hAnsi="宋体" w:eastAsia="宋体" w:cs="宋体"/>
                <w:color w:val="auto"/>
                <w:sz w:val="21"/>
              </w:rPr>
            </w:pPr>
            <w:r>
              <w:rPr>
                <w:rFonts w:hint="eastAsia" w:ascii="宋体" w:hAnsi="宋体" w:eastAsia="宋体" w:cs="宋体"/>
                <w:color w:val="auto"/>
                <w:sz w:val="21"/>
              </w:rPr>
              <w:t>枯死疫木、树干、枝桠处理</w:t>
            </w:r>
          </w:p>
        </w:tc>
        <w:tc>
          <w:tcPr>
            <w:tcW w:w="2934" w:type="dxa"/>
          </w:tcPr>
          <w:p w14:paraId="28CB4C6D">
            <w:pPr>
              <w:pStyle w:val="30"/>
              <w:spacing w:before="98"/>
              <w:ind w:left="185" w:right="176"/>
              <w:rPr>
                <w:rFonts w:hint="eastAsia" w:ascii="宋体" w:hAnsi="宋体" w:eastAsia="宋体" w:cs="宋体"/>
                <w:color w:val="auto"/>
                <w:sz w:val="21"/>
              </w:rPr>
            </w:pPr>
            <w:r>
              <w:rPr>
                <w:rFonts w:hint="eastAsia" w:ascii="宋体" w:hAnsi="宋体" w:eastAsia="宋体" w:cs="宋体"/>
                <w:color w:val="auto"/>
                <w:sz w:val="21"/>
              </w:rPr>
              <w:t>山上留存有枯死松立木</w:t>
            </w:r>
          </w:p>
        </w:tc>
        <w:tc>
          <w:tcPr>
            <w:tcW w:w="4178" w:type="dxa"/>
          </w:tcPr>
          <w:p w14:paraId="3B7E6C56">
            <w:pPr>
              <w:pStyle w:val="30"/>
              <w:spacing w:before="98"/>
              <w:ind w:left="106"/>
              <w:jc w:val="left"/>
              <w:rPr>
                <w:rFonts w:hint="eastAsia" w:ascii="宋体" w:hAnsi="宋体" w:eastAsia="宋体" w:cs="宋体"/>
                <w:color w:val="auto"/>
                <w:sz w:val="21"/>
              </w:rPr>
            </w:pPr>
            <w:r>
              <w:rPr>
                <w:rFonts w:hint="eastAsia" w:ascii="宋体" w:hAnsi="宋体" w:eastAsia="宋体" w:cs="宋体"/>
                <w:color w:val="auto"/>
                <w:sz w:val="21"/>
              </w:rPr>
              <w:t>每株扣罚 2000 元，累加。</w:t>
            </w:r>
          </w:p>
        </w:tc>
      </w:tr>
      <w:tr w14:paraId="35239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continue"/>
            <w:tcBorders>
              <w:top w:val="nil"/>
            </w:tcBorders>
          </w:tcPr>
          <w:p w14:paraId="68DCAF7E">
            <w:pPr>
              <w:rPr>
                <w:rFonts w:hint="eastAsia" w:ascii="宋体" w:hAnsi="宋体" w:eastAsia="宋体" w:cs="宋体"/>
                <w:color w:val="auto"/>
                <w:sz w:val="2"/>
                <w:szCs w:val="2"/>
              </w:rPr>
            </w:pPr>
          </w:p>
        </w:tc>
        <w:tc>
          <w:tcPr>
            <w:tcW w:w="2934" w:type="dxa"/>
          </w:tcPr>
          <w:p w14:paraId="7D3B523E">
            <w:pPr>
              <w:pStyle w:val="30"/>
              <w:spacing w:before="69" w:line="260" w:lineRule="exact"/>
              <w:ind w:left="185" w:right="179"/>
              <w:rPr>
                <w:rFonts w:hint="eastAsia" w:ascii="宋体" w:hAnsi="宋体" w:eastAsia="宋体" w:cs="宋体"/>
                <w:color w:val="auto"/>
                <w:sz w:val="21"/>
              </w:rPr>
            </w:pPr>
            <w:r>
              <w:rPr>
                <w:rFonts w:hint="eastAsia" w:ascii="宋体" w:hAnsi="宋体" w:eastAsia="宋体" w:cs="宋体"/>
                <w:color w:val="auto"/>
                <w:sz w:val="21"/>
              </w:rPr>
              <w:t>有树干、枝桠遗留</w:t>
            </w:r>
          </w:p>
        </w:tc>
        <w:tc>
          <w:tcPr>
            <w:tcW w:w="4178" w:type="dxa"/>
          </w:tcPr>
          <w:p w14:paraId="2AA4AE0F">
            <w:pPr>
              <w:pStyle w:val="30"/>
              <w:spacing w:before="69" w:line="260" w:lineRule="exact"/>
              <w:ind w:left="106"/>
              <w:jc w:val="left"/>
              <w:rPr>
                <w:rFonts w:hint="eastAsia" w:ascii="宋体" w:hAnsi="宋体" w:eastAsia="宋体" w:cs="宋体"/>
                <w:color w:val="auto"/>
                <w:sz w:val="21"/>
              </w:rPr>
            </w:pPr>
            <w:r>
              <w:rPr>
                <w:rFonts w:hint="eastAsia" w:ascii="宋体" w:hAnsi="宋体" w:eastAsia="宋体" w:cs="宋体"/>
                <w:color w:val="auto"/>
                <w:sz w:val="21"/>
              </w:rPr>
              <w:t>每株扣罚 1000 元，累加。</w:t>
            </w:r>
          </w:p>
        </w:tc>
      </w:tr>
      <w:tr w14:paraId="2E607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continue"/>
            <w:tcBorders>
              <w:top w:val="nil"/>
            </w:tcBorders>
          </w:tcPr>
          <w:p w14:paraId="6AD2A8CC">
            <w:pPr>
              <w:rPr>
                <w:rFonts w:hint="eastAsia" w:ascii="宋体" w:hAnsi="宋体" w:eastAsia="宋体" w:cs="宋体"/>
                <w:color w:val="auto"/>
                <w:sz w:val="2"/>
                <w:szCs w:val="2"/>
              </w:rPr>
            </w:pPr>
          </w:p>
        </w:tc>
        <w:tc>
          <w:tcPr>
            <w:tcW w:w="2934" w:type="dxa"/>
          </w:tcPr>
          <w:p w14:paraId="0C7A9FDE">
            <w:pPr>
              <w:pStyle w:val="30"/>
              <w:spacing w:before="69" w:line="260" w:lineRule="exact"/>
              <w:ind w:left="185" w:right="179"/>
              <w:rPr>
                <w:rFonts w:hint="eastAsia" w:ascii="宋体" w:hAnsi="宋体" w:eastAsia="宋体" w:cs="宋体"/>
                <w:color w:val="auto"/>
                <w:sz w:val="21"/>
              </w:rPr>
            </w:pPr>
            <w:r>
              <w:rPr>
                <w:rFonts w:hint="eastAsia" w:ascii="宋体" w:hAnsi="宋体" w:eastAsia="宋体" w:cs="宋体"/>
                <w:color w:val="auto"/>
                <w:sz w:val="21"/>
              </w:rPr>
              <w:t>非当天处理</w:t>
            </w:r>
          </w:p>
        </w:tc>
        <w:tc>
          <w:tcPr>
            <w:tcW w:w="4178" w:type="dxa"/>
          </w:tcPr>
          <w:p w14:paraId="2D7730F1">
            <w:pPr>
              <w:pStyle w:val="30"/>
              <w:spacing w:before="69" w:line="260" w:lineRule="exact"/>
              <w:ind w:left="106"/>
              <w:jc w:val="left"/>
              <w:rPr>
                <w:rFonts w:hint="eastAsia" w:ascii="宋体" w:hAnsi="宋体" w:eastAsia="宋体" w:cs="宋体"/>
                <w:color w:val="auto"/>
                <w:sz w:val="21"/>
              </w:rPr>
            </w:pPr>
            <w:r>
              <w:rPr>
                <w:rFonts w:hint="eastAsia" w:ascii="宋体" w:hAnsi="宋体" w:eastAsia="宋体" w:cs="宋体"/>
                <w:color w:val="auto"/>
                <w:sz w:val="21"/>
              </w:rPr>
              <w:t>每株扣罚 1000 元，累加。</w:t>
            </w:r>
          </w:p>
        </w:tc>
      </w:tr>
      <w:tr w14:paraId="49EEF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continue"/>
            <w:tcBorders>
              <w:top w:val="nil"/>
            </w:tcBorders>
          </w:tcPr>
          <w:p w14:paraId="48BB5BA7">
            <w:pPr>
              <w:rPr>
                <w:rFonts w:hint="eastAsia" w:ascii="宋体" w:hAnsi="宋体" w:eastAsia="宋体" w:cs="宋体"/>
                <w:color w:val="auto"/>
                <w:sz w:val="2"/>
                <w:szCs w:val="2"/>
              </w:rPr>
            </w:pPr>
          </w:p>
        </w:tc>
        <w:tc>
          <w:tcPr>
            <w:tcW w:w="2934" w:type="dxa"/>
          </w:tcPr>
          <w:p w14:paraId="6F5AB127">
            <w:pPr>
              <w:pStyle w:val="30"/>
              <w:spacing w:before="69" w:line="260" w:lineRule="exact"/>
              <w:ind w:left="185" w:right="179"/>
              <w:rPr>
                <w:rFonts w:hint="eastAsia" w:ascii="宋体" w:hAnsi="宋体" w:eastAsia="宋体" w:cs="宋体"/>
                <w:color w:val="auto"/>
                <w:sz w:val="21"/>
              </w:rPr>
            </w:pPr>
            <w:r>
              <w:rPr>
                <w:rFonts w:hint="eastAsia" w:ascii="宋体" w:hAnsi="宋体" w:eastAsia="宋体" w:cs="宋体"/>
                <w:color w:val="auto"/>
                <w:sz w:val="21"/>
              </w:rPr>
              <w:t>疫木树干、枝桠流失</w:t>
            </w:r>
          </w:p>
        </w:tc>
        <w:tc>
          <w:tcPr>
            <w:tcW w:w="4178" w:type="dxa"/>
          </w:tcPr>
          <w:p w14:paraId="0C4E4026">
            <w:pPr>
              <w:pStyle w:val="30"/>
              <w:spacing w:before="69" w:line="260" w:lineRule="exact"/>
              <w:ind w:left="106"/>
              <w:jc w:val="left"/>
              <w:rPr>
                <w:rFonts w:hint="eastAsia" w:ascii="宋体" w:hAnsi="宋体" w:eastAsia="宋体" w:cs="宋体"/>
                <w:color w:val="auto"/>
                <w:sz w:val="21"/>
              </w:rPr>
            </w:pPr>
            <w:r>
              <w:rPr>
                <w:rFonts w:hint="eastAsia" w:ascii="宋体" w:hAnsi="宋体" w:eastAsia="宋体" w:cs="宋体"/>
                <w:color w:val="auto"/>
                <w:sz w:val="21"/>
              </w:rPr>
              <w:t>每例扣罚 2000 元，累加。</w:t>
            </w:r>
          </w:p>
        </w:tc>
      </w:tr>
      <w:tr w14:paraId="5787E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1965" w:type="dxa"/>
            <w:vMerge w:val="continue"/>
            <w:tcBorders>
              <w:top w:val="nil"/>
            </w:tcBorders>
          </w:tcPr>
          <w:p w14:paraId="5B1E9F6F">
            <w:pPr>
              <w:rPr>
                <w:rFonts w:hint="eastAsia" w:ascii="宋体" w:hAnsi="宋体" w:eastAsia="宋体" w:cs="宋体"/>
                <w:color w:val="auto"/>
                <w:sz w:val="2"/>
                <w:szCs w:val="2"/>
              </w:rPr>
            </w:pPr>
          </w:p>
        </w:tc>
        <w:tc>
          <w:tcPr>
            <w:tcW w:w="2934" w:type="dxa"/>
          </w:tcPr>
          <w:p w14:paraId="20EB4BB0">
            <w:pPr>
              <w:pStyle w:val="30"/>
              <w:spacing w:before="69"/>
              <w:ind w:left="185" w:right="179"/>
              <w:rPr>
                <w:rFonts w:hint="eastAsia" w:ascii="宋体" w:hAnsi="宋体" w:eastAsia="宋体" w:cs="宋体"/>
                <w:color w:val="auto"/>
                <w:sz w:val="21"/>
              </w:rPr>
            </w:pPr>
            <w:r>
              <w:rPr>
                <w:rFonts w:hint="eastAsia" w:ascii="宋体" w:hAnsi="宋体" w:eastAsia="宋体" w:cs="宋体"/>
                <w:color w:val="auto"/>
                <w:sz w:val="21"/>
              </w:rPr>
              <w:t>未处理各种原因造成的疫木</w:t>
            </w:r>
          </w:p>
          <w:p w14:paraId="471032A3">
            <w:pPr>
              <w:pStyle w:val="30"/>
              <w:spacing w:before="82" w:line="260" w:lineRule="exact"/>
              <w:ind w:left="185" w:right="176"/>
              <w:rPr>
                <w:rFonts w:hint="eastAsia" w:ascii="宋体" w:hAnsi="宋体" w:eastAsia="宋体" w:cs="宋体"/>
                <w:color w:val="auto"/>
                <w:sz w:val="21"/>
              </w:rPr>
            </w:pPr>
            <w:r>
              <w:rPr>
                <w:rFonts w:hint="eastAsia" w:ascii="宋体" w:hAnsi="宋体" w:eastAsia="宋体" w:cs="宋体"/>
                <w:color w:val="auto"/>
                <w:sz w:val="21"/>
              </w:rPr>
              <w:t>剩余物、遗留物</w:t>
            </w:r>
          </w:p>
        </w:tc>
        <w:tc>
          <w:tcPr>
            <w:tcW w:w="4178" w:type="dxa"/>
          </w:tcPr>
          <w:p w14:paraId="708BA12F">
            <w:pPr>
              <w:pStyle w:val="30"/>
              <w:spacing w:before="1"/>
              <w:ind w:left="0"/>
              <w:jc w:val="left"/>
              <w:rPr>
                <w:rFonts w:hint="eastAsia" w:ascii="宋体" w:hAnsi="宋体" w:eastAsia="宋体" w:cs="宋体"/>
                <w:b/>
                <w:color w:val="auto"/>
                <w:sz w:val="19"/>
              </w:rPr>
            </w:pPr>
          </w:p>
          <w:p w14:paraId="13467602">
            <w:pPr>
              <w:pStyle w:val="30"/>
              <w:ind w:left="106"/>
              <w:jc w:val="left"/>
              <w:rPr>
                <w:rFonts w:hint="eastAsia" w:ascii="宋体" w:hAnsi="宋体" w:eastAsia="宋体" w:cs="宋体"/>
                <w:color w:val="auto"/>
                <w:sz w:val="21"/>
              </w:rPr>
            </w:pPr>
            <w:r>
              <w:rPr>
                <w:rFonts w:hint="eastAsia" w:ascii="宋体" w:hAnsi="宋体" w:eastAsia="宋体" w:cs="宋体"/>
                <w:color w:val="auto"/>
                <w:sz w:val="21"/>
              </w:rPr>
              <w:t>每株（例）扣罚 1000 元，累加。</w:t>
            </w:r>
          </w:p>
        </w:tc>
      </w:tr>
      <w:tr w14:paraId="7C7A4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restart"/>
          </w:tcPr>
          <w:p w14:paraId="74D05007">
            <w:pPr>
              <w:pStyle w:val="30"/>
              <w:ind w:left="0"/>
              <w:jc w:val="left"/>
              <w:rPr>
                <w:rFonts w:hint="eastAsia" w:ascii="宋体" w:hAnsi="宋体" w:eastAsia="宋体" w:cs="宋体"/>
                <w:b/>
                <w:color w:val="auto"/>
                <w:sz w:val="20"/>
              </w:rPr>
            </w:pPr>
          </w:p>
          <w:p w14:paraId="68C5E234">
            <w:pPr>
              <w:pStyle w:val="30"/>
              <w:spacing w:before="173"/>
              <w:ind w:left="352"/>
              <w:jc w:val="left"/>
              <w:rPr>
                <w:rFonts w:hint="eastAsia" w:ascii="宋体" w:hAnsi="宋体" w:eastAsia="宋体" w:cs="宋体"/>
                <w:color w:val="auto"/>
                <w:sz w:val="21"/>
              </w:rPr>
            </w:pPr>
            <w:r>
              <w:rPr>
                <w:rFonts w:hint="eastAsia" w:ascii="宋体" w:hAnsi="宋体" w:eastAsia="宋体" w:cs="宋体"/>
                <w:color w:val="auto"/>
                <w:sz w:val="21"/>
              </w:rPr>
              <w:t>疫木焚烧火点</w:t>
            </w:r>
          </w:p>
        </w:tc>
        <w:tc>
          <w:tcPr>
            <w:tcW w:w="2934" w:type="dxa"/>
          </w:tcPr>
          <w:p w14:paraId="2918D13B">
            <w:pPr>
              <w:pStyle w:val="30"/>
              <w:spacing w:before="70" w:line="260" w:lineRule="exact"/>
              <w:ind w:left="185" w:right="78"/>
              <w:rPr>
                <w:rFonts w:hint="eastAsia" w:ascii="宋体" w:hAnsi="宋体" w:eastAsia="宋体" w:cs="宋体"/>
                <w:color w:val="auto"/>
                <w:sz w:val="21"/>
              </w:rPr>
            </w:pPr>
            <w:r>
              <w:rPr>
                <w:rFonts w:hint="eastAsia" w:ascii="宋体" w:hAnsi="宋体" w:eastAsia="宋体" w:cs="宋体"/>
                <w:color w:val="auto"/>
                <w:sz w:val="21"/>
              </w:rPr>
              <w:t>开辟不安全不规范</w:t>
            </w:r>
          </w:p>
        </w:tc>
        <w:tc>
          <w:tcPr>
            <w:tcW w:w="4178" w:type="dxa"/>
          </w:tcPr>
          <w:p w14:paraId="4B35FE09">
            <w:pPr>
              <w:pStyle w:val="30"/>
              <w:spacing w:before="70" w:line="260" w:lineRule="exact"/>
              <w:ind w:left="106"/>
              <w:jc w:val="left"/>
              <w:rPr>
                <w:rFonts w:hint="eastAsia" w:ascii="宋体" w:hAnsi="宋体" w:eastAsia="宋体" w:cs="宋体"/>
                <w:color w:val="auto"/>
                <w:sz w:val="21"/>
              </w:rPr>
            </w:pPr>
            <w:r>
              <w:rPr>
                <w:rFonts w:hint="eastAsia" w:ascii="宋体" w:hAnsi="宋体" w:eastAsia="宋体" w:cs="宋体"/>
                <w:color w:val="auto"/>
                <w:sz w:val="21"/>
              </w:rPr>
              <w:t>每处扣罚 1000 元，累加。</w:t>
            </w:r>
          </w:p>
        </w:tc>
      </w:tr>
      <w:tr w14:paraId="42AA9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continue"/>
            <w:tcBorders>
              <w:top w:val="nil"/>
            </w:tcBorders>
          </w:tcPr>
          <w:p w14:paraId="4811EE05">
            <w:pPr>
              <w:rPr>
                <w:rFonts w:hint="eastAsia" w:ascii="宋体" w:hAnsi="宋体" w:eastAsia="宋体" w:cs="宋体"/>
                <w:color w:val="auto"/>
                <w:sz w:val="2"/>
                <w:szCs w:val="2"/>
              </w:rPr>
            </w:pPr>
          </w:p>
        </w:tc>
        <w:tc>
          <w:tcPr>
            <w:tcW w:w="2934" w:type="dxa"/>
          </w:tcPr>
          <w:p w14:paraId="4388714C">
            <w:pPr>
              <w:pStyle w:val="30"/>
              <w:spacing w:before="70" w:line="260" w:lineRule="exact"/>
              <w:ind w:left="185" w:right="176"/>
              <w:rPr>
                <w:rFonts w:hint="eastAsia" w:ascii="宋体" w:hAnsi="宋体" w:eastAsia="宋体" w:cs="宋体"/>
                <w:color w:val="auto"/>
                <w:sz w:val="21"/>
              </w:rPr>
            </w:pPr>
            <w:r>
              <w:rPr>
                <w:rFonts w:hint="eastAsia" w:ascii="宋体" w:hAnsi="宋体" w:eastAsia="宋体" w:cs="宋体"/>
                <w:color w:val="auto"/>
                <w:sz w:val="21"/>
              </w:rPr>
              <w:t>焚烧时无人值守</w:t>
            </w:r>
          </w:p>
        </w:tc>
        <w:tc>
          <w:tcPr>
            <w:tcW w:w="4178" w:type="dxa"/>
          </w:tcPr>
          <w:p w14:paraId="1BD0F579">
            <w:pPr>
              <w:pStyle w:val="30"/>
              <w:spacing w:before="70" w:line="260" w:lineRule="exact"/>
              <w:ind w:left="106"/>
              <w:jc w:val="left"/>
              <w:rPr>
                <w:rFonts w:hint="eastAsia" w:ascii="宋体" w:hAnsi="宋体" w:eastAsia="宋体" w:cs="宋体"/>
                <w:color w:val="auto"/>
                <w:sz w:val="21"/>
              </w:rPr>
            </w:pPr>
            <w:r>
              <w:rPr>
                <w:rFonts w:hint="eastAsia" w:ascii="宋体" w:hAnsi="宋体" w:eastAsia="宋体" w:cs="宋体"/>
                <w:color w:val="auto"/>
                <w:sz w:val="21"/>
              </w:rPr>
              <w:t>每例扣罚 2000 元，累加。</w:t>
            </w:r>
          </w:p>
        </w:tc>
      </w:tr>
      <w:tr w14:paraId="4E939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965" w:type="dxa"/>
            <w:vMerge w:val="continue"/>
            <w:tcBorders>
              <w:top w:val="nil"/>
            </w:tcBorders>
          </w:tcPr>
          <w:p w14:paraId="2B10309F">
            <w:pPr>
              <w:rPr>
                <w:rFonts w:hint="eastAsia" w:ascii="宋体" w:hAnsi="宋体" w:eastAsia="宋体" w:cs="宋体"/>
                <w:color w:val="auto"/>
                <w:sz w:val="2"/>
                <w:szCs w:val="2"/>
              </w:rPr>
            </w:pPr>
          </w:p>
        </w:tc>
        <w:tc>
          <w:tcPr>
            <w:tcW w:w="2934" w:type="dxa"/>
          </w:tcPr>
          <w:p w14:paraId="4B08AF9E">
            <w:pPr>
              <w:pStyle w:val="30"/>
              <w:spacing w:before="70" w:line="260" w:lineRule="exact"/>
              <w:ind w:left="185" w:right="176"/>
              <w:rPr>
                <w:rFonts w:hint="eastAsia" w:ascii="宋体" w:hAnsi="宋体" w:eastAsia="宋体" w:cs="宋体"/>
                <w:color w:val="auto"/>
                <w:sz w:val="21"/>
              </w:rPr>
            </w:pPr>
            <w:r>
              <w:rPr>
                <w:rFonts w:hint="eastAsia" w:ascii="宋体" w:hAnsi="宋体" w:eastAsia="宋体" w:cs="宋体"/>
                <w:color w:val="auto"/>
                <w:sz w:val="21"/>
              </w:rPr>
              <w:t>疫木未彻底碳化</w:t>
            </w:r>
          </w:p>
        </w:tc>
        <w:tc>
          <w:tcPr>
            <w:tcW w:w="4178" w:type="dxa"/>
          </w:tcPr>
          <w:p w14:paraId="358847CC">
            <w:pPr>
              <w:pStyle w:val="30"/>
              <w:spacing w:before="70" w:line="260" w:lineRule="exact"/>
              <w:ind w:left="106"/>
              <w:jc w:val="left"/>
              <w:rPr>
                <w:rFonts w:hint="eastAsia" w:ascii="宋体" w:hAnsi="宋体" w:eastAsia="宋体" w:cs="宋体"/>
                <w:color w:val="auto"/>
                <w:sz w:val="21"/>
              </w:rPr>
            </w:pPr>
            <w:r>
              <w:rPr>
                <w:rFonts w:hint="eastAsia" w:ascii="宋体" w:hAnsi="宋体" w:eastAsia="宋体" w:cs="宋体"/>
                <w:color w:val="auto"/>
                <w:sz w:val="21"/>
              </w:rPr>
              <w:t>每处扣罚 1000 元，累加。</w:t>
            </w:r>
          </w:p>
        </w:tc>
      </w:tr>
      <w:tr w14:paraId="206AB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965" w:type="dxa"/>
          </w:tcPr>
          <w:p w14:paraId="018B1CBA">
            <w:pPr>
              <w:pStyle w:val="30"/>
              <w:spacing w:before="96"/>
              <w:ind w:left="328" w:right="321"/>
              <w:rPr>
                <w:rFonts w:hint="eastAsia" w:ascii="宋体" w:hAnsi="宋体" w:eastAsia="宋体" w:cs="宋体"/>
                <w:color w:val="auto"/>
                <w:sz w:val="21"/>
              </w:rPr>
            </w:pPr>
            <w:r>
              <w:rPr>
                <w:rFonts w:hint="eastAsia" w:ascii="宋体" w:hAnsi="宋体" w:eastAsia="宋体" w:cs="宋体"/>
                <w:color w:val="auto"/>
                <w:sz w:val="21"/>
              </w:rPr>
              <w:t>疫木运输车辆</w:t>
            </w:r>
          </w:p>
        </w:tc>
        <w:tc>
          <w:tcPr>
            <w:tcW w:w="2934" w:type="dxa"/>
          </w:tcPr>
          <w:p w14:paraId="7F83D8AC">
            <w:pPr>
              <w:pStyle w:val="30"/>
              <w:spacing w:before="96"/>
              <w:ind w:left="185" w:right="179"/>
              <w:rPr>
                <w:rFonts w:hint="eastAsia" w:ascii="宋体" w:hAnsi="宋体" w:eastAsia="宋体" w:cs="宋体"/>
                <w:color w:val="auto"/>
                <w:sz w:val="21"/>
              </w:rPr>
            </w:pPr>
            <w:r>
              <w:rPr>
                <w:rFonts w:hint="eastAsia" w:ascii="宋体" w:hAnsi="宋体" w:eastAsia="宋体" w:cs="宋体"/>
                <w:color w:val="auto"/>
                <w:sz w:val="21"/>
              </w:rPr>
              <w:t>未登记备案</w:t>
            </w:r>
          </w:p>
        </w:tc>
        <w:tc>
          <w:tcPr>
            <w:tcW w:w="4178" w:type="dxa"/>
          </w:tcPr>
          <w:p w14:paraId="1A04BB5E">
            <w:pPr>
              <w:pStyle w:val="30"/>
              <w:spacing w:before="96"/>
              <w:ind w:left="106"/>
              <w:jc w:val="left"/>
              <w:rPr>
                <w:rFonts w:hint="eastAsia" w:ascii="宋体" w:hAnsi="宋体" w:eastAsia="宋体" w:cs="宋体"/>
                <w:color w:val="auto"/>
                <w:sz w:val="21"/>
              </w:rPr>
            </w:pPr>
            <w:r>
              <w:rPr>
                <w:rFonts w:hint="eastAsia" w:ascii="宋体" w:hAnsi="宋体" w:eastAsia="宋体" w:cs="宋体"/>
                <w:color w:val="auto"/>
                <w:sz w:val="21"/>
              </w:rPr>
              <w:t>每辆扣罚 1000 元，累加。</w:t>
            </w:r>
          </w:p>
        </w:tc>
      </w:tr>
      <w:tr w14:paraId="3F45D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965" w:type="dxa"/>
          </w:tcPr>
          <w:p w14:paraId="70CFAF67">
            <w:pPr>
              <w:pStyle w:val="30"/>
              <w:spacing w:before="96"/>
              <w:ind w:left="328" w:right="321"/>
              <w:rPr>
                <w:rFonts w:hint="eastAsia" w:ascii="宋体" w:hAnsi="宋体" w:eastAsia="宋体" w:cs="宋体"/>
                <w:color w:val="auto"/>
                <w:sz w:val="21"/>
              </w:rPr>
            </w:pPr>
            <w:r>
              <w:rPr>
                <w:rFonts w:hint="eastAsia" w:ascii="宋体" w:hAnsi="宋体" w:eastAsia="宋体" w:cs="宋体"/>
                <w:color w:val="auto"/>
                <w:sz w:val="21"/>
              </w:rPr>
              <w:t>除治清理信息</w:t>
            </w:r>
          </w:p>
        </w:tc>
        <w:tc>
          <w:tcPr>
            <w:tcW w:w="2934" w:type="dxa"/>
          </w:tcPr>
          <w:p w14:paraId="69859512">
            <w:pPr>
              <w:pStyle w:val="30"/>
              <w:spacing w:before="96"/>
              <w:ind w:left="185" w:right="179"/>
              <w:rPr>
                <w:rFonts w:hint="eastAsia" w:ascii="宋体" w:hAnsi="宋体" w:eastAsia="宋体" w:cs="宋体"/>
                <w:color w:val="auto"/>
                <w:sz w:val="21"/>
              </w:rPr>
            </w:pPr>
            <w:r>
              <w:rPr>
                <w:rFonts w:hint="eastAsia" w:ascii="宋体" w:hAnsi="宋体" w:eastAsia="宋体" w:cs="宋体"/>
                <w:color w:val="auto"/>
                <w:sz w:val="21"/>
              </w:rPr>
              <w:t>未按要求上传国家监管平台</w:t>
            </w:r>
          </w:p>
        </w:tc>
        <w:tc>
          <w:tcPr>
            <w:tcW w:w="4178" w:type="dxa"/>
          </w:tcPr>
          <w:p w14:paraId="4FD5EE1F">
            <w:pPr>
              <w:pStyle w:val="30"/>
              <w:spacing w:before="96"/>
              <w:ind w:left="106"/>
              <w:jc w:val="left"/>
              <w:rPr>
                <w:rFonts w:hint="eastAsia" w:ascii="宋体" w:hAnsi="宋体" w:eastAsia="宋体" w:cs="宋体"/>
                <w:color w:val="auto"/>
                <w:sz w:val="21"/>
              </w:rPr>
            </w:pPr>
            <w:r>
              <w:rPr>
                <w:rFonts w:hint="eastAsia" w:ascii="宋体" w:hAnsi="宋体" w:eastAsia="宋体" w:cs="宋体"/>
                <w:color w:val="auto"/>
                <w:sz w:val="21"/>
              </w:rPr>
              <w:t>每个小班扣罚 500 元，累加。</w:t>
            </w:r>
          </w:p>
        </w:tc>
      </w:tr>
      <w:tr w14:paraId="20245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1965" w:type="dxa"/>
          </w:tcPr>
          <w:p w14:paraId="101D9954">
            <w:pPr>
              <w:pStyle w:val="30"/>
              <w:spacing w:before="2"/>
              <w:ind w:left="0"/>
              <w:jc w:val="left"/>
              <w:rPr>
                <w:rFonts w:hint="eastAsia" w:ascii="宋体" w:hAnsi="宋体" w:eastAsia="宋体" w:cs="宋体"/>
                <w:b/>
                <w:color w:val="auto"/>
                <w:sz w:val="19"/>
              </w:rPr>
            </w:pPr>
          </w:p>
          <w:p w14:paraId="666D96C9">
            <w:pPr>
              <w:pStyle w:val="30"/>
              <w:ind w:left="328" w:right="321"/>
              <w:rPr>
                <w:rFonts w:hint="eastAsia" w:ascii="宋体" w:hAnsi="宋体" w:eastAsia="宋体" w:cs="宋体"/>
                <w:color w:val="auto"/>
                <w:sz w:val="21"/>
              </w:rPr>
            </w:pPr>
            <w:r>
              <w:rPr>
                <w:rFonts w:hint="eastAsia" w:ascii="宋体" w:hAnsi="宋体" w:eastAsia="宋体" w:cs="宋体"/>
                <w:color w:val="auto"/>
                <w:sz w:val="21"/>
              </w:rPr>
              <w:t>清理工作台账</w:t>
            </w:r>
          </w:p>
        </w:tc>
        <w:tc>
          <w:tcPr>
            <w:tcW w:w="2934" w:type="dxa"/>
          </w:tcPr>
          <w:p w14:paraId="78BEDE72">
            <w:pPr>
              <w:pStyle w:val="30"/>
              <w:spacing w:line="350" w:lineRule="exact"/>
              <w:ind w:left="1046" w:right="53" w:hanging="939"/>
              <w:jc w:val="left"/>
              <w:rPr>
                <w:rFonts w:hint="eastAsia" w:ascii="宋体" w:hAnsi="宋体" w:eastAsia="宋体" w:cs="宋体"/>
                <w:color w:val="auto"/>
                <w:sz w:val="21"/>
              </w:rPr>
            </w:pPr>
            <w:r>
              <w:rPr>
                <w:rFonts w:hint="eastAsia" w:ascii="宋体" w:hAnsi="宋体" w:eastAsia="宋体" w:cs="宋体"/>
                <w:color w:val="auto"/>
                <w:sz w:val="21"/>
              </w:rPr>
              <w:t>缺失清理工作照片、统计表与汇总表等</w:t>
            </w:r>
          </w:p>
        </w:tc>
        <w:tc>
          <w:tcPr>
            <w:tcW w:w="4178" w:type="dxa"/>
          </w:tcPr>
          <w:p w14:paraId="442276FD">
            <w:pPr>
              <w:pStyle w:val="30"/>
              <w:spacing w:before="2"/>
              <w:ind w:left="0"/>
              <w:jc w:val="left"/>
              <w:rPr>
                <w:rFonts w:hint="eastAsia" w:ascii="宋体" w:hAnsi="宋体" w:eastAsia="宋体" w:cs="宋体"/>
                <w:b/>
                <w:color w:val="auto"/>
                <w:sz w:val="19"/>
              </w:rPr>
            </w:pPr>
          </w:p>
          <w:p w14:paraId="6D17081F">
            <w:pPr>
              <w:pStyle w:val="30"/>
              <w:ind w:left="106"/>
              <w:jc w:val="left"/>
              <w:rPr>
                <w:rFonts w:hint="eastAsia" w:ascii="宋体" w:hAnsi="宋体" w:eastAsia="宋体" w:cs="宋体"/>
                <w:color w:val="auto"/>
                <w:sz w:val="21"/>
              </w:rPr>
            </w:pPr>
            <w:r>
              <w:rPr>
                <w:rFonts w:hint="eastAsia" w:ascii="宋体" w:hAnsi="宋体" w:eastAsia="宋体" w:cs="宋体"/>
                <w:color w:val="auto"/>
                <w:sz w:val="21"/>
              </w:rPr>
              <w:t>每株、每一小项扣罚 500 元，累加。</w:t>
            </w:r>
          </w:p>
        </w:tc>
      </w:tr>
    </w:tbl>
    <w:p w14:paraId="51FEC848">
      <w:pPr>
        <w:spacing w:before="82"/>
        <w:ind w:left="1161" w:right="0" w:firstLine="0"/>
        <w:jc w:val="left"/>
        <w:rPr>
          <w:rFonts w:hint="eastAsia" w:ascii="宋体" w:hAnsi="宋体" w:eastAsia="宋体" w:cs="宋体"/>
          <w:color w:val="auto"/>
          <w:sz w:val="21"/>
          <w:szCs w:val="21"/>
        </w:rPr>
      </w:pPr>
      <w:r>
        <w:rPr>
          <w:rFonts w:hint="eastAsia" w:ascii="宋体" w:hAnsi="宋体" w:eastAsia="宋体" w:cs="宋体"/>
          <w:color w:val="auto"/>
          <w:sz w:val="21"/>
          <w:szCs w:val="21"/>
        </w:rPr>
        <w:t>注：①以上罚款在结算时，从项目款中扣除。</w:t>
      </w:r>
    </w:p>
    <w:p w14:paraId="1DB1B732">
      <w:pPr>
        <w:keepNext w:val="0"/>
        <w:keepLines w:val="0"/>
        <w:pageBreakBefore w:val="0"/>
        <w:widowControl/>
        <w:kinsoku/>
        <w:wordWrap/>
        <w:overflowPunct/>
        <w:topLinePunct w:val="0"/>
        <w:autoSpaceDE/>
        <w:autoSpaceDN/>
        <w:bidi w:val="0"/>
        <w:adjustRightInd w:val="0"/>
        <w:snapToGrid w:val="0"/>
        <w:spacing w:after="0" w:line="365" w:lineRule="auto"/>
        <w:ind w:left="0" w:right="0" w:firstLine="1089" w:firstLineChars="519"/>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②以上检查项目未达标的情况，出现一次，按相应的罚款方式处理；出现两次， </w:t>
      </w:r>
      <w:r>
        <w:rPr>
          <w:rFonts w:hint="eastAsia" w:ascii="宋体" w:hAnsi="宋体" w:eastAsia="宋体" w:cs="宋体"/>
          <w:color w:val="auto"/>
          <w:spacing w:val="-3"/>
          <w:sz w:val="21"/>
          <w:szCs w:val="21"/>
        </w:rPr>
        <w:t>按相应的罚款方式处理并书面警告；未达标情况出现三次</w:t>
      </w:r>
      <w:r>
        <w:rPr>
          <w:rFonts w:hint="eastAsia" w:ascii="宋体" w:hAnsi="宋体" w:eastAsia="宋体" w:cs="宋体"/>
          <w:color w:val="auto"/>
          <w:sz w:val="21"/>
          <w:szCs w:val="21"/>
        </w:rPr>
        <w:t>（含</w:t>
      </w:r>
      <w:r>
        <w:rPr>
          <w:rFonts w:hint="eastAsia" w:ascii="宋体" w:hAnsi="宋体" w:eastAsia="宋体" w:cs="宋体"/>
          <w:color w:val="auto"/>
          <w:spacing w:val="-27"/>
          <w:sz w:val="21"/>
          <w:szCs w:val="21"/>
        </w:rPr>
        <w:t>）</w:t>
      </w:r>
      <w:r>
        <w:rPr>
          <w:rFonts w:hint="eastAsia" w:ascii="宋体" w:hAnsi="宋体" w:eastAsia="宋体" w:cs="宋体"/>
          <w:color w:val="auto"/>
          <w:spacing w:val="-7"/>
          <w:sz w:val="21"/>
          <w:szCs w:val="21"/>
        </w:rPr>
        <w:t xml:space="preserve">的，按违约责任处理， </w:t>
      </w:r>
      <w:r>
        <w:rPr>
          <w:rFonts w:hint="eastAsia" w:ascii="宋体" w:hAnsi="宋体" w:eastAsia="宋体" w:cs="宋体"/>
          <w:color w:val="auto"/>
          <w:sz w:val="21"/>
          <w:szCs w:val="21"/>
        </w:rPr>
        <w:t>绩效承包商应退回已支付的合同款项，项目建设方有权单方面解除政府采购合同，并上报政府采购监督管理部门，由此给采购人造成损失的，绩效承包商承担相应的经济赔偿及法律责任。</w:t>
      </w:r>
    </w:p>
    <w:p w14:paraId="41792BF6">
      <w:pPr>
        <w:pStyle w:val="31"/>
        <w:numPr>
          <w:ilvl w:val="0"/>
          <w:numId w:val="0"/>
        </w:numPr>
        <w:tabs>
          <w:tab w:val="left" w:pos="1402"/>
        </w:tabs>
        <w:spacing w:before="0" w:after="0" w:line="480" w:lineRule="auto"/>
        <w:ind w:left="680" w:leftChars="0" w:right="0" w:rightChars="0"/>
        <w:jc w:val="left"/>
        <w:rPr>
          <w:rFonts w:hint="eastAsia" w:ascii="宋体" w:hAnsi="宋体" w:eastAsia="宋体" w:cs="宋体"/>
          <w:b/>
          <w:color w:val="auto"/>
          <w:sz w:val="21"/>
          <w:szCs w:val="21"/>
        </w:rPr>
      </w:pPr>
      <w:bookmarkStart w:id="42" w:name="_bookmark28"/>
      <w:bookmarkEnd w:id="42"/>
      <w:bookmarkStart w:id="43" w:name="_bookmark28"/>
      <w:bookmarkEnd w:id="43"/>
      <w:bookmarkStart w:id="44" w:name="7.7 验收结论与运用"/>
      <w:bookmarkEnd w:id="44"/>
      <w:r>
        <w:rPr>
          <w:rFonts w:hint="eastAsia" w:cs="宋体"/>
          <w:b/>
          <w:bCs/>
          <w:color w:val="auto"/>
          <w:sz w:val="21"/>
          <w:szCs w:val="21"/>
          <w:lang w:val="en-US" w:eastAsia="zh-CN"/>
        </w:rPr>
        <w:t>9、</w:t>
      </w:r>
      <w:r>
        <w:rPr>
          <w:rFonts w:hint="eastAsia" w:ascii="宋体" w:hAnsi="宋体" w:eastAsia="宋体" w:cs="宋体"/>
          <w:b/>
          <w:bCs/>
          <w:color w:val="auto"/>
          <w:sz w:val="21"/>
          <w:szCs w:val="21"/>
        </w:rPr>
        <w:t>验</w:t>
      </w:r>
      <w:r>
        <w:rPr>
          <w:rFonts w:hint="eastAsia" w:ascii="宋体" w:hAnsi="宋体" w:eastAsia="宋体" w:cs="宋体"/>
          <w:b/>
          <w:color w:val="auto"/>
          <w:sz w:val="21"/>
          <w:szCs w:val="21"/>
        </w:rPr>
        <w:t>收结论</w:t>
      </w:r>
    </w:p>
    <w:p w14:paraId="4563ACC8">
      <w:pPr>
        <w:pStyle w:val="10"/>
        <w:keepNext w:val="0"/>
        <w:keepLines w:val="0"/>
        <w:pageBreakBefore w:val="0"/>
        <w:widowControl/>
        <w:kinsoku/>
        <w:wordWrap/>
        <w:overflowPunct/>
        <w:topLinePunct w:val="0"/>
        <w:autoSpaceDE/>
        <w:autoSpaceDN/>
        <w:bidi w:val="0"/>
        <w:adjustRightInd w:val="0"/>
        <w:snapToGrid w:val="0"/>
        <w:spacing w:after="0" w:line="418" w:lineRule="auto"/>
        <w:ind w:left="0" w:right="0" w:firstLine="561"/>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阶段验收和竣工验收按验收的主要内容分项列明验收结论，验收结论分为三种：合格、整改或复议、不合格。</w:t>
      </w:r>
    </w:p>
    <w:p w14:paraId="60F5AD32">
      <w:pPr>
        <w:pStyle w:val="31"/>
        <w:numPr>
          <w:ilvl w:val="0"/>
          <w:numId w:val="0"/>
        </w:numPr>
        <w:tabs>
          <w:tab w:val="left" w:pos="1943"/>
        </w:tabs>
        <w:spacing w:before="0" w:after="0" w:line="480" w:lineRule="auto"/>
        <w:ind w:right="0" w:rightChars="0" w:firstLine="576" w:firstLineChars="300"/>
        <w:jc w:val="left"/>
        <w:rPr>
          <w:rFonts w:hint="eastAsia" w:ascii="宋体" w:hAnsi="宋体" w:eastAsia="宋体" w:cs="宋体"/>
          <w:color w:val="auto"/>
          <w:sz w:val="21"/>
          <w:szCs w:val="21"/>
        </w:rPr>
      </w:pPr>
      <w:r>
        <w:rPr>
          <w:rFonts w:hint="eastAsia" w:ascii="宋体" w:hAnsi="宋体" w:eastAsia="宋体" w:cs="宋体"/>
          <w:color w:val="auto"/>
          <w:spacing w:val="-9"/>
          <w:sz w:val="21"/>
          <w:szCs w:val="21"/>
          <w:lang w:eastAsia="zh-CN"/>
        </w:rPr>
        <w:t>（</w:t>
      </w:r>
      <w:r>
        <w:rPr>
          <w:rFonts w:hint="eastAsia" w:ascii="宋体" w:hAnsi="宋体" w:eastAsia="宋体" w:cs="宋体"/>
          <w:color w:val="auto"/>
          <w:spacing w:val="-9"/>
          <w:sz w:val="21"/>
          <w:szCs w:val="21"/>
          <w:lang w:val="en-US" w:eastAsia="zh-CN"/>
        </w:rPr>
        <w:t>1</w:t>
      </w:r>
      <w:r>
        <w:rPr>
          <w:rFonts w:hint="eastAsia" w:ascii="宋体" w:hAnsi="宋体" w:eastAsia="宋体" w:cs="宋体"/>
          <w:color w:val="auto"/>
          <w:spacing w:val="-9"/>
          <w:sz w:val="21"/>
          <w:szCs w:val="21"/>
          <w:lang w:eastAsia="zh-CN"/>
        </w:rPr>
        <w:t>）</w:t>
      </w:r>
      <w:r>
        <w:rPr>
          <w:rFonts w:hint="eastAsia" w:ascii="宋体" w:hAnsi="宋体" w:eastAsia="宋体" w:cs="宋体"/>
          <w:color w:val="auto"/>
          <w:spacing w:val="-9"/>
          <w:sz w:val="21"/>
          <w:szCs w:val="21"/>
        </w:rPr>
        <w:t xml:space="preserve">验收合格：有枯死疫木的小班不超过 </w:t>
      </w:r>
      <w:r>
        <w:rPr>
          <w:rFonts w:hint="eastAsia" w:ascii="宋体" w:hAnsi="宋体" w:eastAsia="宋体" w:cs="宋体"/>
          <w:color w:val="auto"/>
          <w:sz w:val="21"/>
          <w:szCs w:val="21"/>
        </w:rPr>
        <w:t>10</w:t>
      </w:r>
      <w:r>
        <w:rPr>
          <w:rFonts w:hint="eastAsia" w:ascii="宋体" w:hAnsi="宋体" w:eastAsia="宋体" w:cs="宋体"/>
          <w:color w:val="auto"/>
          <w:spacing w:val="-1"/>
          <w:sz w:val="21"/>
          <w:szCs w:val="21"/>
        </w:rPr>
        <w:t xml:space="preserve"> </w:t>
      </w:r>
      <w:r>
        <w:rPr>
          <w:rFonts w:hint="eastAsia" w:ascii="宋体" w:hAnsi="宋体" w:eastAsia="宋体" w:cs="宋体"/>
          <w:color w:val="auto"/>
          <w:spacing w:val="-13"/>
          <w:sz w:val="21"/>
          <w:szCs w:val="21"/>
        </w:rPr>
        <w:t>个</w:t>
      </w:r>
      <w:r>
        <w:rPr>
          <w:rFonts w:hint="eastAsia" w:ascii="宋体" w:hAnsi="宋体" w:eastAsia="宋体" w:cs="宋体"/>
          <w:color w:val="auto"/>
          <w:sz w:val="21"/>
          <w:szCs w:val="21"/>
        </w:rPr>
        <w:t>（</w:t>
      </w:r>
      <w:r>
        <w:rPr>
          <w:rFonts w:hint="eastAsia" w:ascii="宋体" w:hAnsi="宋体" w:eastAsia="宋体" w:cs="宋体"/>
          <w:color w:val="auto"/>
          <w:spacing w:val="-36"/>
          <w:sz w:val="21"/>
          <w:szCs w:val="21"/>
        </w:rPr>
        <w:t xml:space="preserve">含 </w:t>
      </w:r>
      <w:r>
        <w:rPr>
          <w:rFonts w:hint="eastAsia" w:ascii="宋体" w:hAnsi="宋体" w:eastAsia="宋体" w:cs="宋体"/>
          <w:color w:val="auto"/>
          <w:sz w:val="21"/>
          <w:szCs w:val="21"/>
        </w:rPr>
        <w:t>5个</w:t>
      </w:r>
      <w:r>
        <w:rPr>
          <w:rFonts w:hint="eastAsia" w:ascii="宋体" w:hAnsi="宋体" w:eastAsia="宋体" w:cs="宋体"/>
          <w:color w:val="auto"/>
          <w:spacing w:val="-14"/>
          <w:sz w:val="21"/>
          <w:szCs w:val="21"/>
        </w:rPr>
        <w:t>）</w:t>
      </w:r>
      <w:r>
        <w:rPr>
          <w:rFonts w:hint="eastAsia" w:ascii="宋体" w:hAnsi="宋体" w:eastAsia="宋体" w:cs="宋体"/>
          <w:color w:val="auto"/>
          <w:spacing w:val="-5"/>
          <w:sz w:val="21"/>
          <w:szCs w:val="21"/>
        </w:rPr>
        <w:t>，且单个</w:t>
      </w:r>
      <w:r>
        <w:rPr>
          <w:rFonts w:hint="eastAsia" w:ascii="宋体" w:hAnsi="宋体" w:eastAsia="宋体" w:cs="宋体"/>
          <w:color w:val="auto"/>
          <w:spacing w:val="-9"/>
          <w:sz w:val="21"/>
          <w:szCs w:val="21"/>
        </w:rPr>
        <w:t xml:space="preserve">小班枯死松树株数不超过 </w:t>
      </w:r>
      <w:r>
        <w:rPr>
          <w:rFonts w:hint="eastAsia" w:ascii="宋体" w:hAnsi="宋体" w:eastAsia="宋体" w:cs="宋体"/>
          <w:color w:val="auto"/>
          <w:sz w:val="21"/>
          <w:szCs w:val="21"/>
        </w:rPr>
        <w:t xml:space="preserve">15 </w:t>
      </w:r>
      <w:r>
        <w:rPr>
          <w:rFonts w:hint="eastAsia" w:ascii="宋体" w:hAnsi="宋体" w:eastAsia="宋体" w:cs="宋体"/>
          <w:color w:val="auto"/>
          <w:spacing w:val="-20"/>
          <w:sz w:val="21"/>
          <w:szCs w:val="21"/>
        </w:rPr>
        <w:t>株</w:t>
      </w:r>
      <w:r>
        <w:rPr>
          <w:rFonts w:hint="eastAsia" w:ascii="宋体" w:hAnsi="宋体" w:eastAsia="宋体" w:cs="宋体"/>
          <w:color w:val="auto"/>
          <w:spacing w:val="-3"/>
          <w:sz w:val="21"/>
          <w:szCs w:val="21"/>
        </w:rPr>
        <w:t>（</w:t>
      </w:r>
      <w:r>
        <w:rPr>
          <w:rFonts w:hint="eastAsia" w:ascii="宋体" w:hAnsi="宋体" w:eastAsia="宋体" w:cs="宋体"/>
          <w:color w:val="auto"/>
          <w:spacing w:val="-33"/>
          <w:sz w:val="21"/>
          <w:szCs w:val="21"/>
        </w:rPr>
        <w:t xml:space="preserve">含 </w:t>
      </w:r>
      <w:r>
        <w:rPr>
          <w:rFonts w:hint="eastAsia" w:ascii="宋体" w:hAnsi="宋体" w:eastAsia="宋体" w:cs="宋体"/>
          <w:color w:val="auto"/>
          <w:sz w:val="21"/>
          <w:szCs w:val="21"/>
        </w:rPr>
        <w:t xml:space="preserve">15 </w:t>
      </w:r>
      <w:r>
        <w:rPr>
          <w:rFonts w:hint="eastAsia" w:ascii="宋体" w:hAnsi="宋体" w:eastAsia="宋体" w:cs="宋体"/>
          <w:color w:val="auto"/>
          <w:spacing w:val="-3"/>
          <w:sz w:val="21"/>
          <w:szCs w:val="21"/>
        </w:rPr>
        <w:t>株</w:t>
      </w:r>
      <w:r>
        <w:rPr>
          <w:rFonts w:hint="eastAsia" w:ascii="宋体" w:hAnsi="宋体" w:eastAsia="宋体" w:cs="宋体"/>
          <w:color w:val="auto"/>
          <w:spacing w:val="-21"/>
          <w:sz w:val="21"/>
          <w:szCs w:val="21"/>
        </w:rPr>
        <w:t>）</w:t>
      </w:r>
      <w:r>
        <w:rPr>
          <w:rFonts w:hint="eastAsia" w:ascii="宋体" w:hAnsi="宋体" w:eastAsia="宋体" w:cs="宋体"/>
          <w:color w:val="auto"/>
          <w:spacing w:val="-6"/>
          <w:sz w:val="21"/>
          <w:szCs w:val="21"/>
        </w:rPr>
        <w:t>，周边无存放时间久的松类剩</w:t>
      </w:r>
      <w:r>
        <w:rPr>
          <w:rFonts w:hint="eastAsia" w:ascii="宋体" w:hAnsi="宋体" w:eastAsia="宋体" w:cs="宋体"/>
          <w:color w:val="auto"/>
          <w:spacing w:val="-3"/>
          <w:sz w:val="21"/>
          <w:szCs w:val="21"/>
        </w:rPr>
        <w:t>余物，为合格。</w:t>
      </w:r>
    </w:p>
    <w:p w14:paraId="7A3B054B">
      <w:pPr>
        <w:pStyle w:val="31"/>
        <w:keepNext w:val="0"/>
        <w:keepLines w:val="0"/>
        <w:pageBreakBefore w:val="0"/>
        <w:widowControl/>
        <w:numPr>
          <w:ilvl w:val="0"/>
          <w:numId w:val="0"/>
        </w:numPr>
        <w:tabs>
          <w:tab w:val="left" w:pos="1956"/>
        </w:tabs>
        <w:kinsoku/>
        <w:wordWrap/>
        <w:overflowPunct/>
        <w:topLinePunct w:val="0"/>
        <w:autoSpaceDE/>
        <w:autoSpaceDN/>
        <w:bidi w:val="0"/>
        <w:adjustRightInd w:val="0"/>
        <w:snapToGrid w:val="0"/>
        <w:spacing w:before="0" w:after="0" w:line="480" w:lineRule="auto"/>
        <w:ind w:right="0" w:rightChars="0" w:firstLine="630" w:firstLineChars="3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整改或复议：有枯死松树的小班数量：10个</w:t>
      </w:r>
      <w:r>
        <w:rPr>
          <w:rFonts w:hint="eastAsia" w:ascii="宋体" w:hAnsi="宋体" w:eastAsia="宋体" w:cs="宋体"/>
          <w:color w:val="auto"/>
          <w:spacing w:val="6"/>
          <w:sz w:val="21"/>
          <w:szCs w:val="21"/>
        </w:rPr>
        <w:t>≤</w:t>
      </w:r>
      <w:r>
        <w:rPr>
          <w:rFonts w:hint="eastAsia" w:ascii="宋体" w:hAnsi="宋体" w:eastAsia="宋体" w:cs="宋体"/>
          <w:color w:val="auto"/>
          <w:sz w:val="21"/>
          <w:szCs w:val="21"/>
        </w:rPr>
        <w:t>枯死疫木的小班</w:t>
      </w:r>
      <w:r>
        <w:rPr>
          <w:rFonts w:hint="eastAsia" w:ascii="宋体" w:hAnsi="宋体" w:eastAsia="宋体" w:cs="宋体"/>
          <w:color w:val="auto"/>
          <w:spacing w:val="-2"/>
          <w:sz w:val="21"/>
          <w:szCs w:val="21"/>
        </w:rPr>
        <w:t>数量</w:t>
      </w:r>
      <w:r>
        <w:rPr>
          <w:rFonts w:hint="eastAsia" w:ascii="宋体" w:hAnsi="宋体" w:eastAsia="宋体" w:cs="宋体"/>
          <w:color w:val="auto"/>
          <w:sz w:val="21"/>
          <w:szCs w:val="21"/>
        </w:rPr>
        <w:t>≤20</w:t>
      </w:r>
      <w:r>
        <w:rPr>
          <w:rFonts w:hint="eastAsia" w:ascii="宋体" w:hAnsi="宋体" w:eastAsia="宋体" w:cs="宋体"/>
          <w:color w:val="auto"/>
          <w:spacing w:val="1"/>
          <w:sz w:val="21"/>
          <w:szCs w:val="21"/>
        </w:rPr>
        <w:t xml:space="preserve"> </w:t>
      </w:r>
      <w:r>
        <w:rPr>
          <w:rFonts w:hint="eastAsia" w:ascii="宋体" w:hAnsi="宋体" w:eastAsia="宋体" w:cs="宋体"/>
          <w:color w:val="auto"/>
          <w:spacing w:val="-7"/>
          <w:sz w:val="21"/>
          <w:szCs w:val="21"/>
        </w:rPr>
        <w:t xml:space="preserve">个，且单个小班枯死松树株数不超过 </w:t>
      </w:r>
      <w:r>
        <w:rPr>
          <w:rFonts w:hint="eastAsia" w:ascii="宋体" w:hAnsi="宋体" w:eastAsia="宋体" w:cs="宋体"/>
          <w:color w:val="auto"/>
          <w:sz w:val="21"/>
          <w:szCs w:val="21"/>
        </w:rPr>
        <w:t>15</w:t>
      </w:r>
      <w:r>
        <w:rPr>
          <w:rFonts w:hint="eastAsia" w:ascii="宋体" w:hAnsi="宋体" w:eastAsia="宋体" w:cs="宋体"/>
          <w:color w:val="auto"/>
          <w:spacing w:val="2"/>
          <w:sz w:val="21"/>
          <w:szCs w:val="21"/>
        </w:rPr>
        <w:t xml:space="preserve"> </w:t>
      </w:r>
      <w:r>
        <w:rPr>
          <w:rFonts w:hint="eastAsia" w:ascii="宋体" w:hAnsi="宋体" w:eastAsia="宋体" w:cs="宋体"/>
          <w:color w:val="auto"/>
          <w:sz w:val="21"/>
          <w:szCs w:val="21"/>
        </w:rPr>
        <w:t>株</w:t>
      </w:r>
      <w:r>
        <w:rPr>
          <w:rFonts w:hint="eastAsia" w:ascii="宋体" w:hAnsi="宋体" w:eastAsia="宋体" w:cs="宋体"/>
          <w:color w:val="auto"/>
          <w:spacing w:val="-3"/>
          <w:sz w:val="21"/>
          <w:szCs w:val="21"/>
        </w:rPr>
        <w:t>（</w:t>
      </w:r>
      <w:r>
        <w:rPr>
          <w:rFonts w:hint="eastAsia" w:ascii="宋体" w:hAnsi="宋体" w:eastAsia="宋体" w:cs="宋体"/>
          <w:color w:val="auto"/>
          <w:spacing w:val="-34"/>
          <w:sz w:val="21"/>
          <w:szCs w:val="21"/>
        </w:rPr>
        <w:t xml:space="preserve">含 </w:t>
      </w:r>
      <w:r>
        <w:rPr>
          <w:rFonts w:hint="eastAsia" w:ascii="宋体" w:hAnsi="宋体" w:eastAsia="宋体" w:cs="宋体"/>
          <w:color w:val="auto"/>
          <w:sz w:val="21"/>
          <w:szCs w:val="21"/>
        </w:rPr>
        <w:t>15</w:t>
      </w:r>
      <w:r>
        <w:rPr>
          <w:rFonts w:hint="eastAsia" w:ascii="宋体" w:hAnsi="宋体" w:eastAsia="宋体" w:cs="宋体"/>
          <w:color w:val="auto"/>
          <w:spacing w:val="2"/>
          <w:sz w:val="21"/>
          <w:szCs w:val="21"/>
        </w:rPr>
        <w:t xml:space="preserve"> </w:t>
      </w:r>
      <w:r>
        <w:rPr>
          <w:rFonts w:hint="eastAsia" w:ascii="宋体" w:hAnsi="宋体" w:eastAsia="宋体" w:cs="宋体"/>
          <w:color w:val="auto"/>
          <w:sz w:val="21"/>
          <w:szCs w:val="21"/>
        </w:rPr>
        <w:t>株</w:t>
      </w:r>
      <w:r>
        <w:rPr>
          <w:rFonts w:hint="eastAsia" w:ascii="宋体" w:hAnsi="宋体" w:eastAsia="宋体" w:cs="宋体"/>
          <w:color w:val="auto"/>
          <w:spacing w:val="-3"/>
          <w:sz w:val="21"/>
          <w:szCs w:val="21"/>
        </w:rPr>
        <w:t>），周边无存放时间久的松类剩余物，为整改或复议。</w:t>
      </w:r>
    </w:p>
    <w:p w14:paraId="375D3C69">
      <w:pPr>
        <w:pStyle w:val="31"/>
        <w:numPr>
          <w:ilvl w:val="0"/>
          <w:numId w:val="0"/>
        </w:numPr>
        <w:tabs>
          <w:tab w:val="left" w:pos="1949"/>
        </w:tabs>
        <w:spacing w:before="0" w:after="0" w:line="480" w:lineRule="auto"/>
        <w:ind w:right="0" w:rightChars="0" w:firstLine="606" w:firstLineChars="300"/>
        <w:jc w:val="both"/>
        <w:rPr>
          <w:rFonts w:hint="eastAsia" w:ascii="宋体" w:hAnsi="宋体" w:eastAsia="宋体" w:cs="宋体"/>
          <w:color w:val="auto"/>
          <w:sz w:val="21"/>
          <w:szCs w:val="21"/>
        </w:rPr>
      </w:pPr>
      <w:r>
        <w:rPr>
          <w:rFonts w:hint="eastAsia" w:ascii="宋体" w:hAnsi="宋体" w:eastAsia="宋体" w:cs="宋体"/>
          <w:color w:val="auto"/>
          <w:spacing w:val="-4"/>
          <w:sz w:val="21"/>
          <w:szCs w:val="21"/>
          <w:lang w:eastAsia="zh-CN"/>
        </w:rPr>
        <w:t>（</w:t>
      </w:r>
      <w:r>
        <w:rPr>
          <w:rFonts w:hint="eastAsia" w:ascii="宋体" w:hAnsi="宋体" w:eastAsia="宋体" w:cs="宋体"/>
          <w:color w:val="auto"/>
          <w:spacing w:val="-4"/>
          <w:sz w:val="21"/>
          <w:szCs w:val="21"/>
          <w:lang w:val="en-US" w:eastAsia="zh-CN"/>
        </w:rPr>
        <w:t>3</w:t>
      </w:r>
      <w:r>
        <w:rPr>
          <w:rFonts w:hint="eastAsia" w:ascii="宋体" w:hAnsi="宋体" w:eastAsia="宋体" w:cs="宋体"/>
          <w:color w:val="auto"/>
          <w:spacing w:val="-4"/>
          <w:sz w:val="21"/>
          <w:szCs w:val="21"/>
          <w:lang w:eastAsia="zh-CN"/>
        </w:rPr>
        <w:t>）</w:t>
      </w:r>
      <w:r>
        <w:rPr>
          <w:rFonts w:hint="eastAsia" w:ascii="宋体" w:hAnsi="宋体" w:eastAsia="宋体" w:cs="宋体"/>
          <w:color w:val="auto"/>
          <w:spacing w:val="-4"/>
          <w:sz w:val="21"/>
          <w:szCs w:val="21"/>
        </w:rPr>
        <w:t xml:space="preserve">验收不合格：有枯死松树的小班超过 </w:t>
      </w:r>
      <w:r>
        <w:rPr>
          <w:rFonts w:hint="eastAsia" w:ascii="宋体" w:hAnsi="宋体" w:eastAsia="宋体" w:cs="宋体"/>
          <w:color w:val="auto"/>
          <w:sz w:val="21"/>
          <w:szCs w:val="21"/>
        </w:rPr>
        <w:t>20</w:t>
      </w:r>
      <w:r>
        <w:rPr>
          <w:rFonts w:hint="eastAsia" w:ascii="宋体" w:hAnsi="宋体" w:eastAsia="宋体" w:cs="宋体"/>
          <w:color w:val="auto"/>
          <w:spacing w:val="3"/>
          <w:sz w:val="21"/>
          <w:szCs w:val="21"/>
        </w:rPr>
        <w:t xml:space="preserve"> </w:t>
      </w:r>
      <w:r>
        <w:rPr>
          <w:rFonts w:hint="eastAsia" w:ascii="宋体" w:hAnsi="宋体" w:eastAsia="宋体" w:cs="宋体"/>
          <w:color w:val="auto"/>
          <w:sz w:val="21"/>
          <w:szCs w:val="21"/>
        </w:rPr>
        <w:t>个（</w:t>
      </w:r>
      <w:r>
        <w:rPr>
          <w:rFonts w:hint="eastAsia" w:ascii="宋体" w:hAnsi="宋体" w:eastAsia="宋体" w:cs="宋体"/>
          <w:color w:val="auto"/>
          <w:spacing w:val="-22"/>
          <w:sz w:val="21"/>
          <w:szCs w:val="21"/>
        </w:rPr>
        <w:t xml:space="preserve">不含 </w:t>
      </w:r>
      <w:r>
        <w:rPr>
          <w:rFonts w:hint="eastAsia" w:ascii="宋体" w:hAnsi="宋体" w:eastAsia="宋体" w:cs="宋体"/>
          <w:color w:val="auto"/>
          <w:sz w:val="21"/>
          <w:szCs w:val="21"/>
        </w:rPr>
        <w:t>10</w:t>
      </w:r>
      <w:r>
        <w:rPr>
          <w:rFonts w:hint="eastAsia" w:ascii="宋体" w:hAnsi="宋体" w:eastAsia="宋体" w:cs="宋体"/>
          <w:color w:val="auto"/>
          <w:spacing w:val="3"/>
          <w:sz w:val="21"/>
          <w:szCs w:val="21"/>
        </w:rPr>
        <w:t xml:space="preserve"> </w:t>
      </w:r>
      <w:r>
        <w:rPr>
          <w:rFonts w:hint="eastAsia" w:ascii="宋体" w:hAnsi="宋体" w:eastAsia="宋体" w:cs="宋体"/>
          <w:color w:val="auto"/>
          <w:sz w:val="21"/>
          <w:szCs w:val="21"/>
        </w:rPr>
        <w:t>个），或</w:t>
      </w:r>
      <w:r>
        <w:rPr>
          <w:rFonts w:hint="eastAsia" w:ascii="宋体" w:hAnsi="宋体" w:eastAsia="宋体" w:cs="宋体"/>
          <w:color w:val="auto"/>
          <w:spacing w:val="-8"/>
          <w:sz w:val="21"/>
          <w:szCs w:val="21"/>
        </w:rPr>
        <w:t xml:space="preserve">单个小班枯死松树株数超过 </w:t>
      </w:r>
      <w:r>
        <w:rPr>
          <w:rFonts w:hint="eastAsia" w:ascii="宋体" w:hAnsi="宋体" w:eastAsia="宋体" w:cs="宋体"/>
          <w:color w:val="auto"/>
          <w:sz w:val="21"/>
          <w:szCs w:val="21"/>
        </w:rPr>
        <w:t xml:space="preserve">15 </w:t>
      </w:r>
      <w:r>
        <w:rPr>
          <w:rFonts w:hint="eastAsia" w:ascii="宋体" w:hAnsi="宋体" w:eastAsia="宋体" w:cs="宋体"/>
          <w:color w:val="auto"/>
          <w:spacing w:val="-22"/>
          <w:sz w:val="21"/>
          <w:szCs w:val="21"/>
        </w:rPr>
        <w:t>株</w:t>
      </w:r>
      <w:r>
        <w:rPr>
          <w:rFonts w:hint="eastAsia" w:ascii="宋体" w:hAnsi="宋体" w:eastAsia="宋体" w:cs="宋体"/>
          <w:color w:val="auto"/>
          <w:sz w:val="21"/>
          <w:szCs w:val="21"/>
        </w:rPr>
        <w:t>（</w:t>
      </w:r>
      <w:r>
        <w:rPr>
          <w:rFonts w:hint="eastAsia" w:ascii="宋体" w:hAnsi="宋体" w:eastAsia="宋体" w:cs="宋体"/>
          <w:color w:val="auto"/>
          <w:spacing w:val="-23"/>
          <w:sz w:val="21"/>
          <w:szCs w:val="21"/>
        </w:rPr>
        <w:t xml:space="preserve">不含 </w:t>
      </w:r>
      <w:r>
        <w:rPr>
          <w:rFonts w:hint="eastAsia" w:ascii="宋体" w:hAnsi="宋体" w:eastAsia="宋体" w:cs="宋体"/>
          <w:color w:val="auto"/>
          <w:sz w:val="21"/>
          <w:szCs w:val="21"/>
        </w:rPr>
        <w:t>15 株</w:t>
      </w:r>
      <w:r>
        <w:rPr>
          <w:rFonts w:hint="eastAsia" w:ascii="宋体" w:hAnsi="宋体" w:eastAsia="宋体" w:cs="宋体"/>
          <w:color w:val="auto"/>
          <w:spacing w:val="-21"/>
          <w:sz w:val="21"/>
          <w:szCs w:val="21"/>
        </w:rPr>
        <w:t>）</w:t>
      </w:r>
      <w:r>
        <w:rPr>
          <w:rFonts w:hint="eastAsia" w:ascii="宋体" w:hAnsi="宋体" w:eastAsia="宋体" w:cs="宋体"/>
          <w:color w:val="auto"/>
          <w:spacing w:val="-6"/>
          <w:sz w:val="21"/>
          <w:szCs w:val="21"/>
        </w:rPr>
        <w:t>，周边有存放时间久的松</w:t>
      </w:r>
      <w:r>
        <w:rPr>
          <w:rFonts w:hint="eastAsia" w:ascii="宋体" w:hAnsi="宋体" w:eastAsia="宋体" w:cs="宋体"/>
          <w:color w:val="auto"/>
          <w:spacing w:val="-3"/>
          <w:sz w:val="21"/>
          <w:szCs w:val="21"/>
        </w:rPr>
        <w:t>类剩余物，为不合格。</w:t>
      </w:r>
    </w:p>
    <w:p w14:paraId="3FE146EF">
      <w:pPr>
        <w:pStyle w:val="10"/>
        <w:spacing w:line="358" w:lineRule="exact"/>
        <w:rPr>
          <w:rFonts w:hint="eastAsia" w:ascii="宋体" w:hAnsi="宋体" w:eastAsia="宋体" w:cs="宋体"/>
          <w:color w:val="auto"/>
          <w:sz w:val="21"/>
          <w:szCs w:val="21"/>
        </w:rPr>
      </w:pPr>
      <w:r>
        <w:rPr>
          <w:rFonts w:hint="eastAsia" w:ascii="宋体" w:hAnsi="宋体" w:eastAsia="宋体" w:cs="宋体"/>
          <w:color w:val="auto"/>
          <w:sz w:val="21"/>
          <w:szCs w:val="21"/>
        </w:rPr>
        <w:t>凡具有下列情况之一的，按不合格处理：</w:t>
      </w:r>
    </w:p>
    <w:p w14:paraId="6FA700A8">
      <w:pPr>
        <w:pStyle w:val="31"/>
        <w:numPr>
          <w:ilvl w:val="0"/>
          <w:numId w:val="0"/>
        </w:numPr>
        <w:tabs>
          <w:tab w:val="left" w:pos="1804"/>
        </w:tabs>
        <w:spacing w:before="266" w:after="0" w:line="240" w:lineRule="auto"/>
        <w:ind w:left="1100" w:leftChars="0" w:right="0" w:rightChars="0"/>
        <w:jc w:val="left"/>
        <w:rPr>
          <w:rFonts w:hint="eastAsia" w:ascii="宋体" w:hAnsi="宋体" w:eastAsia="宋体" w:cs="宋体"/>
          <w:color w:val="auto"/>
          <w:sz w:val="21"/>
          <w:szCs w:val="21"/>
        </w:rPr>
      </w:pPr>
      <w:r>
        <w:rPr>
          <w:rFonts w:hint="eastAsia" w:ascii="宋体" w:hAnsi="宋体" w:eastAsia="宋体" w:cs="宋体"/>
          <w:color w:val="auto"/>
          <w:spacing w:val="-3"/>
          <w:sz w:val="21"/>
          <w:szCs w:val="21"/>
          <w:lang w:val="en-US" w:eastAsia="zh-CN"/>
        </w:rPr>
        <w:t>1</w:t>
      </w:r>
      <w:r>
        <w:rPr>
          <w:rFonts w:hint="eastAsia" w:ascii="宋体" w:hAnsi="宋体" w:eastAsia="宋体" w:cs="宋体"/>
          <w:color w:val="auto"/>
          <w:spacing w:val="-3"/>
          <w:sz w:val="21"/>
          <w:szCs w:val="21"/>
          <w:lang w:eastAsia="zh-CN"/>
        </w:rPr>
        <w:t>）</w:t>
      </w:r>
      <w:r>
        <w:rPr>
          <w:rFonts w:hint="eastAsia" w:ascii="宋体" w:hAnsi="宋体" w:eastAsia="宋体" w:cs="宋体"/>
          <w:color w:val="auto"/>
          <w:spacing w:val="-3"/>
          <w:sz w:val="21"/>
          <w:szCs w:val="21"/>
        </w:rPr>
        <w:t>所提供的验收材料不齐全或不真实的。</w:t>
      </w:r>
    </w:p>
    <w:p w14:paraId="33BD3394">
      <w:pPr>
        <w:pStyle w:val="31"/>
        <w:numPr>
          <w:ilvl w:val="0"/>
          <w:numId w:val="0"/>
        </w:numPr>
        <w:tabs>
          <w:tab w:val="left" w:pos="1804"/>
        </w:tabs>
        <w:spacing w:before="265" w:after="0" w:line="240" w:lineRule="auto"/>
        <w:ind w:left="1100" w:leftChars="0" w:right="0" w:rightChars="0"/>
        <w:jc w:val="left"/>
        <w:rPr>
          <w:rFonts w:hint="eastAsia" w:ascii="宋体" w:hAnsi="宋体" w:eastAsia="宋体" w:cs="宋体"/>
          <w:color w:val="auto"/>
          <w:sz w:val="21"/>
          <w:szCs w:val="21"/>
        </w:rPr>
      </w:pPr>
      <w:r>
        <w:rPr>
          <w:rFonts w:hint="eastAsia" w:ascii="宋体" w:hAnsi="宋体" w:eastAsia="宋体" w:cs="宋体"/>
          <w:color w:val="auto"/>
          <w:spacing w:val="-3"/>
          <w:sz w:val="21"/>
          <w:szCs w:val="21"/>
          <w:lang w:val="en-US" w:eastAsia="zh-CN"/>
        </w:rPr>
        <w:t>2</w:t>
      </w:r>
      <w:r>
        <w:rPr>
          <w:rFonts w:hint="eastAsia" w:ascii="宋体" w:hAnsi="宋体" w:eastAsia="宋体" w:cs="宋体"/>
          <w:color w:val="auto"/>
          <w:spacing w:val="-3"/>
          <w:sz w:val="21"/>
          <w:szCs w:val="21"/>
          <w:lang w:eastAsia="zh-CN"/>
        </w:rPr>
        <w:t>）</w:t>
      </w:r>
      <w:r>
        <w:rPr>
          <w:rFonts w:hint="eastAsia" w:ascii="宋体" w:hAnsi="宋体" w:eastAsia="宋体" w:cs="宋体"/>
          <w:color w:val="auto"/>
          <w:spacing w:val="-3"/>
          <w:sz w:val="21"/>
          <w:szCs w:val="21"/>
        </w:rPr>
        <w:t>严重违反疫木除治操作流程及技术要求的。</w:t>
      </w:r>
    </w:p>
    <w:p w14:paraId="24F497FA">
      <w:pPr>
        <w:pStyle w:val="31"/>
        <w:numPr>
          <w:ilvl w:val="0"/>
          <w:numId w:val="0"/>
        </w:numPr>
        <w:tabs>
          <w:tab w:val="left" w:pos="1804"/>
        </w:tabs>
        <w:spacing w:before="265" w:after="0" w:line="240" w:lineRule="auto"/>
        <w:ind w:left="1100" w:leftChars="0" w:right="0" w:rightChars="0"/>
        <w:jc w:val="left"/>
        <w:rPr>
          <w:rFonts w:hint="eastAsia" w:ascii="宋体" w:hAnsi="宋体" w:eastAsia="宋体" w:cs="宋体"/>
          <w:color w:val="auto"/>
          <w:sz w:val="21"/>
          <w:szCs w:val="21"/>
        </w:rPr>
      </w:pPr>
      <w:r>
        <w:rPr>
          <w:rFonts w:hint="eastAsia" w:ascii="宋体" w:hAnsi="宋体" w:eastAsia="宋体" w:cs="宋体"/>
          <w:color w:val="auto"/>
          <w:spacing w:val="-3"/>
          <w:sz w:val="21"/>
          <w:szCs w:val="21"/>
          <w:lang w:val="en-US" w:eastAsia="zh-CN"/>
        </w:rPr>
        <w:t>3</w:t>
      </w:r>
      <w:r>
        <w:rPr>
          <w:rFonts w:hint="eastAsia" w:ascii="宋体" w:hAnsi="宋体" w:eastAsia="宋体" w:cs="宋体"/>
          <w:color w:val="auto"/>
          <w:spacing w:val="-3"/>
          <w:sz w:val="21"/>
          <w:szCs w:val="21"/>
          <w:lang w:eastAsia="zh-CN"/>
        </w:rPr>
        <w:t>）</w:t>
      </w:r>
      <w:r>
        <w:rPr>
          <w:rFonts w:hint="eastAsia" w:ascii="宋体" w:hAnsi="宋体" w:eastAsia="宋体" w:cs="宋体"/>
          <w:color w:val="auto"/>
          <w:spacing w:val="-3"/>
          <w:sz w:val="21"/>
          <w:szCs w:val="21"/>
        </w:rPr>
        <w:t>发生了安全生产事故的（由主管部门登记在案</w:t>
      </w:r>
      <w:r>
        <w:rPr>
          <w:rFonts w:hint="eastAsia" w:ascii="宋体" w:hAnsi="宋体" w:eastAsia="宋体" w:cs="宋体"/>
          <w:color w:val="auto"/>
          <w:spacing w:val="-1"/>
          <w:sz w:val="21"/>
          <w:szCs w:val="21"/>
        </w:rPr>
        <w:t>）</w:t>
      </w:r>
      <w:r>
        <w:rPr>
          <w:rFonts w:hint="eastAsia" w:ascii="宋体" w:hAnsi="宋体" w:eastAsia="宋体" w:cs="宋体"/>
          <w:color w:val="auto"/>
          <w:sz w:val="21"/>
          <w:szCs w:val="21"/>
        </w:rPr>
        <w:t>。</w:t>
      </w:r>
    </w:p>
    <w:p w14:paraId="5FDD9305">
      <w:pPr>
        <w:pStyle w:val="31"/>
        <w:numPr>
          <w:ilvl w:val="0"/>
          <w:numId w:val="0"/>
        </w:numPr>
        <w:tabs>
          <w:tab w:val="left" w:pos="1804"/>
        </w:tabs>
        <w:spacing w:before="265" w:after="0" w:line="240" w:lineRule="auto"/>
        <w:ind w:left="1100" w:leftChars="0" w:right="0" w:rightChars="0"/>
        <w:jc w:val="left"/>
        <w:rPr>
          <w:rFonts w:hint="eastAsia" w:ascii="宋体" w:hAnsi="宋体" w:eastAsia="宋体" w:cs="宋体"/>
          <w:color w:val="auto"/>
          <w:sz w:val="21"/>
          <w:szCs w:val="21"/>
        </w:rPr>
      </w:pPr>
      <w:r>
        <w:rPr>
          <w:rFonts w:hint="eastAsia" w:ascii="宋体" w:hAnsi="宋体" w:eastAsia="宋体" w:cs="宋体"/>
          <w:color w:val="auto"/>
          <w:spacing w:val="-3"/>
          <w:sz w:val="21"/>
          <w:szCs w:val="21"/>
          <w:lang w:val="en-US" w:eastAsia="zh-CN"/>
        </w:rPr>
        <w:t>4</w:t>
      </w:r>
      <w:r>
        <w:rPr>
          <w:rFonts w:hint="eastAsia" w:ascii="宋体" w:hAnsi="宋体" w:eastAsia="宋体" w:cs="宋体"/>
          <w:color w:val="auto"/>
          <w:spacing w:val="-3"/>
          <w:sz w:val="21"/>
          <w:szCs w:val="21"/>
          <w:lang w:eastAsia="zh-CN"/>
        </w:rPr>
        <w:t>）</w:t>
      </w:r>
      <w:r>
        <w:rPr>
          <w:rFonts w:hint="eastAsia" w:ascii="宋体" w:hAnsi="宋体" w:eastAsia="宋体" w:cs="宋体"/>
          <w:color w:val="auto"/>
          <w:spacing w:val="-3"/>
          <w:sz w:val="21"/>
          <w:szCs w:val="21"/>
        </w:rPr>
        <w:t>由承包供应商引起的重大纠纷问题，尚未解决的。</w:t>
      </w:r>
    </w:p>
    <w:p w14:paraId="6B90473C">
      <w:pPr>
        <w:pStyle w:val="31"/>
        <w:numPr>
          <w:ilvl w:val="0"/>
          <w:numId w:val="0"/>
        </w:numPr>
        <w:tabs>
          <w:tab w:val="left" w:pos="1804"/>
        </w:tabs>
        <w:spacing w:before="266" w:after="0" w:line="240" w:lineRule="auto"/>
        <w:ind w:left="1100" w:leftChars="0" w:right="0" w:rightChars="0"/>
        <w:jc w:val="left"/>
        <w:rPr>
          <w:rFonts w:hint="eastAsia" w:ascii="宋体" w:hAnsi="宋体" w:eastAsia="宋体" w:cs="宋体"/>
          <w:color w:val="auto"/>
          <w:spacing w:val="-3"/>
          <w:sz w:val="21"/>
          <w:szCs w:val="21"/>
        </w:rPr>
      </w:pPr>
      <w:r>
        <w:rPr>
          <w:rFonts w:hint="eastAsia" w:ascii="宋体" w:hAnsi="宋体" w:eastAsia="宋体" w:cs="宋体"/>
          <w:color w:val="auto"/>
          <w:spacing w:val="-3"/>
          <w:sz w:val="21"/>
          <w:szCs w:val="21"/>
          <w:lang w:val="en-US" w:eastAsia="zh-CN"/>
        </w:rPr>
        <w:t>5</w:t>
      </w:r>
      <w:r>
        <w:rPr>
          <w:rFonts w:hint="eastAsia" w:ascii="宋体" w:hAnsi="宋体" w:eastAsia="宋体" w:cs="宋体"/>
          <w:color w:val="auto"/>
          <w:spacing w:val="-3"/>
          <w:sz w:val="21"/>
          <w:szCs w:val="21"/>
          <w:lang w:eastAsia="zh-CN"/>
        </w:rPr>
        <w:t>）</w:t>
      </w:r>
      <w:r>
        <w:rPr>
          <w:rFonts w:hint="eastAsia" w:ascii="宋体" w:hAnsi="宋体" w:eastAsia="宋体" w:cs="宋体"/>
          <w:color w:val="auto"/>
          <w:spacing w:val="-3"/>
          <w:sz w:val="21"/>
          <w:szCs w:val="21"/>
        </w:rPr>
        <w:t>违反法律、法规的其他行为。</w:t>
      </w:r>
      <w:bookmarkStart w:id="45" w:name="7.7.2验收结论"/>
      <w:bookmarkEnd w:id="45"/>
      <w:bookmarkStart w:id="46" w:name="7.7.2验收结论"/>
      <w:bookmarkEnd w:id="46"/>
    </w:p>
    <w:p w14:paraId="24557253">
      <w:pPr>
        <w:pStyle w:val="31"/>
        <w:numPr>
          <w:ilvl w:val="0"/>
          <w:numId w:val="0"/>
        </w:numPr>
        <w:tabs>
          <w:tab w:val="left" w:pos="1804"/>
        </w:tabs>
        <w:spacing w:before="266" w:after="0" w:line="240" w:lineRule="auto"/>
        <w:ind w:left="1100" w:leftChars="0" w:right="0" w:rightChars="0"/>
        <w:jc w:val="left"/>
        <w:rPr>
          <w:rFonts w:hint="eastAsia" w:ascii="宋体" w:hAnsi="宋体" w:eastAsia="宋体" w:cs="宋体"/>
          <w:color w:val="auto"/>
          <w:spacing w:val="-3"/>
          <w:sz w:val="21"/>
          <w:szCs w:val="21"/>
        </w:rPr>
      </w:pPr>
    </w:p>
    <w:p w14:paraId="7BC9276B">
      <w:pPr>
        <w:pStyle w:val="10"/>
        <w:spacing w:line="480" w:lineRule="auto"/>
        <w:ind w:left="0" w:leftChars="0" w:firstLine="630" w:firstLineChars="3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验收结论为合格的，可进行项目交接，结算项目经费。</w:t>
      </w:r>
    </w:p>
    <w:p w14:paraId="4C2379C4">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559"/>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验收结论为需要整改或复议的，限期整改或复议，整改或复议完成后，可进行项目交接，结算项目经费。</w:t>
      </w:r>
    </w:p>
    <w:p w14:paraId="70070274">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559"/>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验收结论为不合格的，则承包商必须返工，返工完成（返工所需费用由承包商自行承担）再重新申请验收。</w:t>
      </w:r>
    </w:p>
    <w:p w14:paraId="199A70BE">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559"/>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结算采取“30%、25%、25%、20%”的比例方式对松材线虫病专项资金分批次进行拨付。</w:t>
      </w:r>
    </w:p>
    <w:p w14:paraId="48A9F76B">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630" w:firstLineChars="3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分批支付计算公式：项目经费=当期应支付经费－扣罚金额。</w:t>
      </w:r>
    </w:p>
    <w:p w14:paraId="57E57F78">
      <w:pPr>
        <w:pStyle w:val="10"/>
        <w:keepNext w:val="0"/>
        <w:keepLines w:val="0"/>
        <w:pageBreakBefore w:val="0"/>
        <w:widowControl/>
        <w:kinsoku/>
        <w:wordWrap/>
        <w:overflowPunct/>
        <w:topLinePunct w:val="0"/>
        <w:autoSpaceDE/>
        <w:autoSpaceDN/>
        <w:bidi w:val="0"/>
        <w:adjustRightInd w:val="0"/>
        <w:snapToGrid w:val="0"/>
        <w:spacing w:after="0" w:line="480" w:lineRule="auto"/>
        <w:ind w:left="0" w:right="0" w:firstLine="559"/>
        <w:jc w:val="both"/>
        <w:textAlignment w:val="auto"/>
        <w:rPr>
          <w:rFonts w:hint="eastAsia" w:ascii="宋体" w:hAnsi="宋体" w:eastAsia="宋体" w:cs="宋体"/>
          <w:color w:val="auto"/>
          <w:spacing w:val="-7"/>
          <w:sz w:val="21"/>
          <w:szCs w:val="21"/>
        </w:rPr>
      </w:pPr>
      <w:r>
        <w:rPr>
          <w:rFonts w:hint="eastAsia" w:ascii="宋体" w:hAnsi="宋体" w:eastAsia="宋体" w:cs="宋体"/>
          <w:color w:val="auto"/>
          <w:sz w:val="21"/>
          <w:szCs w:val="21"/>
          <w:highlight w:val="none"/>
        </w:rPr>
        <w:t>1</w:t>
      </w:r>
      <w:r>
        <w:rPr>
          <w:rFonts w:hint="eastAsia" w:ascii="宋体" w:hAnsi="宋体" w:eastAsia="宋体" w:cs="宋体"/>
          <w:color w:val="auto"/>
          <w:spacing w:val="-7"/>
          <w:sz w:val="21"/>
          <w:szCs w:val="21"/>
          <w:highlight w:val="none"/>
        </w:rPr>
        <w:t>）2024 年 1</w:t>
      </w:r>
      <w:r>
        <w:rPr>
          <w:rFonts w:hint="eastAsia" w:ascii="宋体" w:hAnsi="宋体" w:eastAsia="宋体" w:cs="宋体"/>
          <w:color w:val="auto"/>
          <w:spacing w:val="-7"/>
          <w:sz w:val="21"/>
          <w:szCs w:val="21"/>
          <w:highlight w:val="none"/>
          <w:lang w:val="en-US" w:eastAsia="zh-CN"/>
        </w:rPr>
        <w:t>2</w:t>
      </w:r>
      <w:r>
        <w:rPr>
          <w:rFonts w:hint="eastAsia" w:ascii="宋体" w:hAnsi="宋体" w:eastAsia="宋体" w:cs="宋体"/>
          <w:color w:val="auto"/>
          <w:spacing w:val="-7"/>
          <w:sz w:val="21"/>
          <w:szCs w:val="21"/>
          <w:highlight w:val="none"/>
        </w:rPr>
        <w:t>月前</w:t>
      </w:r>
      <w:r>
        <w:rPr>
          <w:rFonts w:hint="eastAsia" w:ascii="宋体" w:hAnsi="宋体" w:eastAsia="宋体" w:cs="宋体"/>
          <w:color w:val="auto"/>
          <w:spacing w:val="-7"/>
          <w:sz w:val="21"/>
          <w:szCs w:val="21"/>
        </w:rPr>
        <w:t>经验收合格后支付项目总资金的 30%，并扣除罚款金额，罚款金额是指在此付款时间点之前各级各类检查发现问题所扣的金额，下同。</w:t>
      </w:r>
    </w:p>
    <w:p w14:paraId="63221C32">
      <w:pPr>
        <w:pStyle w:val="10"/>
        <w:spacing w:line="417" w:lineRule="auto"/>
        <w:ind w:right="1303"/>
        <w:jc w:val="both"/>
        <w:rPr>
          <w:rFonts w:hint="eastAsia" w:ascii="宋体" w:hAnsi="宋体" w:eastAsia="宋体" w:cs="宋体"/>
          <w:color w:val="auto"/>
          <w:sz w:val="21"/>
          <w:szCs w:val="21"/>
        </w:rPr>
      </w:pPr>
      <w:r>
        <w:rPr>
          <w:rFonts w:hint="eastAsia" w:ascii="宋体" w:hAnsi="宋体" w:eastAsia="宋体" w:cs="宋体"/>
          <w:color w:val="auto"/>
          <w:spacing w:val="-8"/>
          <w:sz w:val="21"/>
          <w:szCs w:val="21"/>
        </w:rPr>
        <w:t>2）2025</w:t>
      </w:r>
      <w:r>
        <w:rPr>
          <w:rFonts w:hint="eastAsia" w:ascii="宋体" w:hAnsi="宋体" w:eastAsia="宋体" w:cs="宋体"/>
          <w:color w:val="auto"/>
          <w:spacing w:val="4"/>
          <w:sz w:val="21"/>
          <w:szCs w:val="21"/>
        </w:rPr>
        <w:t xml:space="preserve"> </w:t>
      </w:r>
      <w:r>
        <w:rPr>
          <w:rFonts w:hint="eastAsia" w:ascii="宋体" w:hAnsi="宋体" w:eastAsia="宋体" w:cs="宋体"/>
          <w:color w:val="auto"/>
          <w:spacing w:val="-34"/>
          <w:sz w:val="21"/>
          <w:szCs w:val="21"/>
        </w:rPr>
        <w:t xml:space="preserve">年 </w:t>
      </w:r>
      <w:r>
        <w:rPr>
          <w:rFonts w:hint="eastAsia" w:ascii="宋体" w:hAnsi="宋体" w:eastAsia="宋体" w:cs="宋体"/>
          <w:color w:val="auto"/>
          <w:spacing w:val="-34"/>
          <w:sz w:val="21"/>
          <w:szCs w:val="21"/>
          <w:lang w:val="en-US" w:eastAsia="zh-CN"/>
        </w:rPr>
        <w:t xml:space="preserve"> </w:t>
      </w:r>
      <w:r>
        <w:rPr>
          <w:rFonts w:hint="eastAsia" w:ascii="宋体" w:hAnsi="宋体" w:eastAsia="宋体" w:cs="宋体"/>
          <w:color w:val="auto"/>
          <w:sz w:val="21"/>
          <w:szCs w:val="21"/>
        </w:rPr>
        <w:t>5</w:t>
      </w:r>
      <w:r>
        <w:rPr>
          <w:rFonts w:hint="eastAsia" w:ascii="宋体" w:hAnsi="宋体" w:eastAsia="宋体" w:cs="宋体"/>
          <w:color w:val="auto"/>
          <w:spacing w:val="-7"/>
          <w:sz w:val="21"/>
          <w:szCs w:val="21"/>
        </w:rPr>
        <w:t xml:space="preserve">月底前经验收合格后支付项目总资金的 </w:t>
      </w:r>
      <w:r>
        <w:rPr>
          <w:rFonts w:hint="eastAsia" w:ascii="宋体" w:hAnsi="宋体" w:eastAsia="宋体" w:cs="宋体"/>
          <w:color w:val="auto"/>
          <w:sz w:val="21"/>
          <w:szCs w:val="21"/>
        </w:rPr>
        <w:t>25</w:t>
      </w:r>
      <w:r>
        <w:rPr>
          <w:rFonts w:hint="eastAsia" w:ascii="宋体" w:hAnsi="宋体" w:eastAsia="宋体" w:cs="宋体"/>
          <w:color w:val="auto"/>
          <w:spacing w:val="-10"/>
          <w:sz w:val="21"/>
          <w:szCs w:val="21"/>
        </w:rPr>
        <w:t xml:space="preserve"> %</w:t>
      </w:r>
      <w:r>
        <w:rPr>
          <w:rFonts w:hint="eastAsia" w:ascii="宋体" w:hAnsi="宋体" w:eastAsia="宋体" w:cs="宋体"/>
          <w:color w:val="auto"/>
          <w:spacing w:val="-7"/>
          <w:sz w:val="21"/>
          <w:szCs w:val="21"/>
        </w:rPr>
        <w:t>，并扣除</w:t>
      </w:r>
      <w:r>
        <w:rPr>
          <w:rFonts w:hint="eastAsia" w:ascii="宋体" w:hAnsi="宋体" w:eastAsia="宋体" w:cs="宋体"/>
          <w:color w:val="auto"/>
          <w:spacing w:val="-3"/>
          <w:sz w:val="21"/>
          <w:szCs w:val="21"/>
        </w:rPr>
        <w:t>罚款金额；</w:t>
      </w:r>
    </w:p>
    <w:p w14:paraId="12F281EC">
      <w:pPr>
        <w:pStyle w:val="10"/>
        <w:spacing w:line="417" w:lineRule="auto"/>
        <w:ind w:right="1303"/>
        <w:jc w:val="both"/>
        <w:rPr>
          <w:rFonts w:hint="eastAsia" w:ascii="宋体" w:hAnsi="宋体" w:eastAsia="宋体" w:cs="宋体"/>
          <w:color w:val="auto"/>
          <w:sz w:val="21"/>
          <w:szCs w:val="21"/>
        </w:rPr>
      </w:pPr>
      <w:r>
        <w:rPr>
          <w:rFonts w:hint="eastAsia" w:ascii="宋体" w:hAnsi="宋体" w:eastAsia="宋体" w:cs="宋体"/>
          <w:color w:val="auto"/>
          <w:sz w:val="21"/>
          <w:szCs w:val="21"/>
        </w:rPr>
        <w:t>3）2026</w:t>
      </w:r>
      <w:r>
        <w:rPr>
          <w:rFonts w:hint="eastAsia" w:ascii="宋体" w:hAnsi="宋体" w:eastAsia="宋体" w:cs="宋体"/>
          <w:color w:val="auto"/>
          <w:spacing w:val="-2"/>
          <w:sz w:val="21"/>
          <w:szCs w:val="21"/>
        </w:rPr>
        <w:t xml:space="preserve"> </w:t>
      </w:r>
      <w:r>
        <w:rPr>
          <w:rFonts w:hint="eastAsia" w:ascii="宋体" w:hAnsi="宋体" w:eastAsia="宋体" w:cs="宋体"/>
          <w:color w:val="auto"/>
          <w:spacing w:val="-35"/>
          <w:sz w:val="21"/>
          <w:szCs w:val="21"/>
        </w:rPr>
        <w:t>年</w:t>
      </w:r>
      <w:r>
        <w:rPr>
          <w:rFonts w:hint="eastAsia" w:ascii="宋体" w:hAnsi="宋体" w:eastAsia="宋体" w:cs="宋体"/>
          <w:color w:val="auto"/>
          <w:spacing w:val="-35"/>
          <w:sz w:val="21"/>
          <w:szCs w:val="21"/>
          <w:lang w:val="en-US" w:eastAsia="zh-CN"/>
        </w:rPr>
        <w:t xml:space="preserve"> </w:t>
      </w:r>
      <w:r>
        <w:rPr>
          <w:rFonts w:hint="eastAsia" w:ascii="宋体" w:hAnsi="宋体" w:eastAsia="宋体" w:cs="宋体"/>
          <w:color w:val="auto"/>
          <w:spacing w:val="-35"/>
          <w:sz w:val="21"/>
          <w:szCs w:val="21"/>
        </w:rPr>
        <w:t xml:space="preserve"> </w:t>
      </w:r>
      <w:r>
        <w:rPr>
          <w:rFonts w:hint="eastAsia" w:ascii="宋体" w:hAnsi="宋体" w:eastAsia="宋体" w:cs="宋体"/>
          <w:color w:val="auto"/>
          <w:sz w:val="21"/>
          <w:szCs w:val="21"/>
        </w:rPr>
        <w:t>5</w:t>
      </w:r>
      <w:r>
        <w:rPr>
          <w:rFonts w:hint="eastAsia" w:ascii="宋体" w:hAnsi="宋体" w:eastAsia="宋体" w:cs="宋体"/>
          <w:color w:val="auto"/>
          <w:spacing w:val="-7"/>
          <w:sz w:val="21"/>
          <w:szCs w:val="21"/>
        </w:rPr>
        <w:t xml:space="preserve">月底前经验收合格后支付项目总资金的 </w:t>
      </w:r>
      <w:r>
        <w:rPr>
          <w:rFonts w:hint="eastAsia" w:ascii="宋体" w:hAnsi="宋体" w:eastAsia="宋体" w:cs="宋体"/>
          <w:color w:val="auto"/>
          <w:spacing w:val="-3"/>
          <w:sz w:val="21"/>
          <w:szCs w:val="21"/>
        </w:rPr>
        <w:t>25%，并扣除</w:t>
      </w:r>
      <w:r>
        <w:rPr>
          <w:rFonts w:hint="eastAsia" w:ascii="宋体" w:hAnsi="宋体" w:eastAsia="宋体" w:cs="宋体"/>
          <w:color w:val="auto"/>
          <w:spacing w:val="-2"/>
          <w:sz w:val="21"/>
          <w:szCs w:val="21"/>
        </w:rPr>
        <w:t>罚款金额；</w:t>
      </w:r>
    </w:p>
    <w:p w14:paraId="5726C6BB">
      <w:pPr>
        <w:pStyle w:val="10"/>
        <w:spacing w:line="417" w:lineRule="auto"/>
        <w:ind w:right="1300"/>
        <w:jc w:val="both"/>
        <w:rPr>
          <w:rFonts w:hint="eastAsia" w:ascii="宋体" w:hAnsi="宋体" w:eastAsia="宋体" w:cs="宋体"/>
          <w:color w:val="auto"/>
          <w:sz w:val="21"/>
          <w:szCs w:val="21"/>
        </w:rPr>
      </w:pPr>
      <w:r>
        <w:rPr>
          <w:rFonts w:hint="eastAsia" w:ascii="宋体" w:hAnsi="宋体" w:eastAsia="宋体" w:cs="宋体"/>
          <w:color w:val="auto"/>
          <w:sz w:val="21"/>
          <w:szCs w:val="21"/>
        </w:rPr>
        <w:t xml:space="preserve">4）2027 </w:t>
      </w:r>
      <w:r>
        <w:rPr>
          <w:rFonts w:hint="eastAsia" w:ascii="宋体" w:hAnsi="宋体" w:eastAsia="宋体" w:cs="宋体"/>
          <w:color w:val="auto"/>
          <w:spacing w:val="-36"/>
          <w:sz w:val="21"/>
          <w:szCs w:val="21"/>
        </w:rPr>
        <w:t>年</w:t>
      </w:r>
      <w:r>
        <w:rPr>
          <w:rFonts w:hint="eastAsia" w:ascii="宋体" w:hAnsi="宋体" w:eastAsia="宋体" w:cs="宋体"/>
          <w:color w:val="auto"/>
          <w:spacing w:val="-36"/>
          <w:sz w:val="21"/>
          <w:szCs w:val="21"/>
          <w:lang w:val="en-US" w:eastAsia="zh-CN"/>
        </w:rPr>
        <w:t xml:space="preserve"> </w:t>
      </w:r>
      <w:r>
        <w:rPr>
          <w:rFonts w:hint="eastAsia" w:ascii="宋体" w:hAnsi="宋体" w:eastAsia="宋体" w:cs="宋体"/>
          <w:color w:val="auto"/>
          <w:spacing w:val="-36"/>
          <w:sz w:val="21"/>
          <w:szCs w:val="21"/>
        </w:rPr>
        <w:t xml:space="preserve"> </w:t>
      </w:r>
      <w:r>
        <w:rPr>
          <w:rFonts w:hint="eastAsia" w:ascii="宋体" w:hAnsi="宋体" w:eastAsia="宋体" w:cs="宋体"/>
          <w:color w:val="auto"/>
          <w:sz w:val="21"/>
          <w:szCs w:val="21"/>
        </w:rPr>
        <w:t>1</w:t>
      </w:r>
      <w:r>
        <w:rPr>
          <w:rFonts w:hint="eastAsia" w:ascii="宋体" w:hAnsi="宋体" w:eastAsia="宋体" w:cs="宋体"/>
          <w:color w:val="auto"/>
          <w:spacing w:val="-8"/>
          <w:sz w:val="21"/>
          <w:szCs w:val="21"/>
        </w:rPr>
        <w:t xml:space="preserve">月全部检查验收后支付项目总资金的 </w:t>
      </w:r>
      <w:r>
        <w:rPr>
          <w:rFonts w:hint="eastAsia" w:ascii="宋体" w:hAnsi="宋体" w:eastAsia="宋体" w:cs="宋体"/>
          <w:color w:val="auto"/>
          <w:sz w:val="21"/>
          <w:szCs w:val="21"/>
        </w:rPr>
        <w:t>20%</w:t>
      </w:r>
      <w:r>
        <w:rPr>
          <w:rFonts w:hint="eastAsia" w:ascii="宋体" w:hAnsi="宋体" w:eastAsia="宋体" w:cs="宋体"/>
          <w:color w:val="auto"/>
          <w:spacing w:val="-1"/>
          <w:sz w:val="21"/>
          <w:szCs w:val="21"/>
        </w:rPr>
        <w:t>，扣除罚款</w:t>
      </w:r>
      <w:r>
        <w:rPr>
          <w:rFonts w:hint="eastAsia" w:ascii="宋体" w:hAnsi="宋体" w:eastAsia="宋体" w:cs="宋体"/>
          <w:color w:val="auto"/>
          <w:spacing w:val="-2"/>
          <w:sz w:val="21"/>
          <w:szCs w:val="21"/>
        </w:rPr>
        <w:t>金额。</w:t>
      </w:r>
    </w:p>
    <w:p w14:paraId="4C0C4F20">
      <w:pPr>
        <w:numPr>
          <w:ilvl w:val="0"/>
          <w:numId w:val="0"/>
        </w:numPr>
        <w:spacing w:before="90"/>
        <w:ind w:left="252" w:leftChars="0" w:right="106" w:rightChars="0"/>
        <w:jc w:val="both"/>
        <w:rPr>
          <w:rFonts w:hint="eastAsia" w:ascii="宋体" w:eastAsia="宋体"/>
          <w:b/>
          <w:color w:val="auto"/>
          <w:sz w:val="21"/>
          <w:szCs w:val="21"/>
          <w:lang w:val="en-US" w:eastAsia="zh-CN"/>
        </w:rPr>
      </w:pPr>
      <w:bookmarkStart w:id="47" w:name="_Toc22447"/>
      <w:r>
        <w:rPr>
          <w:rFonts w:hint="eastAsia" w:ascii="宋体" w:eastAsia="宋体"/>
          <w:b/>
          <w:color w:val="auto"/>
          <w:sz w:val="21"/>
          <w:szCs w:val="21"/>
          <w:lang w:val="en-US" w:eastAsia="zh-CN"/>
        </w:rPr>
        <w:t>五、其他要求</w:t>
      </w:r>
    </w:p>
    <w:p w14:paraId="1B062072">
      <w:pPr>
        <w:numPr>
          <w:ilvl w:val="0"/>
          <w:numId w:val="0"/>
        </w:numPr>
        <w:spacing w:line="480" w:lineRule="auto"/>
        <w:ind w:firstLine="420" w:firstLineChars="200"/>
        <w:rPr>
          <w:rFonts w:hint="eastAsia" w:ascii="宋体" w:hAnsi="宋体" w:eastAsia="宋体" w:cs="宋体"/>
          <w:b w:val="0"/>
          <w:bCs w:val="0"/>
          <w:color w:val="auto"/>
          <w:kern w:val="0"/>
          <w:sz w:val="21"/>
          <w:szCs w:val="21"/>
          <w:lang w:val="en-US" w:eastAsia="zh-CN" w:bidi="zh-CN"/>
        </w:rPr>
      </w:pPr>
      <w:r>
        <w:rPr>
          <w:rFonts w:hint="eastAsia" w:ascii="宋体" w:hAnsi="宋体" w:eastAsia="宋体" w:cs="宋体"/>
          <w:b w:val="0"/>
          <w:bCs w:val="0"/>
          <w:color w:val="auto"/>
          <w:kern w:val="0"/>
          <w:sz w:val="21"/>
          <w:szCs w:val="21"/>
          <w:lang w:val="en-US" w:eastAsia="zh-CN" w:bidi="zh-CN"/>
        </w:rPr>
        <w:t>1、要具备良好的农村工作能力，应具有一支熟练掌握林业有害生物预防与除治技能的专业队伍，投入本项目标段的施工人员至少 50 人，本项目施工人员须购买有效的意外险，中标后签订合同前提供相应佐证材料。</w:t>
      </w:r>
    </w:p>
    <w:p w14:paraId="0C9A314C">
      <w:pPr>
        <w:numPr>
          <w:ilvl w:val="0"/>
          <w:numId w:val="0"/>
        </w:numPr>
        <w:spacing w:line="480" w:lineRule="auto"/>
        <w:ind w:firstLine="420" w:firstLineChars="200"/>
        <w:rPr>
          <w:rFonts w:hint="eastAsia" w:ascii="宋体" w:hAnsi="宋体" w:eastAsia="宋体" w:cs="宋体"/>
          <w:b w:val="0"/>
          <w:bCs w:val="0"/>
          <w:color w:val="auto"/>
          <w:kern w:val="0"/>
          <w:sz w:val="21"/>
          <w:szCs w:val="21"/>
          <w:lang w:val="en-US" w:eastAsia="zh-CN" w:bidi="zh-CN"/>
        </w:rPr>
      </w:pPr>
      <w:r>
        <w:rPr>
          <w:rFonts w:hint="eastAsia" w:ascii="宋体" w:hAnsi="宋体" w:eastAsia="宋体" w:cs="宋体"/>
          <w:b w:val="0"/>
          <w:bCs w:val="0"/>
          <w:color w:val="auto"/>
          <w:kern w:val="0"/>
          <w:sz w:val="21"/>
          <w:szCs w:val="21"/>
          <w:lang w:val="en-US" w:eastAsia="zh-CN" w:bidi="zh-CN"/>
        </w:rPr>
        <w:t>2、要具备一定的资金实力,无条件承诺杜绝任何关于农民工工资的不良事件。</w:t>
      </w:r>
    </w:p>
    <w:p w14:paraId="5CB89C7D">
      <w:pPr>
        <w:numPr>
          <w:ilvl w:val="0"/>
          <w:numId w:val="0"/>
        </w:numPr>
        <w:spacing w:line="480" w:lineRule="auto"/>
        <w:ind w:firstLine="420" w:firstLineChars="200"/>
        <w:rPr>
          <w:rFonts w:hint="eastAsia" w:ascii="宋体" w:hAnsi="宋体" w:eastAsia="宋体" w:cs="宋体"/>
          <w:b w:val="0"/>
          <w:bCs w:val="0"/>
          <w:color w:val="auto"/>
          <w:kern w:val="0"/>
          <w:sz w:val="21"/>
          <w:szCs w:val="21"/>
          <w:lang w:val="en-US" w:eastAsia="zh-CN" w:bidi="zh-CN"/>
        </w:rPr>
      </w:pPr>
      <w:r>
        <w:rPr>
          <w:rFonts w:hint="eastAsia" w:ascii="宋体" w:hAnsi="宋体" w:eastAsia="宋体" w:cs="宋体"/>
          <w:b w:val="0"/>
          <w:bCs w:val="0"/>
          <w:color w:val="auto"/>
          <w:kern w:val="0"/>
          <w:sz w:val="21"/>
          <w:szCs w:val="21"/>
          <w:lang w:val="en-US" w:eastAsia="zh-CN" w:bidi="zh-CN"/>
        </w:rPr>
        <w:t>3、在签订合同之前中标供应商须将投入本项目实施人员的身份证复印件、人身意外伤害保险保单等资料编制成档案交由采购人备案。采购人核实成交人提交的备案资料，如果成交供应商的备案与响应文件中投入本项目的实施人员不一致，采购人不予签订合同，并以提供虚假材料按照政府采购法相关法律规定追究其相关法律责任。</w:t>
      </w:r>
    </w:p>
    <w:p w14:paraId="270D9809">
      <w:pPr>
        <w:numPr>
          <w:ilvl w:val="0"/>
          <w:numId w:val="0"/>
        </w:numPr>
        <w:spacing w:line="480" w:lineRule="auto"/>
        <w:ind w:firstLine="420" w:firstLineChars="200"/>
        <w:rPr>
          <w:rFonts w:hint="eastAsia" w:ascii="宋体" w:hAnsi="宋体" w:eastAsia="宋体" w:cs="宋体"/>
          <w:b w:val="0"/>
          <w:bCs w:val="0"/>
          <w:color w:val="auto"/>
          <w:kern w:val="0"/>
          <w:sz w:val="21"/>
          <w:szCs w:val="21"/>
          <w:lang w:val="en-US" w:eastAsia="zh-CN" w:bidi="zh-CN"/>
        </w:rPr>
      </w:pPr>
      <w:r>
        <w:rPr>
          <w:rFonts w:hint="eastAsia" w:ascii="宋体" w:hAnsi="宋体" w:eastAsia="宋体" w:cs="宋体"/>
          <w:b w:val="0"/>
          <w:bCs w:val="0"/>
          <w:color w:val="auto"/>
          <w:kern w:val="0"/>
          <w:sz w:val="21"/>
          <w:szCs w:val="21"/>
          <w:lang w:val="en-US" w:eastAsia="zh-CN" w:bidi="zh-CN"/>
        </w:rPr>
        <w:t>4、在本项目实施前采购单位对中标供应商的作业人员进行身份核实和确认，与备案人员必须一致。如果中标供应商的作业人员与备案人员不一致（或其中有提供虚假材料的），不得开展作业，并以提供虚假材料按照政府采购法相关法律规定追究其相关法律责任。</w:t>
      </w:r>
    </w:p>
    <w:p w14:paraId="481A4211">
      <w:pPr>
        <w:numPr>
          <w:ilvl w:val="0"/>
          <w:numId w:val="0"/>
        </w:numPr>
        <w:spacing w:line="480" w:lineRule="auto"/>
        <w:ind w:firstLine="420" w:firstLineChars="200"/>
        <w:rPr>
          <w:rFonts w:hint="eastAsia" w:ascii="宋体" w:hAnsi="宋体" w:eastAsia="宋体" w:cs="宋体"/>
          <w:b w:val="0"/>
          <w:bCs w:val="0"/>
          <w:color w:val="auto"/>
          <w:kern w:val="0"/>
          <w:sz w:val="21"/>
          <w:szCs w:val="21"/>
          <w:lang w:val="en-US" w:eastAsia="zh-CN" w:bidi="zh-CN"/>
        </w:rPr>
      </w:pPr>
      <w:r>
        <w:rPr>
          <w:rFonts w:hint="eastAsia" w:ascii="宋体" w:hAnsi="宋体" w:eastAsia="宋体" w:cs="宋体"/>
          <w:b w:val="0"/>
          <w:bCs w:val="0"/>
          <w:color w:val="auto"/>
          <w:kern w:val="0"/>
          <w:sz w:val="21"/>
          <w:szCs w:val="21"/>
          <w:lang w:val="en-US" w:eastAsia="zh-CN" w:bidi="zh-CN"/>
        </w:rPr>
        <w:t>5、要有必要的疫木清理的机械设备，如防火用的风力灭火机，疫木采伐使用的手工锯或机油锯等。</w:t>
      </w:r>
    </w:p>
    <w:p w14:paraId="020710C5">
      <w:pPr>
        <w:numPr>
          <w:ilvl w:val="0"/>
          <w:numId w:val="0"/>
        </w:numPr>
        <w:spacing w:line="480" w:lineRule="auto"/>
        <w:ind w:firstLine="420" w:firstLineChars="200"/>
        <w:rPr>
          <w:rFonts w:hint="eastAsia" w:ascii="宋体" w:hAnsi="宋体" w:eastAsia="宋体" w:cs="宋体"/>
          <w:b w:val="0"/>
          <w:bCs w:val="0"/>
          <w:color w:val="auto"/>
          <w:kern w:val="0"/>
          <w:sz w:val="21"/>
          <w:szCs w:val="21"/>
          <w:lang w:val="en-US" w:eastAsia="zh-CN" w:bidi="zh-CN"/>
        </w:rPr>
      </w:pPr>
      <w:r>
        <w:rPr>
          <w:rFonts w:hint="eastAsia" w:ascii="宋体" w:hAnsi="宋体" w:eastAsia="宋体" w:cs="宋体"/>
          <w:b w:val="0"/>
          <w:bCs w:val="0"/>
          <w:color w:val="auto"/>
          <w:kern w:val="0"/>
          <w:sz w:val="21"/>
          <w:szCs w:val="21"/>
          <w:lang w:val="en-US" w:eastAsia="zh-CN" w:bidi="zh-CN"/>
        </w:rPr>
        <w:t>6、中标供应商必须严格按国家、自治区、桂林市现行安全生产法律法规组织施工，确保安全生产无事故（尤其是确保用火安全），否则由此造成的安全事故由中标供应商承担一切后果和责任。</w:t>
      </w:r>
    </w:p>
    <w:p w14:paraId="39A1460F">
      <w:pPr>
        <w:spacing w:line="480" w:lineRule="auto"/>
        <w:ind w:firstLine="420" w:firstLineChars="200"/>
        <w:rPr>
          <w:rFonts w:hint="eastAsia" w:ascii="宋体" w:hAnsi="宋体" w:eastAsia="宋体" w:cs="宋体"/>
          <w:b w:val="0"/>
          <w:bCs w:val="0"/>
          <w:color w:val="auto"/>
          <w:kern w:val="0"/>
          <w:sz w:val="21"/>
          <w:szCs w:val="21"/>
          <w:lang w:val="en-US" w:eastAsia="zh-CN" w:bidi="zh-CN"/>
        </w:rPr>
      </w:pPr>
      <w:r>
        <w:rPr>
          <w:rFonts w:hint="eastAsia" w:ascii="宋体" w:hAnsi="宋体" w:eastAsia="宋体" w:cs="宋体"/>
          <w:b w:val="0"/>
          <w:bCs w:val="0"/>
          <w:color w:val="auto"/>
          <w:kern w:val="0"/>
          <w:sz w:val="21"/>
          <w:szCs w:val="21"/>
          <w:lang w:val="en-US" w:eastAsia="zh-CN" w:bidi="zh-CN"/>
        </w:rPr>
        <w:t>7、投标人所使用防治的药物应提供使用农药“三证”（农药生产许可证、企业标准和农药登记证）及农业近期检测报告加盖生产厂家公章复印件。</w:t>
      </w:r>
    </w:p>
    <w:p w14:paraId="18FF071D">
      <w:pPr>
        <w:spacing w:line="480" w:lineRule="auto"/>
        <w:ind w:firstLine="420" w:firstLineChars="200"/>
        <w:rPr>
          <w:rFonts w:hint="eastAsia" w:ascii="宋体" w:hAnsi="宋体" w:eastAsia="宋体" w:cs="宋体"/>
          <w:b w:val="0"/>
          <w:bCs w:val="0"/>
          <w:color w:val="auto"/>
          <w:kern w:val="0"/>
          <w:sz w:val="21"/>
          <w:szCs w:val="21"/>
          <w:lang w:val="en-US" w:eastAsia="zh-CN" w:bidi="zh-CN"/>
        </w:rPr>
      </w:pPr>
      <w:r>
        <w:rPr>
          <w:rFonts w:hint="eastAsia" w:ascii="宋体" w:hAnsi="宋体" w:eastAsia="宋体" w:cs="宋体"/>
          <w:b w:val="0"/>
          <w:bCs w:val="0"/>
          <w:color w:val="auto"/>
          <w:kern w:val="0"/>
          <w:sz w:val="21"/>
          <w:szCs w:val="21"/>
          <w:lang w:val="en-US" w:eastAsia="zh-CN" w:bidi="zh-CN"/>
        </w:rPr>
        <w:t>8、投标人须聘请有非兼职的相关专业技术人</w:t>
      </w:r>
      <w:r>
        <w:rPr>
          <w:rFonts w:hint="eastAsia" w:ascii="宋体" w:hAnsi="宋体" w:eastAsia="宋体" w:cs="宋体"/>
          <w:b w:val="0"/>
          <w:bCs w:val="0"/>
          <w:color w:val="auto"/>
          <w:kern w:val="0"/>
          <w:sz w:val="21"/>
          <w:szCs w:val="21"/>
          <w:highlight w:val="none"/>
          <w:lang w:val="en-US" w:eastAsia="zh-CN" w:bidi="zh-CN"/>
        </w:rPr>
        <w:t>员 2 人以上，</w:t>
      </w:r>
      <w:r>
        <w:rPr>
          <w:rFonts w:hint="eastAsia" w:ascii="宋体" w:hAnsi="宋体" w:eastAsia="宋体" w:cs="宋体"/>
          <w:b w:val="0"/>
          <w:bCs w:val="0"/>
          <w:color w:val="auto"/>
          <w:kern w:val="0"/>
          <w:sz w:val="21"/>
          <w:szCs w:val="21"/>
          <w:lang w:val="en-US" w:eastAsia="zh-CN" w:bidi="zh-CN"/>
        </w:rPr>
        <w:t>并提供相应的佐证材料。</w:t>
      </w:r>
    </w:p>
    <w:p w14:paraId="67BFE0A4">
      <w:pPr>
        <w:pStyle w:val="10"/>
        <w:keepNext w:val="0"/>
        <w:keepLines w:val="0"/>
        <w:pageBreakBefore w:val="0"/>
        <w:widowControl/>
        <w:kinsoku/>
        <w:wordWrap/>
        <w:overflowPunct/>
        <w:topLinePunct w:val="0"/>
        <w:autoSpaceDE/>
        <w:autoSpaceDN/>
        <w:bidi w:val="0"/>
        <w:adjustRightInd w:val="0"/>
        <w:snapToGrid w:val="0"/>
        <w:spacing w:after="0" w:line="480" w:lineRule="auto"/>
        <w:ind w:left="0" w:leftChars="0" w:right="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b w:val="0"/>
          <w:bCs w:val="0"/>
          <w:color w:val="auto"/>
          <w:kern w:val="0"/>
          <w:sz w:val="21"/>
          <w:szCs w:val="21"/>
          <w:lang w:val="en-US" w:eastAsia="zh-CN" w:bidi="zh-CN"/>
        </w:rPr>
        <w:t>9、</w:t>
      </w:r>
      <w:r>
        <w:rPr>
          <w:rFonts w:hint="eastAsia" w:ascii="宋体" w:hAnsi="宋体" w:eastAsia="宋体" w:cs="宋体"/>
          <w:b w:val="0"/>
          <w:bCs w:val="0"/>
          <w:color w:val="auto"/>
          <w:kern w:val="0"/>
          <w:sz w:val="21"/>
          <w:szCs w:val="21"/>
          <w:lang w:val="zh-CN" w:eastAsia="zh-CN" w:bidi="zh-CN"/>
        </w:rPr>
        <w:t>中标后合同签订一周内必须组建施工队伍（人员名单、身份证复印件、联系电话报备业主方）及时进</w:t>
      </w:r>
      <w:r>
        <w:rPr>
          <w:rFonts w:hint="eastAsia" w:ascii="宋体" w:hAnsi="宋体" w:eastAsia="宋体" w:cs="宋体"/>
          <w:color w:val="auto"/>
          <w:sz w:val="21"/>
          <w:szCs w:val="21"/>
        </w:rPr>
        <w:t>场施工，配备专职相关专业技术人</w:t>
      </w:r>
      <w:r>
        <w:rPr>
          <w:rFonts w:hint="eastAsia" w:ascii="宋体" w:hAnsi="宋体" w:eastAsia="宋体" w:cs="宋体"/>
          <w:color w:val="auto"/>
          <w:spacing w:val="-17"/>
          <w:sz w:val="21"/>
          <w:szCs w:val="21"/>
        </w:rPr>
        <w:t xml:space="preserve">员至少 </w:t>
      </w:r>
      <w:r>
        <w:rPr>
          <w:rFonts w:hint="eastAsia" w:ascii="宋体" w:hAnsi="宋体" w:eastAsia="宋体" w:cs="宋体"/>
          <w:color w:val="auto"/>
          <w:sz w:val="21"/>
          <w:szCs w:val="21"/>
        </w:rPr>
        <w:t>2 人（技术人员两人或以上名单、专业资格证书、身份证复印件及具体组织分工情况报备业主方）。施工前若需办理采伐手续应主动与</w:t>
      </w:r>
      <w:r>
        <w:rPr>
          <w:rFonts w:hint="eastAsia" w:ascii="宋体" w:hAnsi="宋体" w:eastAsia="宋体" w:cs="宋体"/>
          <w:color w:val="auto"/>
          <w:spacing w:val="-3"/>
          <w:sz w:val="21"/>
          <w:szCs w:val="21"/>
        </w:rPr>
        <w:t>林权者联系，取得相关手续资料，统一到相关单位办理。</w:t>
      </w:r>
    </w:p>
    <w:p w14:paraId="7455DBD0">
      <w:pPr>
        <w:pStyle w:val="10"/>
        <w:keepNext w:val="0"/>
        <w:keepLines w:val="0"/>
        <w:pageBreakBefore w:val="0"/>
        <w:widowControl/>
        <w:kinsoku/>
        <w:wordWrap/>
        <w:overflowPunct/>
        <w:topLinePunct w:val="0"/>
        <w:autoSpaceDE/>
        <w:autoSpaceDN/>
        <w:bidi w:val="0"/>
        <w:adjustRightInd w:val="0"/>
        <w:snapToGrid w:val="0"/>
        <w:spacing w:after="0" w:line="480" w:lineRule="auto"/>
        <w:ind w:left="0" w:leftChars="0" w:right="0" w:firstLine="392"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lang w:val="en-US" w:eastAsia="zh-CN"/>
        </w:rPr>
        <w:t>10、</w:t>
      </w:r>
      <w:r>
        <w:rPr>
          <w:rFonts w:hint="eastAsia" w:ascii="宋体" w:hAnsi="宋体" w:eastAsia="宋体" w:cs="宋体"/>
          <w:color w:val="auto"/>
          <w:spacing w:val="-7"/>
          <w:sz w:val="21"/>
          <w:szCs w:val="21"/>
        </w:rPr>
        <w:t>组织项目有关技术人员了解本标段的社会经济情况与农业、林业</w:t>
      </w:r>
      <w:r>
        <w:rPr>
          <w:rFonts w:hint="eastAsia" w:ascii="宋体" w:hAnsi="宋体" w:eastAsia="宋体" w:cs="宋体"/>
          <w:color w:val="auto"/>
          <w:spacing w:val="-4"/>
          <w:sz w:val="21"/>
          <w:szCs w:val="21"/>
        </w:rPr>
        <w:t>基本情况，深入现场了解疫情发生和防控现状，熟悉掌握全州县松材线</w:t>
      </w:r>
      <w:r>
        <w:rPr>
          <w:rFonts w:hint="eastAsia" w:ascii="宋体" w:hAnsi="宋体" w:eastAsia="宋体" w:cs="宋体"/>
          <w:color w:val="auto"/>
          <w:spacing w:val="-3"/>
          <w:sz w:val="21"/>
          <w:szCs w:val="21"/>
        </w:rPr>
        <w:t>虫病疫情防控五年攻坚行动方案，特别是项目建设防控目标，任务和主要技术措施。</w:t>
      </w:r>
    </w:p>
    <w:p w14:paraId="533D50A0">
      <w:pPr>
        <w:pStyle w:val="10"/>
        <w:keepNext w:val="0"/>
        <w:keepLines w:val="0"/>
        <w:pageBreakBefore w:val="0"/>
        <w:widowControl/>
        <w:kinsoku/>
        <w:wordWrap/>
        <w:overflowPunct/>
        <w:topLinePunct w:val="0"/>
        <w:autoSpaceDE/>
        <w:autoSpaceDN/>
        <w:bidi w:val="0"/>
        <w:adjustRightInd w:val="0"/>
        <w:snapToGrid w:val="0"/>
        <w:spacing w:after="0" w:line="480" w:lineRule="auto"/>
        <w:ind w:left="0" w:leftChars="0" w:right="0" w:firstLine="396" w:firstLineChars="200"/>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lang w:val="en-US" w:eastAsia="zh-CN"/>
        </w:rPr>
        <w:t>11、</w:t>
      </w:r>
      <w:r>
        <w:rPr>
          <w:rFonts w:hint="eastAsia" w:ascii="宋体" w:hAnsi="宋体" w:eastAsia="宋体" w:cs="宋体"/>
          <w:color w:val="auto"/>
          <w:spacing w:val="-6"/>
          <w:sz w:val="21"/>
          <w:szCs w:val="21"/>
        </w:rPr>
        <w:t>施工前必须办理工程全部人员意外保险，在施工过程中要确保安</w:t>
      </w:r>
      <w:r>
        <w:rPr>
          <w:rFonts w:hint="eastAsia" w:ascii="宋体" w:hAnsi="宋体" w:eastAsia="宋体" w:cs="宋体"/>
          <w:color w:val="auto"/>
          <w:spacing w:val="-7"/>
          <w:sz w:val="21"/>
          <w:szCs w:val="21"/>
        </w:rPr>
        <w:t>全，谨防意外伤亡事故发生，疫木除治用火需报备，严防发生森林火灾。</w:t>
      </w:r>
      <w:r>
        <w:rPr>
          <w:rFonts w:hint="eastAsia" w:ascii="宋体" w:hAnsi="宋体" w:eastAsia="宋体" w:cs="宋体"/>
          <w:color w:val="auto"/>
          <w:spacing w:val="-4"/>
          <w:sz w:val="21"/>
          <w:szCs w:val="21"/>
        </w:rPr>
        <w:t>施工过程中，一切人身安全和火灾事故责任均由承包方负责，甲方不承</w:t>
      </w:r>
      <w:r>
        <w:rPr>
          <w:rFonts w:hint="eastAsia" w:ascii="宋体" w:hAnsi="宋体" w:eastAsia="宋体" w:cs="宋体"/>
          <w:color w:val="auto"/>
          <w:spacing w:val="-3"/>
          <w:sz w:val="21"/>
          <w:szCs w:val="21"/>
        </w:rPr>
        <w:t>担任何责任。由于承包方施工不当造成其他物品或设施毁坏，由承包方</w:t>
      </w:r>
      <w:r>
        <w:rPr>
          <w:rFonts w:hint="eastAsia" w:ascii="宋体" w:hAnsi="宋体" w:eastAsia="宋体" w:cs="宋体"/>
          <w:color w:val="auto"/>
          <w:spacing w:val="-2"/>
          <w:sz w:val="21"/>
          <w:szCs w:val="21"/>
        </w:rPr>
        <w:t>负责。合同期内，工程施工队伍不可擅自撤离，逢年过节休息，必须书</w:t>
      </w:r>
      <w:r>
        <w:rPr>
          <w:rFonts w:hint="eastAsia" w:ascii="宋体" w:hAnsi="宋体" w:eastAsia="宋体" w:cs="宋体"/>
          <w:color w:val="auto"/>
          <w:spacing w:val="-3"/>
          <w:sz w:val="21"/>
          <w:szCs w:val="21"/>
        </w:rPr>
        <w:t>面向甲方报备，与甲方商定在指定时间内归队并持续进场施工。</w:t>
      </w:r>
    </w:p>
    <w:p w14:paraId="3B30EE09">
      <w:pPr>
        <w:pStyle w:val="10"/>
        <w:keepNext w:val="0"/>
        <w:keepLines w:val="0"/>
        <w:pageBreakBefore w:val="0"/>
        <w:widowControl/>
        <w:kinsoku/>
        <w:wordWrap/>
        <w:overflowPunct/>
        <w:topLinePunct w:val="0"/>
        <w:autoSpaceDE/>
        <w:autoSpaceDN/>
        <w:bidi w:val="0"/>
        <w:adjustRightInd w:val="0"/>
        <w:snapToGrid w:val="0"/>
        <w:spacing w:after="0" w:line="480" w:lineRule="auto"/>
        <w:ind w:left="0" w:leftChars="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施工过程中所需材料由承包方自负，生物和化学防控药剂必须持有农药三证。</w:t>
      </w:r>
    </w:p>
    <w:p w14:paraId="70413F09">
      <w:pPr>
        <w:pStyle w:val="10"/>
        <w:keepNext w:val="0"/>
        <w:keepLines w:val="0"/>
        <w:pageBreakBefore w:val="0"/>
        <w:widowControl/>
        <w:kinsoku/>
        <w:wordWrap/>
        <w:overflowPunct/>
        <w:topLinePunct w:val="0"/>
        <w:autoSpaceDE/>
        <w:autoSpaceDN/>
        <w:bidi w:val="0"/>
        <w:adjustRightInd w:val="0"/>
        <w:snapToGrid w:val="0"/>
        <w:spacing w:after="0" w:line="480" w:lineRule="auto"/>
        <w:ind w:left="0" w:leftChars="0" w:righ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13、</w:t>
      </w:r>
      <w:r>
        <w:rPr>
          <w:rFonts w:hint="eastAsia" w:ascii="宋体" w:hAnsi="宋体" w:eastAsia="宋体" w:cs="宋体"/>
          <w:color w:val="auto"/>
          <w:sz w:val="21"/>
          <w:szCs w:val="21"/>
        </w:rPr>
        <w:t>服务期限内，供应商需无条件服从国家、自治区、桂林市与全州县各级领导的调查研究、抽样评估、督察、巡察、检查等相关工作。</w:t>
      </w:r>
    </w:p>
    <w:p w14:paraId="2B3A3DC9">
      <w:pPr>
        <w:spacing w:line="480" w:lineRule="auto"/>
        <w:ind w:firstLine="420" w:firstLineChars="200"/>
        <w:rPr>
          <w:rFonts w:hint="eastAsia" w:ascii="宋体" w:hAnsi="宋体" w:eastAsia="宋体" w:cs="宋体"/>
          <w:color w:val="auto"/>
          <w:sz w:val="21"/>
          <w:szCs w:val="21"/>
          <w:lang w:val="en-US" w:eastAsia="zh-CN"/>
        </w:rPr>
        <w:sectPr>
          <w:headerReference r:id="rId4" w:type="default"/>
          <w:footerReference r:id="rId5" w:type="default"/>
          <w:pgSz w:w="11910" w:h="16840"/>
          <w:pgMar w:top="1220" w:right="1080" w:bottom="1440" w:left="1080" w:header="878" w:footer="1225" w:gutter="0"/>
          <w:pgNumType w:fmt="decimal" w:start="1"/>
          <w:cols w:space="720" w:num="1"/>
        </w:sectPr>
      </w:pP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rPr>
        <w:t>服务期限内，涉及疫点拔除的标段，供应商需无条件服从招标人安排的关于疫点拔除的相关工作。</w:t>
      </w:r>
    </w:p>
    <w:p w14:paraId="2B44AAF0">
      <w:pPr>
        <w:spacing w:before="90"/>
        <w:ind w:left="252" w:right="106" w:firstLine="0"/>
        <w:jc w:val="both"/>
        <w:rPr>
          <w:rFonts w:hint="eastAsia" w:ascii="宋体" w:eastAsia="宋体"/>
          <w:b/>
          <w:color w:val="auto"/>
          <w:sz w:val="28"/>
          <w:szCs w:val="20"/>
        </w:rPr>
      </w:pPr>
      <w:r>
        <w:rPr>
          <w:rFonts w:hint="eastAsia" w:ascii="宋体" w:eastAsia="宋体"/>
          <w:b/>
          <w:color w:val="auto"/>
          <w:sz w:val="28"/>
          <w:szCs w:val="20"/>
        </w:rPr>
        <w:t>附表</w:t>
      </w:r>
    </w:p>
    <w:p w14:paraId="2007703E">
      <w:pPr>
        <w:tabs>
          <w:tab w:val="left" w:pos="2277"/>
        </w:tabs>
        <w:spacing w:before="175"/>
        <w:ind w:left="1120" w:right="0" w:firstLine="0"/>
        <w:jc w:val="left"/>
        <w:rPr>
          <w:rFonts w:hint="eastAsia" w:ascii="宋体" w:eastAsia="宋体"/>
          <w:b/>
          <w:color w:val="auto"/>
          <w:sz w:val="22"/>
        </w:rPr>
      </w:pPr>
      <w:r>
        <w:rPr>
          <w:rFonts w:hint="eastAsia" w:ascii="宋体" w:eastAsia="宋体"/>
          <w:b/>
          <w:color w:val="auto"/>
          <w:sz w:val="22"/>
        </w:rPr>
        <w:t>附表</w:t>
      </w:r>
      <w:r>
        <w:rPr>
          <w:rFonts w:hint="eastAsia" w:ascii="宋体" w:eastAsia="宋体"/>
          <w:b/>
          <w:color w:val="auto"/>
          <w:spacing w:val="-57"/>
          <w:sz w:val="22"/>
        </w:rPr>
        <w:t xml:space="preserve"> </w:t>
      </w:r>
      <w:r>
        <w:rPr>
          <w:rFonts w:ascii="Times New Roman" w:eastAsia="Times New Roman"/>
          <w:b/>
          <w:color w:val="auto"/>
          <w:sz w:val="22"/>
        </w:rPr>
        <w:t>1</w:t>
      </w:r>
      <w:r>
        <w:rPr>
          <w:rFonts w:ascii="Times New Roman" w:eastAsia="Times New Roman"/>
          <w:b/>
          <w:color w:val="auto"/>
          <w:sz w:val="22"/>
        </w:rPr>
        <w:tab/>
      </w:r>
      <w:r>
        <w:rPr>
          <w:rFonts w:hint="eastAsia" w:ascii="宋体" w:eastAsia="宋体"/>
          <w:b/>
          <w:color w:val="auto"/>
          <w:sz w:val="22"/>
        </w:rPr>
        <w:t>全州县松材线虫病疫情小班和实现无疫情小班统计表（</w:t>
      </w:r>
      <w:r>
        <w:rPr>
          <w:rFonts w:ascii="Times New Roman" w:eastAsia="Times New Roman"/>
          <w:b/>
          <w:color w:val="auto"/>
          <w:sz w:val="22"/>
        </w:rPr>
        <w:t xml:space="preserve">2023 </w:t>
      </w:r>
      <w:r>
        <w:rPr>
          <w:rFonts w:hint="eastAsia" w:ascii="宋体" w:eastAsia="宋体"/>
          <w:b/>
          <w:color w:val="auto"/>
          <w:sz w:val="22"/>
        </w:rPr>
        <w:t>年）</w:t>
      </w:r>
    </w:p>
    <w:p w14:paraId="7BFBA733">
      <w:pPr>
        <w:pStyle w:val="10"/>
        <w:spacing w:before="4"/>
        <w:ind w:left="0"/>
        <w:rPr>
          <w:rFonts w:ascii="宋体"/>
          <w:b/>
          <w:color w:val="auto"/>
          <w:sz w:val="7"/>
        </w:rPr>
      </w:pPr>
    </w:p>
    <w:tbl>
      <w:tblPr>
        <w:tblStyle w:val="19"/>
        <w:tblW w:w="0" w:type="auto"/>
        <w:tblInd w:w="5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2"/>
        <w:gridCol w:w="996"/>
        <w:gridCol w:w="1245"/>
        <w:gridCol w:w="752"/>
        <w:gridCol w:w="752"/>
        <w:gridCol w:w="1366"/>
        <w:gridCol w:w="1121"/>
        <w:gridCol w:w="1990"/>
      </w:tblGrid>
      <w:tr w14:paraId="17E16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shd w:val="clear" w:color="auto" w:fill="BEBEBE"/>
            <w:vAlign w:val="top"/>
          </w:tcPr>
          <w:p w14:paraId="492DAE25">
            <w:pPr>
              <w:pStyle w:val="30"/>
              <w:spacing w:before="62"/>
              <w:ind w:left="152" w:right="148"/>
              <w:rPr>
                <w:rFonts w:hint="eastAsia" w:ascii="宋体" w:eastAsia="宋体"/>
                <w:color w:val="auto"/>
                <w:sz w:val="20"/>
              </w:rPr>
            </w:pPr>
            <w:r>
              <w:rPr>
                <w:rFonts w:hint="eastAsia" w:ascii="宋体" w:eastAsia="宋体"/>
                <w:color w:val="auto"/>
                <w:sz w:val="20"/>
              </w:rPr>
              <w:t>序号</w:t>
            </w:r>
          </w:p>
        </w:tc>
        <w:tc>
          <w:tcPr>
            <w:tcW w:w="996" w:type="dxa"/>
            <w:shd w:val="clear" w:color="auto" w:fill="BEBEBE"/>
            <w:vAlign w:val="top"/>
          </w:tcPr>
          <w:p w14:paraId="56140A51">
            <w:pPr>
              <w:pStyle w:val="30"/>
              <w:spacing w:before="62"/>
              <w:ind w:left="176" w:right="170"/>
              <w:rPr>
                <w:rFonts w:hint="eastAsia" w:ascii="宋体" w:eastAsia="宋体"/>
                <w:color w:val="auto"/>
                <w:sz w:val="20"/>
              </w:rPr>
            </w:pPr>
            <w:r>
              <w:rPr>
                <w:rFonts w:hint="eastAsia" w:ascii="宋体" w:eastAsia="宋体"/>
                <w:color w:val="auto"/>
                <w:sz w:val="20"/>
              </w:rPr>
              <w:t>乡镇</w:t>
            </w:r>
          </w:p>
        </w:tc>
        <w:tc>
          <w:tcPr>
            <w:tcW w:w="1245" w:type="dxa"/>
            <w:shd w:val="clear" w:color="auto" w:fill="BEBEBE"/>
            <w:vAlign w:val="top"/>
          </w:tcPr>
          <w:p w14:paraId="0EDC16CF">
            <w:pPr>
              <w:pStyle w:val="30"/>
              <w:spacing w:before="62"/>
              <w:ind w:left="5"/>
              <w:rPr>
                <w:rFonts w:hint="eastAsia" w:ascii="宋体" w:eastAsia="宋体"/>
                <w:color w:val="auto"/>
                <w:sz w:val="20"/>
              </w:rPr>
            </w:pPr>
            <w:r>
              <w:rPr>
                <w:rFonts w:hint="eastAsia" w:ascii="宋体" w:eastAsia="宋体"/>
                <w:color w:val="auto"/>
                <w:w w:val="99"/>
                <w:sz w:val="20"/>
              </w:rPr>
              <w:t>村</w:t>
            </w:r>
          </w:p>
        </w:tc>
        <w:tc>
          <w:tcPr>
            <w:tcW w:w="752" w:type="dxa"/>
            <w:shd w:val="clear" w:color="auto" w:fill="BEBEBE"/>
            <w:vAlign w:val="top"/>
          </w:tcPr>
          <w:p w14:paraId="21F1387F">
            <w:pPr>
              <w:pStyle w:val="30"/>
              <w:spacing w:before="62"/>
              <w:ind w:left="153" w:right="148"/>
              <w:rPr>
                <w:rFonts w:hint="eastAsia" w:ascii="宋体" w:eastAsia="宋体"/>
                <w:color w:val="auto"/>
                <w:sz w:val="20"/>
              </w:rPr>
            </w:pPr>
            <w:r>
              <w:rPr>
                <w:rFonts w:hint="eastAsia" w:ascii="宋体" w:eastAsia="宋体"/>
                <w:color w:val="auto"/>
                <w:sz w:val="20"/>
              </w:rPr>
              <w:t>林班</w:t>
            </w:r>
          </w:p>
        </w:tc>
        <w:tc>
          <w:tcPr>
            <w:tcW w:w="752" w:type="dxa"/>
            <w:shd w:val="clear" w:color="auto" w:fill="BEBEBE"/>
            <w:vAlign w:val="top"/>
          </w:tcPr>
          <w:p w14:paraId="593BB9F9">
            <w:pPr>
              <w:pStyle w:val="30"/>
              <w:spacing w:before="62"/>
              <w:ind w:right="147"/>
              <w:rPr>
                <w:rFonts w:hint="eastAsia" w:ascii="宋体" w:eastAsia="宋体"/>
                <w:color w:val="auto"/>
                <w:sz w:val="20"/>
              </w:rPr>
            </w:pPr>
            <w:r>
              <w:rPr>
                <w:rFonts w:hint="eastAsia" w:ascii="宋体" w:eastAsia="宋体"/>
                <w:color w:val="auto"/>
                <w:sz w:val="20"/>
              </w:rPr>
              <w:t>小班</w:t>
            </w:r>
          </w:p>
        </w:tc>
        <w:tc>
          <w:tcPr>
            <w:tcW w:w="1366" w:type="dxa"/>
            <w:shd w:val="clear" w:color="auto" w:fill="BEBEBE"/>
            <w:vAlign w:val="top"/>
          </w:tcPr>
          <w:p w14:paraId="43911E0D">
            <w:pPr>
              <w:pStyle w:val="30"/>
              <w:spacing w:before="62"/>
              <w:ind w:left="235" w:right="229"/>
              <w:rPr>
                <w:rFonts w:hint="eastAsia" w:ascii="宋体" w:eastAsia="宋体"/>
                <w:color w:val="auto"/>
                <w:sz w:val="20"/>
              </w:rPr>
            </w:pPr>
            <w:r>
              <w:rPr>
                <w:rFonts w:hint="eastAsia" w:ascii="宋体" w:eastAsia="宋体"/>
                <w:color w:val="auto"/>
                <w:sz w:val="20"/>
              </w:rPr>
              <w:t>面积</w:t>
            </w:r>
            <w:r>
              <w:rPr>
                <w:color w:val="auto"/>
                <w:sz w:val="20"/>
              </w:rPr>
              <w:t>/</w:t>
            </w:r>
            <w:r>
              <w:rPr>
                <w:rFonts w:hint="eastAsia" w:ascii="宋体" w:eastAsia="宋体"/>
                <w:color w:val="auto"/>
                <w:sz w:val="20"/>
              </w:rPr>
              <w:t>公顷</w:t>
            </w:r>
          </w:p>
        </w:tc>
        <w:tc>
          <w:tcPr>
            <w:tcW w:w="1121" w:type="dxa"/>
            <w:shd w:val="clear" w:color="auto" w:fill="BEBEBE"/>
            <w:vAlign w:val="top"/>
          </w:tcPr>
          <w:p w14:paraId="40BA7C27">
            <w:pPr>
              <w:pStyle w:val="30"/>
              <w:spacing w:before="62"/>
              <w:ind w:left="212" w:right="207"/>
              <w:rPr>
                <w:rFonts w:hint="eastAsia" w:ascii="宋体" w:eastAsia="宋体"/>
                <w:color w:val="auto"/>
                <w:sz w:val="20"/>
              </w:rPr>
            </w:pPr>
            <w:r>
              <w:rPr>
                <w:rFonts w:hint="eastAsia" w:ascii="宋体" w:eastAsia="宋体"/>
                <w:color w:val="auto"/>
                <w:sz w:val="20"/>
              </w:rPr>
              <w:t>面积</w:t>
            </w:r>
            <w:r>
              <w:rPr>
                <w:color w:val="auto"/>
                <w:sz w:val="20"/>
              </w:rPr>
              <w:t>/</w:t>
            </w:r>
            <w:r>
              <w:rPr>
                <w:rFonts w:hint="eastAsia" w:ascii="宋体" w:eastAsia="宋体"/>
                <w:color w:val="auto"/>
                <w:sz w:val="20"/>
              </w:rPr>
              <w:t>亩</w:t>
            </w:r>
          </w:p>
        </w:tc>
        <w:tc>
          <w:tcPr>
            <w:tcW w:w="1990" w:type="dxa"/>
            <w:shd w:val="clear" w:color="auto" w:fill="BEBEBE"/>
            <w:vAlign w:val="top"/>
          </w:tcPr>
          <w:p w14:paraId="246C2B12">
            <w:pPr>
              <w:pStyle w:val="30"/>
              <w:spacing w:before="62"/>
              <w:ind w:left="276" w:right="269"/>
              <w:rPr>
                <w:rFonts w:hint="eastAsia" w:ascii="宋体" w:eastAsia="宋体"/>
                <w:color w:val="auto"/>
                <w:sz w:val="20"/>
              </w:rPr>
            </w:pPr>
            <w:r>
              <w:rPr>
                <w:rFonts w:hint="eastAsia" w:ascii="宋体" w:eastAsia="宋体"/>
                <w:color w:val="auto"/>
                <w:sz w:val="20"/>
              </w:rPr>
              <w:t>小班类型</w:t>
            </w:r>
          </w:p>
        </w:tc>
      </w:tr>
      <w:tr w14:paraId="06285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7CA572B5">
            <w:pPr>
              <w:pStyle w:val="30"/>
              <w:spacing w:before="42"/>
              <w:ind w:left="8"/>
              <w:rPr>
                <w:color w:val="auto"/>
                <w:sz w:val="20"/>
              </w:rPr>
            </w:pPr>
            <w:r>
              <w:rPr>
                <w:color w:val="auto"/>
                <w:w w:val="99"/>
                <w:sz w:val="20"/>
              </w:rPr>
              <w:t>1</w:t>
            </w:r>
          </w:p>
        </w:tc>
        <w:tc>
          <w:tcPr>
            <w:tcW w:w="996" w:type="dxa"/>
            <w:vAlign w:val="top"/>
          </w:tcPr>
          <w:p w14:paraId="2C7D4692">
            <w:pPr>
              <w:pStyle w:val="30"/>
              <w:spacing w:before="28"/>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415BE17F">
            <w:pPr>
              <w:pStyle w:val="30"/>
              <w:spacing w:before="28"/>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4AF81354">
            <w:pPr>
              <w:pStyle w:val="30"/>
              <w:spacing w:before="42"/>
              <w:ind w:right="147"/>
              <w:rPr>
                <w:color w:val="auto"/>
                <w:sz w:val="20"/>
              </w:rPr>
            </w:pPr>
            <w:r>
              <w:rPr>
                <w:color w:val="auto"/>
                <w:sz w:val="20"/>
              </w:rPr>
              <w:t>0100</w:t>
            </w:r>
          </w:p>
        </w:tc>
        <w:tc>
          <w:tcPr>
            <w:tcW w:w="752" w:type="dxa"/>
            <w:vAlign w:val="top"/>
          </w:tcPr>
          <w:p w14:paraId="17F81051">
            <w:pPr>
              <w:pStyle w:val="30"/>
              <w:spacing w:before="42"/>
              <w:ind w:right="145"/>
              <w:rPr>
                <w:color w:val="auto"/>
                <w:sz w:val="20"/>
              </w:rPr>
            </w:pPr>
            <w:r>
              <w:rPr>
                <w:color w:val="auto"/>
                <w:sz w:val="20"/>
              </w:rPr>
              <w:t>0044</w:t>
            </w:r>
          </w:p>
        </w:tc>
        <w:tc>
          <w:tcPr>
            <w:tcW w:w="1366" w:type="dxa"/>
            <w:vAlign w:val="top"/>
          </w:tcPr>
          <w:p w14:paraId="7212194B">
            <w:pPr>
              <w:pStyle w:val="30"/>
              <w:spacing w:before="42"/>
              <w:ind w:left="235" w:right="225"/>
              <w:rPr>
                <w:color w:val="auto"/>
                <w:sz w:val="20"/>
              </w:rPr>
            </w:pPr>
            <w:r>
              <w:rPr>
                <w:color w:val="auto"/>
                <w:sz w:val="20"/>
              </w:rPr>
              <w:t>3.68</w:t>
            </w:r>
          </w:p>
        </w:tc>
        <w:tc>
          <w:tcPr>
            <w:tcW w:w="1121" w:type="dxa"/>
            <w:vAlign w:val="top"/>
          </w:tcPr>
          <w:p w14:paraId="6981312C">
            <w:pPr>
              <w:pStyle w:val="30"/>
              <w:spacing w:before="42"/>
              <w:ind w:left="212" w:right="203"/>
              <w:rPr>
                <w:color w:val="auto"/>
                <w:sz w:val="20"/>
              </w:rPr>
            </w:pPr>
            <w:r>
              <w:rPr>
                <w:color w:val="auto"/>
                <w:sz w:val="20"/>
              </w:rPr>
              <w:t>55.20</w:t>
            </w:r>
          </w:p>
        </w:tc>
        <w:tc>
          <w:tcPr>
            <w:tcW w:w="1990" w:type="dxa"/>
            <w:vAlign w:val="top"/>
          </w:tcPr>
          <w:p w14:paraId="42CAA188">
            <w:pPr>
              <w:pStyle w:val="30"/>
              <w:spacing w:before="28"/>
              <w:ind w:left="276" w:right="269"/>
              <w:rPr>
                <w:rFonts w:hint="eastAsia" w:ascii="宋体" w:eastAsia="宋体"/>
                <w:color w:val="auto"/>
                <w:sz w:val="20"/>
              </w:rPr>
            </w:pPr>
            <w:r>
              <w:rPr>
                <w:rFonts w:hint="eastAsia" w:ascii="宋体" w:eastAsia="宋体"/>
                <w:color w:val="auto"/>
                <w:sz w:val="20"/>
              </w:rPr>
              <w:t>实现无疫情小班</w:t>
            </w:r>
          </w:p>
        </w:tc>
      </w:tr>
      <w:tr w14:paraId="6CB34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39182CA3">
            <w:pPr>
              <w:pStyle w:val="30"/>
              <w:spacing w:before="41"/>
              <w:ind w:left="8"/>
              <w:rPr>
                <w:color w:val="auto"/>
                <w:sz w:val="20"/>
              </w:rPr>
            </w:pPr>
            <w:r>
              <w:rPr>
                <w:color w:val="auto"/>
                <w:w w:val="99"/>
                <w:sz w:val="20"/>
              </w:rPr>
              <w:t>2</w:t>
            </w:r>
          </w:p>
        </w:tc>
        <w:tc>
          <w:tcPr>
            <w:tcW w:w="996" w:type="dxa"/>
            <w:vAlign w:val="top"/>
          </w:tcPr>
          <w:p w14:paraId="63B6C614">
            <w:pPr>
              <w:pStyle w:val="30"/>
              <w:spacing w:before="28"/>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0B80C8B7">
            <w:pPr>
              <w:pStyle w:val="30"/>
              <w:spacing w:before="28"/>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39AEEF13">
            <w:pPr>
              <w:pStyle w:val="30"/>
              <w:spacing w:before="41"/>
              <w:ind w:right="147"/>
              <w:rPr>
                <w:color w:val="auto"/>
                <w:sz w:val="20"/>
              </w:rPr>
            </w:pPr>
            <w:r>
              <w:rPr>
                <w:color w:val="auto"/>
                <w:sz w:val="20"/>
              </w:rPr>
              <w:t>0200</w:t>
            </w:r>
          </w:p>
        </w:tc>
        <w:tc>
          <w:tcPr>
            <w:tcW w:w="752" w:type="dxa"/>
            <w:vAlign w:val="top"/>
          </w:tcPr>
          <w:p w14:paraId="0165A4DF">
            <w:pPr>
              <w:pStyle w:val="30"/>
              <w:spacing w:before="41"/>
              <w:ind w:right="145"/>
              <w:rPr>
                <w:color w:val="auto"/>
                <w:sz w:val="20"/>
              </w:rPr>
            </w:pPr>
            <w:r>
              <w:rPr>
                <w:color w:val="auto"/>
                <w:sz w:val="20"/>
              </w:rPr>
              <w:t>0010</w:t>
            </w:r>
          </w:p>
        </w:tc>
        <w:tc>
          <w:tcPr>
            <w:tcW w:w="1366" w:type="dxa"/>
            <w:vAlign w:val="top"/>
          </w:tcPr>
          <w:p w14:paraId="7B300A4D">
            <w:pPr>
              <w:pStyle w:val="30"/>
              <w:spacing w:before="41"/>
              <w:ind w:left="235" w:right="225"/>
              <w:rPr>
                <w:color w:val="auto"/>
                <w:sz w:val="20"/>
              </w:rPr>
            </w:pPr>
            <w:r>
              <w:rPr>
                <w:color w:val="auto"/>
                <w:sz w:val="20"/>
              </w:rPr>
              <w:t>1.65</w:t>
            </w:r>
          </w:p>
        </w:tc>
        <w:tc>
          <w:tcPr>
            <w:tcW w:w="1121" w:type="dxa"/>
            <w:vAlign w:val="top"/>
          </w:tcPr>
          <w:p w14:paraId="778C2392">
            <w:pPr>
              <w:pStyle w:val="30"/>
              <w:spacing w:before="41"/>
              <w:ind w:left="212" w:right="203"/>
              <w:rPr>
                <w:color w:val="auto"/>
                <w:sz w:val="20"/>
              </w:rPr>
            </w:pPr>
            <w:r>
              <w:rPr>
                <w:color w:val="auto"/>
                <w:sz w:val="20"/>
              </w:rPr>
              <w:t>24.75</w:t>
            </w:r>
          </w:p>
        </w:tc>
        <w:tc>
          <w:tcPr>
            <w:tcW w:w="1990" w:type="dxa"/>
            <w:vAlign w:val="top"/>
          </w:tcPr>
          <w:p w14:paraId="573E5C4F">
            <w:pPr>
              <w:pStyle w:val="30"/>
              <w:spacing w:before="28"/>
              <w:ind w:left="276" w:right="269"/>
              <w:rPr>
                <w:rFonts w:hint="eastAsia" w:ascii="宋体" w:eastAsia="宋体"/>
                <w:color w:val="auto"/>
                <w:sz w:val="20"/>
              </w:rPr>
            </w:pPr>
            <w:r>
              <w:rPr>
                <w:rFonts w:hint="eastAsia" w:ascii="宋体" w:eastAsia="宋体"/>
                <w:color w:val="auto"/>
                <w:sz w:val="20"/>
              </w:rPr>
              <w:t>实现无疫情小班</w:t>
            </w:r>
          </w:p>
        </w:tc>
      </w:tr>
      <w:tr w14:paraId="7F6A5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27451E2B">
            <w:pPr>
              <w:pStyle w:val="30"/>
              <w:spacing w:before="43"/>
              <w:ind w:left="8"/>
              <w:rPr>
                <w:color w:val="auto"/>
                <w:sz w:val="20"/>
              </w:rPr>
            </w:pPr>
            <w:r>
              <w:rPr>
                <w:color w:val="auto"/>
                <w:w w:val="99"/>
                <w:sz w:val="20"/>
              </w:rPr>
              <w:t>3</w:t>
            </w:r>
          </w:p>
        </w:tc>
        <w:tc>
          <w:tcPr>
            <w:tcW w:w="996" w:type="dxa"/>
            <w:vAlign w:val="top"/>
          </w:tcPr>
          <w:p w14:paraId="7750E672">
            <w:pPr>
              <w:pStyle w:val="30"/>
              <w:spacing w:before="30"/>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199FE000">
            <w:pPr>
              <w:pStyle w:val="30"/>
              <w:spacing w:before="30"/>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7DA8EA4A">
            <w:pPr>
              <w:pStyle w:val="30"/>
              <w:spacing w:before="43"/>
              <w:ind w:right="147"/>
              <w:rPr>
                <w:color w:val="auto"/>
                <w:sz w:val="20"/>
              </w:rPr>
            </w:pPr>
            <w:r>
              <w:rPr>
                <w:color w:val="auto"/>
                <w:sz w:val="20"/>
              </w:rPr>
              <w:t>0200</w:t>
            </w:r>
          </w:p>
        </w:tc>
        <w:tc>
          <w:tcPr>
            <w:tcW w:w="752" w:type="dxa"/>
            <w:vAlign w:val="top"/>
          </w:tcPr>
          <w:p w14:paraId="7CF20EC8">
            <w:pPr>
              <w:pStyle w:val="30"/>
              <w:spacing w:before="43"/>
              <w:ind w:right="145"/>
              <w:rPr>
                <w:color w:val="auto"/>
                <w:sz w:val="20"/>
              </w:rPr>
            </w:pPr>
            <w:r>
              <w:rPr>
                <w:color w:val="auto"/>
                <w:sz w:val="20"/>
              </w:rPr>
              <w:t>0013</w:t>
            </w:r>
          </w:p>
        </w:tc>
        <w:tc>
          <w:tcPr>
            <w:tcW w:w="1366" w:type="dxa"/>
            <w:vAlign w:val="top"/>
          </w:tcPr>
          <w:p w14:paraId="55D57A24">
            <w:pPr>
              <w:pStyle w:val="30"/>
              <w:spacing w:before="43"/>
              <w:ind w:left="235" w:right="227"/>
              <w:rPr>
                <w:color w:val="auto"/>
                <w:sz w:val="20"/>
              </w:rPr>
            </w:pPr>
            <w:r>
              <w:rPr>
                <w:color w:val="auto"/>
                <w:sz w:val="20"/>
              </w:rPr>
              <w:t>10.07</w:t>
            </w:r>
          </w:p>
        </w:tc>
        <w:tc>
          <w:tcPr>
            <w:tcW w:w="1121" w:type="dxa"/>
            <w:vAlign w:val="top"/>
          </w:tcPr>
          <w:p w14:paraId="03BB40B5">
            <w:pPr>
              <w:pStyle w:val="30"/>
              <w:spacing w:before="43"/>
              <w:ind w:left="212" w:right="203"/>
              <w:rPr>
                <w:color w:val="auto"/>
                <w:sz w:val="20"/>
              </w:rPr>
            </w:pPr>
            <w:r>
              <w:rPr>
                <w:color w:val="auto"/>
                <w:sz w:val="20"/>
              </w:rPr>
              <w:t>151.05</w:t>
            </w:r>
          </w:p>
        </w:tc>
        <w:tc>
          <w:tcPr>
            <w:tcW w:w="1990" w:type="dxa"/>
            <w:vAlign w:val="top"/>
          </w:tcPr>
          <w:p w14:paraId="4102C03E">
            <w:pPr>
              <w:pStyle w:val="30"/>
              <w:spacing w:before="30"/>
              <w:ind w:left="276" w:right="269"/>
              <w:rPr>
                <w:rFonts w:hint="eastAsia" w:ascii="宋体" w:eastAsia="宋体"/>
                <w:color w:val="auto"/>
                <w:sz w:val="20"/>
              </w:rPr>
            </w:pPr>
            <w:r>
              <w:rPr>
                <w:rFonts w:hint="eastAsia" w:ascii="宋体" w:eastAsia="宋体"/>
                <w:color w:val="auto"/>
                <w:sz w:val="20"/>
              </w:rPr>
              <w:t>实现无疫情小班</w:t>
            </w:r>
          </w:p>
        </w:tc>
      </w:tr>
      <w:tr w14:paraId="49F5B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2A7DE93C">
            <w:pPr>
              <w:pStyle w:val="30"/>
              <w:spacing w:before="43"/>
              <w:ind w:left="8"/>
              <w:rPr>
                <w:color w:val="auto"/>
                <w:sz w:val="20"/>
              </w:rPr>
            </w:pPr>
            <w:r>
              <w:rPr>
                <w:color w:val="auto"/>
                <w:w w:val="99"/>
                <w:sz w:val="20"/>
              </w:rPr>
              <w:t>4</w:t>
            </w:r>
          </w:p>
        </w:tc>
        <w:tc>
          <w:tcPr>
            <w:tcW w:w="996" w:type="dxa"/>
            <w:vAlign w:val="top"/>
          </w:tcPr>
          <w:p w14:paraId="1BA9BC8D">
            <w:pPr>
              <w:pStyle w:val="30"/>
              <w:spacing w:before="29"/>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548747ED">
            <w:pPr>
              <w:pStyle w:val="30"/>
              <w:spacing w:before="29"/>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4E555326">
            <w:pPr>
              <w:pStyle w:val="30"/>
              <w:spacing w:before="43"/>
              <w:ind w:right="147"/>
              <w:rPr>
                <w:color w:val="auto"/>
                <w:sz w:val="20"/>
              </w:rPr>
            </w:pPr>
            <w:r>
              <w:rPr>
                <w:color w:val="auto"/>
                <w:sz w:val="20"/>
              </w:rPr>
              <w:t>0200</w:t>
            </w:r>
          </w:p>
        </w:tc>
        <w:tc>
          <w:tcPr>
            <w:tcW w:w="752" w:type="dxa"/>
            <w:vAlign w:val="top"/>
          </w:tcPr>
          <w:p w14:paraId="7217F442">
            <w:pPr>
              <w:pStyle w:val="30"/>
              <w:spacing w:before="43"/>
              <w:ind w:right="145"/>
              <w:rPr>
                <w:color w:val="auto"/>
                <w:sz w:val="20"/>
              </w:rPr>
            </w:pPr>
            <w:r>
              <w:rPr>
                <w:color w:val="auto"/>
                <w:sz w:val="20"/>
              </w:rPr>
              <w:t>0017</w:t>
            </w:r>
          </w:p>
        </w:tc>
        <w:tc>
          <w:tcPr>
            <w:tcW w:w="1366" w:type="dxa"/>
            <w:vAlign w:val="top"/>
          </w:tcPr>
          <w:p w14:paraId="30C4D029">
            <w:pPr>
              <w:pStyle w:val="30"/>
              <w:spacing w:before="43"/>
              <w:ind w:left="235" w:right="225"/>
              <w:rPr>
                <w:color w:val="auto"/>
                <w:sz w:val="20"/>
              </w:rPr>
            </w:pPr>
            <w:r>
              <w:rPr>
                <w:color w:val="auto"/>
                <w:sz w:val="20"/>
              </w:rPr>
              <w:t>1.00</w:t>
            </w:r>
          </w:p>
        </w:tc>
        <w:tc>
          <w:tcPr>
            <w:tcW w:w="1121" w:type="dxa"/>
            <w:vAlign w:val="top"/>
          </w:tcPr>
          <w:p w14:paraId="502EDB42">
            <w:pPr>
              <w:pStyle w:val="30"/>
              <w:spacing w:before="43"/>
              <w:ind w:left="212" w:right="203"/>
              <w:rPr>
                <w:color w:val="auto"/>
                <w:sz w:val="20"/>
              </w:rPr>
            </w:pPr>
            <w:r>
              <w:rPr>
                <w:color w:val="auto"/>
                <w:sz w:val="20"/>
              </w:rPr>
              <w:t>15.00</w:t>
            </w:r>
          </w:p>
        </w:tc>
        <w:tc>
          <w:tcPr>
            <w:tcW w:w="1990" w:type="dxa"/>
            <w:vAlign w:val="top"/>
          </w:tcPr>
          <w:p w14:paraId="1CE01220">
            <w:pPr>
              <w:pStyle w:val="30"/>
              <w:spacing w:before="29"/>
              <w:ind w:left="276" w:right="269"/>
              <w:rPr>
                <w:rFonts w:hint="eastAsia" w:ascii="宋体" w:eastAsia="宋体"/>
                <w:color w:val="auto"/>
                <w:sz w:val="20"/>
              </w:rPr>
            </w:pPr>
            <w:r>
              <w:rPr>
                <w:rFonts w:hint="eastAsia" w:ascii="宋体" w:eastAsia="宋体"/>
                <w:color w:val="auto"/>
                <w:sz w:val="20"/>
              </w:rPr>
              <w:t>实现无疫情小班</w:t>
            </w:r>
          </w:p>
        </w:tc>
      </w:tr>
      <w:tr w14:paraId="2FB4E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63215E88">
            <w:pPr>
              <w:pStyle w:val="30"/>
              <w:spacing w:before="42"/>
              <w:ind w:left="8"/>
              <w:rPr>
                <w:color w:val="auto"/>
                <w:sz w:val="20"/>
              </w:rPr>
            </w:pPr>
            <w:r>
              <w:rPr>
                <w:color w:val="auto"/>
                <w:w w:val="99"/>
                <w:sz w:val="20"/>
              </w:rPr>
              <w:t>5</w:t>
            </w:r>
          </w:p>
        </w:tc>
        <w:tc>
          <w:tcPr>
            <w:tcW w:w="996" w:type="dxa"/>
            <w:vAlign w:val="top"/>
          </w:tcPr>
          <w:p w14:paraId="3BDBC25D">
            <w:pPr>
              <w:pStyle w:val="30"/>
              <w:spacing w:before="29"/>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3EAAB4AF">
            <w:pPr>
              <w:pStyle w:val="30"/>
              <w:spacing w:before="29"/>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726D027F">
            <w:pPr>
              <w:pStyle w:val="30"/>
              <w:spacing w:before="42"/>
              <w:ind w:right="147"/>
              <w:rPr>
                <w:color w:val="auto"/>
                <w:sz w:val="20"/>
              </w:rPr>
            </w:pPr>
            <w:r>
              <w:rPr>
                <w:color w:val="auto"/>
                <w:sz w:val="20"/>
              </w:rPr>
              <w:t>0200</w:t>
            </w:r>
          </w:p>
        </w:tc>
        <w:tc>
          <w:tcPr>
            <w:tcW w:w="752" w:type="dxa"/>
            <w:vAlign w:val="top"/>
          </w:tcPr>
          <w:p w14:paraId="67DA3897">
            <w:pPr>
              <w:pStyle w:val="30"/>
              <w:spacing w:before="42"/>
              <w:ind w:right="145"/>
              <w:rPr>
                <w:color w:val="auto"/>
                <w:sz w:val="20"/>
              </w:rPr>
            </w:pPr>
            <w:r>
              <w:rPr>
                <w:color w:val="auto"/>
                <w:sz w:val="20"/>
              </w:rPr>
              <w:t>0023</w:t>
            </w:r>
          </w:p>
        </w:tc>
        <w:tc>
          <w:tcPr>
            <w:tcW w:w="1366" w:type="dxa"/>
            <w:vAlign w:val="top"/>
          </w:tcPr>
          <w:p w14:paraId="2C06BDB3">
            <w:pPr>
              <w:pStyle w:val="30"/>
              <w:spacing w:before="42"/>
              <w:ind w:left="235" w:right="225"/>
              <w:rPr>
                <w:color w:val="auto"/>
                <w:sz w:val="20"/>
              </w:rPr>
            </w:pPr>
            <w:r>
              <w:rPr>
                <w:color w:val="auto"/>
                <w:sz w:val="20"/>
              </w:rPr>
              <w:t>1.08</w:t>
            </w:r>
          </w:p>
        </w:tc>
        <w:tc>
          <w:tcPr>
            <w:tcW w:w="1121" w:type="dxa"/>
            <w:vAlign w:val="top"/>
          </w:tcPr>
          <w:p w14:paraId="0A46AC59">
            <w:pPr>
              <w:pStyle w:val="30"/>
              <w:spacing w:before="42"/>
              <w:ind w:left="212" w:right="203"/>
              <w:rPr>
                <w:color w:val="auto"/>
                <w:sz w:val="20"/>
              </w:rPr>
            </w:pPr>
            <w:r>
              <w:rPr>
                <w:color w:val="auto"/>
                <w:sz w:val="20"/>
              </w:rPr>
              <w:t>16.20</w:t>
            </w:r>
          </w:p>
        </w:tc>
        <w:tc>
          <w:tcPr>
            <w:tcW w:w="1990" w:type="dxa"/>
            <w:vAlign w:val="top"/>
          </w:tcPr>
          <w:p w14:paraId="653388AC">
            <w:pPr>
              <w:pStyle w:val="30"/>
              <w:spacing w:before="29"/>
              <w:ind w:left="276" w:right="269"/>
              <w:rPr>
                <w:rFonts w:hint="eastAsia" w:ascii="宋体" w:eastAsia="宋体"/>
                <w:color w:val="auto"/>
                <w:sz w:val="20"/>
              </w:rPr>
            </w:pPr>
            <w:r>
              <w:rPr>
                <w:rFonts w:hint="eastAsia" w:ascii="宋体" w:eastAsia="宋体"/>
                <w:color w:val="auto"/>
                <w:sz w:val="20"/>
              </w:rPr>
              <w:t>实现无疫情小班</w:t>
            </w:r>
          </w:p>
        </w:tc>
      </w:tr>
      <w:tr w14:paraId="09763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33EAB9E1">
            <w:pPr>
              <w:pStyle w:val="30"/>
              <w:spacing w:before="42"/>
              <w:ind w:left="8"/>
              <w:rPr>
                <w:color w:val="auto"/>
                <w:sz w:val="20"/>
              </w:rPr>
            </w:pPr>
            <w:r>
              <w:rPr>
                <w:color w:val="auto"/>
                <w:w w:val="99"/>
                <w:sz w:val="20"/>
              </w:rPr>
              <w:t>6</w:t>
            </w:r>
          </w:p>
        </w:tc>
        <w:tc>
          <w:tcPr>
            <w:tcW w:w="996" w:type="dxa"/>
            <w:vAlign w:val="top"/>
          </w:tcPr>
          <w:p w14:paraId="5BB8B143">
            <w:pPr>
              <w:pStyle w:val="30"/>
              <w:spacing w:before="29"/>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1A0F81AB">
            <w:pPr>
              <w:pStyle w:val="30"/>
              <w:spacing w:before="29"/>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0E0EB830">
            <w:pPr>
              <w:pStyle w:val="30"/>
              <w:spacing w:before="42"/>
              <w:ind w:right="147"/>
              <w:rPr>
                <w:color w:val="auto"/>
                <w:sz w:val="20"/>
              </w:rPr>
            </w:pPr>
            <w:r>
              <w:rPr>
                <w:color w:val="auto"/>
                <w:sz w:val="20"/>
              </w:rPr>
              <w:t>0200</w:t>
            </w:r>
          </w:p>
        </w:tc>
        <w:tc>
          <w:tcPr>
            <w:tcW w:w="752" w:type="dxa"/>
            <w:vAlign w:val="top"/>
          </w:tcPr>
          <w:p w14:paraId="4D4D03F0">
            <w:pPr>
              <w:pStyle w:val="30"/>
              <w:spacing w:before="42"/>
              <w:ind w:right="145"/>
              <w:rPr>
                <w:color w:val="auto"/>
                <w:sz w:val="20"/>
              </w:rPr>
            </w:pPr>
            <w:r>
              <w:rPr>
                <w:color w:val="auto"/>
                <w:sz w:val="20"/>
              </w:rPr>
              <w:t>0024</w:t>
            </w:r>
          </w:p>
        </w:tc>
        <w:tc>
          <w:tcPr>
            <w:tcW w:w="1366" w:type="dxa"/>
            <w:vAlign w:val="top"/>
          </w:tcPr>
          <w:p w14:paraId="1D87A32B">
            <w:pPr>
              <w:pStyle w:val="30"/>
              <w:spacing w:before="42"/>
              <w:ind w:left="235" w:right="225"/>
              <w:rPr>
                <w:color w:val="auto"/>
                <w:sz w:val="20"/>
              </w:rPr>
            </w:pPr>
            <w:r>
              <w:rPr>
                <w:color w:val="auto"/>
                <w:sz w:val="20"/>
              </w:rPr>
              <w:t>5.81</w:t>
            </w:r>
          </w:p>
        </w:tc>
        <w:tc>
          <w:tcPr>
            <w:tcW w:w="1121" w:type="dxa"/>
            <w:vAlign w:val="top"/>
          </w:tcPr>
          <w:p w14:paraId="01CDF521">
            <w:pPr>
              <w:pStyle w:val="30"/>
              <w:spacing w:before="42"/>
              <w:ind w:left="212" w:right="203"/>
              <w:rPr>
                <w:color w:val="auto"/>
                <w:sz w:val="20"/>
              </w:rPr>
            </w:pPr>
            <w:r>
              <w:rPr>
                <w:color w:val="auto"/>
                <w:sz w:val="20"/>
              </w:rPr>
              <w:t>87.15</w:t>
            </w:r>
          </w:p>
        </w:tc>
        <w:tc>
          <w:tcPr>
            <w:tcW w:w="1990" w:type="dxa"/>
            <w:vAlign w:val="top"/>
          </w:tcPr>
          <w:p w14:paraId="7AE713B8">
            <w:pPr>
              <w:pStyle w:val="30"/>
              <w:spacing w:before="29"/>
              <w:ind w:left="276" w:right="269"/>
              <w:rPr>
                <w:rFonts w:hint="eastAsia" w:ascii="宋体" w:eastAsia="宋体"/>
                <w:color w:val="auto"/>
                <w:sz w:val="20"/>
              </w:rPr>
            </w:pPr>
            <w:r>
              <w:rPr>
                <w:rFonts w:hint="eastAsia" w:ascii="宋体" w:eastAsia="宋体"/>
                <w:color w:val="auto"/>
                <w:sz w:val="20"/>
              </w:rPr>
              <w:t>实现无疫情小班</w:t>
            </w:r>
          </w:p>
        </w:tc>
      </w:tr>
      <w:tr w14:paraId="6CB7D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77083E45">
            <w:pPr>
              <w:pStyle w:val="30"/>
              <w:spacing w:before="42"/>
              <w:ind w:left="8"/>
              <w:rPr>
                <w:color w:val="auto"/>
                <w:sz w:val="20"/>
              </w:rPr>
            </w:pPr>
            <w:r>
              <w:rPr>
                <w:color w:val="auto"/>
                <w:w w:val="99"/>
                <w:sz w:val="20"/>
              </w:rPr>
              <w:t>7</w:t>
            </w:r>
          </w:p>
        </w:tc>
        <w:tc>
          <w:tcPr>
            <w:tcW w:w="996" w:type="dxa"/>
            <w:vAlign w:val="top"/>
          </w:tcPr>
          <w:p w14:paraId="1644F09E">
            <w:pPr>
              <w:pStyle w:val="30"/>
              <w:spacing w:before="28"/>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40FDDDAB">
            <w:pPr>
              <w:pStyle w:val="30"/>
              <w:spacing w:before="28"/>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39807A88">
            <w:pPr>
              <w:pStyle w:val="30"/>
              <w:spacing w:before="42"/>
              <w:ind w:right="147"/>
              <w:rPr>
                <w:color w:val="auto"/>
                <w:sz w:val="20"/>
              </w:rPr>
            </w:pPr>
            <w:r>
              <w:rPr>
                <w:color w:val="auto"/>
                <w:sz w:val="20"/>
              </w:rPr>
              <w:t>0200</w:t>
            </w:r>
          </w:p>
        </w:tc>
        <w:tc>
          <w:tcPr>
            <w:tcW w:w="752" w:type="dxa"/>
            <w:vAlign w:val="top"/>
          </w:tcPr>
          <w:p w14:paraId="785B9851">
            <w:pPr>
              <w:pStyle w:val="30"/>
              <w:spacing w:before="42"/>
              <w:ind w:right="145"/>
              <w:rPr>
                <w:color w:val="auto"/>
                <w:sz w:val="20"/>
              </w:rPr>
            </w:pPr>
            <w:r>
              <w:rPr>
                <w:color w:val="auto"/>
                <w:sz w:val="20"/>
              </w:rPr>
              <w:t>0034</w:t>
            </w:r>
          </w:p>
        </w:tc>
        <w:tc>
          <w:tcPr>
            <w:tcW w:w="1366" w:type="dxa"/>
            <w:vAlign w:val="top"/>
          </w:tcPr>
          <w:p w14:paraId="0B3AE758">
            <w:pPr>
              <w:pStyle w:val="30"/>
              <w:spacing w:before="42"/>
              <w:ind w:left="235" w:right="225"/>
              <w:rPr>
                <w:color w:val="auto"/>
                <w:sz w:val="20"/>
              </w:rPr>
            </w:pPr>
            <w:r>
              <w:rPr>
                <w:color w:val="auto"/>
                <w:sz w:val="20"/>
              </w:rPr>
              <w:t>3.84</w:t>
            </w:r>
          </w:p>
        </w:tc>
        <w:tc>
          <w:tcPr>
            <w:tcW w:w="1121" w:type="dxa"/>
            <w:vAlign w:val="top"/>
          </w:tcPr>
          <w:p w14:paraId="6BE2E3B9">
            <w:pPr>
              <w:pStyle w:val="30"/>
              <w:spacing w:before="42"/>
              <w:ind w:left="212" w:right="203"/>
              <w:rPr>
                <w:color w:val="auto"/>
                <w:sz w:val="20"/>
              </w:rPr>
            </w:pPr>
            <w:r>
              <w:rPr>
                <w:color w:val="auto"/>
                <w:sz w:val="20"/>
              </w:rPr>
              <w:t>57.60</w:t>
            </w:r>
          </w:p>
        </w:tc>
        <w:tc>
          <w:tcPr>
            <w:tcW w:w="1990" w:type="dxa"/>
            <w:vAlign w:val="top"/>
          </w:tcPr>
          <w:p w14:paraId="1655C011">
            <w:pPr>
              <w:pStyle w:val="30"/>
              <w:spacing w:before="28"/>
              <w:ind w:left="276" w:right="269"/>
              <w:rPr>
                <w:rFonts w:hint="eastAsia" w:ascii="宋体" w:eastAsia="宋体"/>
                <w:color w:val="auto"/>
                <w:sz w:val="20"/>
              </w:rPr>
            </w:pPr>
            <w:r>
              <w:rPr>
                <w:rFonts w:hint="eastAsia" w:ascii="宋体" w:eastAsia="宋体"/>
                <w:color w:val="auto"/>
                <w:sz w:val="20"/>
              </w:rPr>
              <w:t>实现无疫情小班</w:t>
            </w:r>
          </w:p>
        </w:tc>
      </w:tr>
      <w:tr w14:paraId="188A2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52A0225F">
            <w:pPr>
              <w:pStyle w:val="30"/>
              <w:spacing w:before="41"/>
              <w:ind w:left="8"/>
              <w:rPr>
                <w:color w:val="auto"/>
                <w:sz w:val="20"/>
              </w:rPr>
            </w:pPr>
            <w:r>
              <w:rPr>
                <w:color w:val="auto"/>
                <w:w w:val="99"/>
                <w:sz w:val="20"/>
              </w:rPr>
              <w:t>8</w:t>
            </w:r>
          </w:p>
        </w:tc>
        <w:tc>
          <w:tcPr>
            <w:tcW w:w="996" w:type="dxa"/>
            <w:vAlign w:val="top"/>
          </w:tcPr>
          <w:p w14:paraId="0F26A50D">
            <w:pPr>
              <w:pStyle w:val="30"/>
              <w:spacing w:before="28"/>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76321B05">
            <w:pPr>
              <w:pStyle w:val="30"/>
              <w:spacing w:before="28"/>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20F702CA">
            <w:pPr>
              <w:pStyle w:val="30"/>
              <w:spacing w:before="41"/>
              <w:ind w:right="147"/>
              <w:rPr>
                <w:color w:val="auto"/>
                <w:sz w:val="20"/>
              </w:rPr>
            </w:pPr>
            <w:r>
              <w:rPr>
                <w:color w:val="auto"/>
                <w:sz w:val="20"/>
              </w:rPr>
              <w:t>0200</w:t>
            </w:r>
          </w:p>
        </w:tc>
        <w:tc>
          <w:tcPr>
            <w:tcW w:w="752" w:type="dxa"/>
            <w:vAlign w:val="top"/>
          </w:tcPr>
          <w:p w14:paraId="682288B0">
            <w:pPr>
              <w:pStyle w:val="30"/>
              <w:spacing w:before="41"/>
              <w:ind w:right="145"/>
              <w:rPr>
                <w:color w:val="auto"/>
                <w:sz w:val="20"/>
              </w:rPr>
            </w:pPr>
            <w:r>
              <w:rPr>
                <w:color w:val="auto"/>
                <w:sz w:val="20"/>
              </w:rPr>
              <w:t>0035</w:t>
            </w:r>
          </w:p>
        </w:tc>
        <w:tc>
          <w:tcPr>
            <w:tcW w:w="1366" w:type="dxa"/>
            <w:vAlign w:val="top"/>
          </w:tcPr>
          <w:p w14:paraId="7ADADB13">
            <w:pPr>
              <w:pStyle w:val="30"/>
              <w:spacing w:before="41"/>
              <w:ind w:left="235" w:right="225"/>
              <w:rPr>
                <w:color w:val="auto"/>
                <w:sz w:val="20"/>
              </w:rPr>
            </w:pPr>
            <w:r>
              <w:rPr>
                <w:color w:val="auto"/>
                <w:sz w:val="20"/>
              </w:rPr>
              <w:t>4.67</w:t>
            </w:r>
          </w:p>
        </w:tc>
        <w:tc>
          <w:tcPr>
            <w:tcW w:w="1121" w:type="dxa"/>
            <w:vAlign w:val="top"/>
          </w:tcPr>
          <w:p w14:paraId="083C8CBD">
            <w:pPr>
              <w:pStyle w:val="30"/>
              <w:spacing w:before="41"/>
              <w:ind w:left="212" w:right="203"/>
              <w:rPr>
                <w:color w:val="auto"/>
                <w:sz w:val="20"/>
              </w:rPr>
            </w:pPr>
            <w:r>
              <w:rPr>
                <w:color w:val="auto"/>
                <w:sz w:val="20"/>
              </w:rPr>
              <w:t>70.05</w:t>
            </w:r>
          </w:p>
        </w:tc>
        <w:tc>
          <w:tcPr>
            <w:tcW w:w="1990" w:type="dxa"/>
            <w:vAlign w:val="top"/>
          </w:tcPr>
          <w:p w14:paraId="085CB33F">
            <w:pPr>
              <w:pStyle w:val="30"/>
              <w:spacing w:before="28"/>
              <w:ind w:left="276" w:right="269"/>
              <w:rPr>
                <w:rFonts w:hint="eastAsia" w:ascii="宋体" w:eastAsia="宋体"/>
                <w:color w:val="auto"/>
                <w:sz w:val="20"/>
              </w:rPr>
            </w:pPr>
            <w:r>
              <w:rPr>
                <w:rFonts w:hint="eastAsia" w:ascii="宋体" w:eastAsia="宋体"/>
                <w:color w:val="auto"/>
                <w:sz w:val="20"/>
              </w:rPr>
              <w:t>实现无疫情小班</w:t>
            </w:r>
          </w:p>
        </w:tc>
      </w:tr>
      <w:tr w14:paraId="6904F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32DD1B7E">
            <w:pPr>
              <w:pStyle w:val="30"/>
              <w:spacing w:before="43"/>
              <w:ind w:left="8"/>
              <w:rPr>
                <w:color w:val="auto"/>
                <w:sz w:val="20"/>
              </w:rPr>
            </w:pPr>
            <w:r>
              <w:rPr>
                <w:color w:val="auto"/>
                <w:w w:val="99"/>
                <w:sz w:val="20"/>
              </w:rPr>
              <w:t>9</w:t>
            </w:r>
          </w:p>
        </w:tc>
        <w:tc>
          <w:tcPr>
            <w:tcW w:w="996" w:type="dxa"/>
            <w:vAlign w:val="top"/>
          </w:tcPr>
          <w:p w14:paraId="0744F7A3">
            <w:pPr>
              <w:pStyle w:val="30"/>
              <w:spacing w:before="30"/>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6A7B22FE">
            <w:pPr>
              <w:pStyle w:val="30"/>
              <w:spacing w:before="30"/>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368452C3">
            <w:pPr>
              <w:pStyle w:val="30"/>
              <w:spacing w:before="43"/>
              <w:ind w:right="147"/>
              <w:rPr>
                <w:color w:val="auto"/>
                <w:sz w:val="20"/>
              </w:rPr>
            </w:pPr>
            <w:r>
              <w:rPr>
                <w:color w:val="auto"/>
                <w:sz w:val="20"/>
              </w:rPr>
              <w:t>0200</w:t>
            </w:r>
          </w:p>
        </w:tc>
        <w:tc>
          <w:tcPr>
            <w:tcW w:w="752" w:type="dxa"/>
            <w:vAlign w:val="top"/>
          </w:tcPr>
          <w:p w14:paraId="2B67AF33">
            <w:pPr>
              <w:pStyle w:val="30"/>
              <w:spacing w:before="43"/>
              <w:ind w:right="145"/>
              <w:rPr>
                <w:color w:val="auto"/>
                <w:sz w:val="20"/>
              </w:rPr>
            </w:pPr>
            <w:r>
              <w:rPr>
                <w:color w:val="auto"/>
                <w:sz w:val="20"/>
              </w:rPr>
              <w:t>0038</w:t>
            </w:r>
          </w:p>
        </w:tc>
        <w:tc>
          <w:tcPr>
            <w:tcW w:w="1366" w:type="dxa"/>
            <w:vAlign w:val="top"/>
          </w:tcPr>
          <w:p w14:paraId="41A32CD5">
            <w:pPr>
              <w:pStyle w:val="30"/>
              <w:spacing w:before="43"/>
              <w:ind w:left="235" w:right="225"/>
              <w:rPr>
                <w:color w:val="auto"/>
                <w:sz w:val="20"/>
              </w:rPr>
            </w:pPr>
            <w:r>
              <w:rPr>
                <w:color w:val="auto"/>
                <w:sz w:val="20"/>
              </w:rPr>
              <w:t>3.40</w:t>
            </w:r>
          </w:p>
        </w:tc>
        <w:tc>
          <w:tcPr>
            <w:tcW w:w="1121" w:type="dxa"/>
            <w:vAlign w:val="top"/>
          </w:tcPr>
          <w:p w14:paraId="27FC2B85">
            <w:pPr>
              <w:pStyle w:val="30"/>
              <w:spacing w:before="43"/>
              <w:ind w:left="212" w:right="203"/>
              <w:rPr>
                <w:color w:val="auto"/>
                <w:sz w:val="20"/>
              </w:rPr>
            </w:pPr>
            <w:r>
              <w:rPr>
                <w:color w:val="auto"/>
                <w:sz w:val="20"/>
              </w:rPr>
              <w:t>51.00</w:t>
            </w:r>
          </w:p>
        </w:tc>
        <w:tc>
          <w:tcPr>
            <w:tcW w:w="1990" w:type="dxa"/>
            <w:vAlign w:val="top"/>
          </w:tcPr>
          <w:p w14:paraId="6C0CB2B6">
            <w:pPr>
              <w:pStyle w:val="30"/>
              <w:spacing w:before="30"/>
              <w:ind w:left="276" w:right="269"/>
              <w:rPr>
                <w:rFonts w:hint="eastAsia" w:ascii="宋体" w:eastAsia="宋体"/>
                <w:color w:val="auto"/>
                <w:sz w:val="20"/>
              </w:rPr>
            </w:pPr>
            <w:r>
              <w:rPr>
                <w:rFonts w:hint="eastAsia" w:ascii="宋体" w:eastAsia="宋体"/>
                <w:color w:val="auto"/>
                <w:sz w:val="20"/>
              </w:rPr>
              <w:t>实现无疫情小班</w:t>
            </w:r>
          </w:p>
        </w:tc>
      </w:tr>
      <w:tr w14:paraId="0B089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3C397FCB">
            <w:pPr>
              <w:pStyle w:val="30"/>
              <w:spacing w:before="43"/>
              <w:ind w:right="146"/>
              <w:rPr>
                <w:color w:val="auto"/>
                <w:sz w:val="20"/>
              </w:rPr>
            </w:pPr>
            <w:r>
              <w:rPr>
                <w:color w:val="auto"/>
                <w:sz w:val="20"/>
              </w:rPr>
              <w:t>10</w:t>
            </w:r>
          </w:p>
        </w:tc>
        <w:tc>
          <w:tcPr>
            <w:tcW w:w="996" w:type="dxa"/>
            <w:vAlign w:val="top"/>
          </w:tcPr>
          <w:p w14:paraId="70ED187D">
            <w:pPr>
              <w:pStyle w:val="30"/>
              <w:spacing w:before="30"/>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2DC78A41">
            <w:pPr>
              <w:pStyle w:val="30"/>
              <w:spacing w:before="30"/>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747389EA">
            <w:pPr>
              <w:pStyle w:val="30"/>
              <w:spacing w:before="43"/>
              <w:ind w:right="147"/>
              <w:rPr>
                <w:color w:val="auto"/>
                <w:sz w:val="20"/>
              </w:rPr>
            </w:pPr>
            <w:r>
              <w:rPr>
                <w:color w:val="auto"/>
                <w:sz w:val="20"/>
              </w:rPr>
              <w:t>0200</w:t>
            </w:r>
          </w:p>
        </w:tc>
        <w:tc>
          <w:tcPr>
            <w:tcW w:w="752" w:type="dxa"/>
            <w:vAlign w:val="top"/>
          </w:tcPr>
          <w:p w14:paraId="455F57D4">
            <w:pPr>
              <w:pStyle w:val="30"/>
              <w:spacing w:before="43"/>
              <w:ind w:right="145"/>
              <w:rPr>
                <w:color w:val="auto"/>
                <w:sz w:val="20"/>
              </w:rPr>
            </w:pPr>
            <w:r>
              <w:rPr>
                <w:color w:val="auto"/>
                <w:sz w:val="20"/>
              </w:rPr>
              <w:t>0041</w:t>
            </w:r>
          </w:p>
        </w:tc>
        <w:tc>
          <w:tcPr>
            <w:tcW w:w="1366" w:type="dxa"/>
            <w:vAlign w:val="top"/>
          </w:tcPr>
          <w:p w14:paraId="5544EFDC">
            <w:pPr>
              <w:pStyle w:val="30"/>
              <w:spacing w:before="43"/>
              <w:ind w:left="235" w:right="225"/>
              <w:rPr>
                <w:color w:val="auto"/>
                <w:sz w:val="20"/>
              </w:rPr>
            </w:pPr>
            <w:r>
              <w:rPr>
                <w:color w:val="auto"/>
                <w:sz w:val="20"/>
              </w:rPr>
              <w:t>2.92</w:t>
            </w:r>
          </w:p>
        </w:tc>
        <w:tc>
          <w:tcPr>
            <w:tcW w:w="1121" w:type="dxa"/>
            <w:vAlign w:val="top"/>
          </w:tcPr>
          <w:p w14:paraId="2ABF6A5A">
            <w:pPr>
              <w:pStyle w:val="30"/>
              <w:spacing w:before="43"/>
              <w:ind w:left="212" w:right="203"/>
              <w:rPr>
                <w:color w:val="auto"/>
                <w:sz w:val="20"/>
              </w:rPr>
            </w:pPr>
            <w:r>
              <w:rPr>
                <w:color w:val="auto"/>
                <w:sz w:val="20"/>
              </w:rPr>
              <w:t>43.80</w:t>
            </w:r>
          </w:p>
        </w:tc>
        <w:tc>
          <w:tcPr>
            <w:tcW w:w="1990" w:type="dxa"/>
            <w:vAlign w:val="top"/>
          </w:tcPr>
          <w:p w14:paraId="5E6B3EED">
            <w:pPr>
              <w:pStyle w:val="30"/>
              <w:spacing w:before="30"/>
              <w:ind w:left="276" w:right="269"/>
              <w:rPr>
                <w:rFonts w:hint="eastAsia" w:ascii="宋体" w:eastAsia="宋体"/>
                <w:color w:val="auto"/>
                <w:sz w:val="20"/>
              </w:rPr>
            </w:pPr>
            <w:r>
              <w:rPr>
                <w:rFonts w:hint="eastAsia" w:ascii="宋体" w:eastAsia="宋体"/>
                <w:color w:val="auto"/>
                <w:sz w:val="20"/>
              </w:rPr>
              <w:t>实现无疫情小班</w:t>
            </w:r>
          </w:p>
        </w:tc>
      </w:tr>
      <w:tr w14:paraId="2B2B0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2BD81139">
            <w:pPr>
              <w:pStyle w:val="30"/>
              <w:spacing w:before="42"/>
              <w:ind w:right="146"/>
              <w:rPr>
                <w:color w:val="auto"/>
                <w:sz w:val="20"/>
              </w:rPr>
            </w:pPr>
            <w:r>
              <w:rPr>
                <w:color w:val="auto"/>
                <w:sz w:val="20"/>
              </w:rPr>
              <w:t>11</w:t>
            </w:r>
          </w:p>
        </w:tc>
        <w:tc>
          <w:tcPr>
            <w:tcW w:w="996" w:type="dxa"/>
            <w:vAlign w:val="top"/>
          </w:tcPr>
          <w:p w14:paraId="040AA19C">
            <w:pPr>
              <w:pStyle w:val="30"/>
              <w:spacing w:before="29"/>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0452F6A0">
            <w:pPr>
              <w:pStyle w:val="30"/>
              <w:spacing w:before="29"/>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3666524A">
            <w:pPr>
              <w:pStyle w:val="30"/>
              <w:spacing w:before="42"/>
              <w:ind w:right="147"/>
              <w:rPr>
                <w:color w:val="auto"/>
                <w:sz w:val="20"/>
              </w:rPr>
            </w:pPr>
            <w:r>
              <w:rPr>
                <w:color w:val="auto"/>
                <w:sz w:val="20"/>
              </w:rPr>
              <w:t>0200</w:t>
            </w:r>
          </w:p>
        </w:tc>
        <w:tc>
          <w:tcPr>
            <w:tcW w:w="752" w:type="dxa"/>
            <w:vAlign w:val="top"/>
          </w:tcPr>
          <w:p w14:paraId="2516D653">
            <w:pPr>
              <w:pStyle w:val="30"/>
              <w:spacing w:before="42"/>
              <w:ind w:right="145"/>
              <w:rPr>
                <w:color w:val="auto"/>
                <w:sz w:val="20"/>
              </w:rPr>
            </w:pPr>
            <w:r>
              <w:rPr>
                <w:color w:val="auto"/>
                <w:sz w:val="20"/>
              </w:rPr>
              <w:t>0043</w:t>
            </w:r>
          </w:p>
        </w:tc>
        <w:tc>
          <w:tcPr>
            <w:tcW w:w="1366" w:type="dxa"/>
            <w:vAlign w:val="top"/>
          </w:tcPr>
          <w:p w14:paraId="289BE335">
            <w:pPr>
              <w:pStyle w:val="30"/>
              <w:spacing w:before="42"/>
              <w:ind w:left="235" w:right="225"/>
              <w:rPr>
                <w:color w:val="auto"/>
                <w:sz w:val="20"/>
              </w:rPr>
            </w:pPr>
            <w:r>
              <w:rPr>
                <w:color w:val="auto"/>
                <w:sz w:val="20"/>
              </w:rPr>
              <w:t>3.77</w:t>
            </w:r>
          </w:p>
        </w:tc>
        <w:tc>
          <w:tcPr>
            <w:tcW w:w="1121" w:type="dxa"/>
            <w:vAlign w:val="top"/>
          </w:tcPr>
          <w:p w14:paraId="12D84CED">
            <w:pPr>
              <w:pStyle w:val="30"/>
              <w:spacing w:before="42"/>
              <w:ind w:left="212" w:right="203"/>
              <w:rPr>
                <w:color w:val="auto"/>
                <w:sz w:val="20"/>
              </w:rPr>
            </w:pPr>
            <w:r>
              <w:rPr>
                <w:color w:val="auto"/>
                <w:sz w:val="20"/>
              </w:rPr>
              <w:t>56.55</w:t>
            </w:r>
          </w:p>
        </w:tc>
        <w:tc>
          <w:tcPr>
            <w:tcW w:w="1990" w:type="dxa"/>
            <w:vAlign w:val="top"/>
          </w:tcPr>
          <w:p w14:paraId="3D2D81A2">
            <w:pPr>
              <w:pStyle w:val="30"/>
              <w:spacing w:before="29"/>
              <w:ind w:left="276" w:right="269"/>
              <w:rPr>
                <w:rFonts w:hint="eastAsia" w:ascii="宋体" w:eastAsia="宋体"/>
                <w:color w:val="auto"/>
                <w:sz w:val="20"/>
              </w:rPr>
            </w:pPr>
            <w:r>
              <w:rPr>
                <w:rFonts w:hint="eastAsia" w:ascii="宋体" w:eastAsia="宋体"/>
                <w:color w:val="auto"/>
                <w:sz w:val="20"/>
              </w:rPr>
              <w:t>实现无疫情小班</w:t>
            </w:r>
          </w:p>
        </w:tc>
      </w:tr>
      <w:tr w14:paraId="50E66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0D939D57">
            <w:pPr>
              <w:pStyle w:val="30"/>
              <w:spacing w:before="42"/>
              <w:ind w:right="146"/>
              <w:rPr>
                <w:color w:val="auto"/>
                <w:sz w:val="20"/>
              </w:rPr>
            </w:pPr>
            <w:r>
              <w:rPr>
                <w:color w:val="auto"/>
                <w:sz w:val="20"/>
              </w:rPr>
              <w:t>12</w:t>
            </w:r>
          </w:p>
        </w:tc>
        <w:tc>
          <w:tcPr>
            <w:tcW w:w="996" w:type="dxa"/>
            <w:vAlign w:val="top"/>
          </w:tcPr>
          <w:p w14:paraId="7D5C8B33">
            <w:pPr>
              <w:pStyle w:val="30"/>
              <w:spacing w:before="29"/>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74B7E402">
            <w:pPr>
              <w:pStyle w:val="30"/>
              <w:spacing w:before="29"/>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259BAEA3">
            <w:pPr>
              <w:pStyle w:val="30"/>
              <w:spacing w:before="42"/>
              <w:ind w:right="147"/>
              <w:rPr>
                <w:color w:val="auto"/>
                <w:sz w:val="20"/>
              </w:rPr>
            </w:pPr>
            <w:r>
              <w:rPr>
                <w:color w:val="auto"/>
                <w:sz w:val="20"/>
              </w:rPr>
              <w:t>0300</w:t>
            </w:r>
          </w:p>
        </w:tc>
        <w:tc>
          <w:tcPr>
            <w:tcW w:w="752" w:type="dxa"/>
            <w:vAlign w:val="top"/>
          </w:tcPr>
          <w:p w14:paraId="290147FF">
            <w:pPr>
              <w:pStyle w:val="30"/>
              <w:spacing w:before="42"/>
              <w:ind w:right="145"/>
              <w:rPr>
                <w:color w:val="auto"/>
                <w:sz w:val="20"/>
              </w:rPr>
            </w:pPr>
            <w:r>
              <w:rPr>
                <w:color w:val="auto"/>
                <w:sz w:val="20"/>
              </w:rPr>
              <w:t>0012</w:t>
            </w:r>
          </w:p>
        </w:tc>
        <w:tc>
          <w:tcPr>
            <w:tcW w:w="1366" w:type="dxa"/>
            <w:vAlign w:val="top"/>
          </w:tcPr>
          <w:p w14:paraId="77AB1339">
            <w:pPr>
              <w:pStyle w:val="30"/>
              <w:spacing w:before="42"/>
              <w:ind w:left="235" w:right="225"/>
              <w:rPr>
                <w:color w:val="auto"/>
                <w:sz w:val="20"/>
              </w:rPr>
            </w:pPr>
            <w:r>
              <w:rPr>
                <w:color w:val="auto"/>
                <w:sz w:val="20"/>
              </w:rPr>
              <w:t>8.86</w:t>
            </w:r>
          </w:p>
        </w:tc>
        <w:tc>
          <w:tcPr>
            <w:tcW w:w="1121" w:type="dxa"/>
            <w:vAlign w:val="top"/>
          </w:tcPr>
          <w:p w14:paraId="0D502AF6">
            <w:pPr>
              <w:pStyle w:val="30"/>
              <w:spacing w:before="42"/>
              <w:ind w:left="212" w:right="203"/>
              <w:rPr>
                <w:color w:val="auto"/>
                <w:sz w:val="20"/>
              </w:rPr>
            </w:pPr>
            <w:r>
              <w:rPr>
                <w:color w:val="auto"/>
                <w:sz w:val="20"/>
              </w:rPr>
              <w:t>132.90</w:t>
            </w:r>
          </w:p>
        </w:tc>
        <w:tc>
          <w:tcPr>
            <w:tcW w:w="1990" w:type="dxa"/>
            <w:vAlign w:val="top"/>
          </w:tcPr>
          <w:p w14:paraId="0AFA1E61">
            <w:pPr>
              <w:pStyle w:val="30"/>
              <w:spacing w:before="29"/>
              <w:ind w:left="276" w:right="269"/>
              <w:rPr>
                <w:rFonts w:hint="eastAsia" w:ascii="宋体" w:eastAsia="宋体"/>
                <w:color w:val="auto"/>
                <w:sz w:val="20"/>
              </w:rPr>
            </w:pPr>
            <w:r>
              <w:rPr>
                <w:rFonts w:hint="eastAsia" w:ascii="宋体" w:eastAsia="宋体"/>
                <w:color w:val="auto"/>
                <w:sz w:val="20"/>
              </w:rPr>
              <w:t>实现无疫情小班</w:t>
            </w:r>
          </w:p>
        </w:tc>
      </w:tr>
      <w:tr w14:paraId="55962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181CFA8A">
            <w:pPr>
              <w:pStyle w:val="30"/>
              <w:spacing w:before="42"/>
              <w:ind w:right="146"/>
              <w:rPr>
                <w:color w:val="auto"/>
                <w:sz w:val="20"/>
              </w:rPr>
            </w:pPr>
            <w:r>
              <w:rPr>
                <w:color w:val="auto"/>
                <w:sz w:val="20"/>
              </w:rPr>
              <w:t>13</w:t>
            </w:r>
          </w:p>
        </w:tc>
        <w:tc>
          <w:tcPr>
            <w:tcW w:w="996" w:type="dxa"/>
            <w:vAlign w:val="top"/>
          </w:tcPr>
          <w:p w14:paraId="73856F55">
            <w:pPr>
              <w:pStyle w:val="30"/>
              <w:spacing w:before="28"/>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2A85DF3F">
            <w:pPr>
              <w:pStyle w:val="30"/>
              <w:spacing w:before="28"/>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1825F4E4">
            <w:pPr>
              <w:pStyle w:val="30"/>
              <w:spacing w:before="42"/>
              <w:ind w:right="147"/>
              <w:rPr>
                <w:color w:val="auto"/>
                <w:sz w:val="20"/>
              </w:rPr>
            </w:pPr>
            <w:r>
              <w:rPr>
                <w:color w:val="auto"/>
                <w:sz w:val="20"/>
              </w:rPr>
              <w:t>0300</w:t>
            </w:r>
          </w:p>
        </w:tc>
        <w:tc>
          <w:tcPr>
            <w:tcW w:w="752" w:type="dxa"/>
            <w:vAlign w:val="top"/>
          </w:tcPr>
          <w:p w14:paraId="7AA10694">
            <w:pPr>
              <w:pStyle w:val="30"/>
              <w:spacing w:before="42"/>
              <w:ind w:right="145"/>
              <w:rPr>
                <w:color w:val="auto"/>
                <w:sz w:val="20"/>
              </w:rPr>
            </w:pPr>
            <w:r>
              <w:rPr>
                <w:color w:val="auto"/>
                <w:sz w:val="20"/>
              </w:rPr>
              <w:t>0013</w:t>
            </w:r>
          </w:p>
        </w:tc>
        <w:tc>
          <w:tcPr>
            <w:tcW w:w="1366" w:type="dxa"/>
            <w:vAlign w:val="top"/>
          </w:tcPr>
          <w:p w14:paraId="427B41B5">
            <w:pPr>
              <w:pStyle w:val="30"/>
              <w:spacing w:before="42"/>
              <w:ind w:left="235" w:right="225"/>
              <w:rPr>
                <w:color w:val="auto"/>
                <w:sz w:val="20"/>
              </w:rPr>
            </w:pPr>
            <w:r>
              <w:rPr>
                <w:color w:val="auto"/>
                <w:sz w:val="20"/>
              </w:rPr>
              <w:t>9.80</w:t>
            </w:r>
          </w:p>
        </w:tc>
        <w:tc>
          <w:tcPr>
            <w:tcW w:w="1121" w:type="dxa"/>
            <w:vAlign w:val="top"/>
          </w:tcPr>
          <w:p w14:paraId="4874182C">
            <w:pPr>
              <w:pStyle w:val="30"/>
              <w:spacing w:before="42"/>
              <w:ind w:left="212" w:right="203"/>
              <w:rPr>
                <w:color w:val="auto"/>
                <w:sz w:val="20"/>
              </w:rPr>
            </w:pPr>
            <w:r>
              <w:rPr>
                <w:color w:val="auto"/>
                <w:sz w:val="20"/>
              </w:rPr>
              <w:t>147.00</w:t>
            </w:r>
          </w:p>
        </w:tc>
        <w:tc>
          <w:tcPr>
            <w:tcW w:w="1990" w:type="dxa"/>
            <w:vAlign w:val="top"/>
          </w:tcPr>
          <w:p w14:paraId="23CEFB33">
            <w:pPr>
              <w:pStyle w:val="30"/>
              <w:spacing w:before="28"/>
              <w:ind w:left="276" w:right="269"/>
              <w:rPr>
                <w:rFonts w:hint="eastAsia" w:ascii="宋体" w:eastAsia="宋体"/>
                <w:color w:val="auto"/>
                <w:sz w:val="20"/>
              </w:rPr>
            </w:pPr>
            <w:r>
              <w:rPr>
                <w:rFonts w:hint="eastAsia" w:ascii="宋体" w:eastAsia="宋体"/>
                <w:color w:val="auto"/>
                <w:sz w:val="20"/>
              </w:rPr>
              <w:t>实现无疫情小班</w:t>
            </w:r>
          </w:p>
        </w:tc>
      </w:tr>
      <w:tr w14:paraId="16D21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4C07C62D">
            <w:pPr>
              <w:pStyle w:val="30"/>
              <w:spacing w:before="41"/>
              <w:ind w:right="146"/>
              <w:rPr>
                <w:color w:val="auto"/>
                <w:sz w:val="20"/>
              </w:rPr>
            </w:pPr>
            <w:r>
              <w:rPr>
                <w:color w:val="auto"/>
                <w:sz w:val="20"/>
              </w:rPr>
              <w:t>14</w:t>
            </w:r>
          </w:p>
        </w:tc>
        <w:tc>
          <w:tcPr>
            <w:tcW w:w="996" w:type="dxa"/>
            <w:vAlign w:val="top"/>
          </w:tcPr>
          <w:p w14:paraId="24B2EBF0">
            <w:pPr>
              <w:pStyle w:val="30"/>
              <w:spacing w:before="28"/>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37E23F50">
            <w:pPr>
              <w:pStyle w:val="30"/>
              <w:spacing w:before="28"/>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4747ED4D">
            <w:pPr>
              <w:pStyle w:val="30"/>
              <w:spacing w:before="41"/>
              <w:ind w:right="147"/>
              <w:rPr>
                <w:color w:val="auto"/>
                <w:sz w:val="20"/>
              </w:rPr>
            </w:pPr>
            <w:r>
              <w:rPr>
                <w:color w:val="auto"/>
                <w:sz w:val="20"/>
              </w:rPr>
              <w:t>0300</w:t>
            </w:r>
          </w:p>
        </w:tc>
        <w:tc>
          <w:tcPr>
            <w:tcW w:w="752" w:type="dxa"/>
            <w:vAlign w:val="top"/>
          </w:tcPr>
          <w:p w14:paraId="717C6E94">
            <w:pPr>
              <w:pStyle w:val="30"/>
              <w:spacing w:before="41"/>
              <w:ind w:right="145"/>
              <w:rPr>
                <w:color w:val="auto"/>
                <w:sz w:val="20"/>
              </w:rPr>
            </w:pPr>
            <w:r>
              <w:rPr>
                <w:color w:val="auto"/>
                <w:sz w:val="20"/>
              </w:rPr>
              <w:t>0016</w:t>
            </w:r>
          </w:p>
        </w:tc>
        <w:tc>
          <w:tcPr>
            <w:tcW w:w="1366" w:type="dxa"/>
            <w:vAlign w:val="top"/>
          </w:tcPr>
          <w:p w14:paraId="762B4678">
            <w:pPr>
              <w:pStyle w:val="30"/>
              <w:spacing w:before="41"/>
              <w:ind w:left="235" w:right="225"/>
              <w:rPr>
                <w:color w:val="auto"/>
                <w:sz w:val="20"/>
              </w:rPr>
            </w:pPr>
            <w:r>
              <w:rPr>
                <w:color w:val="auto"/>
                <w:sz w:val="20"/>
              </w:rPr>
              <w:t>2.48</w:t>
            </w:r>
          </w:p>
        </w:tc>
        <w:tc>
          <w:tcPr>
            <w:tcW w:w="1121" w:type="dxa"/>
            <w:vAlign w:val="top"/>
          </w:tcPr>
          <w:p w14:paraId="10B15A18">
            <w:pPr>
              <w:pStyle w:val="30"/>
              <w:spacing w:before="41"/>
              <w:ind w:left="212" w:right="203"/>
              <w:rPr>
                <w:color w:val="auto"/>
                <w:sz w:val="20"/>
              </w:rPr>
            </w:pPr>
            <w:r>
              <w:rPr>
                <w:color w:val="auto"/>
                <w:sz w:val="20"/>
              </w:rPr>
              <w:t>37.20</w:t>
            </w:r>
          </w:p>
        </w:tc>
        <w:tc>
          <w:tcPr>
            <w:tcW w:w="1990" w:type="dxa"/>
            <w:vAlign w:val="top"/>
          </w:tcPr>
          <w:p w14:paraId="24B6449A">
            <w:pPr>
              <w:pStyle w:val="30"/>
              <w:spacing w:before="28"/>
              <w:ind w:left="276" w:right="269"/>
              <w:rPr>
                <w:rFonts w:hint="eastAsia" w:ascii="宋体" w:eastAsia="宋体"/>
                <w:color w:val="auto"/>
                <w:sz w:val="20"/>
              </w:rPr>
            </w:pPr>
            <w:r>
              <w:rPr>
                <w:rFonts w:hint="eastAsia" w:ascii="宋体" w:eastAsia="宋体"/>
                <w:color w:val="auto"/>
                <w:sz w:val="20"/>
              </w:rPr>
              <w:t>实现无疫情小班</w:t>
            </w:r>
          </w:p>
        </w:tc>
      </w:tr>
      <w:tr w14:paraId="23D30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7DA919EA">
            <w:pPr>
              <w:pStyle w:val="30"/>
              <w:spacing w:before="43"/>
              <w:ind w:right="146"/>
              <w:rPr>
                <w:color w:val="auto"/>
                <w:sz w:val="20"/>
              </w:rPr>
            </w:pPr>
            <w:r>
              <w:rPr>
                <w:color w:val="auto"/>
                <w:sz w:val="20"/>
              </w:rPr>
              <w:t>15</w:t>
            </w:r>
          </w:p>
        </w:tc>
        <w:tc>
          <w:tcPr>
            <w:tcW w:w="996" w:type="dxa"/>
            <w:vAlign w:val="top"/>
          </w:tcPr>
          <w:p w14:paraId="1A99BFEF">
            <w:pPr>
              <w:pStyle w:val="30"/>
              <w:spacing w:before="30"/>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4B578190">
            <w:pPr>
              <w:pStyle w:val="30"/>
              <w:spacing w:before="30"/>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2E49DAD6">
            <w:pPr>
              <w:pStyle w:val="30"/>
              <w:spacing w:before="43"/>
              <w:ind w:right="147"/>
              <w:rPr>
                <w:color w:val="auto"/>
                <w:sz w:val="20"/>
              </w:rPr>
            </w:pPr>
            <w:r>
              <w:rPr>
                <w:color w:val="auto"/>
                <w:sz w:val="20"/>
              </w:rPr>
              <w:t>0300</w:t>
            </w:r>
          </w:p>
        </w:tc>
        <w:tc>
          <w:tcPr>
            <w:tcW w:w="752" w:type="dxa"/>
            <w:vAlign w:val="top"/>
          </w:tcPr>
          <w:p w14:paraId="76B80BDA">
            <w:pPr>
              <w:pStyle w:val="30"/>
              <w:spacing w:before="43"/>
              <w:ind w:right="145"/>
              <w:rPr>
                <w:color w:val="auto"/>
                <w:sz w:val="20"/>
              </w:rPr>
            </w:pPr>
            <w:r>
              <w:rPr>
                <w:color w:val="auto"/>
                <w:sz w:val="20"/>
              </w:rPr>
              <w:t>0022</w:t>
            </w:r>
          </w:p>
        </w:tc>
        <w:tc>
          <w:tcPr>
            <w:tcW w:w="1366" w:type="dxa"/>
            <w:vAlign w:val="top"/>
          </w:tcPr>
          <w:p w14:paraId="301C9477">
            <w:pPr>
              <w:pStyle w:val="30"/>
              <w:spacing w:before="43"/>
              <w:ind w:left="235" w:right="227"/>
              <w:rPr>
                <w:color w:val="auto"/>
                <w:sz w:val="20"/>
              </w:rPr>
            </w:pPr>
            <w:r>
              <w:rPr>
                <w:color w:val="auto"/>
                <w:sz w:val="20"/>
              </w:rPr>
              <w:t>12.14</w:t>
            </w:r>
          </w:p>
        </w:tc>
        <w:tc>
          <w:tcPr>
            <w:tcW w:w="1121" w:type="dxa"/>
            <w:vAlign w:val="top"/>
          </w:tcPr>
          <w:p w14:paraId="7521097A">
            <w:pPr>
              <w:pStyle w:val="30"/>
              <w:spacing w:before="43"/>
              <w:ind w:left="212" w:right="203"/>
              <w:rPr>
                <w:color w:val="auto"/>
                <w:sz w:val="20"/>
              </w:rPr>
            </w:pPr>
            <w:r>
              <w:rPr>
                <w:color w:val="auto"/>
                <w:sz w:val="20"/>
              </w:rPr>
              <w:t>182.10</w:t>
            </w:r>
          </w:p>
        </w:tc>
        <w:tc>
          <w:tcPr>
            <w:tcW w:w="1990" w:type="dxa"/>
            <w:vAlign w:val="top"/>
          </w:tcPr>
          <w:p w14:paraId="136C0EBC">
            <w:pPr>
              <w:pStyle w:val="30"/>
              <w:spacing w:before="30"/>
              <w:ind w:left="276" w:right="269"/>
              <w:rPr>
                <w:rFonts w:hint="eastAsia" w:ascii="宋体" w:eastAsia="宋体"/>
                <w:color w:val="auto"/>
                <w:sz w:val="20"/>
              </w:rPr>
            </w:pPr>
            <w:r>
              <w:rPr>
                <w:rFonts w:hint="eastAsia" w:ascii="宋体" w:eastAsia="宋体"/>
                <w:color w:val="auto"/>
                <w:sz w:val="20"/>
              </w:rPr>
              <w:t>实现无疫情小班</w:t>
            </w:r>
          </w:p>
        </w:tc>
      </w:tr>
      <w:tr w14:paraId="2967B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191F39B1">
            <w:pPr>
              <w:pStyle w:val="30"/>
              <w:spacing w:before="43"/>
              <w:ind w:right="146"/>
              <w:rPr>
                <w:color w:val="auto"/>
                <w:sz w:val="20"/>
              </w:rPr>
            </w:pPr>
            <w:r>
              <w:rPr>
                <w:color w:val="auto"/>
                <w:sz w:val="20"/>
              </w:rPr>
              <w:t>16</w:t>
            </w:r>
          </w:p>
        </w:tc>
        <w:tc>
          <w:tcPr>
            <w:tcW w:w="996" w:type="dxa"/>
            <w:vAlign w:val="top"/>
          </w:tcPr>
          <w:p w14:paraId="5A9B0DA3">
            <w:pPr>
              <w:pStyle w:val="30"/>
              <w:spacing w:before="30"/>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38BE8B5E">
            <w:pPr>
              <w:pStyle w:val="30"/>
              <w:spacing w:before="30"/>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128157BB">
            <w:pPr>
              <w:pStyle w:val="30"/>
              <w:spacing w:before="43"/>
              <w:ind w:right="147"/>
              <w:rPr>
                <w:color w:val="auto"/>
                <w:sz w:val="20"/>
              </w:rPr>
            </w:pPr>
            <w:r>
              <w:rPr>
                <w:color w:val="auto"/>
                <w:sz w:val="20"/>
              </w:rPr>
              <w:t>0300</w:t>
            </w:r>
          </w:p>
        </w:tc>
        <w:tc>
          <w:tcPr>
            <w:tcW w:w="752" w:type="dxa"/>
            <w:vAlign w:val="top"/>
          </w:tcPr>
          <w:p w14:paraId="317FDCB0">
            <w:pPr>
              <w:pStyle w:val="30"/>
              <w:spacing w:before="43"/>
              <w:ind w:right="145"/>
              <w:rPr>
                <w:color w:val="auto"/>
                <w:sz w:val="20"/>
              </w:rPr>
            </w:pPr>
            <w:r>
              <w:rPr>
                <w:color w:val="auto"/>
                <w:sz w:val="20"/>
              </w:rPr>
              <w:t>0029</w:t>
            </w:r>
          </w:p>
        </w:tc>
        <w:tc>
          <w:tcPr>
            <w:tcW w:w="1366" w:type="dxa"/>
            <w:vAlign w:val="top"/>
          </w:tcPr>
          <w:p w14:paraId="122A678F">
            <w:pPr>
              <w:pStyle w:val="30"/>
              <w:spacing w:before="43"/>
              <w:ind w:left="235" w:right="225"/>
              <w:rPr>
                <w:color w:val="auto"/>
                <w:sz w:val="20"/>
              </w:rPr>
            </w:pPr>
            <w:r>
              <w:rPr>
                <w:color w:val="auto"/>
                <w:sz w:val="20"/>
              </w:rPr>
              <w:t>1.14</w:t>
            </w:r>
          </w:p>
        </w:tc>
        <w:tc>
          <w:tcPr>
            <w:tcW w:w="1121" w:type="dxa"/>
            <w:vAlign w:val="top"/>
          </w:tcPr>
          <w:p w14:paraId="7D002FE3">
            <w:pPr>
              <w:pStyle w:val="30"/>
              <w:spacing w:before="43"/>
              <w:ind w:left="212" w:right="203"/>
              <w:rPr>
                <w:color w:val="auto"/>
                <w:sz w:val="20"/>
              </w:rPr>
            </w:pPr>
            <w:r>
              <w:rPr>
                <w:color w:val="auto"/>
                <w:sz w:val="20"/>
              </w:rPr>
              <w:t>17.10</w:t>
            </w:r>
          </w:p>
        </w:tc>
        <w:tc>
          <w:tcPr>
            <w:tcW w:w="1990" w:type="dxa"/>
            <w:vAlign w:val="top"/>
          </w:tcPr>
          <w:p w14:paraId="3DABC3B1">
            <w:pPr>
              <w:pStyle w:val="30"/>
              <w:spacing w:before="30"/>
              <w:ind w:left="276" w:right="269"/>
              <w:rPr>
                <w:rFonts w:hint="eastAsia" w:ascii="宋体" w:eastAsia="宋体"/>
                <w:color w:val="auto"/>
                <w:sz w:val="20"/>
              </w:rPr>
            </w:pPr>
            <w:r>
              <w:rPr>
                <w:rFonts w:hint="eastAsia" w:ascii="宋体" w:eastAsia="宋体"/>
                <w:color w:val="auto"/>
                <w:sz w:val="20"/>
              </w:rPr>
              <w:t>实现无疫情小班</w:t>
            </w:r>
          </w:p>
        </w:tc>
      </w:tr>
      <w:tr w14:paraId="1FA11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717F4E1A">
            <w:pPr>
              <w:pStyle w:val="30"/>
              <w:spacing w:before="42"/>
              <w:ind w:right="146"/>
              <w:rPr>
                <w:color w:val="auto"/>
                <w:sz w:val="20"/>
              </w:rPr>
            </w:pPr>
            <w:r>
              <w:rPr>
                <w:color w:val="auto"/>
                <w:sz w:val="20"/>
              </w:rPr>
              <w:t>17</w:t>
            </w:r>
          </w:p>
        </w:tc>
        <w:tc>
          <w:tcPr>
            <w:tcW w:w="996" w:type="dxa"/>
            <w:vAlign w:val="top"/>
          </w:tcPr>
          <w:p w14:paraId="5E9F6B0C">
            <w:pPr>
              <w:pStyle w:val="30"/>
              <w:spacing w:before="29"/>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75A2BD59">
            <w:pPr>
              <w:pStyle w:val="30"/>
              <w:spacing w:before="29"/>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3C4746AE">
            <w:pPr>
              <w:pStyle w:val="30"/>
              <w:spacing w:before="42"/>
              <w:ind w:right="147"/>
              <w:rPr>
                <w:color w:val="auto"/>
                <w:sz w:val="20"/>
              </w:rPr>
            </w:pPr>
            <w:r>
              <w:rPr>
                <w:color w:val="auto"/>
                <w:sz w:val="20"/>
              </w:rPr>
              <w:t>0300</w:t>
            </w:r>
          </w:p>
        </w:tc>
        <w:tc>
          <w:tcPr>
            <w:tcW w:w="752" w:type="dxa"/>
            <w:vAlign w:val="top"/>
          </w:tcPr>
          <w:p w14:paraId="0213CAAC">
            <w:pPr>
              <w:pStyle w:val="30"/>
              <w:spacing w:before="42"/>
              <w:ind w:right="145"/>
              <w:rPr>
                <w:color w:val="auto"/>
                <w:sz w:val="20"/>
              </w:rPr>
            </w:pPr>
            <w:r>
              <w:rPr>
                <w:color w:val="auto"/>
                <w:sz w:val="20"/>
              </w:rPr>
              <w:t>0037</w:t>
            </w:r>
          </w:p>
        </w:tc>
        <w:tc>
          <w:tcPr>
            <w:tcW w:w="1366" w:type="dxa"/>
            <w:vAlign w:val="top"/>
          </w:tcPr>
          <w:p w14:paraId="762488C3">
            <w:pPr>
              <w:pStyle w:val="30"/>
              <w:spacing w:before="42"/>
              <w:ind w:left="235" w:right="225"/>
              <w:rPr>
                <w:color w:val="auto"/>
                <w:sz w:val="20"/>
              </w:rPr>
            </w:pPr>
            <w:r>
              <w:rPr>
                <w:color w:val="auto"/>
                <w:sz w:val="20"/>
              </w:rPr>
              <w:t>1.85</w:t>
            </w:r>
          </w:p>
        </w:tc>
        <w:tc>
          <w:tcPr>
            <w:tcW w:w="1121" w:type="dxa"/>
            <w:vAlign w:val="top"/>
          </w:tcPr>
          <w:p w14:paraId="1CD310B6">
            <w:pPr>
              <w:pStyle w:val="30"/>
              <w:spacing w:before="42"/>
              <w:ind w:left="212" w:right="203"/>
              <w:rPr>
                <w:color w:val="auto"/>
                <w:sz w:val="20"/>
              </w:rPr>
            </w:pPr>
            <w:r>
              <w:rPr>
                <w:color w:val="auto"/>
                <w:sz w:val="20"/>
              </w:rPr>
              <w:t>27.75</w:t>
            </w:r>
          </w:p>
        </w:tc>
        <w:tc>
          <w:tcPr>
            <w:tcW w:w="1990" w:type="dxa"/>
            <w:vAlign w:val="top"/>
          </w:tcPr>
          <w:p w14:paraId="5B97A710">
            <w:pPr>
              <w:pStyle w:val="30"/>
              <w:spacing w:before="29"/>
              <w:ind w:left="276" w:right="269"/>
              <w:rPr>
                <w:rFonts w:hint="eastAsia" w:ascii="宋体" w:eastAsia="宋体"/>
                <w:color w:val="auto"/>
                <w:sz w:val="20"/>
              </w:rPr>
            </w:pPr>
            <w:r>
              <w:rPr>
                <w:rFonts w:hint="eastAsia" w:ascii="宋体" w:eastAsia="宋体"/>
                <w:color w:val="auto"/>
                <w:sz w:val="20"/>
              </w:rPr>
              <w:t>实现无疫情小班</w:t>
            </w:r>
          </w:p>
        </w:tc>
      </w:tr>
      <w:tr w14:paraId="67918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16D42FFA">
            <w:pPr>
              <w:pStyle w:val="30"/>
              <w:spacing w:before="42"/>
              <w:ind w:right="146"/>
              <w:rPr>
                <w:color w:val="auto"/>
                <w:sz w:val="20"/>
              </w:rPr>
            </w:pPr>
            <w:r>
              <w:rPr>
                <w:color w:val="auto"/>
                <w:sz w:val="20"/>
              </w:rPr>
              <w:t>18</w:t>
            </w:r>
          </w:p>
        </w:tc>
        <w:tc>
          <w:tcPr>
            <w:tcW w:w="996" w:type="dxa"/>
            <w:vAlign w:val="top"/>
          </w:tcPr>
          <w:p w14:paraId="4B37947F">
            <w:pPr>
              <w:pStyle w:val="30"/>
              <w:spacing w:before="29"/>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1D5857FC">
            <w:pPr>
              <w:pStyle w:val="30"/>
              <w:spacing w:before="29"/>
              <w:ind w:left="202" w:right="194"/>
              <w:rPr>
                <w:rFonts w:hint="eastAsia" w:ascii="宋体" w:eastAsia="宋体"/>
                <w:color w:val="auto"/>
                <w:sz w:val="20"/>
              </w:rPr>
            </w:pPr>
            <w:r>
              <w:rPr>
                <w:rFonts w:hint="eastAsia" w:ascii="宋体" w:eastAsia="宋体"/>
                <w:color w:val="auto"/>
                <w:sz w:val="20"/>
              </w:rPr>
              <w:t>百福村</w:t>
            </w:r>
          </w:p>
        </w:tc>
        <w:tc>
          <w:tcPr>
            <w:tcW w:w="752" w:type="dxa"/>
            <w:vAlign w:val="top"/>
          </w:tcPr>
          <w:p w14:paraId="69DE073C">
            <w:pPr>
              <w:pStyle w:val="30"/>
              <w:spacing w:before="42"/>
              <w:ind w:right="147"/>
              <w:rPr>
                <w:color w:val="auto"/>
                <w:sz w:val="20"/>
              </w:rPr>
            </w:pPr>
            <w:r>
              <w:rPr>
                <w:color w:val="auto"/>
                <w:sz w:val="20"/>
              </w:rPr>
              <w:t>0300</w:t>
            </w:r>
          </w:p>
        </w:tc>
        <w:tc>
          <w:tcPr>
            <w:tcW w:w="752" w:type="dxa"/>
            <w:vAlign w:val="top"/>
          </w:tcPr>
          <w:p w14:paraId="7CFEAE2E">
            <w:pPr>
              <w:pStyle w:val="30"/>
              <w:spacing w:before="42"/>
              <w:ind w:right="145"/>
              <w:rPr>
                <w:color w:val="auto"/>
                <w:sz w:val="20"/>
              </w:rPr>
            </w:pPr>
            <w:r>
              <w:rPr>
                <w:color w:val="auto"/>
                <w:sz w:val="20"/>
              </w:rPr>
              <w:t>0051</w:t>
            </w:r>
          </w:p>
        </w:tc>
        <w:tc>
          <w:tcPr>
            <w:tcW w:w="1366" w:type="dxa"/>
            <w:vAlign w:val="top"/>
          </w:tcPr>
          <w:p w14:paraId="2E699BAA">
            <w:pPr>
              <w:pStyle w:val="30"/>
              <w:spacing w:before="42"/>
              <w:ind w:left="235" w:right="225"/>
              <w:rPr>
                <w:color w:val="auto"/>
                <w:sz w:val="20"/>
              </w:rPr>
            </w:pPr>
            <w:r>
              <w:rPr>
                <w:color w:val="auto"/>
                <w:sz w:val="20"/>
              </w:rPr>
              <w:t>3.70</w:t>
            </w:r>
          </w:p>
        </w:tc>
        <w:tc>
          <w:tcPr>
            <w:tcW w:w="1121" w:type="dxa"/>
            <w:vAlign w:val="top"/>
          </w:tcPr>
          <w:p w14:paraId="33E3C825">
            <w:pPr>
              <w:pStyle w:val="30"/>
              <w:spacing w:before="42"/>
              <w:ind w:left="212" w:right="203"/>
              <w:rPr>
                <w:color w:val="auto"/>
                <w:sz w:val="20"/>
              </w:rPr>
            </w:pPr>
            <w:r>
              <w:rPr>
                <w:color w:val="auto"/>
                <w:sz w:val="20"/>
              </w:rPr>
              <w:t>55.50</w:t>
            </w:r>
          </w:p>
        </w:tc>
        <w:tc>
          <w:tcPr>
            <w:tcW w:w="1990" w:type="dxa"/>
            <w:vAlign w:val="top"/>
          </w:tcPr>
          <w:p w14:paraId="7DDB4D17">
            <w:pPr>
              <w:pStyle w:val="30"/>
              <w:spacing w:before="29"/>
              <w:ind w:left="276" w:right="269"/>
              <w:rPr>
                <w:rFonts w:hint="eastAsia" w:ascii="宋体" w:eastAsia="宋体"/>
                <w:color w:val="auto"/>
                <w:sz w:val="20"/>
              </w:rPr>
            </w:pPr>
            <w:r>
              <w:rPr>
                <w:rFonts w:hint="eastAsia" w:ascii="宋体" w:eastAsia="宋体"/>
                <w:color w:val="auto"/>
                <w:sz w:val="20"/>
              </w:rPr>
              <w:t>实现无疫情小班</w:t>
            </w:r>
          </w:p>
        </w:tc>
      </w:tr>
      <w:tr w14:paraId="5919C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30105A99">
            <w:pPr>
              <w:pStyle w:val="30"/>
              <w:spacing w:before="42"/>
              <w:ind w:right="146"/>
              <w:rPr>
                <w:color w:val="auto"/>
                <w:sz w:val="20"/>
              </w:rPr>
            </w:pPr>
            <w:r>
              <w:rPr>
                <w:color w:val="auto"/>
                <w:sz w:val="20"/>
              </w:rPr>
              <w:t>19</w:t>
            </w:r>
          </w:p>
        </w:tc>
        <w:tc>
          <w:tcPr>
            <w:tcW w:w="996" w:type="dxa"/>
            <w:vAlign w:val="top"/>
          </w:tcPr>
          <w:p w14:paraId="1AE9CBF8">
            <w:pPr>
              <w:pStyle w:val="30"/>
              <w:spacing w:before="28"/>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2F58064E">
            <w:pPr>
              <w:pStyle w:val="30"/>
              <w:spacing w:before="28"/>
              <w:ind w:left="202" w:right="194"/>
              <w:rPr>
                <w:rFonts w:hint="eastAsia" w:ascii="宋体" w:eastAsia="宋体"/>
                <w:color w:val="auto"/>
                <w:sz w:val="20"/>
              </w:rPr>
            </w:pPr>
            <w:r>
              <w:rPr>
                <w:rFonts w:hint="eastAsia" w:ascii="宋体" w:eastAsia="宋体"/>
                <w:color w:val="auto"/>
                <w:sz w:val="20"/>
              </w:rPr>
              <w:t>桥渡村</w:t>
            </w:r>
          </w:p>
        </w:tc>
        <w:tc>
          <w:tcPr>
            <w:tcW w:w="752" w:type="dxa"/>
            <w:vAlign w:val="top"/>
          </w:tcPr>
          <w:p w14:paraId="2393250C">
            <w:pPr>
              <w:pStyle w:val="30"/>
              <w:spacing w:before="42"/>
              <w:ind w:right="147"/>
              <w:rPr>
                <w:color w:val="auto"/>
                <w:sz w:val="20"/>
              </w:rPr>
            </w:pPr>
            <w:r>
              <w:rPr>
                <w:color w:val="auto"/>
                <w:sz w:val="20"/>
              </w:rPr>
              <w:t>0500</w:t>
            </w:r>
          </w:p>
        </w:tc>
        <w:tc>
          <w:tcPr>
            <w:tcW w:w="752" w:type="dxa"/>
            <w:vAlign w:val="top"/>
          </w:tcPr>
          <w:p w14:paraId="5394D056">
            <w:pPr>
              <w:pStyle w:val="30"/>
              <w:spacing w:before="42"/>
              <w:ind w:right="145"/>
              <w:rPr>
                <w:color w:val="auto"/>
                <w:sz w:val="20"/>
              </w:rPr>
            </w:pPr>
            <w:r>
              <w:rPr>
                <w:color w:val="auto"/>
                <w:sz w:val="20"/>
              </w:rPr>
              <w:t>0008</w:t>
            </w:r>
          </w:p>
        </w:tc>
        <w:tc>
          <w:tcPr>
            <w:tcW w:w="1366" w:type="dxa"/>
            <w:vAlign w:val="top"/>
          </w:tcPr>
          <w:p w14:paraId="0DCA6B36">
            <w:pPr>
              <w:pStyle w:val="30"/>
              <w:spacing w:before="42"/>
              <w:ind w:left="235" w:right="225"/>
              <w:rPr>
                <w:color w:val="auto"/>
                <w:sz w:val="20"/>
              </w:rPr>
            </w:pPr>
            <w:r>
              <w:rPr>
                <w:color w:val="auto"/>
                <w:sz w:val="20"/>
              </w:rPr>
              <w:t>6.13</w:t>
            </w:r>
          </w:p>
        </w:tc>
        <w:tc>
          <w:tcPr>
            <w:tcW w:w="1121" w:type="dxa"/>
            <w:vAlign w:val="top"/>
          </w:tcPr>
          <w:p w14:paraId="4F3508AA">
            <w:pPr>
              <w:pStyle w:val="30"/>
              <w:spacing w:before="42"/>
              <w:ind w:left="212" w:right="203"/>
              <w:rPr>
                <w:color w:val="auto"/>
                <w:sz w:val="20"/>
              </w:rPr>
            </w:pPr>
            <w:r>
              <w:rPr>
                <w:color w:val="auto"/>
                <w:sz w:val="20"/>
              </w:rPr>
              <w:t>91.95</w:t>
            </w:r>
          </w:p>
        </w:tc>
        <w:tc>
          <w:tcPr>
            <w:tcW w:w="1990" w:type="dxa"/>
            <w:vAlign w:val="top"/>
          </w:tcPr>
          <w:p w14:paraId="6E1C20D2">
            <w:pPr>
              <w:pStyle w:val="30"/>
              <w:spacing w:before="28"/>
              <w:ind w:left="276" w:right="269"/>
              <w:rPr>
                <w:rFonts w:hint="eastAsia" w:ascii="宋体" w:eastAsia="宋体"/>
                <w:color w:val="auto"/>
                <w:sz w:val="20"/>
              </w:rPr>
            </w:pPr>
            <w:r>
              <w:rPr>
                <w:rFonts w:hint="eastAsia" w:ascii="宋体" w:eastAsia="宋体"/>
                <w:color w:val="auto"/>
                <w:sz w:val="20"/>
              </w:rPr>
              <w:t>实现无疫情小班</w:t>
            </w:r>
          </w:p>
        </w:tc>
      </w:tr>
      <w:tr w14:paraId="0C8CB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10FFC00C">
            <w:pPr>
              <w:pStyle w:val="30"/>
              <w:spacing w:before="41"/>
              <w:ind w:right="146"/>
              <w:rPr>
                <w:color w:val="auto"/>
                <w:sz w:val="20"/>
              </w:rPr>
            </w:pPr>
            <w:r>
              <w:rPr>
                <w:color w:val="auto"/>
                <w:sz w:val="20"/>
              </w:rPr>
              <w:t>20</w:t>
            </w:r>
          </w:p>
        </w:tc>
        <w:tc>
          <w:tcPr>
            <w:tcW w:w="996" w:type="dxa"/>
            <w:vAlign w:val="top"/>
          </w:tcPr>
          <w:p w14:paraId="64131C4A">
            <w:pPr>
              <w:pStyle w:val="30"/>
              <w:spacing w:before="28"/>
              <w:ind w:left="180" w:right="170"/>
              <w:rPr>
                <w:rFonts w:hint="eastAsia" w:ascii="宋体" w:eastAsia="宋体"/>
                <w:color w:val="auto"/>
                <w:sz w:val="20"/>
              </w:rPr>
            </w:pPr>
            <w:r>
              <w:rPr>
                <w:rFonts w:hint="eastAsia" w:ascii="宋体" w:eastAsia="宋体"/>
                <w:color w:val="auto"/>
                <w:sz w:val="20"/>
              </w:rPr>
              <w:t>龙水镇</w:t>
            </w:r>
          </w:p>
        </w:tc>
        <w:tc>
          <w:tcPr>
            <w:tcW w:w="1245" w:type="dxa"/>
            <w:vAlign w:val="top"/>
          </w:tcPr>
          <w:p w14:paraId="264E7674">
            <w:pPr>
              <w:pStyle w:val="30"/>
              <w:spacing w:before="28"/>
              <w:ind w:left="202" w:right="194"/>
              <w:rPr>
                <w:rFonts w:hint="eastAsia" w:ascii="宋体" w:eastAsia="宋体"/>
                <w:color w:val="auto"/>
                <w:sz w:val="20"/>
              </w:rPr>
            </w:pPr>
            <w:r>
              <w:rPr>
                <w:rFonts w:hint="eastAsia" w:ascii="宋体" w:eastAsia="宋体"/>
                <w:color w:val="auto"/>
                <w:sz w:val="20"/>
              </w:rPr>
              <w:t>桥渡村</w:t>
            </w:r>
          </w:p>
        </w:tc>
        <w:tc>
          <w:tcPr>
            <w:tcW w:w="752" w:type="dxa"/>
            <w:vAlign w:val="top"/>
          </w:tcPr>
          <w:p w14:paraId="20721825">
            <w:pPr>
              <w:pStyle w:val="30"/>
              <w:spacing w:before="41"/>
              <w:ind w:right="147"/>
              <w:rPr>
                <w:color w:val="auto"/>
                <w:sz w:val="20"/>
              </w:rPr>
            </w:pPr>
            <w:r>
              <w:rPr>
                <w:color w:val="auto"/>
                <w:sz w:val="20"/>
              </w:rPr>
              <w:t>0500</w:t>
            </w:r>
          </w:p>
        </w:tc>
        <w:tc>
          <w:tcPr>
            <w:tcW w:w="752" w:type="dxa"/>
            <w:vAlign w:val="top"/>
          </w:tcPr>
          <w:p w14:paraId="4BF005B2">
            <w:pPr>
              <w:pStyle w:val="30"/>
              <w:spacing w:before="41"/>
              <w:ind w:right="145"/>
              <w:rPr>
                <w:color w:val="auto"/>
                <w:sz w:val="20"/>
              </w:rPr>
            </w:pPr>
            <w:r>
              <w:rPr>
                <w:color w:val="auto"/>
                <w:sz w:val="20"/>
              </w:rPr>
              <w:t>0012</w:t>
            </w:r>
          </w:p>
        </w:tc>
        <w:tc>
          <w:tcPr>
            <w:tcW w:w="1366" w:type="dxa"/>
            <w:vAlign w:val="top"/>
          </w:tcPr>
          <w:p w14:paraId="0F2EAD28">
            <w:pPr>
              <w:pStyle w:val="30"/>
              <w:spacing w:before="41"/>
              <w:ind w:left="235" w:right="225"/>
              <w:rPr>
                <w:color w:val="auto"/>
                <w:sz w:val="20"/>
              </w:rPr>
            </w:pPr>
            <w:r>
              <w:rPr>
                <w:color w:val="auto"/>
                <w:sz w:val="20"/>
              </w:rPr>
              <w:t>5.70</w:t>
            </w:r>
          </w:p>
        </w:tc>
        <w:tc>
          <w:tcPr>
            <w:tcW w:w="1121" w:type="dxa"/>
            <w:vAlign w:val="top"/>
          </w:tcPr>
          <w:p w14:paraId="2F50B097">
            <w:pPr>
              <w:pStyle w:val="30"/>
              <w:spacing w:before="41"/>
              <w:ind w:left="212" w:right="203"/>
              <w:rPr>
                <w:color w:val="auto"/>
                <w:sz w:val="20"/>
              </w:rPr>
            </w:pPr>
            <w:r>
              <w:rPr>
                <w:color w:val="auto"/>
                <w:sz w:val="20"/>
              </w:rPr>
              <w:t>85.50</w:t>
            </w:r>
          </w:p>
        </w:tc>
        <w:tc>
          <w:tcPr>
            <w:tcW w:w="1990" w:type="dxa"/>
            <w:vAlign w:val="top"/>
          </w:tcPr>
          <w:p w14:paraId="304E9985">
            <w:pPr>
              <w:pStyle w:val="30"/>
              <w:spacing w:before="28"/>
              <w:ind w:left="276" w:right="269"/>
              <w:rPr>
                <w:rFonts w:hint="eastAsia" w:ascii="宋体" w:eastAsia="宋体"/>
                <w:color w:val="auto"/>
                <w:sz w:val="20"/>
              </w:rPr>
            </w:pPr>
            <w:r>
              <w:rPr>
                <w:rFonts w:hint="eastAsia" w:ascii="宋体" w:eastAsia="宋体"/>
                <w:color w:val="auto"/>
                <w:sz w:val="20"/>
              </w:rPr>
              <w:t>实现无疫情小班</w:t>
            </w:r>
          </w:p>
        </w:tc>
      </w:tr>
      <w:tr w14:paraId="77FE8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shd w:val="clear" w:color="auto" w:fill="BEBEBE"/>
            <w:vAlign w:val="top"/>
          </w:tcPr>
          <w:p w14:paraId="78A8C6E7">
            <w:pPr>
              <w:pStyle w:val="30"/>
              <w:spacing w:before="54"/>
              <w:ind w:left="152" w:right="148"/>
              <w:rPr>
                <w:rFonts w:hint="eastAsia" w:ascii="宋体" w:eastAsia="宋体"/>
                <w:color w:val="auto"/>
                <w:sz w:val="20"/>
              </w:rPr>
            </w:pPr>
            <w:r>
              <w:rPr>
                <w:rFonts w:hint="eastAsia" w:ascii="宋体" w:eastAsia="宋体"/>
                <w:color w:val="auto"/>
                <w:sz w:val="20"/>
              </w:rPr>
              <w:t>小计</w:t>
            </w:r>
          </w:p>
        </w:tc>
        <w:tc>
          <w:tcPr>
            <w:tcW w:w="996" w:type="dxa"/>
            <w:shd w:val="clear" w:color="auto" w:fill="BEBEBE"/>
            <w:vAlign w:val="top"/>
          </w:tcPr>
          <w:p w14:paraId="57FD3E46">
            <w:pPr>
              <w:pStyle w:val="30"/>
              <w:spacing w:before="67"/>
              <w:ind w:left="9"/>
              <w:rPr>
                <w:color w:val="auto"/>
                <w:sz w:val="20"/>
              </w:rPr>
            </w:pPr>
            <w:r>
              <w:rPr>
                <w:color w:val="auto"/>
                <w:w w:val="99"/>
                <w:sz w:val="20"/>
              </w:rPr>
              <w:t>1</w:t>
            </w:r>
          </w:p>
        </w:tc>
        <w:tc>
          <w:tcPr>
            <w:tcW w:w="1245" w:type="dxa"/>
            <w:shd w:val="clear" w:color="auto" w:fill="BEBEBE"/>
            <w:vAlign w:val="top"/>
          </w:tcPr>
          <w:p w14:paraId="7408716D">
            <w:pPr>
              <w:pStyle w:val="30"/>
              <w:spacing w:before="67"/>
              <w:ind w:left="7"/>
              <w:rPr>
                <w:color w:val="auto"/>
                <w:sz w:val="20"/>
              </w:rPr>
            </w:pPr>
            <w:r>
              <w:rPr>
                <w:color w:val="auto"/>
                <w:w w:val="99"/>
                <w:sz w:val="20"/>
              </w:rPr>
              <w:t>2</w:t>
            </w:r>
          </w:p>
        </w:tc>
        <w:tc>
          <w:tcPr>
            <w:tcW w:w="752" w:type="dxa"/>
            <w:shd w:val="clear" w:color="auto" w:fill="BEBEBE"/>
            <w:vAlign w:val="top"/>
          </w:tcPr>
          <w:p w14:paraId="197CAE3B">
            <w:pPr>
              <w:pStyle w:val="30"/>
              <w:spacing w:before="67"/>
              <w:ind w:left="9"/>
              <w:rPr>
                <w:color w:val="auto"/>
                <w:sz w:val="20"/>
              </w:rPr>
            </w:pPr>
            <w:r>
              <w:rPr>
                <w:color w:val="auto"/>
                <w:w w:val="99"/>
                <w:sz w:val="20"/>
              </w:rPr>
              <w:t>4</w:t>
            </w:r>
          </w:p>
        </w:tc>
        <w:tc>
          <w:tcPr>
            <w:tcW w:w="752" w:type="dxa"/>
            <w:shd w:val="clear" w:color="auto" w:fill="BEBEBE"/>
            <w:vAlign w:val="top"/>
          </w:tcPr>
          <w:p w14:paraId="226DD2D5">
            <w:pPr>
              <w:pStyle w:val="30"/>
              <w:spacing w:before="67"/>
              <w:ind w:right="148"/>
              <w:rPr>
                <w:color w:val="auto"/>
                <w:sz w:val="20"/>
              </w:rPr>
            </w:pPr>
            <w:r>
              <w:rPr>
                <w:color w:val="auto"/>
                <w:sz w:val="20"/>
              </w:rPr>
              <w:t>20</w:t>
            </w:r>
          </w:p>
        </w:tc>
        <w:tc>
          <w:tcPr>
            <w:tcW w:w="1366" w:type="dxa"/>
            <w:shd w:val="clear" w:color="auto" w:fill="BEBEBE"/>
            <w:vAlign w:val="top"/>
          </w:tcPr>
          <w:p w14:paraId="5FC97F14">
            <w:pPr>
              <w:pStyle w:val="30"/>
              <w:spacing w:before="67"/>
              <w:ind w:left="235" w:right="227"/>
              <w:rPr>
                <w:color w:val="auto"/>
                <w:sz w:val="20"/>
              </w:rPr>
            </w:pPr>
            <w:r>
              <w:rPr>
                <w:color w:val="auto"/>
                <w:sz w:val="20"/>
              </w:rPr>
              <w:t>93.69</w:t>
            </w:r>
          </w:p>
        </w:tc>
        <w:tc>
          <w:tcPr>
            <w:tcW w:w="1121" w:type="dxa"/>
            <w:shd w:val="clear" w:color="auto" w:fill="BEBEBE"/>
            <w:vAlign w:val="top"/>
          </w:tcPr>
          <w:p w14:paraId="3352695B">
            <w:pPr>
              <w:pStyle w:val="30"/>
              <w:spacing w:before="67"/>
              <w:ind w:left="212" w:right="203"/>
              <w:rPr>
                <w:color w:val="auto"/>
                <w:sz w:val="20"/>
              </w:rPr>
            </w:pPr>
            <w:r>
              <w:rPr>
                <w:color w:val="auto"/>
                <w:sz w:val="20"/>
              </w:rPr>
              <w:t>1405.35</w:t>
            </w:r>
          </w:p>
        </w:tc>
        <w:tc>
          <w:tcPr>
            <w:tcW w:w="1990" w:type="dxa"/>
            <w:shd w:val="clear" w:color="auto" w:fill="BEBEBE"/>
            <w:vAlign w:val="top"/>
          </w:tcPr>
          <w:p w14:paraId="2CD4358E">
            <w:pPr>
              <w:pStyle w:val="30"/>
              <w:spacing w:before="67"/>
              <w:ind w:left="7"/>
              <w:rPr>
                <w:color w:val="auto"/>
                <w:sz w:val="20"/>
              </w:rPr>
            </w:pPr>
            <w:r>
              <w:rPr>
                <w:color w:val="auto"/>
                <w:w w:val="99"/>
                <w:sz w:val="20"/>
              </w:rPr>
              <w:t>—</w:t>
            </w:r>
          </w:p>
        </w:tc>
      </w:tr>
      <w:tr w14:paraId="3367E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77206687">
            <w:pPr>
              <w:pStyle w:val="30"/>
              <w:spacing w:before="43"/>
              <w:ind w:right="146"/>
              <w:rPr>
                <w:color w:val="auto"/>
                <w:sz w:val="20"/>
              </w:rPr>
            </w:pPr>
            <w:r>
              <w:rPr>
                <w:color w:val="auto"/>
                <w:sz w:val="20"/>
              </w:rPr>
              <w:t>21</w:t>
            </w:r>
          </w:p>
        </w:tc>
        <w:tc>
          <w:tcPr>
            <w:tcW w:w="996" w:type="dxa"/>
            <w:vAlign w:val="top"/>
          </w:tcPr>
          <w:p w14:paraId="005804B2">
            <w:pPr>
              <w:pStyle w:val="30"/>
              <w:spacing w:before="30"/>
              <w:ind w:left="180" w:right="170"/>
              <w:rPr>
                <w:rFonts w:hint="eastAsia" w:ascii="宋体" w:eastAsia="宋体"/>
                <w:color w:val="auto"/>
                <w:sz w:val="20"/>
              </w:rPr>
            </w:pPr>
            <w:r>
              <w:rPr>
                <w:rFonts w:hint="eastAsia" w:ascii="宋体" w:eastAsia="宋体"/>
                <w:color w:val="auto"/>
                <w:sz w:val="20"/>
              </w:rPr>
              <w:t>庙头镇</w:t>
            </w:r>
          </w:p>
        </w:tc>
        <w:tc>
          <w:tcPr>
            <w:tcW w:w="1245" w:type="dxa"/>
            <w:vAlign w:val="top"/>
          </w:tcPr>
          <w:p w14:paraId="79B3A246">
            <w:pPr>
              <w:pStyle w:val="30"/>
              <w:spacing w:before="30"/>
              <w:ind w:left="202" w:right="194"/>
              <w:rPr>
                <w:rFonts w:hint="eastAsia" w:ascii="宋体" w:eastAsia="宋体"/>
                <w:color w:val="auto"/>
                <w:sz w:val="20"/>
              </w:rPr>
            </w:pPr>
            <w:r>
              <w:rPr>
                <w:rFonts w:hint="eastAsia" w:ascii="宋体" w:eastAsia="宋体"/>
                <w:color w:val="auto"/>
                <w:sz w:val="20"/>
              </w:rPr>
              <w:t>李家村</w:t>
            </w:r>
          </w:p>
        </w:tc>
        <w:tc>
          <w:tcPr>
            <w:tcW w:w="752" w:type="dxa"/>
            <w:vAlign w:val="top"/>
          </w:tcPr>
          <w:p w14:paraId="7ECD01E4">
            <w:pPr>
              <w:pStyle w:val="30"/>
              <w:spacing w:before="43"/>
              <w:ind w:right="147"/>
              <w:rPr>
                <w:color w:val="auto"/>
                <w:sz w:val="20"/>
              </w:rPr>
            </w:pPr>
            <w:r>
              <w:rPr>
                <w:color w:val="auto"/>
                <w:sz w:val="20"/>
              </w:rPr>
              <w:t>0500</w:t>
            </w:r>
          </w:p>
        </w:tc>
        <w:tc>
          <w:tcPr>
            <w:tcW w:w="752" w:type="dxa"/>
            <w:vAlign w:val="top"/>
          </w:tcPr>
          <w:p w14:paraId="36AB836C">
            <w:pPr>
              <w:pStyle w:val="30"/>
              <w:spacing w:before="43"/>
              <w:ind w:right="145"/>
              <w:rPr>
                <w:color w:val="auto"/>
                <w:sz w:val="20"/>
              </w:rPr>
            </w:pPr>
            <w:r>
              <w:rPr>
                <w:color w:val="auto"/>
                <w:sz w:val="20"/>
              </w:rPr>
              <w:t>0005</w:t>
            </w:r>
          </w:p>
        </w:tc>
        <w:tc>
          <w:tcPr>
            <w:tcW w:w="1366" w:type="dxa"/>
            <w:vAlign w:val="top"/>
          </w:tcPr>
          <w:p w14:paraId="33444577">
            <w:pPr>
              <w:pStyle w:val="30"/>
              <w:spacing w:before="43"/>
              <w:ind w:left="235" w:right="225"/>
              <w:rPr>
                <w:color w:val="auto"/>
                <w:sz w:val="20"/>
              </w:rPr>
            </w:pPr>
            <w:r>
              <w:rPr>
                <w:color w:val="auto"/>
                <w:sz w:val="20"/>
              </w:rPr>
              <w:t>5.52</w:t>
            </w:r>
          </w:p>
        </w:tc>
        <w:tc>
          <w:tcPr>
            <w:tcW w:w="1121" w:type="dxa"/>
            <w:vAlign w:val="top"/>
          </w:tcPr>
          <w:p w14:paraId="71AB8A12">
            <w:pPr>
              <w:pStyle w:val="30"/>
              <w:spacing w:before="43"/>
              <w:ind w:left="212" w:right="203"/>
              <w:rPr>
                <w:color w:val="auto"/>
                <w:sz w:val="20"/>
              </w:rPr>
            </w:pPr>
            <w:r>
              <w:rPr>
                <w:color w:val="auto"/>
                <w:sz w:val="20"/>
              </w:rPr>
              <w:t>82.75</w:t>
            </w:r>
          </w:p>
        </w:tc>
        <w:tc>
          <w:tcPr>
            <w:tcW w:w="1990" w:type="dxa"/>
            <w:vAlign w:val="top"/>
          </w:tcPr>
          <w:p w14:paraId="799FF5B4">
            <w:pPr>
              <w:pStyle w:val="30"/>
              <w:spacing w:before="30"/>
              <w:ind w:left="276" w:right="269"/>
              <w:rPr>
                <w:rFonts w:hint="eastAsia" w:ascii="宋体" w:eastAsia="宋体"/>
                <w:color w:val="auto"/>
                <w:sz w:val="20"/>
              </w:rPr>
            </w:pPr>
            <w:r>
              <w:rPr>
                <w:rFonts w:hint="eastAsia" w:ascii="宋体" w:eastAsia="宋体"/>
                <w:color w:val="auto"/>
                <w:sz w:val="20"/>
              </w:rPr>
              <w:t>实现无疫情小班</w:t>
            </w:r>
          </w:p>
        </w:tc>
      </w:tr>
      <w:tr w14:paraId="721BC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7E7826AA">
            <w:pPr>
              <w:pStyle w:val="30"/>
              <w:spacing w:before="42"/>
              <w:ind w:right="146"/>
              <w:rPr>
                <w:color w:val="auto"/>
                <w:sz w:val="20"/>
              </w:rPr>
            </w:pPr>
            <w:r>
              <w:rPr>
                <w:color w:val="auto"/>
                <w:sz w:val="20"/>
              </w:rPr>
              <w:t>22</w:t>
            </w:r>
          </w:p>
        </w:tc>
        <w:tc>
          <w:tcPr>
            <w:tcW w:w="996" w:type="dxa"/>
            <w:vAlign w:val="top"/>
          </w:tcPr>
          <w:p w14:paraId="0EEBD3BA">
            <w:pPr>
              <w:pStyle w:val="30"/>
              <w:spacing w:before="29"/>
              <w:ind w:left="180" w:right="170"/>
              <w:rPr>
                <w:rFonts w:hint="eastAsia" w:ascii="宋体" w:eastAsia="宋体"/>
                <w:color w:val="auto"/>
                <w:sz w:val="20"/>
              </w:rPr>
            </w:pPr>
            <w:r>
              <w:rPr>
                <w:rFonts w:hint="eastAsia" w:ascii="宋体" w:eastAsia="宋体"/>
                <w:color w:val="auto"/>
                <w:sz w:val="20"/>
              </w:rPr>
              <w:t>庙头镇</w:t>
            </w:r>
          </w:p>
        </w:tc>
        <w:tc>
          <w:tcPr>
            <w:tcW w:w="1245" w:type="dxa"/>
            <w:vAlign w:val="top"/>
          </w:tcPr>
          <w:p w14:paraId="4047C175">
            <w:pPr>
              <w:pStyle w:val="30"/>
              <w:spacing w:before="29"/>
              <w:ind w:left="202" w:right="194"/>
              <w:rPr>
                <w:rFonts w:hint="eastAsia" w:ascii="宋体" w:eastAsia="宋体"/>
                <w:color w:val="auto"/>
                <w:sz w:val="20"/>
              </w:rPr>
            </w:pPr>
            <w:r>
              <w:rPr>
                <w:rFonts w:hint="eastAsia" w:ascii="宋体" w:eastAsia="宋体"/>
                <w:color w:val="auto"/>
                <w:sz w:val="20"/>
              </w:rPr>
              <w:t>李家村</w:t>
            </w:r>
          </w:p>
        </w:tc>
        <w:tc>
          <w:tcPr>
            <w:tcW w:w="752" w:type="dxa"/>
            <w:vAlign w:val="top"/>
          </w:tcPr>
          <w:p w14:paraId="016F7188">
            <w:pPr>
              <w:pStyle w:val="30"/>
              <w:spacing w:before="42"/>
              <w:ind w:right="147"/>
              <w:rPr>
                <w:color w:val="auto"/>
                <w:sz w:val="20"/>
              </w:rPr>
            </w:pPr>
            <w:r>
              <w:rPr>
                <w:color w:val="auto"/>
                <w:sz w:val="20"/>
              </w:rPr>
              <w:t>0500</w:t>
            </w:r>
          </w:p>
        </w:tc>
        <w:tc>
          <w:tcPr>
            <w:tcW w:w="752" w:type="dxa"/>
            <w:vAlign w:val="top"/>
          </w:tcPr>
          <w:p w14:paraId="78D646CD">
            <w:pPr>
              <w:pStyle w:val="30"/>
              <w:spacing w:before="42"/>
              <w:ind w:right="145"/>
              <w:rPr>
                <w:color w:val="auto"/>
                <w:sz w:val="20"/>
              </w:rPr>
            </w:pPr>
            <w:r>
              <w:rPr>
                <w:color w:val="auto"/>
                <w:sz w:val="20"/>
              </w:rPr>
              <w:t>0010</w:t>
            </w:r>
          </w:p>
        </w:tc>
        <w:tc>
          <w:tcPr>
            <w:tcW w:w="1366" w:type="dxa"/>
            <w:vAlign w:val="top"/>
          </w:tcPr>
          <w:p w14:paraId="364F44EC">
            <w:pPr>
              <w:pStyle w:val="30"/>
              <w:spacing w:before="42"/>
              <w:ind w:left="235" w:right="225"/>
              <w:rPr>
                <w:color w:val="auto"/>
                <w:sz w:val="20"/>
              </w:rPr>
            </w:pPr>
            <w:r>
              <w:rPr>
                <w:color w:val="auto"/>
                <w:sz w:val="20"/>
              </w:rPr>
              <w:t>0.14</w:t>
            </w:r>
          </w:p>
        </w:tc>
        <w:tc>
          <w:tcPr>
            <w:tcW w:w="1121" w:type="dxa"/>
            <w:vAlign w:val="top"/>
          </w:tcPr>
          <w:p w14:paraId="4CED6552">
            <w:pPr>
              <w:pStyle w:val="30"/>
              <w:spacing w:before="42"/>
              <w:ind w:left="212" w:right="203"/>
              <w:rPr>
                <w:color w:val="auto"/>
                <w:sz w:val="20"/>
              </w:rPr>
            </w:pPr>
            <w:r>
              <w:rPr>
                <w:color w:val="auto"/>
                <w:sz w:val="20"/>
              </w:rPr>
              <w:t>2.10</w:t>
            </w:r>
          </w:p>
        </w:tc>
        <w:tc>
          <w:tcPr>
            <w:tcW w:w="1990" w:type="dxa"/>
            <w:vAlign w:val="top"/>
          </w:tcPr>
          <w:p w14:paraId="66C01CDC">
            <w:pPr>
              <w:pStyle w:val="30"/>
              <w:spacing w:before="29"/>
              <w:ind w:left="276" w:right="269"/>
              <w:rPr>
                <w:rFonts w:hint="eastAsia" w:ascii="宋体" w:eastAsia="宋体"/>
                <w:color w:val="auto"/>
                <w:sz w:val="20"/>
              </w:rPr>
            </w:pPr>
            <w:r>
              <w:rPr>
                <w:rFonts w:hint="eastAsia" w:ascii="宋体" w:eastAsia="宋体"/>
                <w:color w:val="auto"/>
                <w:sz w:val="20"/>
              </w:rPr>
              <w:t>实现无疫情小班</w:t>
            </w:r>
          </w:p>
        </w:tc>
      </w:tr>
      <w:tr w14:paraId="4D19E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4AB81999">
            <w:pPr>
              <w:pStyle w:val="30"/>
              <w:spacing w:before="42"/>
              <w:ind w:right="146"/>
              <w:rPr>
                <w:color w:val="auto"/>
                <w:sz w:val="20"/>
              </w:rPr>
            </w:pPr>
            <w:r>
              <w:rPr>
                <w:color w:val="auto"/>
                <w:sz w:val="20"/>
              </w:rPr>
              <w:t>23</w:t>
            </w:r>
          </w:p>
        </w:tc>
        <w:tc>
          <w:tcPr>
            <w:tcW w:w="996" w:type="dxa"/>
            <w:vAlign w:val="top"/>
          </w:tcPr>
          <w:p w14:paraId="294DAE41">
            <w:pPr>
              <w:pStyle w:val="30"/>
              <w:spacing w:before="29"/>
              <w:ind w:left="180" w:right="170"/>
              <w:rPr>
                <w:rFonts w:hint="eastAsia" w:ascii="宋体" w:eastAsia="宋体"/>
                <w:color w:val="auto"/>
                <w:sz w:val="20"/>
              </w:rPr>
            </w:pPr>
            <w:r>
              <w:rPr>
                <w:rFonts w:hint="eastAsia" w:ascii="宋体" w:eastAsia="宋体"/>
                <w:color w:val="auto"/>
                <w:sz w:val="20"/>
              </w:rPr>
              <w:t>庙头镇</w:t>
            </w:r>
          </w:p>
        </w:tc>
        <w:tc>
          <w:tcPr>
            <w:tcW w:w="1245" w:type="dxa"/>
            <w:vAlign w:val="top"/>
          </w:tcPr>
          <w:p w14:paraId="5192CAD6">
            <w:pPr>
              <w:pStyle w:val="30"/>
              <w:spacing w:before="29"/>
              <w:ind w:left="202" w:right="194"/>
              <w:rPr>
                <w:rFonts w:hint="eastAsia" w:ascii="宋体" w:eastAsia="宋体"/>
                <w:color w:val="auto"/>
                <w:sz w:val="20"/>
              </w:rPr>
            </w:pPr>
            <w:r>
              <w:rPr>
                <w:rFonts w:hint="eastAsia" w:ascii="宋体" w:eastAsia="宋体"/>
                <w:color w:val="auto"/>
                <w:sz w:val="20"/>
              </w:rPr>
              <w:t>李家村</w:t>
            </w:r>
          </w:p>
        </w:tc>
        <w:tc>
          <w:tcPr>
            <w:tcW w:w="752" w:type="dxa"/>
            <w:vAlign w:val="top"/>
          </w:tcPr>
          <w:p w14:paraId="7B8FB454">
            <w:pPr>
              <w:pStyle w:val="30"/>
              <w:spacing w:before="42"/>
              <w:ind w:right="147"/>
              <w:rPr>
                <w:color w:val="auto"/>
                <w:sz w:val="20"/>
              </w:rPr>
            </w:pPr>
            <w:r>
              <w:rPr>
                <w:color w:val="auto"/>
                <w:sz w:val="20"/>
              </w:rPr>
              <w:t>0500</w:t>
            </w:r>
          </w:p>
        </w:tc>
        <w:tc>
          <w:tcPr>
            <w:tcW w:w="752" w:type="dxa"/>
            <w:vAlign w:val="top"/>
          </w:tcPr>
          <w:p w14:paraId="48F14990">
            <w:pPr>
              <w:pStyle w:val="30"/>
              <w:spacing w:before="42"/>
              <w:ind w:right="145"/>
              <w:rPr>
                <w:color w:val="auto"/>
                <w:sz w:val="20"/>
              </w:rPr>
            </w:pPr>
            <w:r>
              <w:rPr>
                <w:color w:val="auto"/>
                <w:sz w:val="20"/>
              </w:rPr>
              <w:t>0012</w:t>
            </w:r>
          </w:p>
        </w:tc>
        <w:tc>
          <w:tcPr>
            <w:tcW w:w="1366" w:type="dxa"/>
            <w:vAlign w:val="top"/>
          </w:tcPr>
          <w:p w14:paraId="74FBB560">
            <w:pPr>
              <w:pStyle w:val="30"/>
              <w:spacing w:before="42"/>
              <w:ind w:left="235" w:right="225"/>
              <w:rPr>
                <w:color w:val="auto"/>
                <w:sz w:val="20"/>
              </w:rPr>
            </w:pPr>
            <w:r>
              <w:rPr>
                <w:color w:val="auto"/>
                <w:sz w:val="20"/>
              </w:rPr>
              <w:t>0.60</w:t>
            </w:r>
          </w:p>
        </w:tc>
        <w:tc>
          <w:tcPr>
            <w:tcW w:w="1121" w:type="dxa"/>
            <w:vAlign w:val="top"/>
          </w:tcPr>
          <w:p w14:paraId="424823AB">
            <w:pPr>
              <w:pStyle w:val="30"/>
              <w:spacing w:before="42"/>
              <w:ind w:left="212" w:right="203"/>
              <w:rPr>
                <w:color w:val="auto"/>
                <w:sz w:val="20"/>
              </w:rPr>
            </w:pPr>
            <w:r>
              <w:rPr>
                <w:color w:val="auto"/>
                <w:sz w:val="20"/>
              </w:rPr>
              <w:t>9.00</w:t>
            </w:r>
          </w:p>
        </w:tc>
        <w:tc>
          <w:tcPr>
            <w:tcW w:w="1990" w:type="dxa"/>
            <w:vAlign w:val="top"/>
          </w:tcPr>
          <w:p w14:paraId="1F9C9986">
            <w:pPr>
              <w:pStyle w:val="30"/>
              <w:spacing w:before="29"/>
              <w:ind w:left="276" w:right="269"/>
              <w:rPr>
                <w:rFonts w:hint="eastAsia" w:ascii="宋体" w:eastAsia="宋体"/>
                <w:color w:val="auto"/>
                <w:sz w:val="20"/>
              </w:rPr>
            </w:pPr>
            <w:r>
              <w:rPr>
                <w:rFonts w:hint="eastAsia" w:ascii="宋体" w:eastAsia="宋体"/>
                <w:color w:val="auto"/>
                <w:sz w:val="20"/>
              </w:rPr>
              <w:t>实现无疫情小班</w:t>
            </w:r>
          </w:p>
        </w:tc>
      </w:tr>
      <w:tr w14:paraId="1379D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047C76E2">
            <w:pPr>
              <w:pStyle w:val="30"/>
              <w:spacing w:before="42"/>
              <w:ind w:right="146"/>
              <w:rPr>
                <w:color w:val="auto"/>
                <w:sz w:val="20"/>
              </w:rPr>
            </w:pPr>
            <w:r>
              <w:rPr>
                <w:color w:val="auto"/>
                <w:sz w:val="20"/>
              </w:rPr>
              <w:t>24</w:t>
            </w:r>
          </w:p>
        </w:tc>
        <w:tc>
          <w:tcPr>
            <w:tcW w:w="996" w:type="dxa"/>
            <w:vAlign w:val="top"/>
          </w:tcPr>
          <w:p w14:paraId="66BA85A1">
            <w:pPr>
              <w:pStyle w:val="30"/>
              <w:spacing w:before="28"/>
              <w:ind w:left="180" w:right="170"/>
              <w:rPr>
                <w:rFonts w:hint="eastAsia" w:ascii="宋体" w:eastAsia="宋体"/>
                <w:color w:val="auto"/>
                <w:sz w:val="20"/>
              </w:rPr>
            </w:pPr>
            <w:r>
              <w:rPr>
                <w:rFonts w:hint="eastAsia" w:ascii="宋体" w:eastAsia="宋体"/>
                <w:color w:val="auto"/>
                <w:sz w:val="20"/>
              </w:rPr>
              <w:t>庙头镇</w:t>
            </w:r>
          </w:p>
        </w:tc>
        <w:tc>
          <w:tcPr>
            <w:tcW w:w="1245" w:type="dxa"/>
            <w:vAlign w:val="top"/>
          </w:tcPr>
          <w:p w14:paraId="74A79D0E">
            <w:pPr>
              <w:pStyle w:val="30"/>
              <w:spacing w:before="28"/>
              <w:ind w:left="202" w:right="194"/>
              <w:rPr>
                <w:rFonts w:hint="eastAsia" w:ascii="宋体" w:eastAsia="宋体"/>
                <w:color w:val="auto"/>
                <w:sz w:val="20"/>
              </w:rPr>
            </w:pPr>
            <w:r>
              <w:rPr>
                <w:rFonts w:hint="eastAsia" w:ascii="宋体" w:eastAsia="宋体"/>
                <w:color w:val="auto"/>
                <w:sz w:val="20"/>
              </w:rPr>
              <w:t>李家村</w:t>
            </w:r>
          </w:p>
        </w:tc>
        <w:tc>
          <w:tcPr>
            <w:tcW w:w="752" w:type="dxa"/>
            <w:vAlign w:val="top"/>
          </w:tcPr>
          <w:p w14:paraId="54DC7387">
            <w:pPr>
              <w:pStyle w:val="30"/>
              <w:spacing w:before="42"/>
              <w:ind w:right="147"/>
              <w:rPr>
                <w:color w:val="auto"/>
                <w:sz w:val="20"/>
              </w:rPr>
            </w:pPr>
            <w:r>
              <w:rPr>
                <w:color w:val="auto"/>
                <w:sz w:val="20"/>
              </w:rPr>
              <w:t>0500</w:t>
            </w:r>
          </w:p>
        </w:tc>
        <w:tc>
          <w:tcPr>
            <w:tcW w:w="752" w:type="dxa"/>
            <w:vAlign w:val="top"/>
          </w:tcPr>
          <w:p w14:paraId="1F8B69B6">
            <w:pPr>
              <w:pStyle w:val="30"/>
              <w:spacing w:before="42"/>
              <w:ind w:right="145"/>
              <w:rPr>
                <w:color w:val="auto"/>
                <w:sz w:val="20"/>
              </w:rPr>
            </w:pPr>
            <w:r>
              <w:rPr>
                <w:color w:val="auto"/>
                <w:sz w:val="20"/>
              </w:rPr>
              <w:t>0013</w:t>
            </w:r>
          </w:p>
        </w:tc>
        <w:tc>
          <w:tcPr>
            <w:tcW w:w="1366" w:type="dxa"/>
            <w:vAlign w:val="top"/>
          </w:tcPr>
          <w:p w14:paraId="406B5783">
            <w:pPr>
              <w:pStyle w:val="30"/>
              <w:spacing w:before="42"/>
              <w:ind w:left="235" w:right="225"/>
              <w:rPr>
                <w:color w:val="auto"/>
                <w:sz w:val="20"/>
              </w:rPr>
            </w:pPr>
            <w:r>
              <w:rPr>
                <w:color w:val="auto"/>
                <w:sz w:val="20"/>
              </w:rPr>
              <w:t>0.45</w:t>
            </w:r>
          </w:p>
        </w:tc>
        <w:tc>
          <w:tcPr>
            <w:tcW w:w="1121" w:type="dxa"/>
            <w:vAlign w:val="top"/>
          </w:tcPr>
          <w:p w14:paraId="5E966B6B">
            <w:pPr>
              <w:pStyle w:val="30"/>
              <w:spacing w:before="42"/>
              <w:ind w:left="212" w:right="203"/>
              <w:rPr>
                <w:color w:val="auto"/>
                <w:sz w:val="20"/>
              </w:rPr>
            </w:pPr>
            <w:r>
              <w:rPr>
                <w:color w:val="auto"/>
                <w:sz w:val="20"/>
              </w:rPr>
              <w:t>6.75</w:t>
            </w:r>
          </w:p>
        </w:tc>
        <w:tc>
          <w:tcPr>
            <w:tcW w:w="1990" w:type="dxa"/>
            <w:vAlign w:val="top"/>
          </w:tcPr>
          <w:p w14:paraId="25174E9B">
            <w:pPr>
              <w:pStyle w:val="30"/>
              <w:spacing w:before="28"/>
              <w:ind w:left="276" w:right="269"/>
              <w:rPr>
                <w:rFonts w:hint="eastAsia" w:ascii="宋体" w:eastAsia="宋体"/>
                <w:color w:val="auto"/>
                <w:sz w:val="20"/>
              </w:rPr>
            </w:pPr>
            <w:r>
              <w:rPr>
                <w:rFonts w:hint="eastAsia" w:ascii="宋体" w:eastAsia="宋体"/>
                <w:color w:val="auto"/>
                <w:sz w:val="20"/>
              </w:rPr>
              <w:t>实现无疫情小班</w:t>
            </w:r>
          </w:p>
        </w:tc>
      </w:tr>
      <w:tr w14:paraId="15A20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1D051BF3">
            <w:pPr>
              <w:pStyle w:val="30"/>
              <w:spacing w:before="41"/>
              <w:ind w:right="146"/>
              <w:rPr>
                <w:color w:val="auto"/>
                <w:sz w:val="20"/>
              </w:rPr>
            </w:pPr>
            <w:r>
              <w:rPr>
                <w:color w:val="auto"/>
                <w:sz w:val="20"/>
              </w:rPr>
              <w:t>25</w:t>
            </w:r>
          </w:p>
        </w:tc>
        <w:tc>
          <w:tcPr>
            <w:tcW w:w="996" w:type="dxa"/>
            <w:vAlign w:val="top"/>
          </w:tcPr>
          <w:p w14:paraId="32FC35AA">
            <w:pPr>
              <w:pStyle w:val="30"/>
              <w:spacing w:before="28"/>
              <w:ind w:left="180" w:right="170"/>
              <w:rPr>
                <w:rFonts w:hint="eastAsia" w:ascii="宋体" w:eastAsia="宋体"/>
                <w:color w:val="auto"/>
                <w:sz w:val="20"/>
              </w:rPr>
            </w:pPr>
            <w:r>
              <w:rPr>
                <w:rFonts w:hint="eastAsia" w:ascii="宋体" w:eastAsia="宋体"/>
                <w:color w:val="auto"/>
                <w:sz w:val="20"/>
              </w:rPr>
              <w:t>庙头镇</w:t>
            </w:r>
          </w:p>
        </w:tc>
        <w:tc>
          <w:tcPr>
            <w:tcW w:w="1245" w:type="dxa"/>
            <w:vAlign w:val="top"/>
          </w:tcPr>
          <w:p w14:paraId="48BB895D">
            <w:pPr>
              <w:pStyle w:val="30"/>
              <w:spacing w:before="28"/>
              <w:ind w:left="202" w:right="194"/>
              <w:rPr>
                <w:rFonts w:hint="eastAsia" w:ascii="宋体" w:eastAsia="宋体"/>
                <w:color w:val="auto"/>
                <w:sz w:val="20"/>
              </w:rPr>
            </w:pPr>
            <w:r>
              <w:rPr>
                <w:rFonts w:hint="eastAsia" w:ascii="宋体" w:eastAsia="宋体"/>
                <w:color w:val="auto"/>
                <w:sz w:val="20"/>
              </w:rPr>
              <w:t>李家村</w:t>
            </w:r>
          </w:p>
        </w:tc>
        <w:tc>
          <w:tcPr>
            <w:tcW w:w="752" w:type="dxa"/>
            <w:vAlign w:val="top"/>
          </w:tcPr>
          <w:p w14:paraId="2CEFA659">
            <w:pPr>
              <w:pStyle w:val="30"/>
              <w:spacing w:before="41"/>
              <w:ind w:right="147"/>
              <w:rPr>
                <w:color w:val="auto"/>
                <w:sz w:val="20"/>
              </w:rPr>
            </w:pPr>
            <w:r>
              <w:rPr>
                <w:color w:val="auto"/>
                <w:sz w:val="20"/>
              </w:rPr>
              <w:t>0500</w:t>
            </w:r>
          </w:p>
        </w:tc>
        <w:tc>
          <w:tcPr>
            <w:tcW w:w="752" w:type="dxa"/>
            <w:vAlign w:val="top"/>
          </w:tcPr>
          <w:p w14:paraId="65FDE12B">
            <w:pPr>
              <w:pStyle w:val="30"/>
              <w:spacing w:before="41"/>
              <w:ind w:right="145"/>
              <w:rPr>
                <w:color w:val="auto"/>
                <w:sz w:val="20"/>
              </w:rPr>
            </w:pPr>
            <w:r>
              <w:rPr>
                <w:color w:val="auto"/>
                <w:sz w:val="20"/>
              </w:rPr>
              <w:t>0014</w:t>
            </w:r>
          </w:p>
        </w:tc>
        <w:tc>
          <w:tcPr>
            <w:tcW w:w="1366" w:type="dxa"/>
            <w:vAlign w:val="top"/>
          </w:tcPr>
          <w:p w14:paraId="0251591C">
            <w:pPr>
              <w:pStyle w:val="30"/>
              <w:spacing w:before="41"/>
              <w:ind w:left="235" w:right="225"/>
              <w:rPr>
                <w:color w:val="auto"/>
                <w:sz w:val="20"/>
              </w:rPr>
            </w:pPr>
            <w:r>
              <w:rPr>
                <w:color w:val="auto"/>
                <w:sz w:val="20"/>
              </w:rPr>
              <w:t>3.32</w:t>
            </w:r>
          </w:p>
        </w:tc>
        <w:tc>
          <w:tcPr>
            <w:tcW w:w="1121" w:type="dxa"/>
            <w:vAlign w:val="top"/>
          </w:tcPr>
          <w:p w14:paraId="5009BCE1">
            <w:pPr>
              <w:pStyle w:val="30"/>
              <w:spacing w:before="41"/>
              <w:ind w:left="212" w:right="203"/>
              <w:rPr>
                <w:color w:val="auto"/>
                <w:sz w:val="20"/>
              </w:rPr>
            </w:pPr>
            <w:r>
              <w:rPr>
                <w:color w:val="auto"/>
                <w:sz w:val="20"/>
              </w:rPr>
              <w:t>49.80</w:t>
            </w:r>
          </w:p>
        </w:tc>
        <w:tc>
          <w:tcPr>
            <w:tcW w:w="1990" w:type="dxa"/>
            <w:vAlign w:val="top"/>
          </w:tcPr>
          <w:p w14:paraId="2C89558A">
            <w:pPr>
              <w:pStyle w:val="30"/>
              <w:spacing w:before="28"/>
              <w:ind w:left="276" w:right="269"/>
              <w:rPr>
                <w:rFonts w:hint="eastAsia" w:ascii="宋体" w:eastAsia="宋体"/>
                <w:color w:val="auto"/>
                <w:sz w:val="20"/>
              </w:rPr>
            </w:pPr>
            <w:r>
              <w:rPr>
                <w:rFonts w:hint="eastAsia" w:ascii="宋体" w:eastAsia="宋体"/>
                <w:color w:val="auto"/>
                <w:sz w:val="20"/>
              </w:rPr>
              <w:t>实现无疫情小班</w:t>
            </w:r>
          </w:p>
        </w:tc>
      </w:tr>
      <w:tr w14:paraId="54229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shd w:val="clear" w:color="auto" w:fill="BEBEBE"/>
            <w:vAlign w:val="top"/>
          </w:tcPr>
          <w:p w14:paraId="0E3F0F64">
            <w:pPr>
              <w:pStyle w:val="30"/>
              <w:spacing w:before="54"/>
              <w:ind w:left="152" w:right="148"/>
              <w:rPr>
                <w:rFonts w:hint="eastAsia" w:ascii="宋体" w:eastAsia="宋体"/>
                <w:color w:val="auto"/>
                <w:sz w:val="20"/>
              </w:rPr>
            </w:pPr>
            <w:r>
              <w:rPr>
                <w:rFonts w:hint="eastAsia" w:ascii="宋体" w:eastAsia="宋体"/>
                <w:color w:val="auto"/>
                <w:sz w:val="20"/>
              </w:rPr>
              <w:t>小计</w:t>
            </w:r>
          </w:p>
        </w:tc>
        <w:tc>
          <w:tcPr>
            <w:tcW w:w="996" w:type="dxa"/>
            <w:shd w:val="clear" w:color="auto" w:fill="BEBEBE"/>
            <w:vAlign w:val="top"/>
          </w:tcPr>
          <w:p w14:paraId="7FEE345C">
            <w:pPr>
              <w:pStyle w:val="30"/>
              <w:spacing w:before="67"/>
              <w:ind w:left="9"/>
              <w:rPr>
                <w:color w:val="auto"/>
                <w:sz w:val="20"/>
              </w:rPr>
            </w:pPr>
            <w:r>
              <w:rPr>
                <w:color w:val="auto"/>
                <w:w w:val="99"/>
                <w:sz w:val="20"/>
              </w:rPr>
              <w:t>1</w:t>
            </w:r>
          </w:p>
        </w:tc>
        <w:tc>
          <w:tcPr>
            <w:tcW w:w="1245" w:type="dxa"/>
            <w:shd w:val="clear" w:color="auto" w:fill="BEBEBE"/>
            <w:vAlign w:val="top"/>
          </w:tcPr>
          <w:p w14:paraId="3A262D6D">
            <w:pPr>
              <w:pStyle w:val="30"/>
              <w:spacing w:before="67"/>
              <w:ind w:left="7"/>
              <w:rPr>
                <w:color w:val="auto"/>
                <w:sz w:val="20"/>
              </w:rPr>
            </w:pPr>
            <w:r>
              <w:rPr>
                <w:color w:val="auto"/>
                <w:w w:val="99"/>
                <w:sz w:val="20"/>
              </w:rPr>
              <w:t>1</w:t>
            </w:r>
          </w:p>
        </w:tc>
        <w:tc>
          <w:tcPr>
            <w:tcW w:w="752" w:type="dxa"/>
            <w:shd w:val="clear" w:color="auto" w:fill="BEBEBE"/>
            <w:vAlign w:val="top"/>
          </w:tcPr>
          <w:p w14:paraId="481F4F80">
            <w:pPr>
              <w:pStyle w:val="30"/>
              <w:spacing w:before="67"/>
              <w:ind w:left="9"/>
              <w:rPr>
                <w:color w:val="auto"/>
                <w:sz w:val="20"/>
              </w:rPr>
            </w:pPr>
            <w:r>
              <w:rPr>
                <w:color w:val="auto"/>
                <w:w w:val="99"/>
                <w:sz w:val="20"/>
              </w:rPr>
              <w:t>1</w:t>
            </w:r>
          </w:p>
        </w:tc>
        <w:tc>
          <w:tcPr>
            <w:tcW w:w="752" w:type="dxa"/>
            <w:shd w:val="clear" w:color="auto" w:fill="BEBEBE"/>
            <w:vAlign w:val="top"/>
          </w:tcPr>
          <w:p w14:paraId="2CFA09E5">
            <w:pPr>
              <w:pStyle w:val="30"/>
              <w:spacing w:before="67"/>
              <w:ind w:left="6"/>
              <w:rPr>
                <w:color w:val="auto"/>
                <w:sz w:val="20"/>
              </w:rPr>
            </w:pPr>
            <w:r>
              <w:rPr>
                <w:color w:val="auto"/>
                <w:w w:val="99"/>
                <w:sz w:val="20"/>
              </w:rPr>
              <w:t>5</w:t>
            </w:r>
          </w:p>
        </w:tc>
        <w:tc>
          <w:tcPr>
            <w:tcW w:w="1366" w:type="dxa"/>
            <w:shd w:val="clear" w:color="auto" w:fill="BEBEBE"/>
            <w:vAlign w:val="top"/>
          </w:tcPr>
          <w:p w14:paraId="3EE024DF">
            <w:pPr>
              <w:pStyle w:val="30"/>
              <w:spacing w:before="67"/>
              <w:ind w:left="235" w:right="227"/>
              <w:rPr>
                <w:color w:val="auto"/>
                <w:sz w:val="20"/>
              </w:rPr>
            </w:pPr>
            <w:r>
              <w:rPr>
                <w:color w:val="auto"/>
                <w:sz w:val="20"/>
              </w:rPr>
              <w:t>10.03</w:t>
            </w:r>
          </w:p>
        </w:tc>
        <w:tc>
          <w:tcPr>
            <w:tcW w:w="1121" w:type="dxa"/>
            <w:shd w:val="clear" w:color="auto" w:fill="BEBEBE"/>
            <w:vAlign w:val="top"/>
          </w:tcPr>
          <w:p w14:paraId="69EFAE77">
            <w:pPr>
              <w:pStyle w:val="30"/>
              <w:spacing w:before="67"/>
              <w:ind w:left="212" w:right="203"/>
              <w:rPr>
                <w:color w:val="auto"/>
                <w:sz w:val="20"/>
              </w:rPr>
            </w:pPr>
            <w:r>
              <w:rPr>
                <w:color w:val="auto"/>
                <w:sz w:val="20"/>
              </w:rPr>
              <w:t>150.40</w:t>
            </w:r>
          </w:p>
        </w:tc>
        <w:tc>
          <w:tcPr>
            <w:tcW w:w="1990" w:type="dxa"/>
            <w:shd w:val="clear" w:color="auto" w:fill="BEBEBE"/>
            <w:vAlign w:val="top"/>
          </w:tcPr>
          <w:p w14:paraId="01420436">
            <w:pPr>
              <w:pStyle w:val="30"/>
              <w:spacing w:before="67"/>
              <w:ind w:left="7"/>
              <w:rPr>
                <w:color w:val="auto"/>
                <w:sz w:val="20"/>
              </w:rPr>
            </w:pPr>
            <w:r>
              <w:rPr>
                <w:color w:val="auto"/>
                <w:w w:val="99"/>
                <w:sz w:val="20"/>
              </w:rPr>
              <w:t>—</w:t>
            </w:r>
          </w:p>
        </w:tc>
      </w:tr>
      <w:tr w14:paraId="1664A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10DEF887">
            <w:pPr>
              <w:pStyle w:val="30"/>
              <w:spacing w:before="43"/>
              <w:ind w:right="146"/>
              <w:rPr>
                <w:color w:val="auto"/>
                <w:sz w:val="20"/>
              </w:rPr>
            </w:pPr>
            <w:r>
              <w:rPr>
                <w:color w:val="auto"/>
                <w:sz w:val="20"/>
              </w:rPr>
              <w:t>26</w:t>
            </w:r>
          </w:p>
        </w:tc>
        <w:tc>
          <w:tcPr>
            <w:tcW w:w="996" w:type="dxa"/>
            <w:vAlign w:val="top"/>
          </w:tcPr>
          <w:p w14:paraId="007E0531">
            <w:pPr>
              <w:pStyle w:val="30"/>
              <w:spacing w:before="30"/>
              <w:ind w:left="180" w:right="170"/>
              <w:rPr>
                <w:rFonts w:hint="eastAsia" w:ascii="宋体" w:eastAsia="宋体"/>
                <w:color w:val="auto"/>
                <w:sz w:val="20"/>
              </w:rPr>
            </w:pPr>
            <w:r>
              <w:rPr>
                <w:rFonts w:hint="eastAsia" w:ascii="宋体" w:eastAsia="宋体"/>
                <w:color w:val="auto"/>
                <w:sz w:val="20"/>
              </w:rPr>
              <w:t>才湾镇</w:t>
            </w:r>
          </w:p>
        </w:tc>
        <w:tc>
          <w:tcPr>
            <w:tcW w:w="1245" w:type="dxa"/>
            <w:vAlign w:val="top"/>
          </w:tcPr>
          <w:p w14:paraId="38B55727">
            <w:pPr>
              <w:pStyle w:val="30"/>
              <w:spacing w:before="30"/>
              <w:ind w:left="202" w:right="194"/>
              <w:rPr>
                <w:rFonts w:hint="eastAsia" w:ascii="宋体" w:eastAsia="宋体"/>
                <w:color w:val="auto"/>
                <w:sz w:val="20"/>
              </w:rPr>
            </w:pPr>
            <w:r>
              <w:rPr>
                <w:rFonts w:hint="eastAsia" w:ascii="宋体" w:eastAsia="宋体"/>
                <w:color w:val="auto"/>
                <w:sz w:val="20"/>
              </w:rPr>
              <w:t>白石村</w:t>
            </w:r>
          </w:p>
        </w:tc>
        <w:tc>
          <w:tcPr>
            <w:tcW w:w="752" w:type="dxa"/>
            <w:vAlign w:val="top"/>
          </w:tcPr>
          <w:p w14:paraId="2A0FA42B">
            <w:pPr>
              <w:pStyle w:val="30"/>
              <w:spacing w:before="43"/>
              <w:ind w:right="147"/>
              <w:rPr>
                <w:color w:val="auto"/>
                <w:sz w:val="20"/>
              </w:rPr>
            </w:pPr>
            <w:r>
              <w:rPr>
                <w:color w:val="auto"/>
                <w:sz w:val="20"/>
              </w:rPr>
              <w:t>0300</w:t>
            </w:r>
          </w:p>
        </w:tc>
        <w:tc>
          <w:tcPr>
            <w:tcW w:w="752" w:type="dxa"/>
            <w:vAlign w:val="top"/>
          </w:tcPr>
          <w:p w14:paraId="47DC9C17">
            <w:pPr>
              <w:pStyle w:val="30"/>
              <w:spacing w:before="43"/>
              <w:ind w:right="145"/>
              <w:rPr>
                <w:color w:val="auto"/>
                <w:sz w:val="20"/>
              </w:rPr>
            </w:pPr>
            <w:r>
              <w:rPr>
                <w:color w:val="auto"/>
                <w:sz w:val="20"/>
              </w:rPr>
              <w:t>0020</w:t>
            </w:r>
          </w:p>
        </w:tc>
        <w:tc>
          <w:tcPr>
            <w:tcW w:w="1366" w:type="dxa"/>
            <w:vAlign w:val="top"/>
          </w:tcPr>
          <w:p w14:paraId="1A7ADE29">
            <w:pPr>
              <w:pStyle w:val="30"/>
              <w:spacing w:before="43"/>
              <w:ind w:left="235" w:right="227"/>
              <w:rPr>
                <w:color w:val="auto"/>
                <w:sz w:val="20"/>
              </w:rPr>
            </w:pPr>
            <w:r>
              <w:rPr>
                <w:color w:val="auto"/>
                <w:sz w:val="20"/>
              </w:rPr>
              <w:t>10.59</w:t>
            </w:r>
          </w:p>
        </w:tc>
        <w:tc>
          <w:tcPr>
            <w:tcW w:w="1121" w:type="dxa"/>
            <w:vAlign w:val="top"/>
          </w:tcPr>
          <w:p w14:paraId="1620B819">
            <w:pPr>
              <w:pStyle w:val="30"/>
              <w:spacing w:before="43"/>
              <w:ind w:left="212" w:right="203"/>
              <w:rPr>
                <w:color w:val="auto"/>
                <w:sz w:val="20"/>
              </w:rPr>
            </w:pPr>
            <w:r>
              <w:rPr>
                <w:color w:val="auto"/>
                <w:sz w:val="20"/>
              </w:rPr>
              <w:t>158.85</w:t>
            </w:r>
          </w:p>
        </w:tc>
        <w:tc>
          <w:tcPr>
            <w:tcW w:w="1990" w:type="dxa"/>
            <w:vAlign w:val="top"/>
          </w:tcPr>
          <w:p w14:paraId="6F70E11A">
            <w:pPr>
              <w:pStyle w:val="30"/>
              <w:spacing w:before="30"/>
              <w:ind w:left="276" w:right="269"/>
              <w:rPr>
                <w:rFonts w:hint="eastAsia" w:ascii="宋体" w:eastAsia="宋体"/>
                <w:color w:val="auto"/>
                <w:sz w:val="20"/>
              </w:rPr>
            </w:pPr>
            <w:r>
              <w:rPr>
                <w:rFonts w:hint="eastAsia" w:ascii="宋体" w:eastAsia="宋体"/>
                <w:color w:val="auto"/>
                <w:sz w:val="20"/>
              </w:rPr>
              <w:t>疫情小班</w:t>
            </w:r>
          </w:p>
        </w:tc>
      </w:tr>
      <w:tr w14:paraId="6147D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383B1310">
            <w:pPr>
              <w:pStyle w:val="30"/>
              <w:spacing w:before="42"/>
              <w:ind w:right="146"/>
              <w:rPr>
                <w:color w:val="auto"/>
                <w:sz w:val="20"/>
              </w:rPr>
            </w:pPr>
            <w:r>
              <w:rPr>
                <w:color w:val="auto"/>
                <w:sz w:val="20"/>
              </w:rPr>
              <w:t>27</w:t>
            </w:r>
          </w:p>
        </w:tc>
        <w:tc>
          <w:tcPr>
            <w:tcW w:w="996" w:type="dxa"/>
            <w:vAlign w:val="top"/>
          </w:tcPr>
          <w:p w14:paraId="4E350B46">
            <w:pPr>
              <w:pStyle w:val="30"/>
              <w:spacing w:before="29"/>
              <w:ind w:left="180" w:right="170"/>
              <w:rPr>
                <w:rFonts w:hint="eastAsia" w:ascii="宋体" w:eastAsia="宋体"/>
                <w:color w:val="auto"/>
                <w:sz w:val="20"/>
              </w:rPr>
            </w:pPr>
            <w:r>
              <w:rPr>
                <w:rFonts w:hint="eastAsia" w:ascii="宋体" w:eastAsia="宋体"/>
                <w:color w:val="auto"/>
                <w:sz w:val="20"/>
              </w:rPr>
              <w:t>才湾镇</w:t>
            </w:r>
          </w:p>
        </w:tc>
        <w:tc>
          <w:tcPr>
            <w:tcW w:w="1245" w:type="dxa"/>
            <w:vAlign w:val="top"/>
          </w:tcPr>
          <w:p w14:paraId="5C185118">
            <w:pPr>
              <w:pStyle w:val="30"/>
              <w:spacing w:before="29"/>
              <w:ind w:left="202" w:right="194"/>
              <w:rPr>
                <w:rFonts w:hint="eastAsia" w:ascii="宋体" w:eastAsia="宋体"/>
                <w:color w:val="auto"/>
                <w:sz w:val="20"/>
              </w:rPr>
            </w:pPr>
            <w:r>
              <w:rPr>
                <w:rFonts w:hint="eastAsia" w:ascii="宋体" w:eastAsia="宋体"/>
                <w:color w:val="auto"/>
                <w:sz w:val="20"/>
              </w:rPr>
              <w:t>白石村</w:t>
            </w:r>
          </w:p>
        </w:tc>
        <w:tc>
          <w:tcPr>
            <w:tcW w:w="752" w:type="dxa"/>
            <w:vAlign w:val="top"/>
          </w:tcPr>
          <w:p w14:paraId="531A3CCF">
            <w:pPr>
              <w:pStyle w:val="30"/>
              <w:spacing w:before="42"/>
              <w:ind w:right="147"/>
              <w:rPr>
                <w:color w:val="auto"/>
                <w:sz w:val="20"/>
              </w:rPr>
            </w:pPr>
            <w:r>
              <w:rPr>
                <w:color w:val="auto"/>
                <w:sz w:val="20"/>
              </w:rPr>
              <w:t>0900</w:t>
            </w:r>
          </w:p>
        </w:tc>
        <w:tc>
          <w:tcPr>
            <w:tcW w:w="752" w:type="dxa"/>
            <w:vAlign w:val="top"/>
          </w:tcPr>
          <w:p w14:paraId="552F3EF1">
            <w:pPr>
              <w:pStyle w:val="30"/>
              <w:spacing w:before="42"/>
              <w:ind w:right="145"/>
              <w:rPr>
                <w:color w:val="auto"/>
                <w:sz w:val="20"/>
              </w:rPr>
            </w:pPr>
            <w:r>
              <w:rPr>
                <w:color w:val="auto"/>
                <w:sz w:val="20"/>
              </w:rPr>
              <w:t>0030</w:t>
            </w:r>
          </w:p>
        </w:tc>
        <w:tc>
          <w:tcPr>
            <w:tcW w:w="1366" w:type="dxa"/>
            <w:vAlign w:val="top"/>
          </w:tcPr>
          <w:p w14:paraId="54C507ED">
            <w:pPr>
              <w:pStyle w:val="30"/>
              <w:spacing w:before="42"/>
              <w:ind w:left="235" w:right="225"/>
              <w:rPr>
                <w:color w:val="auto"/>
                <w:sz w:val="20"/>
              </w:rPr>
            </w:pPr>
            <w:r>
              <w:rPr>
                <w:color w:val="auto"/>
                <w:sz w:val="20"/>
              </w:rPr>
              <w:t>3.75</w:t>
            </w:r>
          </w:p>
        </w:tc>
        <w:tc>
          <w:tcPr>
            <w:tcW w:w="1121" w:type="dxa"/>
            <w:vAlign w:val="top"/>
          </w:tcPr>
          <w:p w14:paraId="055D3A1D">
            <w:pPr>
              <w:pStyle w:val="30"/>
              <w:spacing w:before="42"/>
              <w:ind w:left="212" w:right="203"/>
              <w:rPr>
                <w:color w:val="auto"/>
                <w:sz w:val="20"/>
              </w:rPr>
            </w:pPr>
            <w:r>
              <w:rPr>
                <w:color w:val="auto"/>
                <w:sz w:val="20"/>
              </w:rPr>
              <w:t>56.25</w:t>
            </w:r>
          </w:p>
        </w:tc>
        <w:tc>
          <w:tcPr>
            <w:tcW w:w="1990" w:type="dxa"/>
            <w:vAlign w:val="top"/>
          </w:tcPr>
          <w:p w14:paraId="714BA8FE">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50E25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3834C695">
            <w:pPr>
              <w:pStyle w:val="30"/>
              <w:spacing w:before="42"/>
              <w:ind w:right="146"/>
              <w:rPr>
                <w:color w:val="auto"/>
                <w:sz w:val="20"/>
              </w:rPr>
            </w:pPr>
            <w:r>
              <w:rPr>
                <w:color w:val="auto"/>
                <w:sz w:val="20"/>
              </w:rPr>
              <w:t>28</w:t>
            </w:r>
          </w:p>
        </w:tc>
        <w:tc>
          <w:tcPr>
            <w:tcW w:w="996" w:type="dxa"/>
            <w:vAlign w:val="top"/>
          </w:tcPr>
          <w:p w14:paraId="4AE84895">
            <w:pPr>
              <w:pStyle w:val="30"/>
              <w:spacing w:before="29"/>
              <w:ind w:left="180" w:right="170"/>
              <w:rPr>
                <w:rFonts w:hint="eastAsia" w:ascii="宋体" w:eastAsia="宋体"/>
                <w:color w:val="auto"/>
                <w:sz w:val="20"/>
              </w:rPr>
            </w:pPr>
            <w:r>
              <w:rPr>
                <w:rFonts w:hint="eastAsia" w:ascii="宋体" w:eastAsia="宋体"/>
                <w:color w:val="auto"/>
                <w:sz w:val="20"/>
              </w:rPr>
              <w:t>才湾镇</w:t>
            </w:r>
          </w:p>
        </w:tc>
        <w:tc>
          <w:tcPr>
            <w:tcW w:w="1245" w:type="dxa"/>
            <w:vAlign w:val="top"/>
          </w:tcPr>
          <w:p w14:paraId="19326D4A">
            <w:pPr>
              <w:pStyle w:val="30"/>
              <w:spacing w:before="29"/>
              <w:ind w:left="202" w:right="194"/>
              <w:rPr>
                <w:rFonts w:hint="eastAsia" w:ascii="宋体" w:eastAsia="宋体"/>
                <w:color w:val="auto"/>
                <w:sz w:val="20"/>
              </w:rPr>
            </w:pPr>
            <w:r>
              <w:rPr>
                <w:rFonts w:hint="eastAsia" w:ascii="宋体" w:eastAsia="宋体"/>
                <w:color w:val="auto"/>
                <w:sz w:val="20"/>
              </w:rPr>
              <w:t>邓吉村</w:t>
            </w:r>
          </w:p>
        </w:tc>
        <w:tc>
          <w:tcPr>
            <w:tcW w:w="752" w:type="dxa"/>
            <w:vAlign w:val="top"/>
          </w:tcPr>
          <w:p w14:paraId="43CABBA0">
            <w:pPr>
              <w:pStyle w:val="30"/>
              <w:spacing w:before="42"/>
              <w:ind w:right="147"/>
              <w:rPr>
                <w:color w:val="auto"/>
                <w:sz w:val="20"/>
              </w:rPr>
            </w:pPr>
            <w:r>
              <w:rPr>
                <w:color w:val="auto"/>
                <w:sz w:val="20"/>
              </w:rPr>
              <w:t>0300</w:t>
            </w:r>
          </w:p>
        </w:tc>
        <w:tc>
          <w:tcPr>
            <w:tcW w:w="752" w:type="dxa"/>
            <w:vAlign w:val="top"/>
          </w:tcPr>
          <w:p w14:paraId="36BCC153">
            <w:pPr>
              <w:pStyle w:val="30"/>
              <w:spacing w:before="42"/>
              <w:ind w:right="145"/>
              <w:rPr>
                <w:color w:val="auto"/>
                <w:sz w:val="20"/>
              </w:rPr>
            </w:pPr>
            <w:r>
              <w:rPr>
                <w:color w:val="auto"/>
                <w:sz w:val="20"/>
              </w:rPr>
              <w:t>0009</w:t>
            </w:r>
          </w:p>
        </w:tc>
        <w:tc>
          <w:tcPr>
            <w:tcW w:w="1366" w:type="dxa"/>
            <w:vAlign w:val="top"/>
          </w:tcPr>
          <w:p w14:paraId="3E53EE9D">
            <w:pPr>
              <w:pStyle w:val="30"/>
              <w:spacing w:before="42"/>
              <w:ind w:left="235" w:right="225"/>
              <w:rPr>
                <w:color w:val="auto"/>
                <w:sz w:val="20"/>
              </w:rPr>
            </w:pPr>
            <w:r>
              <w:rPr>
                <w:color w:val="auto"/>
                <w:sz w:val="20"/>
              </w:rPr>
              <w:t>3.02</w:t>
            </w:r>
          </w:p>
        </w:tc>
        <w:tc>
          <w:tcPr>
            <w:tcW w:w="1121" w:type="dxa"/>
            <w:vAlign w:val="top"/>
          </w:tcPr>
          <w:p w14:paraId="0A9CC2B2">
            <w:pPr>
              <w:pStyle w:val="30"/>
              <w:spacing w:before="42"/>
              <w:ind w:left="212" w:right="203"/>
              <w:rPr>
                <w:color w:val="auto"/>
                <w:sz w:val="20"/>
              </w:rPr>
            </w:pPr>
            <w:r>
              <w:rPr>
                <w:color w:val="auto"/>
                <w:sz w:val="20"/>
              </w:rPr>
              <w:t>45.30</w:t>
            </w:r>
          </w:p>
        </w:tc>
        <w:tc>
          <w:tcPr>
            <w:tcW w:w="1990" w:type="dxa"/>
            <w:vAlign w:val="top"/>
          </w:tcPr>
          <w:p w14:paraId="2D4F44E6">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6A3C6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662BFC9D">
            <w:pPr>
              <w:pStyle w:val="30"/>
              <w:spacing w:before="42"/>
              <w:ind w:right="146"/>
              <w:rPr>
                <w:color w:val="auto"/>
                <w:sz w:val="20"/>
              </w:rPr>
            </w:pPr>
            <w:r>
              <w:rPr>
                <w:color w:val="auto"/>
                <w:sz w:val="20"/>
              </w:rPr>
              <w:t>29</w:t>
            </w:r>
          </w:p>
        </w:tc>
        <w:tc>
          <w:tcPr>
            <w:tcW w:w="996" w:type="dxa"/>
            <w:vAlign w:val="top"/>
          </w:tcPr>
          <w:p w14:paraId="17F6CAB0">
            <w:pPr>
              <w:pStyle w:val="30"/>
              <w:spacing w:before="28"/>
              <w:ind w:left="180" w:right="170"/>
              <w:rPr>
                <w:rFonts w:hint="eastAsia" w:ascii="宋体" w:eastAsia="宋体"/>
                <w:color w:val="auto"/>
                <w:sz w:val="20"/>
              </w:rPr>
            </w:pPr>
            <w:r>
              <w:rPr>
                <w:rFonts w:hint="eastAsia" w:ascii="宋体" w:eastAsia="宋体"/>
                <w:color w:val="auto"/>
                <w:sz w:val="20"/>
              </w:rPr>
              <w:t>才湾镇</w:t>
            </w:r>
          </w:p>
        </w:tc>
        <w:tc>
          <w:tcPr>
            <w:tcW w:w="1245" w:type="dxa"/>
            <w:vAlign w:val="top"/>
          </w:tcPr>
          <w:p w14:paraId="10E81B1F">
            <w:pPr>
              <w:pStyle w:val="30"/>
              <w:spacing w:before="28"/>
              <w:ind w:left="202" w:right="194"/>
              <w:rPr>
                <w:rFonts w:hint="eastAsia" w:ascii="宋体" w:eastAsia="宋体"/>
                <w:color w:val="auto"/>
                <w:sz w:val="20"/>
              </w:rPr>
            </w:pPr>
            <w:r>
              <w:rPr>
                <w:rFonts w:hint="eastAsia" w:ascii="宋体" w:eastAsia="宋体"/>
                <w:color w:val="auto"/>
                <w:sz w:val="20"/>
              </w:rPr>
              <w:t>邓吉村</w:t>
            </w:r>
          </w:p>
        </w:tc>
        <w:tc>
          <w:tcPr>
            <w:tcW w:w="752" w:type="dxa"/>
            <w:vAlign w:val="top"/>
          </w:tcPr>
          <w:p w14:paraId="24B45272">
            <w:pPr>
              <w:pStyle w:val="30"/>
              <w:spacing w:before="42"/>
              <w:ind w:right="147"/>
              <w:rPr>
                <w:color w:val="auto"/>
                <w:sz w:val="20"/>
              </w:rPr>
            </w:pPr>
            <w:r>
              <w:rPr>
                <w:color w:val="auto"/>
                <w:sz w:val="20"/>
              </w:rPr>
              <w:t>0300</w:t>
            </w:r>
          </w:p>
        </w:tc>
        <w:tc>
          <w:tcPr>
            <w:tcW w:w="752" w:type="dxa"/>
            <w:vAlign w:val="top"/>
          </w:tcPr>
          <w:p w14:paraId="5FD2ADE4">
            <w:pPr>
              <w:pStyle w:val="30"/>
              <w:spacing w:before="42"/>
              <w:ind w:right="145"/>
              <w:rPr>
                <w:color w:val="auto"/>
                <w:sz w:val="20"/>
              </w:rPr>
            </w:pPr>
            <w:r>
              <w:rPr>
                <w:color w:val="auto"/>
                <w:sz w:val="20"/>
              </w:rPr>
              <w:t>0010</w:t>
            </w:r>
          </w:p>
        </w:tc>
        <w:tc>
          <w:tcPr>
            <w:tcW w:w="1366" w:type="dxa"/>
            <w:vAlign w:val="top"/>
          </w:tcPr>
          <w:p w14:paraId="68A0B645">
            <w:pPr>
              <w:pStyle w:val="30"/>
              <w:spacing w:before="42"/>
              <w:ind w:left="235" w:right="225"/>
              <w:rPr>
                <w:color w:val="auto"/>
                <w:sz w:val="20"/>
              </w:rPr>
            </w:pPr>
            <w:r>
              <w:rPr>
                <w:color w:val="auto"/>
                <w:sz w:val="20"/>
              </w:rPr>
              <w:t>4.41</w:t>
            </w:r>
          </w:p>
        </w:tc>
        <w:tc>
          <w:tcPr>
            <w:tcW w:w="1121" w:type="dxa"/>
            <w:vAlign w:val="top"/>
          </w:tcPr>
          <w:p w14:paraId="6BF317EC">
            <w:pPr>
              <w:pStyle w:val="30"/>
              <w:spacing w:before="42"/>
              <w:ind w:left="212" w:right="203"/>
              <w:rPr>
                <w:color w:val="auto"/>
                <w:sz w:val="20"/>
              </w:rPr>
            </w:pPr>
            <w:r>
              <w:rPr>
                <w:color w:val="auto"/>
                <w:sz w:val="20"/>
              </w:rPr>
              <w:t>66.15</w:t>
            </w:r>
          </w:p>
        </w:tc>
        <w:tc>
          <w:tcPr>
            <w:tcW w:w="1990" w:type="dxa"/>
            <w:vAlign w:val="top"/>
          </w:tcPr>
          <w:p w14:paraId="2AD3A2CE">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14977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761D65FB">
            <w:pPr>
              <w:pStyle w:val="30"/>
              <w:spacing w:before="41"/>
              <w:ind w:right="146"/>
              <w:rPr>
                <w:color w:val="auto"/>
                <w:sz w:val="20"/>
              </w:rPr>
            </w:pPr>
            <w:r>
              <w:rPr>
                <w:color w:val="auto"/>
                <w:sz w:val="20"/>
              </w:rPr>
              <w:t>30</w:t>
            </w:r>
          </w:p>
        </w:tc>
        <w:tc>
          <w:tcPr>
            <w:tcW w:w="996" w:type="dxa"/>
            <w:vAlign w:val="top"/>
          </w:tcPr>
          <w:p w14:paraId="4D3BFACC">
            <w:pPr>
              <w:pStyle w:val="30"/>
              <w:spacing w:before="28"/>
              <w:ind w:left="180" w:right="170"/>
              <w:rPr>
                <w:rFonts w:hint="eastAsia" w:ascii="宋体" w:eastAsia="宋体"/>
                <w:color w:val="auto"/>
                <w:sz w:val="20"/>
              </w:rPr>
            </w:pPr>
            <w:r>
              <w:rPr>
                <w:rFonts w:hint="eastAsia" w:ascii="宋体" w:eastAsia="宋体"/>
                <w:color w:val="auto"/>
                <w:sz w:val="20"/>
              </w:rPr>
              <w:t>才湾镇</w:t>
            </w:r>
          </w:p>
        </w:tc>
        <w:tc>
          <w:tcPr>
            <w:tcW w:w="1245" w:type="dxa"/>
            <w:vAlign w:val="top"/>
          </w:tcPr>
          <w:p w14:paraId="53909281">
            <w:pPr>
              <w:pStyle w:val="30"/>
              <w:spacing w:before="28"/>
              <w:ind w:left="202" w:right="194"/>
              <w:rPr>
                <w:rFonts w:hint="eastAsia" w:ascii="宋体" w:eastAsia="宋体"/>
                <w:color w:val="auto"/>
                <w:sz w:val="20"/>
              </w:rPr>
            </w:pPr>
            <w:r>
              <w:rPr>
                <w:rFonts w:hint="eastAsia" w:ascii="宋体" w:eastAsia="宋体"/>
                <w:color w:val="auto"/>
                <w:sz w:val="20"/>
              </w:rPr>
              <w:t>邓吉村</w:t>
            </w:r>
          </w:p>
        </w:tc>
        <w:tc>
          <w:tcPr>
            <w:tcW w:w="752" w:type="dxa"/>
            <w:vAlign w:val="top"/>
          </w:tcPr>
          <w:p w14:paraId="1875FDFB">
            <w:pPr>
              <w:pStyle w:val="30"/>
              <w:spacing w:before="41"/>
              <w:ind w:right="147"/>
              <w:rPr>
                <w:color w:val="auto"/>
                <w:sz w:val="20"/>
              </w:rPr>
            </w:pPr>
            <w:r>
              <w:rPr>
                <w:color w:val="auto"/>
                <w:sz w:val="20"/>
              </w:rPr>
              <w:t>0300</w:t>
            </w:r>
          </w:p>
        </w:tc>
        <w:tc>
          <w:tcPr>
            <w:tcW w:w="752" w:type="dxa"/>
            <w:vAlign w:val="top"/>
          </w:tcPr>
          <w:p w14:paraId="64F9C663">
            <w:pPr>
              <w:pStyle w:val="30"/>
              <w:spacing w:before="41"/>
              <w:ind w:right="145"/>
              <w:rPr>
                <w:color w:val="auto"/>
                <w:sz w:val="20"/>
              </w:rPr>
            </w:pPr>
            <w:r>
              <w:rPr>
                <w:color w:val="auto"/>
                <w:sz w:val="20"/>
              </w:rPr>
              <w:t>0011</w:t>
            </w:r>
          </w:p>
        </w:tc>
        <w:tc>
          <w:tcPr>
            <w:tcW w:w="1366" w:type="dxa"/>
            <w:vAlign w:val="top"/>
          </w:tcPr>
          <w:p w14:paraId="18E790EF">
            <w:pPr>
              <w:pStyle w:val="30"/>
              <w:spacing w:before="41"/>
              <w:ind w:left="235" w:right="225"/>
              <w:rPr>
                <w:color w:val="auto"/>
                <w:sz w:val="20"/>
              </w:rPr>
            </w:pPr>
            <w:r>
              <w:rPr>
                <w:color w:val="auto"/>
                <w:sz w:val="20"/>
              </w:rPr>
              <w:t>5.17</w:t>
            </w:r>
          </w:p>
        </w:tc>
        <w:tc>
          <w:tcPr>
            <w:tcW w:w="1121" w:type="dxa"/>
            <w:vAlign w:val="top"/>
          </w:tcPr>
          <w:p w14:paraId="63A59E9E">
            <w:pPr>
              <w:pStyle w:val="30"/>
              <w:spacing w:before="41"/>
              <w:ind w:left="212" w:right="203"/>
              <w:rPr>
                <w:color w:val="auto"/>
                <w:sz w:val="20"/>
              </w:rPr>
            </w:pPr>
            <w:r>
              <w:rPr>
                <w:color w:val="auto"/>
                <w:sz w:val="20"/>
              </w:rPr>
              <w:t>77.55</w:t>
            </w:r>
          </w:p>
        </w:tc>
        <w:tc>
          <w:tcPr>
            <w:tcW w:w="1990" w:type="dxa"/>
            <w:vAlign w:val="top"/>
          </w:tcPr>
          <w:p w14:paraId="7344674E">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31F17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51F7D880">
            <w:pPr>
              <w:pStyle w:val="30"/>
              <w:spacing w:before="43"/>
              <w:ind w:right="146"/>
              <w:rPr>
                <w:color w:val="auto"/>
                <w:sz w:val="20"/>
              </w:rPr>
            </w:pPr>
            <w:r>
              <w:rPr>
                <w:color w:val="auto"/>
                <w:sz w:val="20"/>
              </w:rPr>
              <w:t>31</w:t>
            </w:r>
          </w:p>
        </w:tc>
        <w:tc>
          <w:tcPr>
            <w:tcW w:w="996" w:type="dxa"/>
            <w:vAlign w:val="top"/>
          </w:tcPr>
          <w:p w14:paraId="7ED71B1C">
            <w:pPr>
              <w:pStyle w:val="30"/>
              <w:spacing w:before="30"/>
              <w:ind w:left="180" w:right="170"/>
              <w:rPr>
                <w:rFonts w:hint="eastAsia" w:ascii="宋体" w:eastAsia="宋体"/>
                <w:color w:val="auto"/>
                <w:sz w:val="20"/>
              </w:rPr>
            </w:pPr>
            <w:r>
              <w:rPr>
                <w:rFonts w:hint="eastAsia" w:ascii="宋体" w:eastAsia="宋体"/>
                <w:color w:val="auto"/>
                <w:sz w:val="20"/>
              </w:rPr>
              <w:t>才湾镇</w:t>
            </w:r>
          </w:p>
        </w:tc>
        <w:tc>
          <w:tcPr>
            <w:tcW w:w="1245" w:type="dxa"/>
            <w:vAlign w:val="top"/>
          </w:tcPr>
          <w:p w14:paraId="69F4FF11">
            <w:pPr>
              <w:pStyle w:val="30"/>
              <w:spacing w:before="30"/>
              <w:ind w:left="202" w:right="194"/>
              <w:rPr>
                <w:rFonts w:hint="eastAsia" w:ascii="宋体" w:eastAsia="宋体"/>
                <w:color w:val="auto"/>
                <w:sz w:val="20"/>
              </w:rPr>
            </w:pPr>
            <w:r>
              <w:rPr>
                <w:rFonts w:hint="eastAsia" w:ascii="宋体" w:eastAsia="宋体"/>
                <w:color w:val="auto"/>
                <w:sz w:val="20"/>
              </w:rPr>
              <w:t>邓吉村</w:t>
            </w:r>
          </w:p>
        </w:tc>
        <w:tc>
          <w:tcPr>
            <w:tcW w:w="752" w:type="dxa"/>
            <w:vAlign w:val="top"/>
          </w:tcPr>
          <w:p w14:paraId="762F6438">
            <w:pPr>
              <w:pStyle w:val="30"/>
              <w:spacing w:before="43"/>
              <w:ind w:right="147"/>
              <w:rPr>
                <w:color w:val="auto"/>
                <w:sz w:val="20"/>
              </w:rPr>
            </w:pPr>
            <w:r>
              <w:rPr>
                <w:color w:val="auto"/>
                <w:sz w:val="20"/>
              </w:rPr>
              <w:t>0300</w:t>
            </w:r>
          </w:p>
        </w:tc>
        <w:tc>
          <w:tcPr>
            <w:tcW w:w="752" w:type="dxa"/>
            <w:vAlign w:val="top"/>
          </w:tcPr>
          <w:p w14:paraId="72588440">
            <w:pPr>
              <w:pStyle w:val="30"/>
              <w:spacing w:before="43"/>
              <w:ind w:right="145"/>
              <w:rPr>
                <w:color w:val="auto"/>
                <w:sz w:val="20"/>
              </w:rPr>
            </w:pPr>
            <w:r>
              <w:rPr>
                <w:color w:val="auto"/>
                <w:sz w:val="20"/>
              </w:rPr>
              <w:t>0020</w:t>
            </w:r>
          </w:p>
        </w:tc>
        <w:tc>
          <w:tcPr>
            <w:tcW w:w="1366" w:type="dxa"/>
            <w:vAlign w:val="top"/>
          </w:tcPr>
          <w:p w14:paraId="306D2AEB">
            <w:pPr>
              <w:pStyle w:val="30"/>
              <w:spacing w:before="43"/>
              <w:ind w:left="235" w:right="225"/>
              <w:rPr>
                <w:color w:val="auto"/>
                <w:sz w:val="20"/>
              </w:rPr>
            </w:pPr>
            <w:r>
              <w:rPr>
                <w:color w:val="auto"/>
                <w:sz w:val="20"/>
              </w:rPr>
              <w:t>3.21</w:t>
            </w:r>
          </w:p>
        </w:tc>
        <w:tc>
          <w:tcPr>
            <w:tcW w:w="1121" w:type="dxa"/>
            <w:vAlign w:val="top"/>
          </w:tcPr>
          <w:p w14:paraId="4EB168F0">
            <w:pPr>
              <w:pStyle w:val="30"/>
              <w:spacing w:before="43"/>
              <w:ind w:left="212" w:right="203"/>
              <w:rPr>
                <w:color w:val="auto"/>
                <w:sz w:val="20"/>
              </w:rPr>
            </w:pPr>
            <w:r>
              <w:rPr>
                <w:color w:val="auto"/>
                <w:sz w:val="20"/>
              </w:rPr>
              <w:t>48.15</w:t>
            </w:r>
          </w:p>
        </w:tc>
        <w:tc>
          <w:tcPr>
            <w:tcW w:w="1990" w:type="dxa"/>
            <w:vAlign w:val="top"/>
          </w:tcPr>
          <w:p w14:paraId="40BED96E">
            <w:pPr>
              <w:pStyle w:val="30"/>
              <w:spacing w:before="30"/>
              <w:ind w:left="276" w:right="269"/>
              <w:rPr>
                <w:rFonts w:hint="eastAsia" w:ascii="宋体" w:eastAsia="宋体"/>
                <w:color w:val="auto"/>
                <w:sz w:val="20"/>
              </w:rPr>
            </w:pPr>
            <w:r>
              <w:rPr>
                <w:rFonts w:hint="eastAsia" w:ascii="宋体" w:eastAsia="宋体"/>
                <w:color w:val="auto"/>
                <w:sz w:val="20"/>
              </w:rPr>
              <w:t>疫情小班</w:t>
            </w:r>
          </w:p>
        </w:tc>
      </w:tr>
      <w:tr w14:paraId="6C8BA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32F3A53F">
            <w:pPr>
              <w:pStyle w:val="30"/>
              <w:spacing w:before="43"/>
              <w:ind w:right="146"/>
              <w:rPr>
                <w:color w:val="auto"/>
                <w:sz w:val="20"/>
              </w:rPr>
            </w:pPr>
            <w:r>
              <w:rPr>
                <w:color w:val="auto"/>
                <w:sz w:val="20"/>
              </w:rPr>
              <w:t>32</w:t>
            </w:r>
          </w:p>
        </w:tc>
        <w:tc>
          <w:tcPr>
            <w:tcW w:w="996" w:type="dxa"/>
            <w:vAlign w:val="top"/>
          </w:tcPr>
          <w:p w14:paraId="2B55125F">
            <w:pPr>
              <w:pStyle w:val="30"/>
              <w:spacing w:before="29"/>
              <w:ind w:left="180" w:right="170"/>
              <w:rPr>
                <w:rFonts w:hint="eastAsia" w:ascii="宋体" w:eastAsia="宋体"/>
                <w:color w:val="auto"/>
                <w:sz w:val="20"/>
              </w:rPr>
            </w:pPr>
            <w:r>
              <w:rPr>
                <w:rFonts w:hint="eastAsia" w:ascii="宋体" w:eastAsia="宋体"/>
                <w:color w:val="auto"/>
                <w:sz w:val="20"/>
              </w:rPr>
              <w:t>才湾镇</w:t>
            </w:r>
          </w:p>
        </w:tc>
        <w:tc>
          <w:tcPr>
            <w:tcW w:w="1245" w:type="dxa"/>
            <w:vAlign w:val="top"/>
          </w:tcPr>
          <w:p w14:paraId="056A7FFC">
            <w:pPr>
              <w:pStyle w:val="30"/>
              <w:spacing w:before="29"/>
              <w:ind w:left="202" w:right="194"/>
              <w:rPr>
                <w:rFonts w:hint="eastAsia" w:ascii="宋体" w:eastAsia="宋体"/>
                <w:color w:val="auto"/>
                <w:sz w:val="20"/>
              </w:rPr>
            </w:pPr>
            <w:r>
              <w:rPr>
                <w:rFonts w:hint="eastAsia" w:ascii="宋体" w:eastAsia="宋体"/>
                <w:color w:val="auto"/>
                <w:sz w:val="20"/>
              </w:rPr>
              <w:t>邓吉村</w:t>
            </w:r>
          </w:p>
        </w:tc>
        <w:tc>
          <w:tcPr>
            <w:tcW w:w="752" w:type="dxa"/>
            <w:vAlign w:val="top"/>
          </w:tcPr>
          <w:p w14:paraId="27F77CB3">
            <w:pPr>
              <w:pStyle w:val="30"/>
              <w:spacing w:before="43"/>
              <w:ind w:right="147"/>
              <w:rPr>
                <w:color w:val="auto"/>
                <w:sz w:val="20"/>
              </w:rPr>
            </w:pPr>
            <w:r>
              <w:rPr>
                <w:color w:val="auto"/>
                <w:sz w:val="20"/>
              </w:rPr>
              <w:t>0300</w:t>
            </w:r>
          </w:p>
        </w:tc>
        <w:tc>
          <w:tcPr>
            <w:tcW w:w="752" w:type="dxa"/>
            <w:vAlign w:val="top"/>
          </w:tcPr>
          <w:p w14:paraId="3730C041">
            <w:pPr>
              <w:pStyle w:val="30"/>
              <w:spacing w:before="43"/>
              <w:ind w:right="145"/>
              <w:rPr>
                <w:color w:val="auto"/>
                <w:sz w:val="20"/>
              </w:rPr>
            </w:pPr>
            <w:r>
              <w:rPr>
                <w:color w:val="auto"/>
                <w:sz w:val="20"/>
              </w:rPr>
              <w:t>0023</w:t>
            </w:r>
          </w:p>
        </w:tc>
        <w:tc>
          <w:tcPr>
            <w:tcW w:w="1366" w:type="dxa"/>
            <w:vAlign w:val="top"/>
          </w:tcPr>
          <w:p w14:paraId="59B4F67E">
            <w:pPr>
              <w:pStyle w:val="30"/>
              <w:spacing w:before="43"/>
              <w:ind w:left="235" w:right="225"/>
              <w:rPr>
                <w:color w:val="auto"/>
                <w:sz w:val="20"/>
              </w:rPr>
            </w:pPr>
            <w:r>
              <w:rPr>
                <w:color w:val="auto"/>
                <w:sz w:val="20"/>
              </w:rPr>
              <w:t>2.18</w:t>
            </w:r>
          </w:p>
        </w:tc>
        <w:tc>
          <w:tcPr>
            <w:tcW w:w="1121" w:type="dxa"/>
            <w:vAlign w:val="top"/>
          </w:tcPr>
          <w:p w14:paraId="2365089D">
            <w:pPr>
              <w:pStyle w:val="30"/>
              <w:spacing w:before="43"/>
              <w:ind w:left="212" w:right="203"/>
              <w:rPr>
                <w:color w:val="auto"/>
                <w:sz w:val="20"/>
              </w:rPr>
            </w:pPr>
            <w:r>
              <w:rPr>
                <w:color w:val="auto"/>
                <w:sz w:val="20"/>
              </w:rPr>
              <w:t>32.70</w:t>
            </w:r>
          </w:p>
        </w:tc>
        <w:tc>
          <w:tcPr>
            <w:tcW w:w="1990" w:type="dxa"/>
            <w:vAlign w:val="top"/>
          </w:tcPr>
          <w:p w14:paraId="67249C4A">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22CB5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6E6A5E48">
            <w:pPr>
              <w:pStyle w:val="30"/>
              <w:spacing w:before="42"/>
              <w:ind w:right="146"/>
              <w:rPr>
                <w:color w:val="auto"/>
                <w:sz w:val="20"/>
              </w:rPr>
            </w:pPr>
            <w:r>
              <w:rPr>
                <w:color w:val="auto"/>
                <w:sz w:val="20"/>
              </w:rPr>
              <w:t>33</w:t>
            </w:r>
          </w:p>
        </w:tc>
        <w:tc>
          <w:tcPr>
            <w:tcW w:w="996" w:type="dxa"/>
            <w:vAlign w:val="top"/>
          </w:tcPr>
          <w:p w14:paraId="55B41ABE">
            <w:pPr>
              <w:pStyle w:val="30"/>
              <w:spacing w:before="29"/>
              <w:ind w:left="180" w:right="170"/>
              <w:rPr>
                <w:rFonts w:hint="eastAsia" w:ascii="宋体" w:eastAsia="宋体"/>
                <w:color w:val="auto"/>
                <w:sz w:val="20"/>
              </w:rPr>
            </w:pPr>
            <w:r>
              <w:rPr>
                <w:rFonts w:hint="eastAsia" w:ascii="宋体" w:eastAsia="宋体"/>
                <w:color w:val="auto"/>
                <w:sz w:val="20"/>
              </w:rPr>
              <w:t>才湾镇</w:t>
            </w:r>
          </w:p>
        </w:tc>
        <w:tc>
          <w:tcPr>
            <w:tcW w:w="1245" w:type="dxa"/>
            <w:vAlign w:val="top"/>
          </w:tcPr>
          <w:p w14:paraId="033EDC02">
            <w:pPr>
              <w:pStyle w:val="30"/>
              <w:spacing w:before="29"/>
              <w:ind w:left="202" w:right="194"/>
              <w:rPr>
                <w:rFonts w:hint="eastAsia" w:ascii="宋体" w:eastAsia="宋体"/>
                <w:color w:val="auto"/>
                <w:sz w:val="20"/>
              </w:rPr>
            </w:pPr>
            <w:r>
              <w:rPr>
                <w:rFonts w:hint="eastAsia" w:ascii="宋体" w:eastAsia="宋体"/>
                <w:color w:val="auto"/>
                <w:sz w:val="20"/>
              </w:rPr>
              <w:t>邓吉村</w:t>
            </w:r>
          </w:p>
        </w:tc>
        <w:tc>
          <w:tcPr>
            <w:tcW w:w="752" w:type="dxa"/>
            <w:vAlign w:val="top"/>
          </w:tcPr>
          <w:p w14:paraId="0AA1314A">
            <w:pPr>
              <w:pStyle w:val="30"/>
              <w:spacing w:before="42"/>
              <w:ind w:right="147"/>
              <w:rPr>
                <w:color w:val="auto"/>
                <w:sz w:val="20"/>
              </w:rPr>
            </w:pPr>
            <w:r>
              <w:rPr>
                <w:color w:val="auto"/>
                <w:sz w:val="20"/>
              </w:rPr>
              <w:t>0300</w:t>
            </w:r>
          </w:p>
        </w:tc>
        <w:tc>
          <w:tcPr>
            <w:tcW w:w="752" w:type="dxa"/>
            <w:vAlign w:val="top"/>
          </w:tcPr>
          <w:p w14:paraId="303B0674">
            <w:pPr>
              <w:pStyle w:val="30"/>
              <w:spacing w:before="42"/>
              <w:ind w:right="145"/>
              <w:rPr>
                <w:color w:val="auto"/>
                <w:sz w:val="20"/>
              </w:rPr>
            </w:pPr>
            <w:r>
              <w:rPr>
                <w:color w:val="auto"/>
                <w:sz w:val="20"/>
              </w:rPr>
              <w:t>0024</w:t>
            </w:r>
          </w:p>
        </w:tc>
        <w:tc>
          <w:tcPr>
            <w:tcW w:w="1366" w:type="dxa"/>
            <w:vAlign w:val="top"/>
          </w:tcPr>
          <w:p w14:paraId="1E82CB93">
            <w:pPr>
              <w:pStyle w:val="30"/>
              <w:spacing w:before="42"/>
              <w:ind w:left="235" w:right="225"/>
              <w:rPr>
                <w:color w:val="auto"/>
                <w:sz w:val="20"/>
              </w:rPr>
            </w:pPr>
            <w:r>
              <w:rPr>
                <w:color w:val="auto"/>
                <w:sz w:val="20"/>
              </w:rPr>
              <w:t>1.71</w:t>
            </w:r>
          </w:p>
        </w:tc>
        <w:tc>
          <w:tcPr>
            <w:tcW w:w="1121" w:type="dxa"/>
            <w:vAlign w:val="top"/>
          </w:tcPr>
          <w:p w14:paraId="21DA592E">
            <w:pPr>
              <w:pStyle w:val="30"/>
              <w:spacing w:before="42"/>
              <w:ind w:left="212" w:right="203"/>
              <w:rPr>
                <w:color w:val="auto"/>
                <w:sz w:val="20"/>
              </w:rPr>
            </w:pPr>
            <w:r>
              <w:rPr>
                <w:color w:val="auto"/>
                <w:sz w:val="20"/>
              </w:rPr>
              <w:t>25.65</w:t>
            </w:r>
          </w:p>
        </w:tc>
        <w:tc>
          <w:tcPr>
            <w:tcW w:w="1990" w:type="dxa"/>
            <w:vAlign w:val="top"/>
          </w:tcPr>
          <w:p w14:paraId="185B8DBC">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6468A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03B00A19">
            <w:pPr>
              <w:pStyle w:val="30"/>
              <w:spacing w:before="42"/>
              <w:ind w:right="146"/>
              <w:rPr>
                <w:color w:val="auto"/>
                <w:sz w:val="20"/>
              </w:rPr>
            </w:pPr>
            <w:r>
              <w:rPr>
                <w:color w:val="auto"/>
                <w:sz w:val="20"/>
              </w:rPr>
              <w:t>34</w:t>
            </w:r>
          </w:p>
        </w:tc>
        <w:tc>
          <w:tcPr>
            <w:tcW w:w="996" w:type="dxa"/>
            <w:vAlign w:val="top"/>
          </w:tcPr>
          <w:p w14:paraId="7177F023">
            <w:pPr>
              <w:pStyle w:val="30"/>
              <w:spacing w:before="29"/>
              <w:ind w:left="180" w:right="170"/>
              <w:rPr>
                <w:rFonts w:hint="eastAsia" w:ascii="宋体" w:eastAsia="宋体"/>
                <w:color w:val="auto"/>
                <w:sz w:val="20"/>
              </w:rPr>
            </w:pPr>
            <w:r>
              <w:rPr>
                <w:rFonts w:hint="eastAsia" w:ascii="宋体" w:eastAsia="宋体"/>
                <w:color w:val="auto"/>
                <w:sz w:val="20"/>
              </w:rPr>
              <w:t>才湾镇</w:t>
            </w:r>
          </w:p>
        </w:tc>
        <w:tc>
          <w:tcPr>
            <w:tcW w:w="1245" w:type="dxa"/>
            <w:vAlign w:val="top"/>
          </w:tcPr>
          <w:p w14:paraId="45F94DF9">
            <w:pPr>
              <w:pStyle w:val="30"/>
              <w:spacing w:before="29"/>
              <w:ind w:left="202" w:right="194"/>
              <w:rPr>
                <w:rFonts w:hint="eastAsia" w:ascii="宋体" w:eastAsia="宋体"/>
                <w:color w:val="auto"/>
                <w:sz w:val="20"/>
              </w:rPr>
            </w:pPr>
            <w:r>
              <w:rPr>
                <w:rFonts w:hint="eastAsia" w:ascii="宋体" w:eastAsia="宋体"/>
                <w:color w:val="auto"/>
                <w:sz w:val="20"/>
              </w:rPr>
              <w:t>邓吉村</w:t>
            </w:r>
          </w:p>
        </w:tc>
        <w:tc>
          <w:tcPr>
            <w:tcW w:w="752" w:type="dxa"/>
            <w:vAlign w:val="top"/>
          </w:tcPr>
          <w:p w14:paraId="65C7B8D4">
            <w:pPr>
              <w:pStyle w:val="30"/>
              <w:spacing w:before="42"/>
              <w:ind w:right="147"/>
              <w:rPr>
                <w:color w:val="auto"/>
                <w:sz w:val="20"/>
              </w:rPr>
            </w:pPr>
            <w:r>
              <w:rPr>
                <w:color w:val="auto"/>
                <w:sz w:val="20"/>
              </w:rPr>
              <w:t>0300</w:t>
            </w:r>
          </w:p>
        </w:tc>
        <w:tc>
          <w:tcPr>
            <w:tcW w:w="752" w:type="dxa"/>
            <w:vAlign w:val="top"/>
          </w:tcPr>
          <w:p w14:paraId="63617E88">
            <w:pPr>
              <w:pStyle w:val="30"/>
              <w:spacing w:before="42"/>
              <w:ind w:right="145"/>
              <w:rPr>
                <w:color w:val="auto"/>
                <w:sz w:val="20"/>
              </w:rPr>
            </w:pPr>
            <w:r>
              <w:rPr>
                <w:color w:val="auto"/>
                <w:sz w:val="20"/>
              </w:rPr>
              <w:t>0025</w:t>
            </w:r>
          </w:p>
        </w:tc>
        <w:tc>
          <w:tcPr>
            <w:tcW w:w="1366" w:type="dxa"/>
            <w:vAlign w:val="top"/>
          </w:tcPr>
          <w:p w14:paraId="7EE87192">
            <w:pPr>
              <w:pStyle w:val="30"/>
              <w:spacing w:before="42"/>
              <w:ind w:left="235" w:right="225"/>
              <w:rPr>
                <w:color w:val="auto"/>
                <w:sz w:val="20"/>
              </w:rPr>
            </w:pPr>
            <w:r>
              <w:rPr>
                <w:color w:val="auto"/>
                <w:sz w:val="20"/>
              </w:rPr>
              <w:t>0.69</w:t>
            </w:r>
          </w:p>
        </w:tc>
        <w:tc>
          <w:tcPr>
            <w:tcW w:w="1121" w:type="dxa"/>
            <w:vAlign w:val="top"/>
          </w:tcPr>
          <w:p w14:paraId="5DD21F8B">
            <w:pPr>
              <w:pStyle w:val="30"/>
              <w:spacing w:before="42"/>
              <w:ind w:left="212" w:right="203"/>
              <w:rPr>
                <w:color w:val="auto"/>
                <w:sz w:val="20"/>
              </w:rPr>
            </w:pPr>
            <w:r>
              <w:rPr>
                <w:color w:val="auto"/>
                <w:sz w:val="20"/>
              </w:rPr>
              <w:t>10.35</w:t>
            </w:r>
          </w:p>
        </w:tc>
        <w:tc>
          <w:tcPr>
            <w:tcW w:w="1990" w:type="dxa"/>
            <w:vAlign w:val="top"/>
          </w:tcPr>
          <w:p w14:paraId="7F58B943">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64F1D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432BDC62">
            <w:pPr>
              <w:pStyle w:val="30"/>
              <w:spacing w:before="42"/>
              <w:ind w:right="146"/>
              <w:rPr>
                <w:color w:val="auto"/>
                <w:sz w:val="20"/>
              </w:rPr>
            </w:pPr>
            <w:r>
              <w:rPr>
                <w:color w:val="auto"/>
                <w:sz w:val="20"/>
              </w:rPr>
              <w:t>35</w:t>
            </w:r>
          </w:p>
        </w:tc>
        <w:tc>
          <w:tcPr>
            <w:tcW w:w="996" w:type="dxa"/>
            <w:vAlign w:val="top"/>
          </w:tcPr>
          <w:p w14:paraId="368540AB">
            <w:pPr>
              <w:pStyle w:val="30"/>
              <w:spacing w:before="28"/>
              <w:ind w:left="180" w:right="170"/>
              <w:rPr>
                <w:rFonts w:hint="eastAsia" w:ascii="宋体" w:eastAsia="宋体"/>
                <w:color w:val="auto"/>
                <w:sz w:val="20"/>
              </w:rPr>
            </w:pPr>
            <w:r>
              <w:rPr>
                <w:rFonts w:hint="eastAsia" w:ascii="宋体" w:eastAsia="宋体"/>
                <w:color w:val="auto"/>
                <w:sz w:val="20"/>
              </w:rPr>
              <w:t>才湾镇</w:t>
            </w:r>
          </w:p>
        </w:tc>
        <w:tc>
          <w:tcPr>
            <w:tcW w:w="1245" w:type="dxa"/>
            <w:vAlign w:val="top"/>
          </w:tcPr>
          <w:p w14:paraId="748759E8">
            <w:pPr>
              <w:pStyle w:val="30"/>
              <w:spacing w:before="28"/>
              <w:ind w:left="202" w:right="194"/>
              <w:rPr>
                <w:rFonts w:hint="eastAsia" w:ascii="宋体" w:eastAsia="宋体"/>
                <w:color w:val="auto"/>
                <w:sz w:val="20"/>
              </w:rPr>
            </w:pPr>
            <w:r>
              <w:rPr>
                <w:rFonts w:hint="eastAsia" w:ascii="宋体" w:eastAsia="宋体"/>
                <w:color w:val="auto"/>
                <w:sz w:val="20"/>
              </w:rPr>
              <w:t>邓吉村</w:t>
            </w:r>
          </w:p>
        </w:tc>
        <w:tc>
          <w:tcPr>
            <w:tcW w:w="752" w:type="dxa"/>
            <w:vAlign w:val="top"/>
          </w:tcPr>
          <w:p w14:paraId="69E4D41D">
            <w:pPr>
              <w:pStyle w:val="30"/>
              <w:spacing w:before="42"/>
              <w:ind w:right="147"/>
              <w:rPr>
                <w:color w:val="auto"/>
                <w:sz w:val="20"/>
              </w:rPr>
            </w:pPr>
            <w:r>
              <w:rPr>
                <w:color w:val="auto"/>
                <w:sz w:val="20"/>
              </w:rPr>
              <w:t>0300</w:t>
            </w:r>
          </w:p>
        </w:tc>
        <w:tc>
          <w:tcPr>
            <w:tcW w:w="752" w:type="dxa"/>
            <w:vAlign w:val="top"/>
          </w:tcPr>
          <w:p w14:paraId="5C5979B8">
            <w:pPr>
              <w:pStyle w:val="30"/>
              <w:spacing w:before="42"/>
              <w:ind w:right="145"/>
              <w:rPr>
                <w:color w:val="auto"/>
                <w:sz w:val="20"/>
              </w:rPr>
            </w:pPr>
            <w:r>
              <w:rPr>
                <w:color w:val="auto"/>
                <w:sz w:val="20"/>
              </w:rPr>
              <w:t>0028</w:t>
            </w:r>
          </w:p>
        </w:tc>
        <w:tc>
          <w:tcPr>
            <w:tcW w:w="1366" w:type="dxa"/>
            <w:vAlign w:val="top"/>
          </w:tcPr>
          <w:p w14:paraId="03889FDE">
            <w:pPr>
              <w:pStyle w:val="30"/>
              <w:spacing w:before="42"/>
              <w:ind w:left="235" w:right="225"/>
              <w:rPr>
                <w:color w:val="auto"/>
                <w:sz w:val="20"/>
              </w:rPr>
            </w:pPr>
            <w:r>
              <w:rPr>
                <w:color w:val="auto"/>
                <w:sz w:val="20"/>
              </w:rPr>
              <w:t>0.12</w:t>
            </w:r>
          </w:p>
        </w:tc>
        <w:tc>
          <w:tcPr>
            <w:tcW w:w="1121" w:type="dxa"/>
            <w:vAlign w:val="top"/>
          </w:tcPr>
          <w:p w14:paraId="24472C87">
            <w:pPr>
              <w:pStyle w:val="30"/>
              <w:spacing w:before="42"/>
              <w:ind w:left="212" w:right="203"/>
              <w:rPr>
                <w:color w:val="auto"/>
                <w:sz w:val="20"/>
              </w:rPr>
            </w:pPr>
            <w:r>
              <w:rPr>
                <w:color w:val="auto"/>
                <w:sz w:val="20"/>
              </w:rPr>
              <w:t>1.80</w:t>
            </w:r>
          </w:p>
        </w:tc>
        <w:tc>
          <w:tcPr>
            <w:tcW w:w="1990" w:type="dxa"/>
            <w:vAlign w:val="top"/>
          </w:tcPr>
          <w:p w14:paraId="0E57CAE3">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3ADFE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2" w:type="dxa"/>
            <w:vAlign w:val="top"/>
          </w:tcPr>
          <w:p w14:paraId="3F0D377F">
            <w:pPr>
              <w:pStyle w:val="30"/>
              <w:spacing w:before="41"/>
              <w:ind w:right="146"/>
              <w:rPr>
                <w:color w:val="auto"/>
                <w:sz w:val="20"/>
              </w:rPr>
            </w:pPr>
            <w:r>
              <w:rPr>
                <w:color w:val="auto"/>
                <w:sz w:val="20"/>
              </w:rPr>
              <w:t>36</w:t>
            </w:r>
          </w:p>
        </w:tc>
        <w:tc>
          <w:tcPr>
            <w:tcW w:w="996" w:type="dxa"/>
            <w:vAlign w:val="top"/>
          </w:tcPr>
          <w:p w14:paraId="4FD74229">
            <w:pPr>
              <w:pStyle w:val="30"/>
              <w:spacing w:before="28"/>
              <w:ind w:left="180" w:right="170"/>
              <w:rPr>
                <w:rFonts w:hint="eastAsia" w:ascii="宋体" w:eastAsia="宋体"/>
                <w:color w:val="auto"/>
                <w:sz w:val="20"/>
              </w:rPr>
            </w:pPr>
            <w:r>
              <w:rPr>
                <w:rFonts w:hint="eastAsia" w:ascii="宋体" w:eastAsia="宋体"/>
                <w:color w:val="auto"/>
                <w:sz w:val="20"/>
              </w:rPr>
              <w:t>才湾镇</w:t>
            </w:r>
          </w:p>
        </w:tc>
        <w:tc>
          <w:tcPr>
            <w:tcW w:w="1245" w:type="dxa"/>
            <w:vAlign w:val="top"/>
          </w:tcPr>
          <w:p w14:paraId="6CA58447">
            <w:pPr>
              <w:pStyle w:val="30"/>
              <w:spacing w:before="28"/>
              <w:ind w:left="202" w:right="194"/>
              <w:rPr>
                <w:rFonts w:hint="eastAsia" w:ascii="宋体" w:eastAsia="宋体"/>
                <w:color w:val="auto"/>
                <w:sz w:val="20"/>
              </w:rPr>
            </w:pPr>
            <w:r>
              <w:rPr>
                <w:rFonts w:hint="eastAsia" w:ascii="宋体" w:eastAsia="宋体"/>
                <w:color w:val="auto"/>
                <w:sz w:val="20"/>
              </w:rPr>
              <w:t>邓吉村</w:t>
            </w:r>
          </w:p>
        </w:tc>
        <w:tc>
          <w:tcPr>
            <w:tcW w:w="752" w:type="dxa"/>
            <w:vAlign w:val="top"/>
          </w:tcPr>
          <w:p w14:paraId="286AC164">
            <w:pPr>
              <w:pStyle w:val="30"/>
              <w:spacing w:before="41"/>
              <w:ind w:right="147"/>
              <w:rPr>
                <w:color w:val="auto"/>
                <w:sz w:val="20"/>
              </w:rPr>
            </w:pPr>
            <w:r>
              <w:rPr>
                <w:color w:val="auto"/>
                <w:sz w:val="20"/>
              </w:rPr>
              <w:t>0600</w:t>
            </w:r>
          </w:p>
        </w:tc>
        <w:tc>
          <w:tcPr>
            <w:tcW w:w="752" w:type="dxa"/>
            <w:vAlign w:val="top"/>
          </w:tcPr>
          <w:p w14:paraId="16B323DA">
            <w:pPr>
              <w:pStyle w:val="30"/>
              <w:spacing w:before="41"/>
              <w:ind w:right="145"/>
              <w:rPr>
                <w:color w:val="auto"/>
                <w:sz w:val="20"/>
              </w:rPr>
            </w:pPr>
            <w:r>
              <w:rPr>
                <w:color w:val="auto"/>
                <w:sz w:val="20"/>
              </w:rPr>
              <w:t>0004</w:t>
            </w:r>
          </w:p>
        </w:tc>
        <w:tc>
          <w:tcPr>
            <w:tcW w:w="1366" w:type="dxa"/>
            <w:vAlign w:val="top"/>
          </w:tcPr>
          <w:p w14:paraId="0E499125">
            <w:pPr>
              <w:pStyle w:val="30"/>
              <w:spacing w:before="41"/>
              <w:ind w:left="235" w:right="225"/>
              <w:rPr>
                <w:color w:val="auto"/>
                <w:sz w:val="20"/>
              </w:rPr>
            </w:pPr>
            <w:r>
              <w:rPr>
                <w:color w:val="auto"/>
                <w:sz w:val="20"/>
              </w:rPr>
              <w:t>0.59</w:t>
            </w:r>
          </w:p>
        </w:tc>
        <w:tc>
          <w:tcPr>
            <w:tcW w:w="1121" w:type="dxa"/>
            <w:vAlign w:val="top"/>
          </w:tcPr>
          <w:p w14:paraId="66748AA3">
            <w:pPr>
              <w:pStyle w:val="30"/>
              <w:spacing w:before="41"/>
              <w:ind w:left="212" w:right="203"/>
              <w:rPr>
                <w:color w:val="auto"/>
                <w:sz w:val="20"/>
              </w:rPr>
            </w:pPr>
            <w:r>
              <w:rPr>
                <w:color w:val="auto"/>
                <w:sz w:val="20"/>
              </w:rPr>
              <w:t>8.85</w:t>
            </w:r>
          </w:p>
        </w:tc>
        <w:tc>
          <w:tcPr>
            <w:tcW w:w="1990" w:type="dxa"/>
            <w:vAlign w:val="top"/>
          </w:tcPr>
          <w:p w14:paraId="4765FF01">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bl>
    <w:p w14:paraId="7E46747D">
      <w:pPr>
        <w:spacing w:after="0"/>
        <w:rPr>
          <w:rFonts w:hint="eastAsia" w:ascii="宋体" w:eastAsia="宋体"/>
          <w:color w:val="auto"/>
          <w:sz w:val="20"/>
        </w:rPr>
        <w:sectPr>
          <w:pgSz w:w="11910" w:h="16840"/>
          <w:pgMar w:top="1420" w:right="0" w:bottom="1420" w:left="1020" w:header="878" w:footer="1225" w:gutter="0"/>
          <w:pgNumType w:fmt="decimal"/>
          <w:cols w:space="720" w:num="1"/>
        </w:sectPr>
      </w:pPr>
    </w:p>
    <w:tbl>
      <w:tblPr>
        <w:tblStyle w:val="19"/>
        <w:tblW w:w="0" w:type="auto"/>
        <w:tblInd w:w="5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5"/>
        <w:gridCol w:w="1000"/>
        <w:gridCol w:w="1249"/>
        <w:gridCol w:w="755"/>
        <w:gridCol w:w="755"/>
        <w:gridCol w:w="1370"/>
        <w:gridCol w:w="1125"/>
        <w:gridCol w:w="1995"/>
      </w:tblGrid>
      <w:tr w14:paraId="7205A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shd w:val="clear" w:color="auto" w:fill="BEBEBE"/>
            <w:vAlign w:val="top"/>
          </w:tcPr>
          <w:p w14:paraId="239F44D1">
            <w:pPr>
              <w:pStyle w:val="30"/>
              <w:spacing w:before="62"/>
              <w:ind w:left="152" w:right="148"/>
              <w:rPr>
                <w:rFonts w:hint="eastAsia" w:ascii="宋体" w:eastAsia="宋体"/>
                <w:color w:val="auto"/>
                <w:sz w:val="20"/>
              </w:rPr>
            </w:pPr>
            <w:r>
              <w:rPr>
                <w:rFonts w:hint="eastAsia" w:ascii="宋体" w:eastAsia="宋体"/>
                <w:color w:val="auto"/>
                <w:sz w:val="20"/>
              </w:rPr>
              <w:t>序号</w:t>
            </w:r>
          </w:p>
        </w:tc>
        <w:tc>
          <w:tcPr>
            <w:tcW w:w="1000" w:type="dxa"/>
            <w:shd w:val="clear" w:color="auto" w:fill="BEBEBE"/>
            <w:vAlign w:val="top"/>
          </w:tcPr>
          <w:p w14:paraId="67687944">
            <w:pPr>
              <w:pStyle w:val="30"/>
              <w:spacing w:before="62"/>
              <w:ind w:left="176" w:right="170"/>
              <w:rPr>
                <w:rFonts w:hint="eastAsia" w:ascii="宋体" w:eastAsia="宋体"/>
                <w:color w:val="auto"/>
                <w:sz w:val="20"/>
              </w:rPr>
            </w:pPr>
            <w:r>
              <w:rPr>
                <w:rFonts w:hint="eastAsia" w:ascii="宋体" w:eastAsia="宋体"/>
                <w:color w:val="auto"/>
                <w:sz w:val="20"/>
              </w:rPr>
              <w:t>乡镇</w:t>
            </w:r>
          </w:p>
        </w:tc>
        <w:tc>
          <w:tcPr>
            <w:tcW w:w="1249" w:type="dxa"/>
            <w:shd w:val="clear" w:color="auto" w:fill="BEBEBE"/>
            <w:vAlign w:val="top"/>
          </w:tcPr>
          <w:p w14:paraId="01476874">
            <w:pPr>
              <w:pStyle w:val="30"/>
              <w:spacing w:before="62"/>
              <w:ind w:left="5"/>
              <w:rPr>
                <w:rFonts w:hint="eastAsia" w:ascii="宋体" w:eastAsia="宋体"/>
                <w:color w:val="auto"/>
                <w:sz w:val="20"/>
              </w:rPr>
            </w:pPr>
            <w:r>
              <w:rPr>
                <w:rFonts w:hint="eastAsia" w:ascii="宋体" w:eastAsia="宋体"/>
                <w:color w:val="auto"/>
                <w:w w:val="99"/>
                <w:sz w:val="20"/>
              </w:rPr>
              <w:t>村</w:t>
            </w:r>
          </w:p>
        </w:tc>
        <w:tc>
          <w:tcPr>
            <w:tcW w:w="755" w:type="dxa"/>
            <w:shd w:val="clear" w:color="auto" w:fill="BEBEBE"/>
            <w:vAlign w:val="top"/>
          </w:tcPr>
          <w:p w14:paraId="1284A6E0">
            <w:pPr>
              <w:pStyle w:val="30"/>
              <w:spacing w:before="62"/>
              <w:ind w:left="153" w:right="148"/>
              <w:rPr>
                <w:rFonts w:hint="eastAsia" w:ascii="宋体" w:eastAsia="宋体"/>
                <w:color w:val="auto"/>
                <w:sz w:val="20"/>
              </w:rPr>
            </w:pPr>
            <w:r>
              <w:rPr>
                <w:rFonts w:hint="eastAsia" w:ascii="宋体" w:eastAsia="宋体"/>
                <w:color w:val="auto"/>
                <w:sz w:val="20"/>
              </w:rPr>
              <w:t>林班</w:t>
            </w:r>
          </w:p>
        </w:tc>
        <w:tc>
          <w:tcPr>
            <w:tcW w:w="755" w:type="dxa"/>
            <w:shd w:val="clear" w:color="auto" w:fill="BEBEBE"/>
            <w:vAlign w:val="top"/>
          </w:tcPr>
          <w:p w14:paraId="63ABBCC3">
            <w:pPr>
              <w:pStyle w:val="30"/>
              <w:spacing w:before="62"/>
              <w:ind w:right="147"/>
              <w:rPr>
                <w:rFonts w:hint="eastAsia" w:ascii="宋体" w:eastAsia="宋体"/>
                <w:color w:val="auto"/>
                <w:sz w:val="20"/>
              </w:rPr>
            </w:pPr>
            <w:r>
              <w:rPr>
                <w:rFonts w:hint="eastAsia" w:ascii="宋体" w:eastAsia="宋体"/>
                <w:color w:val="auto"/>
                <w:sz w:val="20"/>
              </w:rPr>
              <w:t>小班</w:t>
            </w:r>
          </w:p>
        </w:tc>
        <w:tc>
          <w:tcPr>
            <w:tcW w:w="1370" w:type="dxa"/>
            <w:shd w:val="clear" w:color="auto" w:fill="BEBEBE"/>
            <w:vAlign w:val="top"/>
          </w:tcPr>
          <w:p w14:paraId="4C7F0183">
            <w:pPr>
              <w:pStyle w:val="30"/>
              <w:spacing w:before="62"/>
              <w:ind w:left="235" w:right="229"/>
              <w:rPr>
                <w:rFonts w:hint="eastAsia" w:ascii="宋体" w:eastAsia="宋体"/>
                <w:color w:val="auto"/>
                <w:sz w:val="20"/>
              </w:rPr>
            </w:pPr>
            <w:r>
              <w:rPr>
                <w:rFonts w:hint="eastAsia" w:ascii="宋体" w:eastAsia="宋体"/>
                <w:color w:val="auto"/>
                <w:sz w:val="20"/>
              </w:rPr>
              <w:t>面积</w:t>
            </w:r>
            <w:r>
              <w:rPr>
                <w:color w:val="auto"/>
                <w:sz w:val="20"/>
              </w:rPr>
              <w:t>/</w:t>
            </w:r>
            <w:r>
              <w:rPr>
                <w:rFonts w:hint="eastAsia" w:ascii="宋体" w:eastAsia="宋体"/>
                <w:color w:val="auto"/>
                <w:sz w:val="20"/>
              </w:rPr>
              <w:t>公顷</w:t>
            </w:r>
          </w:p>
        </w:tc>
        <w:tc>
          <w:tcPr>
            <w:tcW w:w="1125" w:type="dxa"/>
            <w:shd w:val="clear" w:color="auto" w:fill="BEBEBE"/>
            <w:vAlign w:val="top"/>
          </w:tcPr>
          <w:p w14:paraId="648B5746">
            <w:pPr>
              <w:pStyle w:val="30"/>
              <w:spacing w:before="62"/>
              <w:ind w:left="212" w:right="207"/>
              <w:rPr>
                <w:rFonts w:hint="eastAsia" w:ascii="宋体" w:eastAsia="宋体"/>
                <w:color w:val="auto"/>
                <w:sz w:val="20"/>
              </w:rPr>
            </w:pPr>
            <w:r>
              <w:rPr>
                <w:rFonts w:hint="eastAsia" w:ascii="宋体" w:eastAsia="宋体"/>
                <w:color w:val="auto"/>
                <w:sz w:val="20"/>
              </w:rPr>
              <w:t>面积</w:t>
            </w:r>
            <w:r>
              <w:rPr>
                <w:color w:val="auto"/>
                <w:sz w:val="20"/>
              </w:rPr>
              <w:t>/</w:t>
            </w:r>
            <w:r>
              <w:rPr>
                <w:rFonts w:hint="eastAsia" w:ascii="宋体" w:eastAsia="宋体"/>
                <w:color w:val="auto"/>
                <w:sz w:val="20"/>
              </w:rPr>
              <w:t>亩</w:t>
            </w:r>
          </w:p>
        </w:tc>
        <w:tc>
          <w:tcPr>
            <w:tcW w:w="1995" w:type="dxa"/>
            <w:shd w:val="clear" w:color="auto" w:fill="BEBEBE"/>
            <w:vAlign w:val="top"/>
          </w:tcPr>
          <w:p w14:paraId="7EE9903A">
            <w:pPr>
              <w:pStyle w:val="30"/>
              <w:spacing w:before="62"/>
              <w:ind w:left="276" w:right="269"/>
              <w:rPr>
                <w:rFonts w:hint="eastAsia" w:ascii="宋体" w:eastAsia="宋体"/>
                <w:color w:val="auto"/>
                <w:sz w:val="20"/>
              </w:rPr>
            </w:pPr>
            <w:r>
              <w:rPr>
                <w:rFonts w:hint="eastAsia" w:ascii="宋体" w:eastAsia="宋体"/>
                <w:color w:val="auto"/>
                <w:sz w:val="20"/>
              </w:rPr>
              <w:t>小班类型</w:t>
            </w:r>
          </w:p>
        </w:tc>
      </w:tr>
      <w:tr w14:paraId="58825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66C3ACAC">
            <w:pPr>
              <w:pStyle w:val="30"/>
              <w:spacing w:before="42"/>
              <w:ind w:left="8"/>
              <w:rPr>
                <w:color w:val="auto"/>
                <w:sz w:val="20"/>
              </w:rPr>
            </w:pPr>
            <w:r>
              <w:rPr>
                <w:color w:val="auto"/>
                <w:w w:val="99"/>
                <w:sz w:val="20"/>
              </w:rPr>
              <w:t>1</w:t>
            </w:r>
          </w:p>
        </w:tc>
        <w:tc>
          <w:tcPr>
            <w:tcW w:w="1000" w:type="dxa"/>
            <w:vAlign w:val="top"/>
          </w:tcPr>
          <w:p w14:paraId="2A8547B8">
            <w:pPr>
              <w:pStyle w:val="30"/>
              <w:spacing w:before="28"/>
              <w:ind w:left="180" w:right="170"/>
              <w:rPr>
                <w:rFonts w:hint="eastAsia" w:ascii="宋体" w:eastAsia="宋体"/>
                <w:color w:val="auto"/>
                <w:sz w:val="20"/>
              </w:rPr>
            </w:pPr>
            <w:r>
              <w:rPr>
                <w:rFonts w:hint="eastAsia" w:ascii="宋体" w:eastAsia="宋体"/>
                <w:color w:val="auto"/>
                <w:sz w:val="20"/>
              </w:rPr>
              <w:t>龙水镇</w:t>
            </w:r>
          </w:p>
        </w:tc>
        <w:tc>
          <w:tcPr>
            <w:tcW w:w="1249" w:type="dxa"/>
            <w:vAlign w:val="top"/>
          </w:tcPr>
          <w:p w14:paraId="136E22F9">
            <w:pPr>
              <w:pStyle w:val="30"/>
              <w:spacing w:before="28"/>
              <w:ind w:left="202" w:right="194"/>
              <w:rPr>
                <w:rFonts w:hint="eastAsia" w:ascii="宋体" w:eastAsia="宋体"/>
                <w:color w:val="auto"/>
                <w:sz w:val="20"/>
              </w:rPr>
            </w:pPr>
            <w:r>
              <w:rPr>
                <w:rFonts w:hint="eastAsia" w:ascii="宋体" w:eastAsia="宋体"/>
                <w:color w:val="auto"/>
                <w:sz w:val="20"/>
              </w:rPr>
              <w:t>百福村</w:t>
            </w:r>
          </w:p>
        </w:tc>
        <w:tc>
          <w:tcPr>
            <w:tcW w:w="755" w:type="dxa"/>
            <w:vAlign w:val="top"/>
          </w:tcPr>
          <w:p w14:paraId="66E34AE0">
            <w:pPr>
              <w:pStyle w:val="30"/>
              <w:spacing w:before="42"/>
              <w:ind w:right="147"/>
              <w:rPr>
                <w:color w:val="auto"/>
                <w:sz w:val="20"/>
              </w:rPr>
            </w:pPr>
            <w:r>
              <w:rPr>
                <w:color w:val="auto"/>
                <w:sz w:val="20"/>
              </w:rPr>
              <w:t>0100</w:t>
            </w:r>
          </w:p>
        </w:tc>
        <w:tc>
          <w:tcPr>
            <w:tcW w:w="755" w:type="dxa"/>
            <w:vAlign w:val="top"/>
          </w:tcPr>
          <w:p w14:paraId="152D72B5">
            <w:pPr>
              <w:pStyle w:val="30"/>
              <w:spacing w:before="42"/>
              <w:ind w:right="145"/>
              <w:rPr>
                <w:color w:val="auto"/>
                <w:sz w:val="20"/>
              </w:rPr>
            </w:pPr>
            <w:r>
              <w:rPr>
                <w:color w:val="auto"/>
                <w:sz w:val="20"/>
              </w:rPr>
              <w:t>0044</w:t>
            </w:r>
          </w:p>
        </w:tc>
        <w:tc>
          <w:tcPr>
            <w:tcW w:w="1370" w:type="dxa"/>
            <w:vAlign w:val="top"/>
          </w:tcPr>
          <w:p w14:paraId="6D944D21">
            <w:pPr>
              <w:pStyle w:val="30"/>
              <w:spacing w:before="42"/>
              <w:ind w:left="235" w:right="225"/>
              <w:rPr>
                <w:color w:val="auto"/>
                <w:sz w:val="20"/>
              </w:rPr>
            </w:pPr>
            <w:r>
              <w:rPr>
                <w:color w:val="auto"/>
                <w:sz w:val="20"/>
              </w:rPr>
              <w:t>3.68</w:t>
            </w:r>
          </w:p>
        </w:tc>
        <w:tc>
          <w:tcPr>
            <w:tcW w:w="1125" w:type="dxa"/>
            <w:vAlign w:val="top"/>
          </w:tcPr>
          <w:p w14:paraId="64129D4C">
            <w:pPr>
              <w:pStyle w:val="30"/>
              <w:spacing w:before="42"/>
              <w:ind w:left="212" w:right="203"/>
              <w:rPr>
                <w:color w:val="auto"/>
                <w:sz w:val="20"/>
              </w:rPr>
            </w:pPr>
            <w:r>
              <w:rPr>
                <w:color w:val="auto"/>
                <w:sz w:val="20"/>
              </w:rPr>
              <w:t>55.20</w:t>
            </w:r>
          </w:p>
        </w:tc>
        <w:tc>
          <w:tcPr>
            <w:tcW w:w="1995" w:type="dxa"/>
            <w:vAlign w:val="top"/>
          </w:tcPr>
          <w:p w14:paraId="3A5658A9">
            <w:pPr>
              <w:pStyle w:val="30"/>
              <w:spacing w:before="28"/>
              <w:ind w:left="276" w:right="269"/>
              <w:rPr>
                <w:rFonts w:hint="eastAsia" w:ascii="宋体" w:eastAsia="宋体"/>
                <w:color w:val="auto"/>
                <w:sz w:val="20"/>
              </w:rPr>
            </w:pPr>
            <w:r>
              <w:rPr>
                <w:rFonts w:hint="eastAsia" w:ascii="宋体" w:eastAsia="宋体"/>
                <w:color w:val="auto"/>
                <w:sz w:val="20"/>
              </w:rPr>
              <w:t>实现无疫情小班</w:t>
            </w:r>
          </w:p>
        </w:tc>
      </w:tr>
      <w:tr w14:paraId="38252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51772276">
            <w:pPr>
              <w:pStyle w:val="30"/>
              <w:spacing w:before="41"/>
              <w:ind w:right="146"/>
              <w:rPr>
                <w:color w:val="auto"/>
                <w:sz w:val="20"/>
              </w:rPr>
            </w:pPr>
            <w:r>
              <w:rPr>
                <w:color w:val="auto"/>
                <w:sz w:val="20"/>
              </w:rPr>
              <w:t>37</w:t>
            </w:r>
          </w:p>
        </w:tc>
        <w:tc>
          <w:tcPr>
            <w:tcW w:w="1000" w:type="dxa"/>
            <w:vAlign w:val="top"/>
          </w:tcPr>
          <w:p w14:paraId="1F2D4CAB">
            <w:pPr>
              <w:pStyle w:val="30"/>
              <w:spacing w:before="28"/>
              <w:ind w:left="180" w:right="170"/>
              <w:rPr>
                <w:rFonts w:hint="eastAsia" w:ascii="宋体" w:eastAsia="宋体"/>
                <w:color w:val="auto"/>
                <w:sz w:val="20"/>
              </w:rPr>
            </w:pPr>
            <w:r>
              <w:rPr>
                <w:rFonts w:hint="eastAsia" w:ascii="宋体" w:eastAsia="宋体"/>
                <w:color w:val="auto"/>
                <w:sz w:val="20"/>
              </w:rPr>
              <w:t>才湾镇</w:t>
            </w:r>
          </w:p>
        </w:tc>
        <w:tc>
          <w:tcPr>
            <w:tcW w:w="1249" w:type="dxa"/>
            <w:vAlign w:val="top"/>
          </w:tcPr>
          <w:p w14:paraId="5710B377">
            <w:pPr>
              <w:pStyle w:val="30"/>
              <w:spacing w:before="28"/>
              <w:ind w:left="202" w:right="194"/>
              <w:rPr>
                <w:rFonts w:hint="eastAsia" w:ascii="宋体" w:eastAsia="宋体"/>
                <w:color w:val="auto"/>
                <w:sz w:val="20"/>
              </w:rPr>
            </w:pPr>
            <w:r>
              <w:rPr>
                <w:rFonts w:hint="eastAsia" w:ascii="宋体" w:eastAsia="宋体"/>
                <w:color w:val="auto"/>
                <w:sz w:val="20"/>
              </w:rPr>
              <w:t>邓吉村</w:t>
            </w:r>
          </w:p>
        </w:tc>
        <w:tc>
          <w:tcPr>
            <w:tcW w:w="755" w:type="dxa"/>
            <w:vAlign w:val="top"/>
          </w:tcPr>
          <w:p w14:paraId="3574BF47">
            <w:pPr>
              <w:pStyle w:val="30"/>
              <w:spacing w:before="41"/>
              <w:ind w:right="147"/>
              <w:rPr>
                <w:color w:val="auto"/>
                <w:sz w:val="20"/>
              </w:rPr>
            </w:pPr>
            <w:r>
              <w:rPr>
                <w:color w:val="auto"/>
                <w:sz w:val="20"/>
              </w:rPr>
              <w:t>0600</w:t>
            </w:r>
          </w:p>
        </w:tc>
        <w:tc>
          <w:tcPr>
            <w:tcW w:w="755" w:type="dxa"/>
            <w:vAlign w:val="top"/>
          </w:tcPr>
          <w:p w14:paraId="1E9EA763">
            <w:pPr>
              <w:pStyle w:val="30"/>
              <w:spacing w:before="41"/>
              <w:ind w:right="145"/>
              <w:rPr>
                <w:color w:val="auto"/>
                <w:sz w:val="20"/>
              </w:rPr>
            </w:pPr>
            <w:r>
              <w:rPr>
                <w:color w:val="auto"/>
                <w:sz w:val="20"/>
              </w:rPr>
              <w:t>0006</w:t>
            </w:r>
          </w:p>
        </w:tc>
        <w:tc>
          <w:tcPr>
            <w:tcW w:w="1370" w:type="dxa"/>
            <w:vAlign w:val="top"/>
          </w:tcPr>
          <w:p w14:paraId="2585EAAB">
            <w:pPr>
              <w:pStyle w:val="30"/>
              <w:spacing w:before="41"/>
              <w:ind w:left="235" w:right="225"/>
              <w:rPr>
                <w:color w:val="auto"/>
                <w:sz w:val="20"/>
              </w:rPr>
            </w:pPr>
            <w:r>
              <w:rPr>
                <w:color w:val="auto"/>
                <w:sz w:val="20"/>
              </w:rPr>
              <w:t>0.18</w:t>
            </w:r>
          </w:p>
        </w:tc>
        <w:tc>
          <w:tcPr>
            <w:tcW w:w="1125" w:type="dxa"/>
            <w:vAlign w:val="top"/>
          </w:tcPr>
          <w:p w14:paraId="0F5B3CCD">
            <w:pPr>
              <w:pStyle w:val="30"/>
              <w:spacing w:before="41"/>
              <w:ind w:left="212" w:right="203"/>
              <w:rPr>
                <w:color w:val="auto"/>
                <w:sz w:val="20"/>
              </w:rPr>
            </w:pPr>
            <w:r>
              <w:rPr>
                <w:color w:val="auto"/>
                <w:sz w:val="20"/>
              </w:rPr>
              <w:t>2.70</w:t>
            </w:r>
          </w:p>
        </w:tc>
        <w:tc>
          <w:tcPr>
            <w:tcW w:w="1995" w:type="dxa"/>
            <w:vAlign w:val="top"/>
          </w:tcPr>
          <w:p w14:paraId="3A49F841">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5E268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5CBE6E30">
            <w:pPr>
              <w:pStyle w:val="30"/>
              <w:spacing w:before="43"/>
              <w:ind w:right="146"/>
              <w:rPr>
                <w:color w:val="auto"/>
                <w:sz w:val="20"/>
              </w:rPr>
            </w:pPr>
            <w:r>
              <w:rPr>
                <w:color w:val="auto"/>
                <w:sz w:val="20"/>
              </w:rPr>
              <w:t>38</w:t>
            </w:r>
          </w:p>
        </w:tc>
        <w:tc>
          <w:tcPr>
            <w:tcW w:w="1000" w:type="dxa"/>
            <w:vAlign w:val="top"/>
          </w:tcPr>
          <w:p w14:paraId="29126CCB">
            <w:pPr>
              <w:pStyle w:val="30"/>
              <w:spacing w:before="30"/>
              <w:ind w:left="180" w:right="170"/>
              <w:rPr>
                <w:rFonts w:hint="eastAsia" w:ascii="宋体" w:eastAsia="宋体"/>
                <w:color w:val="auto"/>
                <w:sz w:val="20"/>
              </w:rPr>
            </w:pPr>
            <w:r>
              <w:rPr>
                <w:rFonts w:hint="eastAsia" w:ascii="宋体" w:eastAsia="宋体"/>
                <w:color w:val="auto"/>
                <w:sz w:val="20"/>
              </w:rPr>
              <w:t>才湾镇</w:t>
            </w:r>
          </w:p>
        </w:tc>
        <w:tc>
          <w:tcPr>
            <w:tcW w:w="1249" w:type="dxa"/>
            <w:vAlign w:val="top"/>
          </w:tcPr>
          <w:p w14:paraId="0615927E">
            <w:pPr>
              <w:pStyle w:val="30"/>
              <w:spacing w:before="30"/>
              <w:ind w:left="202" w:right="194"/>
              <w:rPr>
                <w:rFonts w:hint="eastAsia" w:ascii="宋体" w:eastAsia="宋体"/>
                <w:color w:val="auto"/>
                <w:sz w:val="20"/>
              </w:rPr>
            </w:pPr>
            <w:r>
              <w:rPr>
                <w:rFonts w:hint="eastAsia" w:ascii="宋体" w:eastAsia="宋体"/>
                <w:color w:val="auto"/>
                <w:sz w:val="20"/>
              </w:rPr>
              <w:t>邓吉村</w:t>
            </w:r>
          </w:p>
        </w:tc>
        <w:tc>
          <w:tcPr>
            <w:tcW w:w="755" w:type="dxa"/>
            <w:vAlign w:val="top"/>
          </w:tcPr>
          <w:p w14:paraId="7AD2A1D0">
            <w:pPr>
              <w:pStyle w:val="30"/>
              <w:spacing w:before="43"/>
              <w:ind w:right="147"/>
              <w:rPr>
                <w:color w:val="auto"/>
                <w:sz w:val="20"/>
              </w:rPr>
            </w:pPr>
            <w:r>
              <w:rPr>
                <w:color w:val="auto"/>
                <w:sz w:val="20"/>
              </w:rPr>
              <w:t>0700</w:t>
            </w:r>
          </w:p>
        </w:tc>
        <w:tc>
          <w:tcPr>
            <w:tcW w:w="755" w:type="dxa"/>
            <w:vAlign w:val="top"/>
          </w:tcPr>
          <w:p w14:paraId="50B9AB20">
            <w:pPr>
              <w:pStyle w:val="30"/>
              <w:spacing w:before="43"/>
              <w:ind w:right="145"/>
              <w:rPr>
                <w:color w:val="auto"/>
                <w:sz w:val="20"/>
              </w:rPr>
            </w:pPr>
            <w:r>
              <w:rPr>
                <w:color w:val="auto"/>
                <w:sz w:val="20"/>
              </w:rPr>
              <w:t>0004</w:t>
            </w:r>
          </w:p>
        </w:tc>
        <w:tc>
          <w:tcPr>
            <w:tcW w:w="1370" w:type="dxa"/>
            <w:vAlign w:val="top"/>
          </w:tcPr>
          <w:p w14:paraId="2A96F29B">
            <w:pPr>
              <w:pStyle w:val="30"/>
              <w:spacing w:before="43"/>
              <w:ind w:left="235" w:right="225"/>
              <w:rPr>
                <w:color w:val="auto"/>
                <w:sz w:val="20"/>
              </w:rPr>
            </w:pPr>
            <w:r>
              <w:rPr>
                <w:color w:val="auto"/>
                <w:sz w:val="20"/>
              </w:rPr>
              <w:t>0.42</w:t>
            </w:r>
          </w:p>
        </w:tc>
        <w:tc>
          <w:tcPr>
            <w:tcW w:w="1125" w:type="dxa"/>
            <w:vAlign w:val="top"/>
          </w:tcPr>
          <w:p w14:paraId="4DD0B19B">
            <w:pPr>
              <w:pStyle w:val="30"/>
              <w:spacing w:before="43"/>
              <w:ind w:left="212" w:right="203"/>
              <w:rPr>
                <w:color w:val="auto"/>
                <w:sz w:val="20"/>
              </w:rPr>
            </w:pPr>
            <w:r>
              <w:rPr>
                <w:color w:val="auto"/>
                <w:sz w:val="20"/>
              </w:rPr>
              <w:t>6.30</w:t>
            </w:r>
          </w:p>
        </w:tc>
        <w:tc>
          <w:tcPr>
            <w:tcW w:w="1995" w:type="dxa"/>
            <w:vAlign w:val="top"/>
          </w:tcPr>
          <w:p w14:paraId="39DE1FDC">
            <w:pPr>
              <w:pStyle w:val="30"/>
              <w:spacing w:before="30"/>
              <w:ind w:left="276" w:right="269"/>
              <w:rPr>
                <w:rFonts w:hint="eastAsia" w:ascii="宋体" w:eastAsia="宋体"/>
                <w:color w:val="auto"/>
                <w:sz w:val="20"/>
              </w:rPr>
            </w:pPr>
            <w:r>
              <w:rPr>
                <w:rFonts w:hint="eastAsia" w:ascii="宋体" w:eastAsia="宋体"/>
                <w:color w:val="auto"/>
                <w:sz w:val="20"/>
              </w:rPr>
              <w:t>疫情小班</w:t>
            </w:r>
          </w:p>
        </w:tc>
      </w:tr>
      <w:tr w14:paraId="1B20F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0C39A77D">
            <w:pPr>
              <w:pStyle w:val="30"/>
              <w:spacing w:before="43"/>
              <w:ind w:right="146"/>
              <w:rPr>
                <w:color w:val="auto"/>
                <w:sz w:val="20"/>
              </w:rPr>
            </w:pPr>
            <w:r>
              <w:rPr>
                <w:color w:val="auto"/>
                <w:sz w:val="20"/>
              </w:rPr>
              <w:t>39</w:t>
            </w:r>
          </w:p>
        </w:tc>
        <w:tc>
          <w:tcPr>
            <w:tcW w:w="1000" w:type="dxa"/>
            <w:vAlign w:val="top"/>
          </w:tcPr>
          <w:p w14:paraId="78DC0BC8">
            <w:pPr>
              <w:pStyle w:val="30"/>
              <w:spacing w:before="30"/>
              <w:ind w:left="180" w:right="170"/>
              <w:rPr>
                <w:rFonts w:hint="eastAsia" w:ascii="宋体" w:eastAsia="宋体"/>
                <w:color w:val="auto"/>
                <w:sz w:val="20"/>
              </w:rPr>
            </w:pPr>
            <w:r>
              <w:rPr>
                <w:rFonts w:hint="eastAsia" w:ascii="宋体" w:eastAsia="宋体"/>
                <w:color w:val="auto"/>
                <w:sz w:val="20"/>
              </w:rPr>
              <w:t>才湾镇</w:t>
            </w:r>
          </w:p>
        </w:tc>
        <w:tc>
          <w:tcPr>
            <w:tcW w:w="1249" w:type="dxa"/>
            <w:vAlign w:val="top"/>
          </w:tcPr>
          <w:p w14:paraId="4B8272DE">
            <w:pPr>
              <w:pStyle w:val="30"/>
              <w:spacing w:before="30"/>
              <w:ind w:left="202" w:right="194"/>
              <w:rPr>
                <w:rFonts w:hint="eastAsia" w:ascii="宋体" w:eastAsia="宋体"/>
                <w:color w:val="auto"/>
                <w:sz w:val="20"/>
              </w:rPr>
            </w:pPr>
            <w:r>
              <w:rPr>
                <w:rFonts w:hint="eastAsia" w:ascii="宋体" w:eastAsia="宋体"/>
                <w:color w:val="auto"/>
                <w:sz w:val="20"/>
              </w:rPr>
              <w:t>邓吉村</w:t>
            </w:r>
          </w:p>
        </w:tc>
        <w:tc>
          <w:tcPr>
            <w:tcW w:w="755" w:type="dxa"/>
            <w:vAlign w:val="top"/>
          </w:tcPr>
          <w:p w14:paraId="6EE94231">
            <w:pPr>
              <w:pStyle w:val="30"/>
              <w:spacing w:before="43"/>
              <w:ind w:right="147"/>
              <w:rPr>
                <w:color w:val="auto"/>
                <w:sz w:val="20"/>
              </w:rPr>
            </w:pPr>
            <w:r>
              <w:rPr>
                <w:color w:val="auto"/>
                <w:sz w:val="20"/>
              </w:rPr>
              <w:t>0700</w:t>
            </w:r>
          </w:p>
        </w:tc>
        <w:tc>
          <w:tcPr>
            <w:tcW w:w="755" w:type="dxa"/>
            <w:vAlign w:val="top"/>
          </w:tcPr>
          <w:p w14:paraId="4FF4364A">
            <w:pPr>
              <w:pStyle w:val="30"/>
              <w:spacing w:before="43"/>
              <w:ind w:right="145"/>
              <w:rPr>
                <w:color w:val="auto"/>
                <w:sz w:val="20"/>
              </w:rPr>
            </w:pPr>
            <w:r>
              <w:rPr>
                <w:color w:val="auto"/>
                <w:sz w:val="20"/>
              </w:rPr>
              <w:t>0005</w:t>
            </w:r>
          </w:p>
        </w:tc>
        <w:tc>
          <w:tcPr>
            <w:tcW w:w="1370" w:type="dxa"/>
            <w:vAlign w:val="top"/>
          </w:tcPr>
          <w:p w14:paraId="0E4EBCFD">
            <w:pPr>
              <w:pStyle w:val="30"/>
              <w:spacing w:before="43"/>
              <w:ind w:left="235" w:right="225"/>
              <w:rPr>
                <w:color w:val="auto"/>
                <w:sz w:val="20"/>
              </w:rPr>
            </w:pPr>
            <w:r>
              <w:rPr>
                <w:color w:val="auto"/>
                <w:sz w:val="20"/>
              </w:rPr>
              <w:t>1.21</w:t>
            </w:r>
          </w:p>
        </w:tc>
        <w:tc>
          <w:tcPr>
            <w:tcW w:w="1125" w:type="dxa"/>
            <w:vAlign w:val="top"/>
          </w:tcPr>
          <w:p w14:paraId="550B9FE7">
            <w:pPr>
              <w:pStyle w:val="30"/>
              <w:spacing w:before="43"/>
              <w:ind w:left="212" w:right="203"/>
              <w:rPr>
                <w:color w:val="auto"/>
                <w:sz w:val="20"/>
              </w:rPr>
            </w:pPr>
            <w:r>
              <w:rPr>
                <w:color w:val="auto"/>
                <w:sz w:val="20"/>
              </w:rPr>
              <w:t>18.15</w:t>
            </w:r>
          </w:p>
        </w:tc>
        <w:tc>
          <w:tcPr>
            <w:tcW w:w="1995" w:type="dxa"/>
            <w:vAlign w:val="top"/>
          </w:tcPr>
          <w:p w14:paraId="4D169588">
            <w:pPr>
              <w:pStyle w:val="30"/>
              <w:spacing w:before="30"/>
              <w:ind w:left="276" w:right="269"/>
              <w:rPr>
                <w:rFonts w:hint="eastAsia" w:ascii="宋体" w:eastAsia="宋体"/>
                <w:color w:val="auto"/>
                <w:sz w:val="20"/>
              </w:rPr>
            </w:pPr>
            <w:r>
              <w:rPr>
                <w:rFonts w:hint="eastAsia" w:ascii="宋体" w:eastAsia="宋体"/>
                <w:color w:val="auto"/>
                <w:sz w:val="20"/>
              </w:rPr>
              <w:t>疫情小班</w:t>
            </w:r>
          </w:p>
        </w:tc>
      </w:tr>
      <w:tr w14:paraId="21B51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6F43800D">
            <w:pPr>
              <w:pStyle w:val="30"/>
              <w:spacing w:before="42"/>
              <w:ind w:right="146"/>
              <w:rPr>
                <w:color w:val="auto"/>
                <w:sz w:val="20"/>
              </w:rPr>
            </w:pPr>
            <w:r>
              <w:rPr>
                <w:color w:val="auto"/>
                <w:sz w:val="20"/>
              </w:rPr>
              <w:t>40</w:t>
            </w:r>
          </w:p>
        </w:tc>
        <w:tc>
          <w:tcPr>
            <w:tcW w:w="1000" w:type="dxa"/>
            <w:vAlign w:val="top"/>
          </w:tcPr>
          <w:p w14:paraId="6C9E7808">
            <w:pPr>
              <w:pStyle w:val="30"/>
              <w:spacing w:before="29"/>
              <w:ind w:left="180" w:right="170"/>
              <w:rPr>
                <w:rFonts w:hint="eastAsia" w:ascii="宋体" w:eastAsia="宋体"/>
                <w:color w:val="auto"/>
                <w:sz w:val="20"/>
              </w:rPr>
            </w:pPr>
            <w:r>
              <w:rPr>
                <w:rFonts w:hint="eastAsia" w:ascii="宋体" w:eastAsia="宋体"/>
                <w:color w:val="auto"/>
                <w:sz w:val="20"/>
              </w:rPr>
              <w:t>才湾镇</w:t>
            </w:r>
          </w:p>
        </w:tc>
        <w:tc>
          <w:tcPr>
            <w:tcW w:w="1249" w:type="dxa"/>
            <w:vAlign w:val="top"/>
          </w:tcPr>
          <w:p w14:paraId="63AA30EB">
            <w:pPr>
              <w:pStyle w:val="30"/>
              <w:spacing w:before="29"/>
              <w:ind w:left="202" w:right="194"/>
              <w:rPr>
                <w:rFonts w:hint="eastAsia" w:ascii="宋体" w:eastAsia="宋体"/>
                <w:color w:val="auto"/>
                <w:sz w:val="20"/>
              </w:rPr>
            </w:pPr>
            <w:r>
              <w:rPr>
                <w:rFonts w:hint="eastAsia" w:ascii="宋体" w:eastAsia="宋体"/>
                <w:color w:val="auto"/>
                <w:sz w:val="20"/>
              </w:rPr>
              <w:t>邓吉村</w:t>
            </w:r>
          </w:p>
        </w:tc>
        <w:tc>
          <w:tcPr>
            <w:tcW w:w="755" w:type="dxa"/>
            <w:vAlign w:val="top"/>
          </w:tcPr>
          <w:p w14:paraId="22A551EC">
            <w:pPr>
              <w:pStyle w:val="30"/>
              <w:spacing w:before="42"/>
              <w:ind w:right="147"/>
              <w:rPr>
                <w:color w:val="auto"/>
                <w:sz w:val="20"/>
              </w:rPr>
            </w:pPr>
            <w:r>
              <w:rPr>
                <w:color w:val="auto"/>
                <w:sz w:val="20"/>
              </w:rPr>
              <w:t>0700</w:t>
            </w:r>
          </w:p>
        </w:tc>
        <w:tc>
          <w:tcPr>
            <w:tcW w:w="755" w:type="dxa"/>
            <w:vAlign w:val="top"/>
          </w:tcPr>
          <w:p w14:paraId="5455CF3E">
            <w:pPr>
              <w:pStyle w:val="30"/>
              <w:spacing w:before="42"/>
              <w:ind w:right="145"/>
              <w:rPr>
                <w:color w:val="auto"/>
                <w:sz w:val="20"/>
              </w:rPr>
            </w:pPr>
            <w:r>
              <w:rPr>
                <w:color w:val="auto"/>
                <w:sz w:val="20"/>
              </w:rPr>
              <w:t>0007</w:t>
            </w:r>
          </w:p>
        </w:tc>
        <w:tc>
          <w:tcPr>
            <w:tcW w:w="1370" w:type="dxa"/>
            <w:vAlign w:val="top"/>
          </w:tcPr>
          <w:p w14:paraId="09F02E65">
            <w:pPr>
              <w:pStyle w:val="30"/>
              <w:spacing w:before="42"/>
              <w:ind w:left="235" w:right="225"/>
              <w:rPr>
                <w:color w:val="auto"/>
                <w:sz w:val="20"/>
              </w:rPr>
            </w:pPr>
            <w:r>
              <w:rPr>
                <w:color w:val="auto"/>
                <w:sz w:val="20"/>
              </w:rPr>
              <w:t>1.27</w:t>
            </w:r>
          </w:p>
        </w:tc>
        <w:tc>
          <w:tcPr>
            <w:tcW w:w="1125" w:type="dxa"/>
            <w:vAlign w:val="top"/>
          </w:tcPr>
          <w:p w14:paraId="2E6E5698">
            <w:pPr>
              <w:pStyle w:val="30"/>
              <w:spacing w:before="42"/>
              <w:ind w:left="212" w:right="203"/>
              <w:rPr>
                <w:color w:val="auto"/>
                <w:sz w:val="20"/>
              </w:rPr>
            </w:pPr>
            <w:r>
              <w:rPr>
                <w:color w:val="auto"/>
                <w:sz w:val="20"/>
              </w:rPr>
              <w:t>19.05</w:t>
            </w:r>
          </w:p>
        </w:tc>
        <w:tc>
          <w:tcPr>
            <w:tcW w:w="1995" w:type="dxa"/>
            <w:vAlign w:val="top"/>
          </w:tcPr>
          <w:p w14:paraId="45A3CAE0">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0C34F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30465562">
            <w:pPr>
              <w:pStyle w:val="30"/>
              <w:spacing w:before="42"/>
              <w:ind w:right="146"/>
              <w:rPr>
                <w:color w:val="auto"/>
                <w:sz w:val="20"/>
              </w:rPr>
            </w:pPr>
            <w:r>
              <w:rPr>
                <w:color w:val="auto"/>
                <w:sz w:val="20"/>
              </w:rPr>
              <w:t>41</w:t>
            </w:r>
          </w:p>
        </w:tc>
        <w:tc>
          <w:tcPr>
            <w:tcW w:w="1000" w:type="dxa"/>
            <w:vAlign w:val="top"/>
          </w:tcPr>
          <w:p w14:paraId="4752CE43">
            <w:pPr>
              <w:pStyle w:val="30"/>
              <w:spacing w:before="29"/>
              <w:ind w:left="180" w:right="170"/>
              <w:rPr>
                <w:rFonts w:hint="eastAsia" w:ascii="宋体" w:eastAsia="宋体"/>
                <w:color w:val="auto"/>
                <w:sz w:val="20"/>
              </w:rPr>
            </w:pPr>
            <w:r>
              <w:rPr>
                <w:rFonts w:hint="eastAsia" w:ascii="宋体" w:eastAsia="宋体"/>
                <w:color w:val="auto"/>
                <w:sz w:val="20"/>
              </w:rPr>
              <w:t>才湾镇</w:t>
            </w:r>
          </w:p>
        </w:tc>
        <w:tc>
          <w:tcPr>
            <w:tcW w:w="1249" w:type="dxa"/>
            <w:vAlign w:val="top"/>
          </w:tcPr>
          <w:p w14:paraId="24C6D80D">
            <w:pPr>
              <w:pStyle w:val="30"/>
              <w:spacing w:before="29"/>
              <w:ind w:left="202" w:right="194"/>
              <w:rPr>
                <w:rFonts w:hint="eastAsia" w:ascii="宋体" w:eastAsia="宋体"/>
                <w:color w:val="auto"/>
                <w:sz w:val="20"/>
              </w:rPr>
            </w:pPr>
            <w:r>
              <w:rPr>
                <w:rFonts w:hint="eastAsia" w:ascii="宋体" w:eastAsia="宋体"/>
                <w:color w:val="auto"/>
                <w:sz w:val="20"/>
              </w:rPr>
              <w:t>邓吉村</w:t>
            </w:r>
          </w:p>
        </w:tc>
        <w:tc>
          <w:tcPr>
            <w:tcW w:w="755" w:type="dxa"/>
            <w:vAlign w:val="top"/>
          </w:tcPr>
          <w:p w14:paraId="2089EA0D">
            <w:pPr>
              <w:pStyle w:val="30"/>
              <w:spacing w:before="42"/>
              <w:ind w:right="147"/>
              <w:rPr>
                <w:color w:val="auto"/>
                <w:sz w:val="20"/>
              </w:rPr>
            </w:pPr>
            <w:r>
              <w:rPr>
                <w:color w:val="auto"/>
                <w:sz w:val="20"/>
              </w:rPr>
              <w:t>0700</w:t>
            </w:r>
          </w:p>
        </w:tc>
        <w:tc>
          <w:tcPr>
            <w:tcW w:w="755" w:type="dxa"/>
            <w:vAlign w:val="top"/>
          </w:tcPr>
          <w:p w14:paraId="5415E642">
            <w:pPr>
              <w:pStyle w:val="30"/>
              <w:spacing w:before="42"/>
              <w:ind w:right="145"/>
              <w:rPr>
                <w:color w:val="auto"/>
                <w:sz w:val="20"/>
              </w:rPr>
            </w:pPr>
            <w:r>
              <w:rPr>
                <w:color w:val="auto"/>
                <w:sz w:val="20"/>
              </w:rPr>
              <w:t>0009</w:t>
            </w:r>
          </w:p>
        </w:tc>
        <w:tc>
          <w:tcPr>
            <w:tcW w:w="1370" w:type="dxa"/>
            <w:vAlign w:val="top"/>
          </w:tcPr>
          <w:p w14:paraId="339B71D6">
            <w:pPr>
              <w:pStyle w:val="30"/>
              <w:spacing w:before="42"/>
              <w:ind w:left="235" w:right="225"/>
              <w:rPr>
                <w:color w:val="auto"/>
                <w:sz w:val="20"/>
              </w:rPr>
            </w:pPr>
            <w:r>
              <w:rPr>
                <w:color w:val="auto"/>
                <w:sz w:val="20"/>
              </w:rPr>
              <w:t>0.90</w:t>
            </w:r>
          </w:p>
        </w:tc>
        <w:tc>
          <w:tcPr>
            <w:tcW w:w="1125" w:type="dxa"/>
            <w:vAlign w:val="top"/>
          </w:tcPr>
          <w:p w14:paraId="22E704CB">
            <w:pPr>
              <w:pStyle w:val="30"/>
              <w:spacing w:before="42"/>
              <w:ind w:left="212" w:right="203"/>
              <w:rPr>
                <w:color w:val="auto"/>
                <w:sz w:val="20"/>
              </w:rPr>
            </w:pPr>
            <w:r>
              <w:rPr>
                <w:color w:val="auto"/>
                <w:sz w:val="20"/>
              </w:rPr>
              <w:t>13.50</w:t>
            </w:r>
          </w:p>
        </w:tc>
        <w:tc>
          <w:tcPr>
            <w:tcW w:w="1995" w:type="dxa"/>
            <w:vAlign w:val="top"/>
          </w:tcPr>
          <w:p w14:paraId="75A3BAE9">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4CEC5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0AA9C149">
            <w:pPr>
              <w:pStyle w:val="30"/>
              <w:spacing w:before="42"/>
              <w:ind w:right="146"/>
              <w:rPr>
                <w:color w:val="auto"/>
                <w:sz w:val="20"/>
              </w:rPr>
            </w:pPr>
            <w:r>
              <w:rPr>
                <w:color w:val="auto"/>
                <w:sz w:val="20"/>
              </w:rPr>
              <w:t>42</w:t>
            </w:r>
          </w:p>
        </w:tc>
        <w:tc>
          <w:tcPr>
            <w:tcW w:w="1000" w:type="dxa"/>
            <w:vAlign w:val="top"/>
          </w:tcPr>
          <w:p w14:paraId="5FAD5B04">
            <w:pPr>
              <w:pStyle w:val="30"/>
              <w:spacing w:before="28"/>
              <w:ind w:left="180" w:right="170"/>
              <w:rPr>
                <w:rFonts w:hint="eastAsia" w:ascii="宋体" w:eastAsia="宋体"/>
                <w:color w:val="auto"/>
                <w:sz w:val="20"/>
              </w:rPr>
            </w:pPr>
            <w:r>
              <w:rPr>
                <w:rFonts w:hint="eastAsia" w:ascii="宋体" w:eastAsia="宋体"/>
                <w:color w:val="auto"/>
                <w:sz w:val="20"/>
              </w:rPr>
              <w:t>才湾镇</w:t>
            </w:r>
          </w:p>
        </w:tc>
        <w:tc>
          <w:tcPr>
            <w:tcW w:w="1249" w:type="dxa"/>
            <w:vAlign w:val="top"/>
          </w:tcPr>
          <w:p w14:paraId="6A6FB891">
            <w:pPr>
              <w:pStyle w:val="30"/>
              <w:spacing w:before="28"/>
              <w:ind w:left="202" w:right="194"/>
              <w:rPr>
                <w:rFonts w:hint="eastAsia" w:ascii="宋体" w:eastAsia="宋体"/>
                <w:color w:val="auto"/>
                <w:sz w:val="20"/>
              </w:rPr>
            </w:pPr>
            <w:r>
              <w:rPr>
                <w:rFonts w:hint="eastAsia" w:ascii="宋体" w:eastAsia="宋体"/>
                <w:color w:val="auto"/>
                <w:sz w:val="20"/>
              </w:rPr>
              <w:t>邓吉村</w:t>
            </w:r>
          </w:p>
        </w:tc>
        <w:tc>
          <w:tcPr>
            <w:tcW w:w="755" w:type="dxa"/>
            <w:vAlign w:val="top"/>
          </w:tcPr>
          <w:p w14:paraId="34D74D9D">
            <w:pPr>
              <w:pStyle w:val="30"/>
              <w:spacing w:before="42"/>
              <w:ind w:right="147"/>
              <w:rPr>
                <w:color w:val="auto"/>
                <w:sz w:val="20"/>
              </w:rPr>
            </w:pPr>
            <w:r>
              <w:rPr>
                <w:color w:val="auto"/>
                <w:sz w:val="20"/>
              </w:rPr>
              <w:t>0700</w:t>
            </w:r>
          </w:p>
        </w:tc>
        <w:tc>
          <w:tcPr>
            <w:tcW w:w="755" w:type="dxa"/>
            <w:vAlign w:val="top"/>
          </w:tcPr>
          <w:p w14:paraId="503BDC9C">
            <w:pPr>
              <w:pStyle w:val="30"/>
              <w:spacing w:before="42"/>
              <w:ind w:right="145"/>
              <w:rPr>
                <w:color w:val="auto"/>
                <w:sz w:val="20"/>
              </w:rPr>
            </w:pPr>
            <w:r>
              <w:rPr>
                <w:color w:val="auto"/>
                <w:sz w:val="20"/>
              </w:rPr>
              <w:t>0013</w:t>
            </w:r>
          </w:p>
        </w:tc>
        <w:tc>
          <w:tcPr>
            <w:tcW w:w="1370" w:type="dxa"/>
            <w:vAlign w:val="top"/>
          </w:tcPr>
          <w:p w14:paraId="13915742">
            <w:pPr>
              <w:pStyle w:val="30"/>
              <w:spacing w:before="42"/>
              <w:ind w:left="235" w:right="225"/>
              <w:rPr>
                <w:color w:val="auto"/>
                <w:sz w:val="20"/>
              </w:rPr>
            </w:pPr>
            <w:r>
              <w:rPr>
                <w:color w:val="auto"/>
                <w:sz w:val="20"/>
              </w:rPr>
              <w:t>0.79</w:t>
            </w:r>
          </w:p>
        </w:tc>
        <w:tc>
          <w:tcPr>
            <w:tcW w:w="1125" w:type="dxa"/>
            <w:vAlign w:val="top"/>
          </w:tcPr>
          <w:p w14:paraId="536FEE1F">
            <w:pPr>
              <w:pStyle w:val="30"/>
              <w:spacing w:before="42"/>
              <w:ind w:left="212" w:right="203"/>
              <w:rPr>
                <w:color w:val="auto"/>
                <w:sz w:val="20"/>
              </w:rPr>
            </w:pPr>
            <w:r>
              <w:rPr>
                <w:color w:val="auto"/>
                <w:sz w:val="20"/>
              </w:rPr>
              <w:t>11.85</w:t>
            </w:r>
          </w:p>
        </w:tc>
        <w:tc>
          <w:tcPr>
            <w:tcW w:w="1995" w:type="dxa"/>
            <w:vAlign w:val="top"/>
          </w:tcPr>
          <w:p w14:paraId="78B2B51D">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660D3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7F97DE7C">
            <w:pPr>
              <w:pStyle w:val="30"/>
              <w:spacing w:before="41"/>
              <w:ind w:right="146"/>
              <w:rPr>
                <w:color w:val="auto"/>
                <w:sz w:val="20"/>
              </w:rPr>
            </w:pPr>
            <w:r>
              <w:rPr>
                <w:color w:val="auto"/>
                <w:sz w:val="20"/>
              </w:rPr>
              <w:t>43</w:t>
            </w:r>
          </w:p>
        </w:tc>
        <w:tc>
          <w:tcPr>
            <w:tcW w:w="1000" w:type="dxa"/>
            <w:vAlign w:val="top"/>
          </w:tcPr>
          <w:p w14:paraId="50F306DD">
            <w:pPr>
              <w:pStyle w:val="30"/>
              <w:spacing w:before="28"/>
              <w:ind w:left="180" w:right="170"/>
              <w:rPr>
                <w:rFonts w:hint="eastAsia" w:ascii="宋体" w:eastAsia="宋体"/>
                <w:color w:val="auto"/>
                <w:sz w:val="20"/>
              </w:rPr>
            </w:pPr>
            <w:r>
              <w:rPr>
                <w:rFonts w:hint="eastAsia" w:ascii="宋体" w:eastAsia="宋体"/>
                <w:color w:val="auto"/>
                <w:sz w:val="20"/>
              </w:rPr>
              <w:t>才湾镇</w:t>
            </w:r>
          </w:p>
        </w:tc>
        <w:tc>
          <w:tcPr>
            <w:tcW w:w="1249" w:type="dxa"/>
            <w:vAlign w:val="top"/>
          </w:tcPr>
          <w:p w14:paraId="14ACF610">
            <w:pPr>
              <w:pStyle w:val="30"/>
              <w:spacing w:before="28"/>
              <w:ind w:left="202" w:right="194"/>
              <w:rPr>
                <w:rFonts w:hint="eastAsia" w:ascii="宋体" w:eastAsia="宋体"/>
                <w:color w:val="auto"/>
                <w:sz w:val="20"/>
              </w:rPr>
            </w:pPr>
            <w:r>
              <w:rPr>
                <w:rFonts w:hint="eastAsia" w:ascii="宋体" w:eastAsia="宋体"/>
                <w:color w:val="auto"/>
                <w:sz w:val="20"/>
              </w:rPr>
              <w:t>邓吉村</w:t>
            </w:r>
          </w:p>
        </w:tc>
        <w:tc>
          <w:tcPr>
            <w:tcW w:w="755" w:type="dxa"/>
            <w:vAlign w:val="top"/>
          </w:tcPr>
          <w:p w14:paraId="20FB52B5">
            <w:pPr>
              <w:pStyle w:val="30"/>
              <w:spacing w:before="41"/>
              <w:ind w:right="147"/>
              <w:rPr>
                <w:color w:val="auto"/>
                <w:sz w:val="20"/>
              </w:rPr>
            </w:pPr>
            <w:r>
              <w:rPr>
                <w:color w:val="auto"/>
                <w:sz w:val="20"/>
              </w:rPr>
              <w:t>0700</w:t>
            </w:r>
          </w:p>
        </w:tc>
        <w:tc>
          <w:tcPr>
            <w:tcW w:w="755" w:type="dxa"/>
            <w:vAlign w:val="top"/>
          </w:tcPr>
          <w:p w14:paraId="578DF7A6">
            <w:pPr>
              <w:pStyle w:val="30"/>
              <w:spacing w:before="41"/>
              <w:ind w:right="145"/>
              <w:rPr>
                <w:color w:val="auto"/>
                <w:sz w:val="20"/>
              </w:rPr>
            </w:pPr>
            <w:r>
              <w:rPr>
                <w:color w:val="auto"/>
                <w:sz w:val="20"/>
              </w:rPr>
              <w:t>0017</w:t>
            </w:r>
          </w:p>
        </w:tc>
        <w:tc>
          <w:tcPr>
            <w:tcW w:w="1370" w:type="dxa"/>
            <w:vAlign w:val="top"/>
          </w:tcPr>
          <w:p w14:paraId="29B7411B">
            <w:pPr>
              <w:pStyle w:val="30"/>
              <w:spacing w:before="41"/>
              <w:ind w:left="235" w:right="225"/>
              <w:rPr>
                <w:color w:val="auto"/>
                <w:sz w:val="20"/>
              </w:rPr>
            </w:pPr>
            <w:r>
              <w:rPr>
                <w:color w:val="auto"/>
                <w:sz w:val="20"/>
              </w:rPr>
              <w:t>2.14</w:t>
            </w:r>
          </w:p>
        </w:tc>
        <w:tc>
          <w:tcPr>
            <w:tcW w:w="1125" w:type="dxa"/>
            <w:vAlign w:val="top"/>
          </w:tcPr>
          <w:p w14:paraId="6F388506">
            <w:pPr>
              <w:pStyle w:val="30"/>
              <w:spacing w:before="41"/>
              <w:ind w:left="212" w:right="203"/>
              <w:rPr>
                <w:color w:val="auto"/>
                <w:sz w:val="20"/>
              </w:rPr>
            </w:pPr>
            <w:r>
              <w:rPr>
                <w:color w:val="auto"/>
                <w:sz w:val="20"/>
              </w:rPr>
              <w:t>32.10</w:t>
            </w:r>
          </w:p>
        </w:tc>
        <w:tc>
          <w:tcPr>
            <w:tcW w:w="1995" w:type="dxa"/>
            <w:vAlign w:val="top"/>
          </w:tcPr>
          <w:p w14:paraId="63420046">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7477F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677CE005">
            <w:pPr>
              <w:pStyle w:val="30"/>
              <w:spacing w:before="43"/>
              <w:ind w:right="146"/>
              <w:rPr>
                <w:color w:val="auto"/>
                <w:sz w:val="20"/>
              </w:rPr>
            </w:pPr>
            <w:r>
              <w:rPr>
                <w:color w:val="auto"/>
                <w:sz w:val="20"/>
              </w:rPr>
              <w:t>44</w:t>
            </w:r>
          </w:p>
        </w:tc>
        <w:tc>
          <w:tcPr>
            <w:tcW w:w="1000" w:type="dxa"/>
            <w:vAlign w:val="top"/>
          </w:tcPr>
          <w:p w14:paraId="1B5FB53E">
            <w:pPr>
              <w:pStyle w:val="30"/>
              <w:spacing w:before="30"/>
              <w:ind w:left="180" w:right="170"/>
              <w:rPr>
                <w:rFonts w:hint="eastAsia" w:ascii="宋体" w:eastAsia="宋体"/>
                <w:color w:val="auto"/>
                <w:sz w:val="20"/>
              </w:rPr>
            </w:pPr>
            <w:r>
              <w:rPr>
                <w:rFonts w:hint="eastAsia" w:ascii="宋体" w:eastAsia="宋体"/>
                <w:color w:val="auto"/>
                <w:sz w:val="20"/>
              </w:rPr>
              <w:t>才湾镇</w:t>
            </w:r>
          </w:p>
        </w:tc>
        <w:tc>
          <w:tcPr>
            <w:tcW w:w="1249" w:type="dxa"/>
            <w:vAlign w:val="top"/>
          </w:tcPr>
          <w:p w14:paraId="101BF28E">
            <w:pPr>
              <w:pStyle w:val="30"/>
              <w:spacing w:before="30"/>
              <w:ind w:left="202" w:right="194"/>
              <w:rPr>
                <w:rFonts w:hint="eastAsia" w:ascii="宋体" w:eastAsia="宋体"/>
                <w:color w:val="auto"/>
                <w:sz w:val="20"/>
              </w:rPr>
            </w:pPr>
            <w:r>
              <w:rPr>
                <w:rFonts w:hint="eastAsia" w:ascii="宋体" w:eastAsia="宋体"/>
                <w:color w:val="auto"/>
                <w:sz w:val="20"/>
              </w:rPr>
              <w:t>邓吉村</w:t>
            </w:r>
          </w:p>
        </w:tc>
        <w:tc>
          <w:tcPr>
            <w:tcW w:w="755" w:type="dxa"/>
            <w:vAlign w:val="top"/>
          </w:tcPr>
          <w:p w14:paraId="4C205543">
            <w:pPr>
              <w:pStyle w:val="30"/>
              <w:spacing w:before="43"/>
              <w:ind w:right="147"/>
              <w:rPr>
                <w:color w:val="auto"/>
                <w:sz w:val="20"/>
              </w:rPr>
            </w:pPr>
            <w:r>
              <w:rPr>
                <w:color w:val="auto"/>
                <w:sz w:val="20"/>
              </w:rPr>
              <w:t>0700</w:t>
            </w:r>
          </w:p>
        </w:tc>
        <w:tc>
          <w:tcPr>
            <w:tcW w:w="755" w:type="dxa"/>
            <w:vAlign w:val="top"/>
          </w:tcPr>
          <w:p w14:paraId="4ABF95F0">
            <w:pPr>
              <w:pStyle w:val="30"/>
              <w:spacing w:before="43"/>
              <w:ind w:right="145"/>
              <w:rPr>
                <w:color w:val="auto"/>
                <w:sz w:val="20"/>
              </w:rPr>
            </w:pPr>
            <w:r>
              <w:rPr>
                <w:color w:val="auto"/>
                <w:sz w:val="20"/>
              </w:rPr>
              <w:t>0030</w:t>
            </w:r>
          </w:p>
        </w:tc>
        <w:tc>
          <w:tcPr>
            <w:tcW w:w="1370" w:type="dxa"/>
            <w:vAlign w:val="top"/>
          </w:tcPr>
          <w:p w14:paraId="5C77D0F7">
            <w:pPr>
              <w:pStyle w:val="30"/>
              <w:spacing w:before="43"/>
              <w:ind w:left="235" w:right="225"/>
              <w:rPr>
                <w:color w:val="auto"/>
                <w:sz w:val="20"/>
              </w:rPr>
            </w:pPr>
            <w:r>
              <w:rPr>
                <w:color w:val="auto"/>
                <w:sz w:val="20"/>
              </w:rPr>
              <w:t>2.27</w:t>
            </w:r>
          </w:p>
        </w:tc>
        <w:tc>
          <w:tcPr>
            <w:tcW w:w="1125" w:type="dxa"/>
            <w:vAlign w:val="top"/>
          </w:tcPr>
          <w:p w14:paraId="234A072D">
            <w:pPr>
              <w:pStyle w:val="30"/>
              <w:spacing w:before="43"/>
              <w:ind w:left="212" w:right="203"/>
              <w:rPr>
                <w:color w:val="auto"/>
                <w:sz w:val="20"/>
              </w:rPr>
            </w:pPr>
            <w:r>
              <w:rPr>
                <w:color w:val="auto"/>
                <w:sz w:val="20"/>
              </w:rPr>
              <w:t>34.05</w:t>
            </w:r>
          </w:p>
        </w:tc>
        <w:tc>
          <w:tcPr>
            <w:tcW w:w="1995" w:type="dxa"/>
            <w:vAlign w:val="top"/>
          </w:tcPr>
          <w:p w14:paraId="11ED5CBF">
            <w:pPr>
              <w:pStyle w:val="30"/>
              <w:spacing w:before="30"/>
              <w:ind w:left="276" w:right="269"/>
              <w:rPr>
                <w:rFonts w:hint="eastAsia" w:ascii="宋体" w:eastAsia="宋体"/>
                <w:color w:val="auto"/>
                <w:sz w:val="20"/>
              </w:rPr>
            </w:pPr>
            <w:r>
              <w:rPr>
                <w:rFonts w:hint="eastAsia" w:ascii="宋体" w:eastAsia="宋体"/>
                <w:color w:val="auto"/>
                <w:sz w:val="20"/>
              </w:rPr>
              <w:t>疫情小班</w:t>
            </w:r>
          </w:p>
        </w:tc>
      </w:tr>
      <w:tr w14:paraId="45B54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shd w:val="clear" w:color="auto" w:fill="BEBEBE"/>
            <w:vAlign w:val="top"/>
          </w:tcPr>
          <w:p w14:paraId="251DED68">
            <w:pPr>
              <w:pStyle w:val="30"/>
              <w:spacing w:before="54"/>
              <w:ind w:left="152" w:right="148"/>
              <w:rPr>
                <w:rFonts w:hint="eastAsia" w:ascii="宋体" w:eastAsia="宋体"/>
                <w:color w:val="auto"/>
                <w:sz w:val="20"/>
              </w:rPr>
            </w:pPr>
            <w:r>
              <w:rPr>
                <w:rFonts w:hint="eastAsia" w:ascii="宋体" w:eastAsia="宋体"/>
                <w:color w:val="auto"/>
                <w:sz w:val="20"/>
              </w:rPr>
              <w:t>小计</w:t>
            </w:r>
          </w:p>
        </w:tc>
        <w:tc>
          <w:tcPr>
            <w:tcW w:w="1000" w:type="dxa"/>
            <w:shd w:val="clear" w:color="auto" w:fill="BEBEBE"/>
            <w:vAlign w:val="top"/>
          </w:tcPr>
          <w:p w14:paraId="373836E3">
            <w:pPr>
              <w:pStyle w:val="30"/>
              <w:spacing w:before="67"/>
              <w:ind w:left="9"/>
              <w:rPr>
                <w:color w:val="auto"/>
                <w:sz w:val="20"/>
              </w:rPr>
            </w:pPr>
            <w:r>
              <w:rPr>
                <w:color w:val="auto"/>
                <w:w w:val="99"/>
                <w:sz w:val="20"/>
              </w:rPr>
              <w:t>1</w:t>
            </w:r>
          </w:p>
        </w:tc>
        <w:tc>
          <w:tcPr>
            <w:tcW w:w="1249" w:type="dxa"/>
            <w:shd w:val="clear" w:color="auto" w:fill="BEBEBE"/>
            <w:vAlign w:val="top"/>
          </w:tcPr>
          <w:p w14:paraId="3578ECCA">
            <w:pPr>
              <w:pStyle w:val="30"/>
              <w:spacing w:before="67"/>
              <w:ind w:left="7"/>
              <w:rPr>
                <w:color w:val="auto"/>
                <w:sz w:val="20"/>
              </w:rPr>
            </w:pPr>
            <w:r>
              <w:rPr>
                <w:color w:val="auto"/>
                <w:w w:val="99"/>
                <w:sz w:val="20"/>
              </w:rPr>
              <w:t>2</w:t>
            </w:r>
          </w:p>
        </w:tc>
        <w:tc>
          <w:tcPr>
            <w:tcW w:w="755" w:type="dxa"/>
            <w:shd w:val="clear" w:color="auto" w:fill="BEBEBE"/>
            <w:vAlign w:val="top"/>
          </w:tcPr>
          <w:p w14:paraId="52C8E719">
            <w:pPr>
              <w:pStyle w:val="30"/>
              <w:spacing w:before="67"/>
              <w:ind w:left="9"/>
              <w:rPr>
                <w:color w:val="auto"/>
                <w:sz w:val="20"/>
              </w:rPr>
            </w:pPr>
            <w:r>
              <w:rPr>
                <w:color w:val="auto"/>
                <w:w w:val="99"/>
                <w:sz w:val="20"/>
              </w:rPr>
              <w:t>5</w:t>
            </w:r>
          </w:p>
        </w:tc>
        <w:tc>
          <w:tcPr>
            <w:tcW w:w="755" w:type="dxa"/>
            <w:shd w:val="clear" w:color="auto" w:fill="BEBEBE"/>
            <w:vAlign w:val="top"/>
          </w:tcPr>
          <w:p w14:paraId="08FFC0E2">
            <w:pPr>
              <w:pStyle w:val="30"/>
              <w:spacing w:before="67"/>
              <w:ind w:right="148"/>
              <w:rPr>
                <w:color w:val="auto"/>
                <w:sz w:val="20"/>
              </w:rPr>
            </w:pPr>
            <w:r>
              <w:rPr>
                <w:color w:val="auto"/>
                <w:sz w:val="20"/>
              </w:rPr>
              <w:t>19</w:t>
            </w:r>
          </w:p>
        </w:tc>
        <w:tc>
          <w:tcPr>
            <w:tcW w:w="1370" w:type="dxa"/>
            <w:shd w:val="clear" w:color="auto" w:fill="BEBEBE"/>
            <w:vAlign w:val="top"/>
          </w:tcPr>
          <w:p w14:paraId="2214D859">
            <w:pPr>
              <w:pStyle w:val="30"/>
              <w:spacing w:before="67"/>
              <w:ind w:left="235" w:right="227"/>
              <w:rPr>
                <w:color w:val="auto"/>
                <w:sz w:val="20"/>
              </w:rPr>
            </w:pPr>
            <w:r>
              <w:rPr>
                <w:color w:val="auto"/>
                <w:sz w:val="20"/>
              </w:rPr>
              <w:t>44.62</w:t>
            </w:r>
          </w:p>
        </w:tc>
        <w:tc>
          <w:tcPr>
            <w:tcW w:w="1125" w:type="dxa"/>
            <w:shd w:val="clear" w:color="auto" w:fill="BEBEBE"/>
            <w:vAlign w:val="top"/>
          </w:tcPr>
          <w:p w14:paraId="7F1AB0B8">
            <w:pPr>
              <w:pStyle w:val="30"/>
              <w:spacing w:before="67"/>
              <w:ind w:left="212" w:right="203"/>
              <w:rPr>
                <w:color w:val="auto"/>
                <w:sz w:val="20"/>
              </w:rPr>
            </w:pPr>
            <w:r>
              <w:rPr>
                <w:color w:val="auto"/>
                <w:sz w:val="20"/>
              </w:rPr>
              <w:t>669.30</w:t>
            </w:r>
          </w:p>
        </w:tc>
        <w:tc>
          <w:tcPr>
            <w:tcW w:w="1995" w:type="dxa"/>
            <w:shd w:val="clear" w:color="auto" w:fill="BEBEBE"/>
            <w:vAlign w:val="top"/>
          </w:tcPr>
          <w:p w14:paraId="7C86E09C">
            <w:pPr>
              <w:pStyle w:val="30"/>
              <w:spacing w:before="67"/>
              <w:ind w:left="7"/>
              <w:rPr>
                <w:color w:val="auto"/>
                <w:sz w:val="20"/>
              </w:rPr>
            </w:pPr>
            <w:r>
              <w:rPr>
                <w:color w:val="auto"/>
                <w:w w:val="99"/>
                <w:sz w:val="20"/>
              </w:rPr>
              <w:t>—</w:t>
            </w:r>
          </w:p>
        </w:tc>
      </w:tr>
      <w:tr w14:paraId="04932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705DA06F">
            <w:pPr>
              <w:pStyle w:val="30"/>
              <w:spacing w:before="42"/>
              <w:ind w:right="146"/>
              <w:rPr>
                <w:color w:val="auto"/>
                <w:sz w:val="20"/>
              </w:rPr>
            </w:pPr>
            <w:r>
              <w:rPr>
                <w:color w:val="auto"/>
                <w:sz w:val="20"/>
              </w:rPr>
              <w:t>45</w:t>
            </w:r>
          </w:p>
        </w:tc>
        <w:tc>
          <w:tcPr>
            <w:tcW w:w="1000" w:type="dxa"/>
            <w:vAlign w:val="top"/>
          </w:tcPr>
          <w:p w14:paraId="3DDD33A6">
            <w:pPr>
              <w:pStyle w:val="30"/>
              <w:spacing w:before="29"/>
              <w:ind w:left="180" w:right="170"/>
              <w:rPr>
                <w:rFonts w:hint="eastAsia" w:ascii="宋体" w:eastAsia="宋体"/>
                <w:color w:val="auto"/>
                <w:sz w:val="20"/>
              </w:rPr>
            </w:pPr>
            <w:r>
              <w:rPr>
                <w:rFonts w:hint="eastAsia" w:ascii="宋体" w:eastAsia="宋体"/>
                <w:color w:val="auto"/>
                <w:sz w:val="20"/>
              </w:rPr>
              <w:t>枧塘镇</w:t>
            </w:r>
          </w:p>
        </w:tc>
        <w:tc>
          <w:tcPr>
            <w:tcW w:w="1249" w:type="dxa"/>
            <w:vAlign w:val="top"/>
          </w:tcPr>
          <w:p w14:paraId="4637EB89">
            <w:pPr>
              <w:pStyle w:val="30"/>
              <w:spacing w:before="29"/>
              <w:ind w:left="202" w:right="194"/>
              <w:rPr>
                <w:rFonts w:hint="eastAsia" w:ascii="宋体" w:eastAsia="宋体"/>
                <w:color w:val="auto"/>
                <w:sz w:val="20"/>
              </w:rPr>
            </w:pPr>
            <w:r>
              <w:rPr>
                <w:rFonts w:hint="eastAsia" w:ascii="宋体" w:eastAsia="宋体"/>
                <w:color w:val="auto"/>
                <w:sz w:val="20"/>
              </w:rPr>
              <w:t>金兰村</w:t>
            </w:r>
          </w:p>
        </w:tc>
        <w:tc>
          <w:tcPr>
            <w:tcW w:w="755" w:type="dxa"/>
            <w:vAlign w:val="top"/>
          </w:tcPr>
          <w:p w14:paraId="561CB429">
            <w:pPr>
              <w:pStyle w:val="30"/>
              <w:spacing w:before="42"/>
              <w:ind w:right="147"/>
              <w:rPr>
                <w:color w:val="auto"/>
                <w:sz w:val="20"/>
              </w:rPr>
            </w:pPr>
            <w:r>
              <w:rPr>
                <w:color w:val="auto"/>
                <w:sz w:val="20"/>
              </w:rPr>
              <w:t>0100</w:t>
            </w:r>
          </w:p>
        </w:tc>
        <w:tc>
          <w:tcPr>
            <w:tcW w:w="755" w:type="dxa"/>
            <w:vAlign w:val="top"/>
          </w:tcPr>
          <w:p w14:paraId="0B5523D8">
            <w:pPr>
              <w:pStyle w:val="30"/>
              <w:spacing w:before="42"/>
              <w:ind w:right="145"/>
              <w:rPr>
                <w:color w:val="auto"/>
                <w:sz w:val="20"/>
              </w:rPr>
            </w:pPr>
            <w:r>
              <w:rPr>
                <w:color w:val="auto"/>
                <w:sz w:val="20"/>
              </w:rPr>
              <w:t>0014</w:t>
            </w:r>
          </w:p>
        </w:tc>
        <w:tc>
          <w:tcPr>
            <w:tcW w:w="1370" w:type="dxa"/>
            <w:vAlign w:val="top"/>
          </w:tcPr>
          <w:p w14:paraId="53414BB0">
            <w:pPr>
              <w:pStyle w:val="30"/>
              <w:spacing w:before="42"/>
              <w:ind w:left="235" w:right="225"/>
              <w:rPr>
                <w:color w:val="auto"/>
                <w:sz w:val="20"/>
              </w:rPr>
            </w:pPr>
            <w:r>
              <w:rPr>
                <w:color w:val="auto"/>
                <w:sz w:val="20"/>
              </w:rPr>
              <w:t>4.89</w:t>
            </w:r>
          </w:p>
        </w:tc>
        <w:tc>
          <w:tcPr>
            <w:tcW w:w="1125" w:type="dxa"/>
            <w:vAlign w:val="top"/>
          </w:tcPr>
          <w:p w14:paraId="110236DA">
            <w:pPr>
              <w:pStyle w:val="30"/>
              <w:spacing w:before="42"/>
              <w:ind w:left="212" w:right="203"/>
              <w:rPr>
                <w:color w:val="auto"/>
                <w:sz w:val="20"/>
              </w:rPr>
            </w:pPr>
            <w:r>
              <w:rPr>
                <w:color w:val="auto"/>
                <w:sz w:val="20"/>
              </w:rPr>
              <w:t>73.35</w:t>
            </w:r>
          </w:p>
        </w:tc>
        <w:tc>
          <w:tcPr>
            <w:tcW w:w="1995" w:type="dxa"/>
            <w:vAlign w:val="top"/>
          </w:tcPr>
          <w:p w14:paraId="0DB9B530">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60768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7F6561B5">
            <w:pPr>
              <w:pStyle w:val="30"/>
              <w:spacing w:before="42"/>
              <w:ind w:right="146"/>
              <w:rPr>
                <w:color w:val="auto"/>
                <w:sz w:val="20"/>
              </w:rPr>
            </w:pPr>
            <w:r>
              <w:rPr>
                <w:color w:val="auto"/>
                <w:sz w:val="20"/>
              </w:rPr>
              <w:t>46</w:t>
            </w:r>
          </w:p>
        </w:tc>
        <w:tc>
          <w:tcPr>
            <w:tcW w:w="1000" w:type="dxa"/>
            <w:vAlign w:val="top"/>
          </w:tcPr>
          <w:p w14:paraId="0478AD04">
            <w:pPr>
              <w:pStyle w:val="30"/>
              <w:spacing w:before="29"/>
              <w:ind w:left="180" w:right="170"/>
              <w:rPr>
                <w:rFonts w:hint="eastAsia" w:ascii="宋体" w:eastAsia="宋体"/>
                <w:color w:val="auto"/>
                <w:sz w:val="20"/>
              </w:rPr>
            </w:pPr>
            <w:r>
              <w:rPr>
                <w:rFonts w:hint="eastAsia" w:ascii="宋体" w:eastAsia="宋体"/>
                <w:color w:val="auto"/>
                <w:sz w:val="20"/>
              </w:rPr>
              <w:t>枧塘镇</w:t>
            </w:r>
          </w:p>
        </w:tc>
        <w:tc>
          <w:tcPr>
            <w:tcW w:w="1249" w:type="dxa"/>
            <w:vAlign w:val="top"/>
          </w:tcPr>
          <w:p w14:paraId="6805BDC1">
            <w:pPr>
              <w:pStyle w:val="30"/>
              <w:spacing w:before="29"/>
              <w:ind w:left="202" w:right="194"/>
              <w:rPr>
                <w:rFonts w:hint="eastAsia" w:ascii="宋体" w:eastAsia="宋体"/>
                <w:color w:val="auto"/>
                <w:sz w:val="20"/>
              </w:rPr>
            </w:pPr>
            <w:r>
              <w:rPr>
                <w:rFonts w:hint="eastAsia" w:ascii="宋体" w:eastAsia="宋体"/>
                <w:color w:val="auto"/>
                <w:sz w:val="20"/>
              </w:rPr>
              <w:t>金兰村</w:t>
            </w:r>
          </w:p>
        </w:tc>
        <w:tc>
          <w:tcPr>
            <w:tcW w:w="755" w:type="dxa"/>
            <w:vAlign w:val="top"/>
          </w:tcPr>
          <w:p w14:paraId="0CF5F58B">
            <w:pPr>
              <w:pStyle w:val="30"/>
              <w:spacing w:before="42"/>
              <w:ind w:right="147"/>
              <w:rPr>
                <w:color w:val="auto"/>
                <w:sz w:val="20"/>
              </w:rPr>
            </w:pPr>
            <w:r>
              <w:rPr>
                <w:color w:val="auto"/>
                <w:sz w:val="20"/>
              </w:rPr>
              <w:t>0100</w:t>
            </w:r>
          </w:p>
        </w:tc>
        <w:tc>
          <w:tcPr>
            <w:tcW w:w="755" w:type="dxa"/>
            <w:vAlign w:val="top"/>
          </w:tcPr>
          <w:p w14:paraId="77C65053">
            <w:pPr>
              <w:pStyle w:val="30"/>
              <w:spacing w:before="42"/>
              <w:ind w:right="145"/>
              <w:rPr>
                <w:color w:val="auto"/>
                <w:sz w:val="20"/>
              </w:rPr>
            </w:pPr>
            <w:r>
              <w:rPr>
                <w:color w:val="auto"/>
                <w:sz w:val="20"/>
              </w:rPr>
              <w:t>0020</w:t>
            </w:r>
          </w:p>
        </w:tc>
        <w:tc>
          <w:tcPr>
            <w:tcW w:w="1370" w:type="dxa"/>
            <w:vAlign w:val="top"/>
          </w:tcPr>
          <w:p w14:paraId="55C7FA76">
            <w:pPr>
              <w:pStyle w:val="30"/>
              <w:spacing w:before="42"/>
              <w:ind w:left="235" w:right="225"/>
              <w:rPr>
                <w:color w:val="auto"/>
                <w:sz w:val="20"/>
              </w:rPr>
            </w:pPr>
            <w:r>
              <w:rPr>
                <w:color w:val="auto"/>
                <w:sz w:val="20"/>
              </w:rPr>
              <w:t>5.03</w:t>
            </w:r>
          </w:p>
        </w:tc>
        <w:tc>
          <w:tcPr>
            <w:tcW w:w="1125" w:type="dxa"/>
            <w:vAlign w:val="top"/>
          </w:tcPr>
          <w:p w14:paraId="47EDEBBC">
            <w:pPr>
              <w:pStyle w:val="30"/>
              <w:spacing w:before="42"/>
              <w:ind w:left="212" w:right="203"/>
              <w:rPr>
                <w:color w:val="auto"/>
                <w:sz w:val="20"/>
              </w:rPr>
            </w:pPr>
            <w:r>
              <w:rPr>
                <w:color w:val="auto"/>
                <w:sz w:val="20"/>
              </w:rPr>
              <w:t>75.45</w:t>
            </w:r>
          </w:p>
        </w:tc>
        <w:tc>
          <w:tcPr>
            <w:tcW w:w="1995" w:type="dxa"/>
            <w:vAlign w:val="top"/>
          </w:tcPr>
          <w:p w14:paraId="6021BB2A">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74C73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0B936A36">
            <w:pPr>
              <w:pStyle w:val="30"/>
              <w:spacing w:before="42"/>
              <w:ind w:right="146"/>
              <w:rPr>
                <w:color w:val="auto"/>
                <w:sz w:val="20"/>
              </w:rPr>
            </w:pPr>
            <w:r>
              <w:rPr>
                <w:color w:val="auto"/>
                <w:sz w:val="20"/>
              </w:rPr>
              <w:t>47</w:t>
            </w:r>
          </w:p>
        </w:tc>
        <w:tc>
          <w:tcPr>
            <w:tcW w:w="1000" w:type="dxa"/>
            <w:vAlign w:val="top"/>
          </w:tcPr>
          <w:p w14:paraId="7687D7B1">
            <w:pPr>
              <w:pStyle w:val="30"/>
              <w:spacing w:before="28"/>
              <w:ind w:left="180" w:right="170"/>
              <w:rPr>
                <w:rFonts w:hint="eastAsia" w:ascii="宋体" w:eastAsia="宋体"/>
                <w:color w:val="auto"/>
                <w:sz w:val="20"/>
              </w:rPr>
            </w:pPr>
            <w:r>
              <w:rPr>
                <w:rFonts w:hint="eastAsia" w:ascii="宋体" w:eastAsia="宋体"/>
                <w:color w:val="auto"/>
                <w:sz w:val="20"/>
              </w:rPr>
              <w:t>枧塘镇</w:t>
            </w:r>
          </w:p>
        </w:tc>
        <w:tc>
          <w:tcPr>
            <w:tcW w:w="1249" w:type="dxa"/>
            <w:vAlign w:val="top"/>
          </w:tcPr>
          <w:p w14:paraId="5FF307FC">
            <w:pPr>
              <w:pStyle w:val="30"/>
              <w:spacing w:before="28"/>
              <w:ind w:left="202" w:right="194"/>
              <w:rPr>
                <w:rFonts w:hint="eastAsia" w:ascii="宋体" w:eastAsia="宋体"/>
                <w:color w:val="auto"/>
                <w:sz w:val="20"/>
              </w:rPr>
            </w:pPr>
            <w:r>
              <w:rPr>
                <w:rFonts w:hint="eastAsia" w:ascii="宋体" w:eastAsia="宋体"/>
                <w:color w:val="auto"/>
                <w:sz w:val="20"/>
              </w:rPr>
              <w:t>金兰村</w:t>
            </w:r>
          </w:p>
        </w:tc>
        <w:tc>
          <w:tcPr>
            <w:tcW w:w="755" w:type="dxa"/>
            <w:vAlign w:val="top"/>
          </w:tcPr>
          <w:p w14:paraId="6582DD88">
            <w:pPr>
              <w:pStyle w:val="30"/>
              <w:spacing w:before="42"/>
              <w:ind w:right="147"/>
              <w:rPr>
                <w:color w:val="auto"/>
                <w:sz w:val="20"/>
              </w:rPr>
            </w:pPr>
            <w:r>
              <w:rPr>
                <w:color w:val="auto"/>
                <w:sz w:val="20"/>
              </w:rPr>
              <w:t>0100</w:t>
            </w:r>
          </w:p>
        </w:tc>
        <w:tc>
          <w:tcPr>
            <w:tcW w:w="755" w:type="dxa"/>
            <w:vAlign w:val="top"/>
          </w:tcPr>
          <w:p w14:paraId="7332994D">
            <w:pPr>
              <w:pStyle w:val="30"/>
              <w:spacing w:before="42"/>
              <w:ind w:right="145"/>
              <w:rPr>
                <w:color w:val="auto"/>
                <w:sz w:val="20"/>
              </w:rPr>
            </w:pPr>
            <w:r>
              <w:rPr>
                <w:color w:val="auto"/>
                <w:sz w:val="20"/>
              </w:rPr>
              <w:t>0022</w:t>
            </w:r>
          </w:p>
        </w:tc>
        <w:tc>
          <w:tcPr>
            <w:tcW w:w="1370" w:type="dxa"/>
            <w:vAlign w:val="top"/>
          </w:tcPr>
          <w:p w14:paraId="5B357323">
            <w:pPr>
              <w:pStyle w:val="30"/>
              <w:spacing w:before="42"/>
              <w:ind w:left="235" w:right="225"/>
              <w:rPr>
                <w:color w:val="auto"/>
                <w:sz w:val="20"/>
              </w:rPr>
            </w:pPr>
            <w:r>
              <w:rPr>
                <w:color w:val="auto"/>
                <w:sz w:val="20"/>
              </w:rPr>
              <w:t>1.62</w:t>
            </w:r>
          </w:p>
        </w:tc>
        <w:tc>
          <w:tcPr>
            <w:tcW w:w="1125" w:type="dxa"/>
            <w:vAlign w:val="top"/>
          </w:tcPr>
          <w:p w14:paraId="635B3586">
            <w:pPr>
              <w:pStyle w:val="30"/>
              <w:spacing w:before="42"/>
              <w:ind w:left="212" w:right="203"/>
              <w:rPr>
                <w:color w:val="auto"/>
                <w:sz w:val="20"/>
              </w:rPr>
            </w:pPr>
            <w:r>
              <w:rPr>
                <w:color w:val="auto"/>
                <w:sz w:val="20"/>
              </w:rPr>
              <w:t>24.30</w:t>
            </w:r>
          </w:p>
        </w:tc>
        <w:tc>
          <w:tcPr>
            <w:tcW w:w="1995" w:type="dxa"/>
            <w:vAlign w:val="top"/>
          </w:tcPr>
          <w:p w14:paraId="0DE86595">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1821B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1E5C026B">
            <w:pPr>
              <w:pStyle w:val="30"/>
              <w:spacing w:before="41"/>
              <w:ind w:right="146"/>
              <w:rPr>
                <w:color w:val="auto"/>
                <w:sz w:val="20"/>
              </w:rPr>
            </w:pPr>
            <w:r>
              <w:rPr>
                <w:color w:val="auto"/>
                <w:sz w:val="20"/>
              </w:rPr>
              <w:t>48</w:t>
            </w:r>
          </w:p>
        </w:tc>
        <w:tc>
          <w:tcPr>
            <w:tcW w:w="1000" w:type="dxa"/>
            <w:vAlign w:val="top"/>
          </w:tcPr>
          <w:p w14:paraId="63642D29">
            <w:pPr>
              <w:pStyle w:val="30"/>
              <w:spacing w:before="28"/>
              <w:ind w:left="180" w:right="170"/>
              <w:rPr>
                <w:rFonts w:hint="eastAsia" w:ascii="宋体" w:eastAsia="宋体"/>
                <w:color w:val="auto"/>
                <w:sz w:val="20"/>
              </w:rPr>
            </w:pPr>
            <w:r>
              <w:rPr>
                <w:rFonts w:hint="eastAsia" w:ascii="宋体" w:eastAsia="宋体"/>
                <w:color w:val="auto"/>
                <w:sz w:val="20"/>
              </w:rPr>
              <w:t>枧塘镇</w:t>
            </w:r>
          </w:p>
        </w:tc>
        <w:tc>
          <w:tcPr>
            <w:tcW w:w="1249" w:type="dxa"/>
            <w:vAlign w:val="top"/>
          </w:tcPr>
          <w:p w14:paraId="4F58D32A">
            <w:pPr>
              <w:pStyle w:val="30"/>
              <w:spacing w:before="28"/>
              <w:ind w:left="202" w:right="194"/>
              <w:rPr>
                <w:rFonts w:hint="eastAsia" w:ascii="宋体" w:eastAsia="宋体"/>
                <w:color w:val="auto"/>
                <w:sz w:val="20"/>
              </w:rPr>
            </w:pPr>
            <w:r>
              <w:rPr>
                <w:rFonts w:hint="eastAsia" w:ascii="宋体" w:eastAsia="宋体"/>
                <w:color w:val="auto"/>
                <w:sz w:val="20"/>
              </w:rPr>
              <w:t>塘福村</w:t>
            </w:r>
          </w:p>
        </w:tc>
        <w:tc>
          <w:tcPr>
            <w:tcW w:w="755" w:type="dxa"/>
            <w:vAlign w:val="top"/>
          </w:tcPr>
          <w:p w14:paraId="607E7E25">
            <w:pPr>
              <w:pStyle w:val="30"/>
              <w:spacing w:before="41"/>
              <w:ind w:right="147"/>
              <w:rPr>
                <w:color w:val="auto"/>
                <w:sz w:val="20"/>
              </w:rPr>
            </w:pPr>
            <w:r>
              <w:rPr>
                <w:color w:val="auto"/>
                <w:sz w:val="20"/>
              </w:rPr>
              <w:t>0100</w:t>
            </w:r>
          </w:p>
        </w:tc>
        <w:tc>
          <w:tcPr>
            <w:tcW w:w="755" w:type="dxa"/>
            <w:vAlign w:val="top"/>
          </w:tcPr>
          <w:p w14:paraId="7C334717">
            <w:pPr>
              <w:pStyle w:val="30"/>
              <w:spacing w:before="41"/>
              <w:ind w:right="145"/>
              <w:rPr>
                <w:color w:val="auto"/>
                <w:sz w:val="20"/>
              </w:rPr>
            </w:pPr>
            <w:r>
              <w:rPr>
                <w:color w:val="auto"/>
                <w:sz w:val="20"/>
              </w:rPr>
              <w:t>0017</w:t>
            </w:r>
          </w:p>
        </w:tc>
        <w:tc>
          <w:tcPr>
            <w:tcW w:w="1370" w:type="dxa"/>
            <w:vAlign w:val="top"/>
          </w:tcPr>
          <w:p w14:paraId="0316185B">
            <w:pPr>
              <w:pStyle w:val="30"/>
              <w:spacing w:before="41"/>
              <w:ind w:left="235" w:right="225"/>
              <w:rPr>
                <w:color w:val="auto"/>
                <w:sz w:val="20"/>
              </w:rPr>
            </w:pPr>
            <w:r>
              <w:rPr>
                <w:color w:val="auto"/>
                <w:sz w:val="20"/>
              </w:rPr>
              <w:t>8.81</w:t>
            </w:r>
          </w:p>
        </w:tc>
        <w:tc>
          <w:tcPr>
            <w:tcW w:w="1125" w:type="dxa"/>
            <w:vAlign w:val="top"/>
          </w:tcPr>
          <w:p w14:paraId="6D74CAB6">
            <w:pPr>
              <w:pStyle w:val="30"/>
              <w:spacing w:before="41"/>
              <w:ind w:left="212" w:right="203"/>
              <w:rPr>
                <w:color w:val="auto"/>
                <w:sz w:val="20"/>
              </w:rPr>
            </w:pPr>
            <w:r>
              <w:rPr>
                <w:color w:val="auto"/>
                <w:sz w:val="20"/>
              </w:rPr>
              <w:t>132.15</w:t>
            </w:r>
          </w:p>
        </w:tc>
        <w:tc>
          <w:tcPr>
            <w:tcW w:w="1995" w:type="dxa"/>
            <w:vAlign w:val="top"/>
          </w:tcPr>
          <w:p w14:paraId="3F12A3B6">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721FB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4DF81A59">
            <w:pPr>
              <w:pStyle w:val="30"/>
              <w:spacing w:before="43"/>
              <w:ind w:right="146"/>
              <w:rPr>
                <w:color w:val="auto"/>
                <w:sz w:val="20"/>
              </w:rPr>
            </w:pPr>
            <w:r>
              <w:rPr>
                <w:color w:val="auto"/>
                <w:sz w:val="20"/>
              </w:rPr>
              <w:t>49</w:t>
            </w:r>
          </w:p>
        </w:tc>
        <w:tc>
          <w:tcPr>
            <w:tcW w:w="1000" w:type="dxa"/>
            <w:vAlign w:val="top"/>
          </w:tcPr>
          <w:p w14:paraId="4E3EE7C0">
            <w:pPr>
              <w:pStyle w:val="30"/>
              <w:spacing w:before="30"/>
              <w:ind w:left="180" w:right="170"/>
              <w:rPr>
                <w:rFonts w:hint="eastAsia" w:ascii="宋体" w:eastAsia="宋体"/>
                <w:color w:val="auto"/>
                <w:sz w:val="20"/>
              </w:rPr>
            </w:pPr>
            <w:r>
              <w:rPr>
                <w:rFonts w:hint="eastAsia" w:ascii="宋体" w:eastAsia="宋体"/>
                <w:color w:val="auto"/>
                <w:sz w:val="20"/>
              </w:rPr>
              <w:t>枧塘镇</w:t>
            </w:r>
          </w:p>
        </w:tc>
        <w:tc>
          <w:tcPr>
            <w:tcW w:w="1249" w:type="dxa"/>
            <w:vAlign w:val="top"/>
          </w:tcPr>
          <w:p w14:paraId="0FFD75F4">
            <w:pPr>
              <w:pStyle w:val="30"/>
              <w:spacing w:before="30"/>
              <w:ind w:left="202" w:right="194"/>
              <w:rPr>
                <w:rFonts w:hint="eastAsia" w:ascii="宋体" w:eastAsia="宋体"/>
                <w:color w:val="auto"/>
                <w:sz w:val="20"/>
              </w:rPr>
            </w:pPr>
            <w:r>
              <w:rPr>
                <w:rFonts w:hint="eastAsia" w:ascii="宋体" w:eastAsia="宋体"/>
                <w:color w:val="auto"/>
                <w:sz w:val="20"/>
              </w:rPr>
              <w:t>塘福村</w:t>
            </w:r>
          </w:p>
        </w:tc>
        <w:tc>
          <w:tcPr>
            <w:tcW w:w="755" w:type="dxa"/>
            <w:vAlign w:val="top"/>
          </w:tcPr>
          <w:p w14:paraId="784F1F97">
            <w:pPr>
              <w:pStyle w:val="30"/>
              <w:spacing w:before="43"/>
              <w:ind w:right="147"/>
              <w:rPr>
                <w:color w:val="auto"/>
                <w:sz w:val="20"/>
              </w:rPr>
            </w:pPr>
            <w:r>
              <w:rPr>
                <w:color w:val="auto"/>
                <w:sz w:val="20"/>
              </w:rPr>
              <w:t>0100</w:t>
            </w:r>
          </w:p>
        </w:tc>
        <w:tc>
          <w:tcPr>
            <w:tcW w:w="755" w:type="dxa"/>
            <w:vAlign w:val="top"/>
          </w:tcPr>
          <w:p w14:paraId="6202256F">
            <w:pPr>
              <w:pStyle w:val="30"/>
              <w:spacing w:before="43"/>
              <w:ind w:right="145"/>
              <w:rPr>
                <w:color w:val="auto"/>
                <w:sz w:val="20"/>
              </w:rPr>
            </w:pPr>
            <w:r>
              <w:rPr>
                <w:color w:val="auto"/>
                <w:sz w:val="20"/>
              </w:rPr>
              <w:t>0067</w:t>
            </w:r>
          </w:p>
        </w:tc>
        <w:tc>
          <w:tcPr>
            <w:tcW w:w="1370" w:type="dxa"/>
            <w:vAlign w:val="top"/>
          </w:tcPr>
          <w:p w14:paraId="10F6943C">
            <w:pPr>
              <w:pStyle w:val="30"/>
              <w:spacing w:before="43"/>
              <w:ind w:left="235" w:right="225"/>
              <w:rPr>
                <w:color w:val="auto"/>
                <w:sz w:val="20"/>
              </w:rPr>
            </w:pPr>
            <w:r>
              <w:rPr>
                <w:color w:val="auto"/>
                <w:sz w:val="20"/>
              </w:rPr>
              <w:t>3.00</w:t>
            </w:r>
          </w:p>
        </w:tc>
        <w:tc>
          <w:tcPr>
            <w:tcW w:w="1125" w:type="dxa"/>
            <w:vAlign w:val="top"/>
          </w:tcPr>
          <w:p w14:paraId="3A6524BC">
            <w:pPr>
              <w:pStyle w:val="30"/>
              <w:spacing w:before="43"/>
              <w:ind w:left="212" w:right="203"/>
              <w:rPr>
                <w:color w:val="auto"/>
                <w:sz w:val="20"/>
              </w:rPr>
            </w:pPr>
            <w:r>
              <w:rPr>
                <w:color w:val="auto"/>
                <w:sz w:val="20"/>
              </w:rPr>
              <w:t>45.00</w:t>
            </w:r>
          </w:p>
        </w:tc>
        <w:tc>
          <w:tcPr>
            <w:tcW w:w="1995" w:type="dxa"/>
            <w:vAlign w:val="top"/>
          </w:tcPr>
          <w:p w14:paraId="62B0EFBA">
            <w:pPr>
              <w:pStyle w:val="30"/>
              <w:spacing w:before="30"/>
              <w:ind w:left="276" w:right="269"/>
              <w:rPr>
                <w:rFonts w:hint="eastAsia" w:ascii="宋体" w:eastAsia="宋体"/>
                <w:color w:val="auto"/>
                <w:sz w:val="20"/>
              </w:rPr>
            </w:pPr>
            <w:r>
              <w:rPr>
                <w:rFonts w:hint="eastAsia" w:ascii="宋体" w:eastAsia="宋体"/>
                <w:color w:val="auto"/>
                <w:sz w:val="20"/>
              </w:rPr>
              <w:t>疫情小班</w:t>
            </w:r>
          </w:p>
        </w:tc>
      </w:tr>
      <w:tr w14:paraId="7C0F9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74E0187B">
            <w:pPr>
              <w:pStyle w:val="30"/>
              <w:spacing w:before="43"/>
              <w:ind w:right="146"/>
              <w:rPr>
                <w:color w:val="auto"/>
                <w:sz w:val="20"/>
              </w:rPr>
            </w:pPr>
            <w:r>
              <w:rPr>
                <w:color w:val="auto"/>
                <w:sz w:val="20"/>
              </w:rPr>
              <w:t>50</w:t>
            </w:r>
          </w:p>
        </w:tc>
        <w:tc>
          <w:tcPr>
            <w:tcW w:w="1000" w:type="dxa"/>
            <w:vAlign w:val="top"/>
          </w:tcPr>
          <w:p w14:paraId="14FD9222">
            <w:pPr>
              <w:pStyle w:val="30"/>
              <w:spacing w:before="29"/>
              <w:ind w:left="180" w:right="170"/>
              <w:rPr>
                <w:rFonts w:hint="eastAsia" w:ascii="宋体" w:eastAsia="宋体"/>
                <w:color w:val="auto"/>
                <w:sz w:val="20"/>
              </w:rPr>
            </w:pPr>
            <w:r>
              <w:rPr>
                <w:rFonts w:hint="eastAsia" w:ascii="宋体" w:eastAsia="宋体"/>
                <w:color w:val="auto"/>
                <w:sz w:val="20"/>
              </w:rPr>
              <w:t>枧塘镇</w:t>
            </w:r>
          </w:p>
        </w:tc>
        <w:tc>
          <w:tcPr>
            <w:tcW w:w="1249" w:type="dxa"/>
            <w:vAlign w:val="top"/>
          </w:tcPr>
          <w:p w14:paraId="2CF82B3D">
            <w:pPr>
              <w:pStyle w:val="30"/>
              <w:spacing w:before="29"/>
              <w:ind w:left="202" w:right="194"/>
              <w:rPr>
                <w:rFonts w:hint="eastAsia" w:ascii="宋体" w:eastAsia="宋体"/>
                <w:color w:val="auto"/>
                <w:sz w:val="20"/>
              </w:rPr>
            </w:pPr>
            <w:r>
              <w:rPr>
                <w:rFonts w:hint="eastAsia" w:ascii="宋体" w:eastAsia="宋体"/>
                <w:color w:val="auto"/>
                <w:sz w:val="20"/>
              </w:rPr>
              <w:t>塘福村</w:t>
            </w:r>
          </w:p>
        </w:tc>
        <w:tc>
          <w:tcPr>
            <w:tcW w:w="755" w:type="dxa"/>
            <w:vAlign w:val="top"/>
          </w:tcPr>
          <w:p w14:paraId="480C577C">
            <w:pPr>
              <w:pStyle w:val="30"/>
              <w:spacing w:before="43"/>
              <w:ind w:right="147"/>
              <w:rPr>
                <w:color w:val="auto"/>
                <w:sz w:val="20"/>
              </w:rPr>
            </w:pPr>
            <w:r>
              <w:rPr>
                <w:color w:val="auto"/>
                <w:sz w:val="20"/>
              </w:rPr>
              <w:t>0200</w:t>
            </w:r>
          </w:p>
        </w:tc>
        <w:tc>
          <w:tcPr>
            <w:tcW w:w="755" w:type="dxa"/>
            <w:vAlign w:val="top"/>
          </w:tcPr>
          <w:p w14:paraId="390A129E">
            <w:pPr>
              <w:pStyle w:val="30"/>
              <w:spacing w:before="43"/>
              <w:ind w:right="145"/>
              <w:rPr>
                <w:color w:val="auto"/>
                <w:sz w:val="20"/>
              </w:rPr>
            </w:pPr>
            <w:r>
              <w:rPr>
                <w:color w:val="auto"/>
                <w:sz w:val="20"/>
              </w:rPr>
              <w:t>0022</w:t>
            </w:r>
          </w:p>
        </w:tc>
        <w:tc>
          <w:tcPr>
            <w:tcW w:w="1370" w:type="dxa"/>
            <w:vAlign w:val="top"/>
          </w:tcPr>
          <w:p w14:paraId="12FE57F0">
            <w:pPr>
              <w:pStyle w:val="30"/>
              <w:spacing w:before="43"/>
              <w:ind w:left="235" w:right="227"/>
              <w:rPr>
                <w:color w:val="auto"/>
                <w:sz w:val="20"/>
              </w:rPr>
            </w:pPr>
            <w:r>
              <w:rPr>
                <w:color w:val="auto"/>
                <w:sz w:val="20"/>
              </w:rPr>
              <w:t>28.90</w:t>
            </w:r>
          </w:p>
        </w:tc>
        <w:tc>
          <w:tcPr>
            <w:tcW w:w="1125" w:type="dxa"/>
            <w:vAlign w:val="top"/>
          </w:tcPr>
          <w:p w14:paraId="7D5CD355">
            <w:pPr>
              <w:pStyle w:val="30"/>
              <w:spacing w:before="43"/>
              <w:ind w:left="212" w:right="203"/>
              <w:rPr>
                <w:color w:val="auto"/>
                <w:sz w:val="20"/>
              </w:rPr>
            </w:pPr>
            <w:r>
              <w:rPr>
                <w:color w:val="auto"/>
                <w:sz w:val="20"/>
              </w:rPr>
              <w:t>433.50</w:t>
            </w:r>
          </w:p>
        </w:tc>
        <w:tc>
          <w:tcPr>
            <w:tcW w:w="1995" w:type="dxa"/>
            <w:vAlign w:val="top"/>
          </w:tcPr>
          <w:p w14:paraId="1874BE41">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37AE7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635EC636">
            <w:pPr>
              <w:pStyle w:val="30"/>
              <w:spacing w:before="42"/>
              <w:ind w:right="146"/>
              <w:rPr>
                <w:color w:val="auto"/>
                <w:sz w:val="20"/>
              </w:rPr>
            </w:pPr>
            <w:r>
              <w:rPr>
                <w:color w:val="auto"/>
                <w:sz w:val="20"/>
              </w:rPr>
              <w:t>51</w:t>
            </w:r>
          </w:p>
        </w:tc>
        <w:tc>
          <w:tcPr>
            <w:tcW w:w="1000" w:type="dxa"/>
            <w:vAlign w:val="top"/>
          </w:tcPr>
          <w:p w14:paraId="32FB7C48">
            <w:pPr>
              <w:pStyle w:val="30"/>
              <w:spacing w:before="29"/>
              <w:ind w:left="180" w:right="170"/>
              <w:rPr>
                <w:rFonts w:hint="eastAsia" w:ascii="宋体" w:eastAsia="宋体"/>
                <w:color w:val="auto"/>
                <w:sz w:val="20"/>
              </w:rPr>
            </w:pPr>
            <w:r>
              <w:rPr>
                <w:rFonts w:hint="eastAsia" w:ascii="宋体" w:eastAsia="宋体"/>
                <w:color w:val="auto"/>
                <w:sz w:val="20"/>
              </w:rPr>
              <w:t>枧塘镇</w:t>
            </w:r>
          </w:p>
        </w:tc>
        <w:tc>
          <w:tcPr>
            <w:tcW w:w="1249" w:type="dxa"/>
            <w:vAlign w:val="top"/>
          </w:tcPr>
          <w:p w14:paraId="54051B88">
            <w:pPr>
              <w:pStyle w:val="30"/>
              <w:spacing w:before="29"/>
              <w:ind w:left="202" w:right="194"/>
              <w:rPr>
                <w:rFonts w:hint="eastAsia" w:ascii="宋体" w:eastAsia="宋体"/>
                <w:color w:val="auto"/>
                <w:sz w:val="20"/>
              </w:rPr>
            </w:pPr>
            <w:r>
              <w:rPr>
                <w:rFonts w:hint="eastAsia" w:ascii="宋体" w:eastAsia="宋体"/>
                <w:color w:val="auto"/>
                <w:sz w:val="20"/>
              </w:rPr>
              <w:t>塘福村</w:t>
            </w:r>
          </w:p>
        </w:tc>
        <w:tc>
          <w:tcPr>
            <w:tcW w:w="755" w:type="dxa"/>
            <w:vAlign w:val="top"/>
          </w:tcPr>
          <w:p w14:paraId="2521C287">
            <w:pPr>
              <w:pStyle w:val="30"/>
              <w:spacing w:before="42"/>
              <w:ind w:right="147"/>
              <w:rPr>
                <w:color w:val="auto"/>
                <w:sz w:val="20"/>
              </w:rPr>
            </w:pPr>
            <w:r>
              <w:rPr>
                <w:color w:val="auto"/>
                <w:sz w:val="20"/>
              </w:rPr>
              <w:t>0300</w:t>
            </w:r>
          </w:p>
        </w:tc>
        <w:tc>
          <w:tcPr>
            <w:tcW w:w="755" w:type="dxa"/>
            <w:vAlign w:val="top"/>
          </w:tcPr>
          <w:p w14:paraId="5179C38D">
            <w:pPr>
              <w:pStyle w:val="30"/>
              <w:spacing w:before="42"/>
              <w:ind w:right="145"/>
              <w:rPr>
                <w:color w:val="auto"/>
                <w:sz w:val="20"/>
              </w:rPr>
            </w:pPr>
            <w:r>
              <w:rPr>
                <w:color w:val="auto"/>
                <w:sz w:val="20"/>
              </w:rPr>
              <w:t>0040</w:t>
            </w:r>
          </w:p>
        </w:tc>
        <w:tc>
          <w:tcPr>
            <w:tcW w:w="1370" w:type="dxa"/>
            <w:vAlign w:val="top"/>
          </w:tcPr>
          <w:p w14:paraId="3068D422">
            <w:pPr>
              <w:pStyle w:val="30"/>
              <w:spacing w:before="42"/>
              <w:ind w:left="235" w:right="225"/>
              <w:rPr>
                <w:color w:val="auto"/>
                <w:sz w:val="20"/>
              </w:rPr>
            </w:pPr>
            <w:r>
              <w:rPr>
                <w:color w:val="auto"/>
                <w:sz w:val="20"/>
              </w:rPr>
              <w:t>4.14</w:t>
            </w:r>
          </w:p>
        </w:tc>
        <w:tc>
          <w:tcPr>
            <w:tcW w:w="1125" w:type="dxa"/>
            <w:vAlign w:val="top"/>
          </w:tcPr>
          <w:p w14:paraId="1C97AC7A">
            <w:pPr>
              <w:pStyle w:val="30"/>
              <w:spacing w:before="42"/>
              <w:ind w:left="212" w:right="203"/>
              <w:rPr>
                <w:color w:val="auto"/>
                <w:sz w:val="20"/>
              </w:rPr>
            </w:pPr>
            <w:r>
              <w:rPr>
                <w:color w:val="auto"/>
                <w:sz w:val="20"/>
              </w:rPr>
              <w:t>62.10</w:t>
            </w:r>
          </w:p>
        </w:tc>
        <w:tc>
          <w:tcPr>
            <w:tcW w:w="1995" w:type="dxa"/>
            <w:vAlign w:val="top"/>
          </w:tcPr>
          <w:p w14:paraId="3521DE39">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0613D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1D3F9BD9">
            <w:pPr>
              <w:pStyle w:val="30"/>
              <w:spacing w:before="42"/>
              <w:ind w:right="146"/>
              <w:rPr>
                <w:color w:val="auto"/>
                <w:sz w:val="20"/>
              </w:rPr>
            </w:pPr>
            <w:r>
              <w:rPr>
                <w:color w:val="auto"/>
                <w:sz w:val="20"/>
              </w:rPr>
              <w:t>52</w:t>
            </w:r>
          </w:p>
        </w:tc>
        <w:tc>
          <w:tcPr>
            <w:tcW w:w="1000" w:type="dxa"/>
            <w:vAlign w:val="top"/>
          </w:tcPr>
          <w:p w14:paraId="3F0E7467">
            <w:pPr>
              <w:pStyle w:val="30"/>
              <w:spacing w:before="29"/>
              <w:ind w:left="180" w:right="170"/>
              <w:rPr>
                <w:rFonts w:hint="eastAsia" w:ascii="宋体" w:eastAsia="宋体"/>
                <w:color w:val="auto"/>
                <w:sz w:val="20"/>
              </w:rPr>
            </w:pPr>
            <w:r>
              <w:rPr>
                <w:rFonts w:hint="eastAsia" w:ascii="宋体" w:eastAsia="宋体"/>
                <w:color w:val="auto"/>
                <w:sz w:val="20"/>
              </w:rPr>
              <w:t>枧塘镇</w:t>
            </w:r>
          </w:p>
        </w:tc>
        <w:tc>
          <w:tcPr>
            <w:tcW w:w="1249" w:type="dxa"/>
            <w:vAlign w:val="top"/>
          </w:tcPr>
          <w:p w14:paraId="1244EC8D">
            <w:pPr>
              <w:pStyle w:val="30"/>
              <w:spacing w:before="29"/>
              <w:ind w:left="202" w:right="194"/>
              <w:rPr>
                <w:rFonts w:hint="eastAsia" w:ascii="宋体" w:eastAsia="宋体"/>
                <w:color w:val="auto"/>
                <w:sz w:val="20"/>
              </w:rPr>
            </w:pPr>
            <w:r>
              <w:rPr>
                <w:rFonts w:hint="eastAsia" w:ascii="宋体" w:eastAsia="宋体"/>
                <w:color w:val="auto"/>
                <w:sz w:val="20"/>
              </w:rPr>
              <w:t>塘福村</w:t>
            </w:r>
          </w:p>
        </w:tc>
        <w:tc>
          <w:tcPr>
            <w:tcW w:w="755" w:type="dxa"/>
            <w:vAlign w:val="top"/>
          </w:tcPr>
          <w:p w14:paraId="690D1103">
            <w:pPr>
              <w:pStyle w:val="30"/>
              <w:spacing w:before="42"/>
              <w:ind w:right="147"/>
              <w:rPr>
                <w:color w:val="auto"/>
                <w:sz w:val="20"/>
              </w:rPr>
            </w:pPr>
            <w:r>
              <w:rPr>
                <w:color w:val="auto"/>
                <w:sz w:val="20"/>
              </w:rPr>
              <w:t>0300</w:t>
            </w:r>
          </w:p>
        </w:tc>
        <w:tc>
          <w:tcPr>
            <w:tcW w:w="755" w:type="dxa"/>
            <w:vAlign w:val="top"/>
          </w:tcPr>
          <w:p w14:paraId="121B9345">
            <w:pPr>
              <w:pStyle w:val="30"/>
              <w:spacing w:before="42"/>
              <w:ind w:right="145"/>
              <w:rPr>
                <w:color w:val="auto"/>
                <w:sz w:val="20"/>
              </w:rPr>
            </w:pPr>
            <w:r>
              <w:rPr>
                <w:color w:val="auto"/>
                <w:sz w:val="20"/>
              </w:rPr>
              <w:t>0058</w:t>
            </w:r>
          </w:p>
        </w:tc>
        <w:tc>
          <w:tcPr>
            <w:tcW w:w="1370" w:type="dxa"/>
            <w:vAlign w:val="top"/>
          </w:tcPr>
          <w:p w14:paraId="17DEF216">
            <w:pPr>
              <w:pStyle w:val="30"/>
              <w:spacing w:before="42"/>
              <w:ind w:left="235" w:right="227"/>
              <w:rPr>
                <w:color w:val="auto"/>
                <w:sz w:val="20"/>
              </w:rPr>
            </w:pPr>
            <w:r>
              <w:rPr>
                <w:color w:val="auto"/>
                <w:sz w:val="20"/>
              </w:rPr>
              <w:t>15.63</w:t>
            </w:r>
          </w:p>
        </w:tc>
        <w:tc>
          <w:tcPr>
            <w:tcW w:w="1125" w:type="dxa"/>
            <w:vAlign w:val="top"/>
          </w:tcPr>
          <w:p w14:paraId="109EDE15">
            <w:pPr>
              <w:pStyle w:val="30"/>
              <w:spacing w:before="42"/>
              <w:ind w:left="212" w:right="203"/>
              <w:rPr>
                <w:color w:val="auto"/>
                <w:sz w:val="20"/>
              </w:rPr>
            </w:pPr>
            <w:r>
              <w:rPr>
                <w:color w:val="auto"/>
                <w:sz w:val="20"/>
              </w:rPr>
              <w:t>234.45</w:t>
            </w:r>
          </w:p>
        </w:tc>
        <w:tc>
          <w:tcPr>
            <w:tcW w:w="1995" w:type="dxa"/>
            <w:vAlign w:val="top"/>
          </w:tcPr>
          <w:p w14:paraId="5E204CB7">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0D179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6A905C95">
            <w:pPr>
              <w:pStyle w:val="30"/>
              <w:spacing w:before="42"/>
              <w:ind w:right="146"/>
              <w:rPr>
                <w:color w:val="auto"/>
                <w:sz w:val="20"/>
              </w:rPr>
            </w:pPr>
            <w:r>
              <w:rPr>
                <w:color w:val="auto"/>
                <w:sz w:val="20"/>
              </w:rPr>
              <w:t>53</w:t>
            </w:r>
          </w:p>
        </w:tc>
        <w:tc>
          <w:tcPr>
            <w:tcW w:w="1000" w:type="dxa"/>
            <w:vAlign w:val="top"/>
          </w:tcPr>
          <w:p w14:paraId="412DB959">
            <w:pPr>
              <w:pStyle w:val="30"/>
              <w:spacing w:before="28"/>
              <w:ind w:left="180" w:right="170"/>
              <w:rPr>
                <w:rFonts w:hint="eastAsia" w:ascii="宋体" w:eastAsia="宋体"/>
                <w:color w:val="auto"/>
                <w:sz w:val="20"/>
              </w:rPr>
            </w:pPr>
            <w:r>
              <w:rPr>
                <w:rFonts w:hint="eastAsia" w:ascii="宋体" w:eastAsia="宋体"/>
                <w:color w:val="auto"/>
                <w:sz w:val="20"/>
              </w:rPr>
              <w:t>枧塘镇</w:t>
            </w:r>
          </w:p>
        </w:tc>
        <w:tc>
          <w:tcPr>
            <w:tcW w:w="1249" w:type="dxa"/>
            <w:vAlign w:val="top"/>
          </w:tcPr>
          <w:p w14:paraId="72FABA6D">
            <w:pPr>
              <w:pStyle w:val="30"/>
              <w:spacing w:before="28"/>
              <w:ind w:left="202" w:right="194"/>
              <w:rPr>
                <w:rFonts w:hint="eastAsia" w:ascii="宋体" w:eastAsia="宋体"/>
                <w:color w:val="auto"/>
                <w:sz w:val="20"/>
              </w:rPr>
            </w:pPr>
            <w:r>
              <w:rPr>
                <w:rFonts w:hint="eastAsia" w:ascii="宋体" w:eastAsia="宋体"/>
                <w:color w:val="auto"/>
                <w:sz w:val="20"/>
              </w:rPr>
              <w:t>塘福村</w:t>
            </w:r>
          </w:p>
        </w:tc>
        <w:tc>
          <w:tcPr>
            <w:tcW w:w="755" w:type="dxa"/>
            <w:vAlign w:val="top"/>
          </w:tcPr>
          <w:p w14:paraId="7E7DB165">
            <w:pPr>
              <w:pStyle w:val="30"/>
              <w:spacing w:before="42"/>
              <w:ind w:right="147"/>
              <w:rPr>
                <w:color w:val="auto"/>
                <w:sz w:val="20"/>
              </w:rPr>
            </w:pPr>
            <w:r>
              <w:rPr>
                <w:color w:val="auto"/>
                <w:sz w:val="20"/>
              </w:rPr>
              <w:t>0400</w:t>
            </w:r>
          </w:p>
        </w:tc>
        <w:tc>
          <w:tcPr>
            <w:tcW w:w="755" w:type="dxa"/>
            <w:vAlign w:val="top"/>
          </w:tcPr>
          <w:p w14:paraId="04C9FF15">
            <w:pPr>
              <w:pStyle w:val="30"/>
              <w:spacing w:before="42"/>
              <w:ind w:right="145"/>
              <w:rPr>
                <w:color w:val="auto"/>
                <w:sz w:val="20"/>
              </w:rPr>
            </w:pPr>
            <w:r>
              <w:rPr>
                <w:color w:val="auto"/>
                <w:sz w:val="20"/>
              </w:rPr>
              <w:t>0020</w:t>
            </w:r>
          </w:p>
        </w:tc>
        <w:tc>
          <w:tcPr>
            <w:tcW w:w="1370" w:type="dxa"/>
            <w:vAlign w:val="top"/>
          </w:tcPr>
          <w:p w14:paraId="68A843F9">
            <w:pPr>
              <w:pStyle w:val="30"/>
              <w:spacing w:before="42"/>
              <w:ind w:left="235" w:right="227"/>
              <w:rPr>
                <w:color w:val="auto"/>
                <w:sz w:val="20"/>
              </w:rPr>
            </w:pPr>
            <w:r>
              <w:rPr>
                <w:color w:val="auto"/>
                <w:sz w:val="20"/>
              </w:rPr>
              <w:t>12.18</w:t>
            </w:r>
          </w:p>
        </w:tc>
        <w:tc>
          <w:tcPr>
            <w:tcW w:w="1125" w:type="dxa"/>
            <w:vAlign w:val="top"/>
          </w:tcPr>
          <w:p w14:paraId="2B66EC5E">
            <w:pPr>
              <w:pStyle w:val="30"/>
              <w:spacing w:before="42"/>
              <w:ind w:left="212" w:right="203"/>
              <w:rPr>
                <w:color w:val="auto"/>
                <w:sz w:val="20"/>
              </w:rPr>
            </w:pPr>
            <w:r>
              <w:rPr>
                <w:color w:val="auto"/>
                <w:sz w:val="20"/>
              </w:rPr>
              <w:t>182.70</w:t>
            </w:r>
          </w:p>
        </w:tc>
        <w:tc>
          <w:tcPr>
            <w:tcW w:w="1995" w:type="dxa"/>
            <w:vAlign w:val="top"/>
          </w:tcPr>
          <w:p w14:paraId="06248A4C">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3750C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600B0A2B">
            <w:pPr>
              <w:pStyle w:val="30"/>
              <w:spacing w:before="41"/>
              <w:ind w:right="146"/>
              <w:rPr>
                <w:color w:val="auto"/>
                <w:sz w:val="20"/>
              </w:rPr>
            </w:pPr>
            <w:r>
              <w:rPr>
                <w:color w:val="auto"/>
                <w:sz w:val="20"/>
              </w:rPr>
              <w:t>54</w:t>
            </w:r>
          </w:p>
        </w:tc>
        <w:tc>
          <w:tcPr>
            <w:tcW w:w="1000" w:type="dxa"/>
            <w:vAlign w:val="top"/>
          </w:tcPr>
          <w:p w14:paraId="396D2CB9">
            <w:pPr>
              <w:pStyle w:val="30"/>
              <w:spacing w:before="28"/>
              <w:ind w:left="180" w:right="170"/>
              <w:rPr>
                <w:rFonts w:hint="eastAsia" w:ascii="宋体" w:eastAsia="宋体"/>
                <w:color w:val="auto"/>
                <w:sz w:val="20"/>
              </w:rPr>
            </w:pPr>
            <w:r>
              <w:rPr>
                <w:rFonts w:hint="eastAsia" w:ascii="宋体" w:eastAsia="宋体"/>
                <w:color w:val="auto"/>
                <w:sz w:val="20"/>
              </w:rPr>
              <w:t>枧塘镇</w:t>
            </w:r>
          </w:p>
        </w:tc>
        <w:tc>
          <w:tcPr>
            <w:tcW w:w="1249" w:type="dxa"/>
            <w:vAlign w:val="top"/>
          </w:tcPr>
          <w:p w14:paraId="3A54EA40">
            <w:pPr>
              <w:pStyle w:val="30"/>
              <w:spacing w:before="28"/>
              <w:ind w:left="202" w:right="194"/>
              <w:rPr>
                <w:rFonts w:hint="eastAsia" w:ascii="宋体" w:eastAsia="宋体"/>
                <w:color w:val="auto"/>
                <w:sz w:val="20"/>
              </w:rPr>
            </w:pPr>
            <w:r>
              <w:rPr>
                <w:rFonts w:hint="eastAsia" w:ascii="宋体" w:eastAsia="宋体"/>
                <w:color w:val="auto"/>
                <w:sz w:val="20"/>
              </w:rPr>
              <w:t>塘福村</w:t>
            </w:r>
          </w:p>
        </w:tc>
        <w:tc>
          <w:tcPr>
            <w:tcW w:w="755" w:type="dxa"/>
            <w:vAlign w:val="top"/>
          </w:tcPr>
          <w:p w14:paraId="0106E5CB">
            <w:pPr>
              <w:pStyle w:val="30"/>
              <w:spacing w:before="41"/>
              <w:ind w:right="147"/>
              <w:rPr>
                <w:color w:val="auto"/>
                <w:sz w:val="20"/>
              </w:rPr>
            </w:pPr>
            <w:r>
              <w:rPr>
                <w:color w:val="auto"/>
                <w:sz w:val="20"/>
              </w:rPr>
              <w:t>0400</w:t>
            </w:r>
          </w:p>
        </w:tc>
        <w:tc>
          <w:tcPr>
            <w:tcW w:w="755" w:type="dxa"/>
            <w:vAlign w:val="top"/>
          </w:tcPr>
          <w:p w14:paraId="02669315">
            <w:pPr>
              <w:pStyle w:val="30"/>
              <w:spacing w:before="41"/>
              <w:ind w:right="145"/>
              <w:rPr>
                <w:color w:val="auto"/>
                <w:sz w:val="20"/>
              </w:rPr>
            </w:pPr>
            <w:r>
              <w:rPr>
                <w:color w:val="auto"/>
                <w:sz w:val="20"/>
              </w:rPr>
              <w:t>0039</w:t>
            </w:r>
          </w:p>
        </w:tc>
        <w:tc>
          <w:tcPr>
            <w:tcW w:w="1370" w:type="dxa"/>
            <w:vAlign w:val="top"/>
          </w:tcPr>
          <w:p w14:paraId="7D05BB8C">
            <w:pPr>
              <w:pStyle w:val="30"/>
              <w:spacing w:before="41"/>
              <w:ind w:left="235" w:right="225"/>
              <w:rPr>
                <w:color w:val="auto"/>
                <w:sz w:val="20"/>
              </w:rPr>
            </w:pPr>
            <w:r>
              <w:rPr>
                <w:color w:val="auto"/>
                <w:sz w:val="20"/>
              </w:rPr>
              <w:t>5.49</w:t>
            </w:r>
          </w:p>
        </w:tc>
        <w:tc>
          <w:tcPr>
            <w:tcW w:w="1125" w:type="dxa"/>
            <w:vAlign w:val="top"/>
          </w:tcPr>
          <w:p w14:paraId="5CE3359D">
            <w:pPr>
              <w:pStyle w:val="30"/>
              <w:spacing w:before="41"/>
              <w:ind w:left="212" w:right="203"/>
              <w:rPr>
                <w:color w:val="auto"/>
                <w:sz w:val="20"/>
              </w:rPr>
            </w:pPr>
            <w:r>
              <w:rPr>
                <w:color w:val="auto"/>
                <w:sz w:val="20"/>
              </w:rPr>
              <w:t>82.35</w:t>
            </w:r>
          </w:p>
        </w:tc>
        <w:tc>
          <w:tcPr>
            <w:tcW w:w="1995" w:type="dxa"/>
            <w:vAlign w:val="top"/>
          </w:tcPr>
          <w:p w14:paraId="663A6351">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77480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shd w:val="clear" w:color="auto" w:fill="BEBEBE"/>
            <w:vAlign w:val="top"/>
          </w:tcPr>
          <w:p w14:paraId="4C84FC62">
            <w:pPr>
              <w:pStyle w:val="30"/>
              <w:spacing w:before="54"/>
              <w:ind w:left="152" w:right="148"/>
              <w:rPr>
                <w:rFonts w:hint="eastAsia" w:ascii="宋体" w:eastAsia="宋体"/>
                <w:color w:val="auto"/>
                <w:sz w:val="20"/>
              </w:rPr>
            </w:pPr>
            <w:r>
              <w:rPr>
                <w:rFonts w:hint="eastAsia" w:ascii="宋体" w:eastAsia="宋体"/>
                <w:color w:val="auto"/>
                <w:sz w:val="20"/>
              </w:rPr>
              <w:t>小计</w:t>
            </w:r>
          </w:p>
        </w:tc>
        <w:tc>
          <w:tcPr>
            <w:tcW w:w="1000" w:type="dxa"/>
            <w:shd w:val="clear" w:color="auto" w:fill="BEBEBE"/>
            <w:vAlign w:val="top"/>
          </w:tcPr>
          <w:p w14:paraId="15234A34">
            <w:pPr>
              <w:pStyle w:val="30"/>
              <w:spacing w:before="67"/>
              <w:ind w:left="9"/>
              <w:rPr>
                <w:color w:val="auto"/>
                <w:sz w:val="20"/>
              </w:rPr>
            </w:pPr>
            <w:r>
              <w:rPr>
                <w:color w:val="auto"/>
                <w:w w:val="99"/>
                <w:sz w:val="20"/>
              </w:rPr>
              <w:t>1</w:t>
            </w:r>
          </w:p>
        </w:tc>
        <w:tc>
          <w:tcPr>
            <w:tcW w:w="1249" w:type="dxa"/>
            <w:shd w:val="clear" w:color="auto" w:fill="BEBEBE"/>
            <w:vAlign w:val="top"/>
          </w:tcPr>
          <w:p w14:paraId="07151E82">
            <w:pPr>
              <w:pStyle w:val="30"/>
              <w:spacing w:before="67"/>
              <w:ind w:left="7"/>
              <w:rPr>
                <w:color w:val="auto"/>
                <w:sz w:val="20"/>
              </w:rPr>
            </w:pPr>
            <w:r>
              <w:rPr>
                <w:color w:val="auto"/>
                <w:w w:val="99"/>
                <w:sz w:val="20"/>
              </w:rPr>
              <w:t>2</w:t>
            </w:r>
          </w:p>
        </w:tc>
        <w:tc>
          <w:tcPr>
            <w:tcW w:w="755" w:type="dxa"/>
            <w:shd w:val="clear" w:color="auto" w:fill="BEBEBE"/>
            <w:vAlign w:val="top"/>
          </w:tcPr>
          <w:p w14:paraId="10018709">
            <w:pPr>
              <w:pStyle w:val="30"/>
              <w:spacing w:before="67"/>
              <w:ind w:left="9"/>
              <w:rPr>
                <w:color w:val="auto"/>
                <w:sz w:val="20"/>
              </w:rPr>
            </w:pPr>
            <w:r>
              <w:rPr>
                <w:color w:val="auto"/>
                <w:w w:val="99"/>
                <w:sz w:val="20"/>
              </w:rPr>
              <w:t>5</w:t>
            </w:r>
          </w:p>
        </w:tc>
        <w:tc>
          <w:tcPr>
            <w:tcW w:w="755" w:type="dxa"/>
            <w:shd w:val="clear" w:color="auto" w:fill="BEBEBE"/>
            <w:vAlign w:val="top"/>
          </w:tcPr>
          <w:p w14:paraId="4D43C069">
            <w:pPr>
              <w:pStyle w:val="30"/>
              <w:spacing w:before="67"/>
              <w:ind w:right="148"/>
              <w:rPr>
                <w:color w:val="auto"/>
                <w:sz w:val="20"/>
              </w:rPr>
            </w:pPr>
            <w:r>
              <w:rPr>
                <w:color w:val="auto"/>
                <w:sz w:val="20"/>
              </w:rPr>
              <w:t>10</w:t>
            </w:r>
          </w:p>
        </w:tc>
        <w:tc>
          <w:tcPr>
            <w:tcW w:w="1370" w:type="dxa"/>
            <w:shd w:val="clear" w:color="auto" w:fill="BEBEBE"/>
            <w:vAlign w:val="top"/>
          </w:tcPr>
          <w:p w14:paraId="7CF1CAC0">
            <w:pPr>
              <w:pStyle w:val="30"/>
              <w:spacing w:before="67"/>
              <w:ind w:left="235" w:right="227"/>
              <w:rPr>
                <w:color w:val="auto"/>
                <w:sz w:val="20"/>
              </w:rPr>
            </w:pPr>
            <w:r>
              <w:rPr>
                <w:color w:val="auto"/>
                <w:sz w:val="20"/>
              </w:rPr>
              <w:t>89.69</w:t>
            </w:r>
          </w:p>
        </w:tc>
        <w:tc>
          <w:tcPr>
            <w:tcW w:w="1125" w:type="dxa"/>
            <w:shd w:val="clear" w:color="auto" w:fill="BEBEBE"/>
            <w:vAlign w:val="top"/>
          </w:tcPr>
          <w:p w14:paraId="60DD33A5">
            <w:pPr>
              <w:pStyle w:val="30"/>
              <w:spacing w:before="67"/>
              <w:ind w:left="212" w:right="203"/>
              <w:rPr>
                <w:color w:val="auto"/>
                <w:sz w:val="20"/>
              </w:rPr>
            </w:pPr>
            <w:r>
              <w:rPr>
                <w:color w:val="auto"/>
                <w:sz w:val="20"/>
              </w:rPr>
              <w:t>1345.35</w:t>
            </w:r>
          </w:p>
        </w:tc>
        <w:tc>
          <w:tcPr>
            <w:tcW w:w="1995" w:type="dxa"/>
            <w:shd w:val="clear" w:color="auto" w:fill="BEBEBE"/>
            <w:vAlign w:val="top"/>
          </w:tcPr>
          <w:p w14:paraId="132C5A87">
            <w:pPr>
              <w:pStyle w:val="30"/>
              <w:spacing w:before="67"/>
              <w:ind w:left="7"/>
              <w:rPr>
                <w:color w:val="auto"/>
                <w:sz w:val="20"/>
              </w:rPr>
            </w:pPr>
            <w:r>
              <w:rPr>
                <w:color w:val="auto"/>
                <w:w w:val="99"/>
                <w:sz w:val="20"/>
              </w:rPr>
              <w:t>—</w:t>
            </w:r>
          </w:p>
        </w:tc>
      </w:tr>
      <w:tr w14:paraId="205FA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1A72456D">
            <w:pPr>
              <w:pStyle w:val="30"/>
              <w:spacing w:before="43"/>
              <w:ind w:right="146"/>
              <w:rPr>
                <w:color w:val="auto"/>
                <w:sz w:val="20"/>
              </w:rPr>
            </w:pPr>
            <w:r>
              <w:rPr>
                <w:color w:val="auto"/>
                <w:sz w:val="20"/>
              </w:rPr>
              <w:t>55</w:t>
            </w:r>
          </w:p>
        </w:tc>
        <w:tc>
          <w:tcPr>
            <w:tcW w:w="1000" w:type="dxa"/>
            <w:vAlign w:val="top"/>
          </w:tcPr>
          <w:p w14:paraId="30094D41">
            <w:pPr>
              <w:pStyle w:val="30"/>
              <w:spacing w:before="29"/>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2C397BBA">
            <w:pPr>
              <w:pStyle w:val="30"/>
              <w:spacing w:before="29"/>
              <w:ind w:left="202" w:right="194"/>
              <w:rPr>
                <w:rFonts w:hint="eastAsia" w:ascii="宋体" w:eastAsia="宋体"/>
                <w:color w:val="auto"/>
                <w:sz w:val="20"/>
              </w:rPr>
            </w:pPr>
            <w:r>
              <w:rPr>
                <w:rFonts w:hint="eastAsia" w:ascii="宋体" w:eastAsia="宋体"/>
                <w:color w:val="auto"/>
                <w:sz w:val="20"/>
              </w:rPr>
              <w:t>大新村</w:t>
            </w:r>
          </w:p>
        </w:tc>
        <w:tc>
          <w:tcPr>
            <w:tcW w:w="755" w:type="dxa"/>
            <w:vAlign w:val="top"/>
          </w:tcPr>
          <w:p w14:paraId="25F65A31">
            <w:pPr>
              <w:pStyle w:val="30"/>
              <w:spacing w:before="43"/>
              <w:ind w:right="147"/>
              <w:rPr>
                <w:color w:val="auto"/>
                <w:sz w:val="20"/>
              </w:rPr>
            </w:pPr>
            <w:r>
              <w:rPr>
                <w:color w:val="auto"/>
                <w:sz w:val="20"/>
              </w:rPr>
              <w:t>0300</w:t>
            </w:r>
          </w:p>
        </w:tc>
        <w:tc>
          <w:tcPr>
            <w:tcW w:w="755" w:type="dxa"/>
            <w:vAlign w:val="top"/>
          </w:tcPr>
          <w:p w14:paraId="211E3BE7">
            <w:pPr>
              <w:pStyle w:val="30"/>
              <w:spacing w:before="43"/>
              <w:ind w:right="145"/>
              <w:rPr>
                <w:color w:val="auto"/>
                <w:sz w:val="20"/>
              </w:rPr>
            </w:pPr>
            <w:r>
              <w:rPr>
                <w:color w:val="auto"/>
                <w:sz w:val="20"/>
              </w:rPr>
              <w:t>0021</w:t>
            </w:r>
          </w:p>
        </w:tc>
        <w:tc>
          <w:tcPr>
            <w:tcW w:w="1370" w:type="dxa"/>
            <w:vAlign w:val="top"/>
          </w:tcPr>
          <w:p w14:paraId="296025AC">
            <w:pPr>
              <w:pStyle w:val="30"/>
              <w:spacing w:before="43"/>
              <w:ind w:left="235" w:right="225"/>
              <w:rPr>
                <w:color w:val="auto"/>
                <w:sz w:val="20"/>
              </w:rPr>
            </w:pPr>
            <w:r>
              <w:rPr>
                <w:color w:val="auto"/>
                <w:sz w:val="20"/>
              </w:rPr>
              <w:t>1.45</w:t>
            </w:r>
          </w:p>
        </w:tc>
        <w:tc>
          <w:tcPr>
            <w:tcW w:w="1125" w:type="dxa"/>
            <w:vAlign w:val="top"/>
          </w:tcPr>
          <w:p w14:paraId="5B04D8AA">
            <w:pPr>
              <w:pStyle w:val="30"/>
              <w:spacing w:before="43"/>
              <w:ind w:left="212" w:right="203"/>
              <w:rPr>
                <w:color w:val="auto"/>
                <w:sz w:val="20"/>
              </w:rPr>
            </w:pPr>
            <w:r>
              <w:rPr>
                <w:color w:val="auto"/>
                <w:sz w:val="20"/>
              </w:rPr>
              <w:t>21.75</w:t>
            </w:r>
          </w:p>
        </w:tc>
        <w:tc>
          <w:tcPr>
            <w:tcW w:w="1995" w:type="dxa"/>
            <w:vAlign w:val="top"/>
          </w:tcPr>
          <w:p w14:paraId="135759B0">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7BD0B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1343DC9F">
            <w:pPr>
              <w:pStyle w:val="30"/>
              <w:spacing w:before="42"/>
              <w:ind w:right="146"/>
              <w:rPr>
                <w:color w:val="auto"/>
                <w:sz w:val="20"/>
              </w:rPr>
            </w:pPr>
            <w:r>
              <w:rPr>
                <w:color w:val="auto"/>
                <w:sz w:val="20"/>
              </w:rPr>
              <w:t>56</w:t>
            </w:r>
          </w:p>
        </w:tc>
        <w:tc>
          <w:tcPr>
            <w:tcW w:w="1000" w:type="dxa"/>
            <w:vAlign w:val="top"/>
          </w:tcPr>
          <w:p w14:paraId="58C6AF68">
            <w:pPr>
              <w:pStyle w:val="30"/>
              <w:spacing w:before="29"/>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6956FBEF">
            <w:pPr>
              <w:pStyle w:val="30"/>
              <w:spacing w:before="29"/>
              <w:ind w:left="202" w:right="194"/>
              <w:rPr>
                <w:rFonts w:hint="eastAsia" w:ascii="宋体" w:eastAsia="宋体"/>
                <w:color w:val="auto"/>
                <w:sz w:val="20"/>
              </w:rPr>
            </w:pPr>
            <w:r>
              <w:rPr>
                <w:rFonts w:hint="eastAsia" w:ascii="宋体" w:eastAsia="宋体"/>
                <w:color w:val="auto"/>
                <w:sz w:val="20"/>
              </w:rPr>
              <w:t>大新村</w:t>
            </w:r>
          </w:p>
        </w:tc>
        <w:tc>
          <w:tcPr>
            <w:tcW w:w="755" w:type="dxa"/>
            <w:vAlign w:val="top"/>
          </w:tcPr>
          <w:p w14:paraId="6759862B">
            <w:pPr>
              <w:pStyle w:val="30"/>
              <w:spacing w:before="42"/>
              <w:ind w:right="147"/>
              <w:rPr>
                <w:color w:val="auto"/>
                <w:sz w:val="20"/>
              </w:rPr>
            </w:pPr>
            <w:r>
              <w:rPr>
                <w:color w:val="auto"/>
                <w:sz w:val="20"/>
              </w:rPr>
              <w:t>0400</w:t>
            </w:r>
          </w:p>
        </w:tc>
        <w:tc>
          <w:tcPr>
            <w:tcW w:w="755" w:type="dxa"/>
            <w:vAlign w:val="top"/>
          </w:tcPr>
          <w:p w14:paraId="5CE8B728">
            <w:pPr>
              <w:pStyle w:val="30"/>
              <w:spacing w:before="42"/>
              <w:ind w:right="145"/>
              <w:rPr>
                <w:color w:val="auto"/>
                <w:sz w:val="20"/>
              </w:rPr>
            </w:pPr>
            <w:r>
              <w:rPr>
                <w:color w:val="auto"/>
                <w:sz w:val="20"/>
              </w:rPr>
              <w:t>0018</w:t>
            </w:r>
          </w:p>
        </w:tc>
        <w:tc>
          <w:tcPr>
            <w:tcW w:w="1370" w:type="dxa"/>
            <w:vAlign w:val="top"/>
          </w:tcPr>
          <w:p w14:paraId="00C6B8E5">
            <w:pPr>
              <w:pStyle w:val="30"/>
              <w:spacing w:before="42"/>
              <w:ind w:left="235" w:right="225"/>
              <w:rPr>
                <w:color w:val="auto"/>
                <w:sz w:val="20"/>
              </w:rPr>
            </w:pPr>
            <w:r>
              <w:rPr>
                <w:color w:val="auto"/>
                <w:sz w:val="20"/>
              </w:rPr>
              <w:t>3.99</w:t>
            </w:r>
          </w:p>
        </w:tc>
        <w:tc>
          <w:tcPr>
            <w:tcW w:w="1125" w:type="dxa"/>
            <w:vAlign w:val="top"/>
          </w:tcPr>
          <w:p w14:paraId="58A09D3C">
            <w:pPr>
              <w:pStyle w:val="30"/>
              <w:spacing w:before="42"/>
              <w:ind w:left="212" w:right="203"/>
              <w:rPr>
                <w:color w:val="auto"/>
                <w:sz w:val="20"/>
              </w:rPr>
            </w:pPr>
            <w:r>
              <w:rPr>
                <w:color w:val="auto"/>
                <w:sz w:val="20"/>
              </w:rPr>
              <w:t>59.85</w:t>
            </w:r>
          </w:p>
        </w:tc>
        <w:tc>
          <w:tcPr>
            <w:tcW w:w="1995" w:type="dxa"/>
            <w:vAlign w:val="top"/>
          </w:tcPr>
          <w:p w14:paraId="7CAB56FC">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2474D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7AB72F4E">
            <w:pPr>
              <w:pStyle w:val="30"/>
              <w:spacing w:before="42"/>
              <w:ind w:right="146"/>
              <w:rPr>
                <w:color w:val="auto"/>
                <w:sz w:val="20"/>
              </w:rPr>
            </w:pPr>
            <w:r>
              <w:rPr>
                <w:color w:val="auto"/>
                <w:sz w:val="20"/>
              </w:rPr>
              <w:t>57</w:t>
            </w:r>
          </w:p>
        </w:tc>
        <w:tc>
          <w:tcPr>
            <w:tcW w:w="1000" w:type="dxa"/>
            <w:vAlign w:val="top"/>
          </w:tcPr>
          <w:p w14:paraId="01D51BC0">
            <w:pPr>
              <w:pStyle w:val="30"/>
              <w:spacing w:before="29"/>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0908DC19">
            <w:pPr>
              <w:pStyle w:val="30"/>
              <w:spacing w:before="29"/>
              <w:ind w:left="202" w:right="194"/>
              <w:rPr>
                <w:rFonts w:hint="eastAsia" w:ascii="宋体" w:eastAsia="宋体"/>
                <w:color w:val="auto"/>
                <w:sz w:val="20"/>
              </w:rPr>
            </w:pPr>
            <w:r>
              <w:rPr>
                <w:rFonts w:hint="eastAsia" w:ascii="宋体" w:eastAsia="宋体"/>
                <w:color w:val="auto"/>
                <w:sz w:val="20"/>
              </w:rPr>
              <w:t>大新村</w:t>
            </w:r>
          </w:p>
        </w:tc>
        <w:tc>
          <w:tcPr>
            <w:tcW w:w="755" w:type="dxa"/>
            <w:vAlign w:val="top"/>
          </w:tcPr>
          <w:p w14:paraId="0B8D7E50">
            <w:pPr>
              <w:pStyle w:val="30"/>
              <w:spacing w:before="42"/>
              <w:ind w:right="147"/>
              <w:rPr>
                <w:color w:val="auto"/>
                <w:sz w:val="20"/>
              </w:rPr>
            </w:pPr>
            <w:r>
              <w:rPr>
                <w:color w:val="auto"/>
                <w:sz w:val="20"/>
              </w:rPr>
              <w:t>0400</w:t>
            </w:r>
          </w:p>
        </w:tc>
        <w:tc>
          <w:tcPr>
            <w:tcW w:w="755" w:type="dxa"/>
            <w:vAlign w:val="top"/>
          </w:tcPr>
          <w:p w14:paraId="029D97CE">
            <w:pPr>
              <w:pStyle w:val="30"/>
              <w:spacing w:before="42"/>
              <w:ind w:right="145"/>
              <w:rPr>
                <w:color w:val="auto"/>
                <w:sz w:val="20"/>
              </w:rPr>
            </w:pPr>
            <w:r>
              <w:rPr>
                <w:color w:val="auto"/>
                <w:sz w:val="20"/>
              </w:rPr>
              <w:t>0022</w:t>
            </w:r>
          </w:p>
        </w:tc>
        <w:tc>
          <w:tcPr>
            <w:tcW w:w="1370" w:type="dxa"/>
            <w:vAlign w:val="top"/>
          </w:tcPr>
          <w:p w14:paraId="6C3A736C">
            <w:pPr>
              <w:pStyle w:val="30"/>
              <w:spacing w:before="42"/>
              <w:ind w:left="235" w:right="227"/>
              <w:rPr>
                <w:color w:val="auto"/>
                <w:sz w:val="20"/>
              </w:rPr>
            </w:pPr>
            <w:r>
              <w:rPr>
                <w:color w:val="auto"/>
                <w:sz w:val="20"/>
              </w:rPr>
              <w:t>10.18</w:t>
            </w:r>
          </w:p>
        </w:tc>
        <w:tc>
          <w:tcPr>
            <w:tcW w:w="1125" w:type="dxa"/>
            <w:vAlign w:val="top"/>
          </w:tcPr>
          <w:p w14:paraId="1142EA2E">
            <w:pPr>
              <w:pStyle w:val="30"/>
              <w:spacing w:before="42"/>
              <w:ind w:left="212" w:right="203"/>
              <w:rPr>
                <w:color w:val="auto"/>
                <w:sz w:val="20"/>
              </w:rPr>
            </w:pPr>
            <w:r>
              <w:rPr>
                <w:color w:val="auto"/>
                <w:sz w:val="20"/>
              </w:rPr>
              <w:t>152.70</w:t>
            </w:r>
          </w:p>
        </w:tc>
        <w:tc>
          <w:tcPr>
            <w:tcW w:w="1995" w:type="dxa"/>
            <w:vAlign w:val="top"/>
          </w:tcPr>
          <w:p w14:paraId="1C63BED8">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6B880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7BDFF869">
            <w:pPr>
              <w:pStyle w:val="30"/>
              <w:spacing w:before="42"/>
              <w:ind w:right="146"/>
              <w:rPr>
                <w:color w:val="auto"/>
                <w:sz w:val="20"/>
              </w:rPr>
            </w:pPr>
            <w:r>
              <w:rPr>
                <w:color w:val="auto"/>
                <w:sz w:val="20"/>
              </w:rPr>
              <w:t>58</w:t>
            </w:r>
          </w:p>
        </w:tc>
        <w:tc>
          <w:tcPr>
            <w:tcW w:w="1000" w:type="dxa"/>
            <w:vAlign w:val="top"/>
          </w:tcPr>
          <w:p w14:paraId="7E6D75AA">
            <w:pPr>
              <w:pStyle w:val="30"/>
              <w:spacing w:before="28"/>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33E370A0">
            <w:pPr>
              <w:pStyle w:val="30"/>
              <w:spacing w:before="28"/>
              <w:ind w:left="202" w:right="194"/>
              <w:rPr>
                <w:rFonts w:hint="eastAsia" w:ascii="宋体" w:eastAsia="宋体"/>
                <w:color w:val="auto"/>
                <w:sz w:val="20"/>
              </w:rPr>
            </w:pPr>
            <w:r>
              <w:rPr>
                <w:rFonts w:hint="eastAsia" w:ascii="宋体" w:eastAsia="宋体"/>
                <w:color w:val="auto"/>
                <w:sz w:val="20"/>
              </w:rPr>
              <w:t>大新村</w:t>
            </w:r>
          </w:p>
        </w:tc>
        <w:tc>
          <w:tcPr>
            <w:tcW w:w="755" w:type="dxa"/>
            <w:vAlign w:val="top"/>
          </w:tcPr>
          <w:p w14:paraId="7DF1004E">
            <w:pPr>
              <w:pStyle w:val="30"/>
              <w:spacing w:before="42"/>
              <w:ind w:right="147"/>
              <w:rPr>
                <w:color w:val="auto"/>
                <w:sz w:val="20"/>
              </w:rPr>
            </w:pPr>
            <w:r>
              <w:rPr>
                <w:color w:val="auto"/>
                <w:sz w:val="20"/>
              </w:rPr>
              <w:t>0400</w:t>
            </w:r>
          </w:p>
        </w:tc>
        <w:tc>
          <w:tcPr>
            <w:tcW w:w="755" w:type="dxa"/>
            <w:vAlign w:val="top"/>
          </w:tcPr>
          <w:p w14:paraId="1727734E">
            <w:pPr>
              <w:pStyle w:val="30"/>
              <w:spacing w:before="42"/>
              <w:ind w:right="145"/>
              <w:rPr>
                <w:color w:val="auto"/>
                <w:sz w:val="20"/>
              </w:rPr>
            </w:pPr>
            <w:r>
              <w:rPr>
                <w:color w:val="auto"/>
                <w:sz w:val="20"/>
              </w:rPr>
              <w:t>0026</w:t>
            </w:r>
          </w:p>
        </w:tc>
        <w:tc>
          <w:tcPr>
            <w:tcW w:w="1370" w:type="dxa"/>
            <w:vAlign w:val="top"/>
          </w:tcPr>
          <w:p w14:paraId="3758F21B">
            <w:pPr>
              <w:pStyle w:val="30"/>
              <w:spacing w:before="42"/>
              <w:ind w:left="235" w:right="225"/>
              <w:rPr>
                <w:color w:val="auto"/>
                <w:sz w:val="20"/>
              </w:rPr>
            </w:pPr>
            <w:r>
              <w:rPr>
                <w:color w:val="auto"/>
                <w:sz w:val="20"/>
              </w:rPr>
              <w:t>3.21</w:t>
            </w:r>
          </w:p>
        </w:tc>
        <w:tc>
          <w:tcPr>
            <w:tcW w:w="1125" w:type="dxa"/>
            <w:vAlign w:val="top"/>
          </w:tcPr>
          <w:p w14:paraId="4A1A03E5">
            <w:pPr>
              <w:pStyle w:val="30"/>
              <w:spacing w:before="42"/>
              <w:ind w:left="212" w:right="203"/>
              <w:rPr>
                <w:color w:val="auto"/>
                <w:sz w:val="20"/>
              </w:rPr>
            </w:pPr>
            <w:r>
              <w:rPr>
                <w:color w:val="auto"/>
                <w:sz w:val="20"/>
              </w:rPr>
              <w:t>48.15</w:t>
            </w:r>
          </w:p>
        </w:tc>
        <w:tc>
          <w:tcPr>
            <w:tcW w:w="1995" w:type="dxa"/>
            <w:vAlign w:val="top"/>
          </w:tcPr>
          <w:p w14:paraId="29911438">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690BA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1540E531">
            <w:pPr>
              <w:pStyle w:val="30"/>
              <w:spacing w:before="41"/>
              <w:ind w:right="146"/>
              <w:rPr>
                <w:color w:val="auto"/>
                <w:sz w:val="20"/>
              </w:rPr>
            </w:pPr>
            <w:r>
              <w:rPr>
                <w:color w:val="auto"/>
                <w:sz w:val="20"/>
              </w:rPr>
              <w:t>59</w:t>
            </w:r>
          </w:p>
        </w:tc>
        <w:tc>
          <w:tcPr>
            <w:tcW w:w="1000" w:type="dxa"/>
            <w:vAlign w:val="top"/>
          </w:tcPr>
          <w:p w14:paraId="48A0CDDD">
            <w:pPr>
              <w:pStyle w:val="30"/>
              <w:spacing w:before="28"/>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0870F0DD">
            <w:pPr>
              <w:pStyle w:val="30"/>
              <w:spacing w:before="28"/>
              <w:ind w:left="202" w:right="194"/>
              <w:rPr>
                <w:rFonts w:hint="eastAsia" w:ascii="宋体" w:eastAsia="宋体"/>
                <w:color w:val="auto"/>
                <w:sz w:val="20"/>
              </w:rPr>
            </w:pPr>
            <w:r>
              <w:rPr>
                <w:rFonts w:hint="eastAsia" w:ascii="宋体" w:eastAsia="宋体"/>
                <w:color w:val="auto"/>
                <w:sz w:val="20"/>
              </w:rPr>
              <w:t>大新村</w:t>
            </w:r>
          </w:p>
        </w:tc>
        <w:tc>
          <w:tcPr>
            <w:tcW w:w="755" w:type="dxa"/>
            <w:vAlign w:val="top"/>
          </w:tcPr>
          <w:p w14:paraId="06179D00">
            <w:pPr>
              <w:pStyle w:val="30"/>
              <w:spacing w:before="41"/>
              <w:ind w:right="147"/>
              <w:rPr>
                <w:color w:val="auto"/>
                <w:sz w:val="20"/>
              </w:rPr>
            </w:pPr>
            <w:r>
              <w:rPr>
                <w:color w:val="auto"/>
                <w:sz w:val="20"/>
              </w:rPr>
              <w:t>0400</w:t>
            </w:r>
          </w:p>
        </w:tc>
        <w:tc>
          <w:tcPr>
            <w:tcW w:w="755" w:type="dxa"/>
            <w:vAlign w:val="top"/>
          </w:tcPr>
          <w:p w14:paraId="56778D98">
            <w:pPr>
              <w:pStyle w:val="30"/>
              <w:spacing w:before="41"/>
              <w:ind w:right="145"/>
              <w:rPr>
                <w:color w:val="auto"/>
                <w:sz w:val="20"/>
              </w:rPr>
            </w:pPr>
            <w:r>
              <w:rPr>
                <w:color w:val="auto"/>
                <w:sz w:val="20"/>
              </w:rPr>
              <w:t>0031</w:t>
            </w:r>
          </w:p>
        </w:tc>
        <w:tc>
          <w:tcPr>
            <w:tcW w:w="1370" w:type="dxa"/>
            <w:vAlign w:val="top"/>
          </w:tcPr>
          <w:p w14:paraId="48011DDA">
            <w:pPr>
              <w:pStyle w:val="30"/>
              <w:spacing w:before="41"/>
              <w:ind w:left="235" w:right="225"/>
              <w:rPr>
                <w:color w:val="auto"/>
                <w:sz w:val="20"/>
              </w:rPr>
            </w:pPr>
            <w:r>
              <w:rPr>
                <w:color w:val="auto"/>
                <w:sz w:val="20"/>
              </w:rPr>
              <w:t>1.51</w:t>
            </w:r>
          </w:p>
        </w:tc>
        <w:tc>
          <w:tcPr>
            <w:tcW w:w="1125" w:type="dxa"/>
            <w:vAlign w:val="top"/>
          </w:tcPr>
          <w:p w14:paraId="68A32119">
            <w:pPr>
              <w:pStyle w:val="30"/>
              <w:spacing w:before="41"/>
              <w:ind w:left="212" w:right="203"/>
              <w:rPr>
                <w:color w:val="auto"/>
                <w:sz w:val="20"/>
              </w:rPr>
            </w:pPr>
            <w:r>
              <w:rPr>
                <w:color w:val="auto"/>
                <w:sz w:val="20"/>
              </w:rPr>
              <w:t>22.65</w:t>
            </w:r>
          </w:p>
        </w:tc>
        <w:tc>
          <w:tcPr>
            <w:tcW w:w="1995" w:type="dxa"/>
            <w:vAlign w:val="top"/>
          </w:tcPr>
          <w:p w14:paraId="17E5BD6D">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45534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4CF19A82">
            <w:pPr>
              <w:pStyle w:val="30"/>
              <w:spacing w:before="43"/>
              <w:ind w:right="146"/>
              <w:rPr>
                <w:color w:val="auto"/>
                <w:sz w:val="20"/>
              </w:rPr>
            </w:pPr>
            <w:r>
              <w:rPr>
                <w:color w:val="auto"/>
                <w:sz w:val="20"/>
              </w:rPr>
              <w:t>60</w:t>
            </w:r>
          </w:p>
        </w:tc>
        <w:tc>
          <w:tcPr>
            <w:tcW w:w="1000" w:type="dxa"/>
            <w:vAlign w:val="top"/>
          </w:tcPr>
          <w:p w14:paraId="6B6F7E67">
            <w:pPr>
              <w:pStyle w:val="30"/>
              <w:spacing w:before="30"/>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65106F07">
            <w:pPr>
              <w:pStyle w:val="30"/>
              <w:spacing w:before="30"/>
              <w:ind w:left="202" w:right="194"/>
              <w:rPr>
                <w:rFonts w:hint="eastAsia" w:ascii="宋体" w:eastAsia="宋体"/>
                <w:color w:val="auto"/>
                <w:sz w:val="20"/>
              </w:rPr>
            </w:pPr>
            <w:r>
              <w:rPr>
                <w:rFonts w:hint="eastAsia" w:ascii="宋体" w:eastAsia="宋体"/>
                <w:color w:val="auto"/>
                <w:sz w:val="20"/>
              </w:rPr>
              <w:t>大新村</w:t>
            </w:r>
          </w:p>
        </w:tc>
        <w:tc>
          <w:tcPr>
            <w:tcW w:w="755" w:type="dxa"/>
            <w:vAlign w:val="top"/>
          </w:tcPr>
          <w:p w14:paraId="3D24A358">
            <w:pPr>
              <w:pStyle w:val="30"/>
              <w:spacing w:before="43"/>
              <w:ind w:right="147"/>
              <w:rPr>
                <w:color w:val="auto"/>
                <w:sz w:val="20"/>
              </w:rPr>
            </w:pPr>
            <w:r>
              <w:rPr>
                <w:color w:val="auto"/>
                <w:sz w:val="20"/>
              </w:rPr>
              <w:t>0400</w:t>
            </w:r>
          </w:p>
        </w:tc>
        <w:tc>
          <w:tcPr>
            <w:tcW w:w="755" w:type="dxa"/>
            <w:vAlign w:val="top"/>
          </w:tcPr>
          <w:p w14:paraId="72BC1C54">
            <w:pPr>
              <w:pStyle w:val="30"/>
              <w:spacing w:before="43"/>
              <w:ind w:right="145"/>
              <w:rPr>
                <w:color w:val="auto"/>
                <w:sz w:val="20"/>
              </w:rPr>
            </w:pPr>
            <w:r>
              <w:rPr>
                <w:color w:val="auto"/>
                <w:sz w:val="20"/>
              </w:rPr>
              <w:t>0035</w:t>
            </w:r>
          </w:p>
        </w:tc>
        <w:tc>
          <w:tcPr>
            <w:tcW w:w="1370" w:type="dxa"/>
            <w:vAlign w:val="top"/>
          </w:tcPr>
          <w:p w14:paraId="7D1935BA">
            <w:pPr>
              <w:pStyle w:val="30"/>
              <w:spacing w:before="43"/>
              <w:ind w:left="235" w:right="225"/>
              <w:rPr>
                <w:color w:val="auto"/>
                <w:sz w:val="20"/>
              </w:rPr>
            </w:pPr>
            <w:r>
              <w:rPr>
                <w:color w:val="auto"/>
                <w:sz w:val="20"/>
              </w:rPr>
              <w:t>2.39</w:t>
            </w:r>
          </w:p>
        </w:tc>
        <w:tc>
          <w:tcPr>
            <w:tcW w:w="1125" w:type="dxa"/>
            <w:vAlign w:val="top"/>
          </w:tcPr>
          <w:p w14:paraId="194DC3AA">
            <w:pPr>
              <w:pStyle w:val="30"/>
              <w:spacing w:before="43"/>
              <w:ind w:left="212" w:right="203"/>
              <w:rPr>
                <w:color w:val="auto"/>
                <w:sz w:val="20"/>
              </w:rPr>
            </w:pPr>
            <w:r>
              <w:rPr>
                <w:color w:val="auto"/>
                <w:sz w:val="20"/>
              </w:rPr>
              <w:t>35.85</w:t>
            </w:r>
          </w:p>
        </w:tc>
        <w:tc>
          <w:tcPr>
            <w:tcW w:w="1995" w:type="dxa"/>
            <w:vAlign w:val="top"/>
          </w:tcPr>
          <w:p w14:paraId="15117C31">
            <w:pPr>
              <w:pStyle w:val="30"/>
              <w:spacing w:before="30"/>
              <w:ind w:left="276" w:right="269"/>
              <w:rPr>
                <w:rFonts w:hint="eastAsia" w:ascii="宋体" w:eastAsia="宋体"/>
                <w:color w:val="auto"/>
                <w:sz w:val="20"/>
              </w:rPr>
            </w:pPr>
            <w:r>
              <w:rPr>
                <w:rFonts w:hint="eastAsia" w:ascii="宋体" w:eastAsia="宋体"/>
                <w:color w:val="auto"/>
                <w:sz w:val="20"/>
              </w:rPr>
              <w:t>疫情小班</w:t>
            </w:r>
          </w:p>
        </w:tc>
      </w:tr>
      <w:tr w14:paraId="2C452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2E805D39">
            <w:pPr>
              <w:pStyle w:val="30"/>
              <w:spacing w:before="43"/>
              <w:ind w:right="146"/>
              <w:rPr>
                <w:color w:val="auto"/>
                <w:sz w:val="20"/>
              </w:rPr>
            </w:pPr>
            <w:r>
              <w:rPr>
                <w:color w:val="auto"/>
                <w:sz w:val="20"/>
              </w:rPr>
              <w:t>61</w:t>
            </w:r>
          </w:p>
        </w:tc>
        <w:tc>
          <w:tcPr>
            <w:tcW w:w="1000" w:type="dxa"/>
            <w:vAlign w:val="top"/>
          </w:tcPr>
          <w:p w14:paraId="5526E055">
            <w:pPr>
              <w:pStyle w:val="30"/>
              <w:spacing w:before="29"/>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5F43D819">
            <w:pPr>
              <w:pStyle w:val="30"/>
              <w:spacing w:before="29"/>
              <w:ind w:left="202" w:right="194"/>
              <w:rPr>
                <w:rFonts w:hint="eastAsia" w:ascii="宋体" w:eastAsia="宋体"/>
                <w:color w:val="auto"/>
                <w:sz w:val="20"/>
              </w:rPr>
            </w:pPr>
            <w:r>
              <w:rPr>
                <w:rFonts w:hint="eastAsia" w:ascii="宋体" w:eastAsia="宋体"/>
                <w:color w:val="auto"/>
                <w:sz w:val="20"/>
              </w:rPr>
              <w:t>大新村</w:t>
            </w:r>
          </w:p>
        </w:tc>
        <w:tc>
          <w:tcPr>
            <w:tcW w:w="755" w:type="dxa"/>
            <w:vAlign w:val="top"/>
          </w:tcPr>
          <w:p w14:paraId="60C6E29B">
            <w:pPr>
              <w:pStyle w:val="30"/>
              <w:spacing w:before="43"/>
              <w:ind w:right="147"/>
              <w:rPr>
                <w:color w:val="auto"/>
                <w:sz w:val="20"/>
              </w:rPr>
            </w:pPr>
            <w:r>
              <w:rPr>
                <w:color w:val="auto"/>
                <w:sz w:val="20"/>
              </w:rPr>
              <w:t>0400</w:t>
            </w:r>
          </w:p>
        </w:tc>
        <w:tc>
          <w:tcPr>
            <w:tcW w:w="755" w:type="dxa"/>
            <w:vAlign w:val="top"/>
          </w:tcPr>
          <w:p w14:paraId="68FB1805">
            <w:pPr>
              <w:pStyle w:val="30"/>
              <w:spacing w:before="43"/>
              <w:ind w:right="145"/>
              <w:rPr>
                <w:color w:val="auto"/>
                <w:sz w:val="20"/>
              </w:rPr>
            </w:pPr>
            <w:r>
              <w:rPr>
                <w:color w:val="auto"/>
                <w:sz w:val="20"/>
              </w:rPr>
              <w:t>0041</w:t>
            </w:r>
          </w:p>
        </w:tc>
        <w:tc>
          <w:tcPr>
            <w:tcW w:w="1370" w:type="dxa"/>
            <w:vAlign w:val="top"/>
          </w:tcPr>
          <w:p w14:paraId="480C0029">
            <w:pPr>
              <w:pStyle w:val="30"/>
              <w:spacing w:before="43"/>
              <w:ind w:left="235" w:right="225"/>
              <w:rPr>
                <w:color w:val="auto"/>
                <w:sz w:val="20"/>
              </w:rPr>
            </w:pPr>
            <w:r>
              <w:rPr>
                <w:color w:val="auto"/>
                <w:sz w:val="20"/>
              </w:rPr>
              <w:t>0.44</w:t>
            </w:r>
          </w:p>
        </w:tc>
        <w:tc>
          <w:tcPr>
            <w:tcW w:w="1125" w:type="dxa"/>
            <w:vAlign w:val="top"/>
          </w:tcPr>
          <w:p w14:paraId="0AA8B170">
            <w:pPr>
              <w:pStyle w:val="30"/>
              <w:spacing w:before="43"/>
              <w:ind w:left="212" w:right="203"/>
              <w:rPr>
                <w:color w:val="auto"/>
                <w:sz w:val="20"/>
              </w:rPr>
            </w:pPr>
            <w:r>
              <w:rPr>
                <w:color w:val="auto"/>
                <w:sz w:val="20"/>
              </w:rPr>
              <w:t>6.60</w:t>
            </w:r>
          </w:p>
        </w:tc>
        <w:tc>
          <w:tcPr>
            <w:tcW w:w="1995" w:type="dxa"/>
            <w:vAlign w:val="top"/>
          </w:tcPr>
          <w:p w14:paraId="56BACA89">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47F61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2AAE4C00">
            <w:pPr>
              <w:pStyle w:val="30"/>
              <w:spacing w:before="42"/>
              <w:ind w:right="146"/>
              <w:rPr>
                <w:color w:val="auto"/>
                <w:sz w:val="20"/>
              </w:rPr>
            </w:pPr>
            <w:r>
              <w:rPr>
                <w:color w:val="auto"/>
                <w:sz w:val="20"/>
              </w:rPr>
              <w:t>62</w:t>
            </w:r>
          </w:p>
        </w:tc>
        <w:tc>
          <w:tcPr>
            <w:tcW w:w="1000" w:type="dxa"/>
            <w:vAlign w:val="top"/>
          </w:tcPr>
          <w:p w14:paraId="7258D35B">
            <w:pPr>
              <w:pStyle w:val="30"/>
              <w:spacing w:before="29"/>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6E72038E">
            <w:pPr>
              <w:pStyle w:val="30"/>
              <w:spacing w:before="29"/>
              <w:ind w:left="202" w:right="197"/>
              <w:rPr>
                <w:rFonts w:hint="eastAsia" w:ascii="宋体" w:eastAsia="宋体"/>
                <w:color w:val="auto"/>
                <w:sz w:val="20"/>
              </w:rPr>
            </w:pPr>
            <w:r>
              <w:rPr>
                <w:rFonts w:hint="eastAsia" w:ascii="宋体" w:eastAsia="宋体"/>
                <w:color w:val="auto"/>
                <w:sz w:val="20"/>
              </w:rPr>
              <w:t>董家底村</w:t>
            </w:r>
          </w:p>
        </w:tc>
        <w:tc>
          <w:tcPr>
            <w:tcW w:w="755" w:type="dxa"/>
            <w:vAlign w:val="top"/>
          </w:tcPr>
          <w:p w14:paraId="2375F468">
            <w:pPr>
              <w:pStyle w:val="30"/>
              <w:spacing w:before="42"/>
              <w:ind w:right="147"/>
              <w:rPr>
                <w:color w:val="auto"/>
                <w:sz w:val="20"/>
              </w:rPr>
            </w:pPr>
            <w:r>
              <w:rPr>
                <w:color w:val="auto"/>
                <w:sz w:val="20"/>
              </w:rPr>
              <w:t>0200</w:t>
            </w:r>
          </w:p>
        </w:tc>
        <w:tc>
          <w:tcPr>
            <w:tcW w:w="755" w:type="dxa"/>
            <w:vAlign w:val="top"/>
          </w:tcPr>
          <w:p w14:paraId="0B4E17F5">
            <w:pPr>
              <w:pStyle w:val="30"/>
              <w:spacing w:before="42"/>
              <w:ind w:right="145"/>
              <w:rPr>
                <w:color w:val="auto"/>
                <w:sz w:val="20"/>
              </w:rPr>
            </w:pPr>
            <w:r>
              <w:rPr>
                <w:color w:val="auto"/>
                <w:sz w:val="20"/>
              </w:rPr>
              <w:t>0017</w:t>
            </w:r>
          </w:p>
        </w:tc>
        <w:tc>
          <w:tcPr>
            <w:tcW w:w="1370" w:type="dxa"/>
            <w:vAlign w:val="top"/>
          </w:tcPr>
          <w:p w14:paraId="4C0CB577">
            <w:pPr>
              <w:pStyle w:val="30"/>
              <w:spacing w:before="42"/>
              <w:ind w:left="235" w:right="225"/>
              <w:rPr>
                <w:color w:val="auto"/>
                <w:sz w:val="20"/>
              </w:rPr>
            </w:pPr>
            <w:r>
              <w:rPr>
                <w:color w:val="auto"/>
                <w:sz w:val="20"/>
              </w:rPr>
              <w:t>4.88</w:t>
            </w:r>
          </w:p>
        </w:tc>
        <w:tc>
          <w:tcPr>
            <w:tcW w:w="1125" w:type="dxa"/>
            <w:vAlign w:val="top"/>
          </w:tcPr>
          <w:p w14:paraId="73DEF993">
            <w:pPr>
              <w:pStyle w:val="30"/>
              <w:spacing w:before="42"/>
              <w:ind w:left="212" w:right="203"/>
              <w:rPr>
                <w:color w:val="auto"/>
                <w:sz w:val="20"/>
              </w:rPr>
            </w:pPr>
            <w:r>
              <w:rPr>
                <w:color w:val="auto"/>
                <w:sz w:val="20"/>
              </w:rPr>
              <w:t>73.20</w:t>
            </w:r>
          </w:p>
        </w:tc>
        <w:tc>
          <w:tcPr>
            <w:tcW w:w="1995" w:type="dxa"/>
            <w:vAlign w:val="top"/>
          </w:tcPr>
          <w:p w14:paraId="37770ED3">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7DFF0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3227F3C5">
            <w:pPr>
              <w:pStyle w:val="30"/>
              <w:spacing w:before="42"/>
              <w:ind w:right="146"/>
              <w:rPr>
                <w:color w:val="auto"/>
                <w:sz w:val="20"/>
              </w:rPr>
            </w:pPr>
            <w:r>
              <w:rPr>
                <w:color w:val="auto"/>
                <w:sz w:val="20"/>
              </w:rPr>
              <w:t>63</w:t>
            </w:r>
          </w:p>
        </w:tc>
        <w:tc>
          <w:tcPr>
            <w:tcW w:w="1000" w:type="dxa"/>
            <w:vAlign w:val="top"/>
          </w:tcPr>
          <w:p w14:paraId="3BE5E7C3">
            <w:pPr>
              <w:pStyle w:val="30"/>
              <w:spacing w:before="29"/>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1E9A6205">
            <w:pPr>
              <w:pStyle w:val="30"/>
              <w:spacing w:before="29"/>
              <w:ind w:left="202" w:right="194"/>
              <w:rPr>
                <w:rFonts w:hint="eastAsia" w:ascii="宋体" w:eastAsia="宋体"/>
                <w:color w:val="auto"/>
                <w:sz w:val="20"/>
              </w:rPr>
            </w:pPr>
            <w:r>
              <w:rPr>
                <w:rFonts w:hint="eastAsia" w:ascii="宋体" w:eastAsia="宋体"/>
                <w:color w:val="auto"/>
                <w:sz w:val="20"/>
              </w:rPr>
              <w:t>福坪村</w:t>
            </w:r>
          </w:p>
        </w:tc>
        <w:tc>
          <w:tcPr>
            <w:tcW w:w="755" w:type="dxa"/>
            <w:vAlign w:val="top"/>
          </w:tcPr>
          <w:p w14:paraId="43C4A88E">
            <w:pPr>
              <w:pStyle w:val="30"/>
              <w:spacing w:before="42"/>
              <w:ind w:right="147"/>
              <w:rPr>
                <w:color w:val="auto"/>
                <w:sz w:val="20"/>
              </w:rPr>
            </w:pPr>
            <w:r>
              <w:rPr>
                <w:color w:val="auto"/>
                <w:sz w:val="20"/>
              </w:rPr>
              <w:t>0100</w:t>
            </w:r>
          </w:p>
        </w:tc>
        <w:tc>
          <w:tcPr>
            <w:tcW w:w="755" w:type="dxa"/>
            <w:vAlign w:val="top"/>
          </w:tcPr>
          <w:p w14:paraId="756D4787">
            <w:pPr>
              <w:pStyle w:val="30"/>
              <w:spacing w:before="42"/>
              <w:ind w:right="145"/>
              <w:rPr>
                <w:color w:val="auto"/>
                <w:sz w:val="20"/>
              </w:rPr>
            </w:pPr>
            <w:r>
              <w:rPr>
                <w:color w:val="auto"/>
                <w:sz w:val="20"/>
              </w:rPr>
              <w:t>0009</w:t>
            </w:r>
          </w:p>
        </w:tc>
        <w:tc>
          <w:tcPr>
            <w:tcW w:w="1370" w:type="dxa"/>
            <w:vAlign w:val="top"/>
          </w:tcPr>
          <w:p w14:paraId="21293DF7">
            <w:pPr>
              <w:pStyle w:val="30"/>
              <w:spacing w:before="42"/>
              <w:ind w:left="235" w:right="225"/>
              <w:rPr>
                <w:color w:val="auto"/>
                <w:sz w:val="20"/>
              </w:rPr>
            </w:pPr>
            <w:r>
              <w:rPr>
                <w:color w:val="auto"/>
                <w:sz w:val="20"/>
              </w:rPr>
              <w:t>1.23</w:t>
            </w:r>
          </w:p>
        </w:tc>
        <w:tc>
          <w:tcPr>
            <w:tcW w:w="1125" w:type="dxa"/>
            <w:vAlign w:val="top"/>
          </w:tcPr>
          <w:p w14:paraId="1F35F4A6">
            <w:pPr>
              <w:pStyle w:val="30"/>
              <w:spacing w:before="42"/>
              <w:ind w:left="212" w:right="203"/>
              <w:rPr>
                <w:color w:val="auto"/>
                <w:sz w:val="20"/>
              </w:rPr>
            </w:pPr>
            <w:r>
              <w:rPr>
                <w:color w:val="auto"/>
                <w:sz w:val="20"/>
              </w:rPr>
              <w:t>18.45</w:t>
            </w:r>
          </w:p>
        </w:tc>
        <w:tc>
          <w:tcPr>
            <w:tcW w:w="1995" w:type="dxa"/>
            <w:vAlign w:val="top"/>
          </w:tcPr>
          <w:p w14:paraId="44DDCF1F">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698FD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6F593373">
            <w:pPr>
              <w:pStyle w:val="30"/>
              <w:spacing w:before="42"/>
              <w:ind w:right="146"/>
              <w:rPr>
                <w:color w:val="auto"/>
                <w:sz w:val="20"/>
              </w:rPr>
            </w:pPr>
            <w:r>
              <w:rPr>
                <w:color w:val="auto"/>
                <w:sz w:val="20"/>
              </w:rPr>
              <w:t>64</w:t>
            </w:r>
          </w:p>
        </w:tc>
        <w:tc>
          <w:tcPr>
            <w:tcW w:w="1000" w:type="dxa"/>
            <w:vAlign w:val="top"/>
          </w:tcPr>
          <w:p w14:paraId="1D1AF582">
            <w:pPr>
              <w:pStyle w:val="30"/>
              <w:spacing w:before="28"/>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0212308A">
            <w:pPr>
              <w:pStyle w:val="30"/>
              <w:spacing w:before="28"/>
              <w:ind w:left="202" w:right="194"/>
              <w:rPr>
                <w:rFonts w:hint="eastAsia" w:ascii="宋体" w:eastAsia="宋体"/>
                <w:color w:val="auto"/>
                <w:sz w:val="20"/>
              </w:rPr>
            </w:pPr>
            <w:r>
              <w:rPr>
                <w:rFonts w:hint="eastAsia" w:ascii="宋体" w:eastAsia="宋体"/>
                <w:color w:val="auto"/>
                <w:sz w:val="20"/>
              </w:rPr>
              <w:t>福坪村</w:t>
            </w:r>
          </w:p>
        </w:tc>
        <w:tc>
          <w:tcPr>
            <w:tcW w:w="755" w:type="dxa"/>
            <w:vAlign w:val="top"/>
          </w:tcPr>
          <w:p w14:paraId="6469D79D">
            <w:pPr>
              <w:pStyle w:val="30"/>
              <w:spacing w:before="42"/>
              <w:ind w:right="147"/>
              <w:rPr>
                <w:color w:val="auto"/>
                <w:sz w:val="20"/>
              </w:rPr>
            </w:pPr>
            <w:r>
              <w:rPr>
                <w:color w:val="auto"/>
                <w:sz w:val="20"/>
              </w:rPr>
              <w:t>0100</w:t>
            </w:r>
          </w:p>
        </w:tc>
        <w:tc>
          <w:tcPr>
            <w:tcW w:w="755" w:type="dxa"/>
            <w:vAlign w:val="top"/>
          </w:tcPr>
          <w:p w14:paraId="563A5176">
            <w:pPr>
              <w:pStyle w:val="30"/>
              <w:spacing w:before="42"/>
              <w:ind w:right="145"/>
              <w:rPr>
                <w:color w:val="auto"/>
                <w:sz w:val="20"/>
              </w:rPr>
            </w:pPr>
            <w:r>
              <w:rPr>
                <w:color w:val="auto"/>
                <w:sz w:val="20"/>
              </w:rPr>
              <w:t>0014</w:t>
            </w:r>
          </w:p>
        </w:tc>
        <w:tc>
          <w:tcPr>
            <w:tcW w:w="1370" w:type="dxa"/>
            <w:vAlign w:val="top"/>
          </w:tcPr>
          <w:p w14:paraId="6D547E4B">
            <w:pPr>
              <w:pStyle w:val="30"/>
              <w:spacing w:before="42"/>
              <w:ind w:left="235" w:right="225"/>
              <w:rPr>
                <w:color w:val="auto"/>
                <w:sz w:val="20"/>
              </w:rPr>
            </w:pPr>
            <w:r>
              <w:rPr>
                <w:color w:val="auto"/>
                <w:sz w:val="20"/>
              </w:rPr>
              <w:t>2.38</w:t>
            </w:r>
          </w:p>
        </w:tc>
        <w:tc>
          <w:tcPr>
            <w:tcW w:w="1125" w:type="dxa"/>
            <w:vAlign w:val="top"/>
          </w:tcPr>
          <w:p w14:paraId="556BE79C">
            <w:pPr>
              <w:pStyle w:val="30"/>
              <w:spacing w:before="42"/>
              <w:ind w:left="212" w:right="203"/>
              <w:rPr>
                <w:color w:val="auto"/>
                <w:sz w:val="20"/>
              </w:rPr>
            </w:pPr>
            <w:r>
              <w:rPr>
                <w:color w:val="auto"/>
                <w:sz w:val="20"/>
              </w:rPr>
              <w:t>35.70</w:t>
            </w:r>
          </w:p>
        </w:tc>
        <w:tc>
          <w:tcPr>
            <w:tcW w:w="1995" w:type="dxa"/>
            <w:vAlign w:val="top"/>
          </w:tcPr>
          <w:p w14:paraId="1891F610">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74A34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773A75FD">
            <w:pPr>
              <w:pStyle w:val="30"/>
              <w:spacing w:before="41"/>
              <w:ind w:right="146"/>
              <w:rPr>
                <w:color w:val="auto"/>
                <w:sz w:val="20"/>
              </w:rPr>
            </w:pPr>
            <w:r>
              <w:rPr>
                <w:color w:val="auto"/>
                <w:sz w:val="20"/>
              </w:rPr>
              <w:t>65</w:t>
            </w:r>
          </w:p>
        </w:tc>
        <w:tc>
          <w:tcPr>
            <w:tcW w:w="1000" w:type="dxa"/>
            <w:vAlign w:val="top"/>
          </w:tcPr>
          <w:p w14:paraId="5861559E">
            <w:pPr>
              <w:pStyle w:val="30"/>
              <w:spacing w:before="28"/>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709849FD">
            <w:pPr>
              <w:pStyle w:val="30"/>
              <w:spacing w:before="28"/>
              <w:ind w:left="202" w:right="194"/>
              <w:rPr>
                <w:rFonts w:hint="eastAsia" w:ascii="宋体" w:eastAsia="宋体"/>
                <w:color w:val="auto"/>
                <w:sz w:val="20"/>
              </w:rPr>
            </w:pPr>
            <w:r>
              <w:rPr>
                <w:rFonts w:hint="eastAsia" w:ascii="宋体" w:eastAsia="宋体"/>
                <w:color w:val="auto"/>
                <w:sz w:val="20"/>
              </w:rPr>
              <w:t>福坪村</w:t>
            </w:r>
          </w:p>
        </w:tc>
        <w:tc>
          <w:tcPr>
            <w:tcW w:w="755" w:type="dxa"/>
            <w:vAlign w:val="top"/>
          </w:tcPr>
          <w:p w14:paraId="5ECFF905">
            <w:pPr>
              <w:pStyle w:val="30"/>
              <w:spacing w:before="41"/>
              <w:ind w:right="147"/>
              <w:rPr>
                <w:color w:val="auto"/>
                <w:sz w:val="20"/>
              </w:rPr>
            </w:pPr>
            <w:r>
              <w:rPr>
                <w:color w:val="auto"/>
                <w:sz w:val="20"/>
              </w:rPr>
              <w:t>0100</w:t>
            </w:r>
          </w:p>
        </w:tc>
        <w:tc>
          <w:tcPr>
            <w:tcW w:w="755" w:type="dxa"/>
            <w:vAlign w:val="top"/>
          </w:tcPr>
          <w:p w14:paraId="2375F254">
            <w:pPr>
              <w:pStyle w:val="30"/>
              <w:spacing w:before="41"/>
              <w:ind w:right="145"/>
              <w:rPr>
                <w:color w:val="auto"/>
                <w:sz w:val="20"/>
              </w:rPr>
            </w:pPr>
            <w:r>
              <w:rPr>
                <w:color w:val="auto"/>
                <w:sz w:val="20"/>
              </w:rPr>
              <w:t>0020</w:t>
            </w:r>
          </w:p>
        </w:tc>
        <w:tc>
          <w:tcPr>
            <w:tcW w:w="1370" w:type="dxa"/>
            <w:vAlign w:val="top"/>
          </w:tcPr>
          <w:p w14:paraId="37591F05">
            <w:pPr>
              <w:pStyle w:val="30"/>
              <w:spacing w:before="41"/>
              <w:ind w:left="235" w:right="225"/>
              <w:rPr>
                <w:color w:val="auto"/>
                <w:sz w:val="20"/>
              </w:rPr>
            </w:pPr>
            <w:r>
              <w:rPr>
                <w:color w:val="auto"/>
                <w:sz w:val="20"/>
              </w:rPr>
              <w:t>3.37</w:t>
            </w:r>
          </w:p>
        </w:tc>
        <w:tc>
          <w:tcPr>
            <w:tcW w:w="1125" w:type="dxa"/>
            <w:vAlign w:val="top"/>
          </w:tcPr>
          <w:p w14:paraId="4ECCE695">
            <w:pPr>
              <w:pStyle w:val="30"/>
              <w:spacing w:before="41"/>
              <w:ind w:left="212" w:right="203"/>
              <w:rPr>
                <w:color w:val="auto"/>
                <w:sz w:val="20"/>
              </w:rPr>
            </w:pPr>
            <w:r>
              <w:rPr>
                <w:color w:val="auto"/>
                <w:sz w:val="20"/>
              </w:rPr>
              <w:t>50.55</w:t>
            </w:r>
          </w:p>
        </w:tc>
        <w:tc>
          <w:tcPr>
            <w:tcW w:w="1995" w:type="dxa"/>
            <w:vAlign w:val="top"/>
          </w:tcPr>
          <w:p w14:paraId="348CCB96">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54498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074E305B">
            <w:pPr>
              <w:pStyle w:val="30"/>
              <w:spacing w:before="43"/>
              <w:ind w:right="146"/>
              <w:rPr>
                <w:color w:val="auto"/>
                <w:sz w:val="20"/>
              </w:rPr>
            </w:pPr>
            <w:r>
              <w:rPr>
                <w:color w:val="auto"/>
                <w:sz w:val="20"/>
              </w:rPr>
              <w:t>66</w:t>
            </w:r>
          </w:p>
        </w:tc>
        <w:tc>
          <w:tcPr>
            <w:tcW w:w="1000" w:type="dxa"/>
            <w:vAlign w:val="top"/>
          </w:tcPr>
          <w:p w14:paraId="66177975">
            <w:pPr>
              <w:pStyle w:val="30"/>
              <w:spacing w:before="30"/>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56739145">
            <w:pPr>
              <w:pStyle w:val="30"/>
              <w:spacing w:before="30"/>
              <w:ind w:left="202" w:right="194"/>
              <w:rPr>
                <w:rFonts w:hint="eastAsia" w:ascii="宋体" w:eastAsia="宋体"/>
                <w:color w:val="auto"/>
                <w:sz w:val="20"/>
              </w:rPr>
            </w:pPr>
            <w:r>
              <w:rPr>
                <w:rFonts w:hint="eastAsia" w:ascii="宋体" w:eastAsia="宋体"/>
                <w:color w:val="auto"/>
                <w:sz w:val="20"/>
              </w:rPr>
              <w:t>福坪村</w:t>
            </w:r>
          </w:p>
        </w:tc>
        <w:tc>
          <w:tcPr>
            <w:tcW w:w="755" w:type="dxa"/>
            <w:vAlign w:val="top"/>
          </w:tcPr>
          <w:p w14:paraId="69D43A3D">
            <w:pPr>
              <w:pStyle w:val="30"/>
              <w:spacing w:before="43"/>
              <w:ind w:right="147"/>
              <w:rPr>
                <w:color w:val="auto"/>
                <w:sz w:val="20"/>
              </w:rPr>
            </w:pPr>
            <w:r>
              <w:rPr>
                <w:color w:val="auto"/>
                <w:sz w:val="20"/>
              </w:rPr>
              <w:t>0400</w:t>
            </w:r>
          </w:p>
        </w:tc>
        <w:tc>
          <w:tcPr>
            <w:tcW w:w="755" w:type="dxa"/>
            <w:vAlign w:val="top"/>
          </w:tcPr>
          <w:p w14:paraId="0D5E097C">
            <w:pPr>
              <w:pStyle w:val="30"/>
              <w:spacing w:before="43"/>
              <w:ind w:right="145"/>
              <w:rPr>
                <w:color w:val="auto"/>
                <w:sz w:val="20"/>
              </w:rPr>
            </w:pPr>
            <w:r>
              <w:rPr>
                <w:color w:val="auto"/>
                <w:sz w:val="20"/>
              </w:rPr>
              <w:t>0001</w:t>
            </w:r>
          </w:p>
        </w:tc>
        <w:tc>
          <w:tcPr>
            <w:tcW w:w="1370" w:type="dxa"/>
            <w:vAlign w:val="top"/>
          </w:tcPr>
          <w:p w14:paraId="3BDF5C6C">
            <w:pPr>
              <w:pStyle w:val="30"/>
              <w:spacing w:before="43"/>
              <w:ind w:left="235" w:right="227"/>
              <w:rPr>
                <w:color w:val="auto"/>
                <w:sz w:val="20"/>
              </w:rPr>
            </w:pPr>
            <w:r>
              <w:rPr>
                <w:color w:val="auto"/>
                <w:sz w:val="20"/>
              </w:rPr>
              <w:t>17.85</w:t>
            </w:r>
          </w:p>
        </w:tc>
        <w:tc>
          <w:tcPr>
            <w:tcW w:w="1125" w:type="dxa"/>
            <w:vAlign w:val="top"/>
          </w:tcPr>
          <w:p w14:paraId="35DADC46">
            <w:pPr>
              <w:pStyle w:val="30"/>
              <w:spacing w:before="43"/>
              <w:ind w:left="212" w:right="203"/>
              <w:rPr>
                <w:color w:val="auto"/>
                <w:sz w:val="20"/>
              </w:rPr>
            </w:pPr>
            <w:r>
              <w:rPr>
                <w:color w:val="auto"/>
                <w:sz w:val="20"/>
              </w:rPr>
              <w:t>267.75</w:t>
            </w:r>
          </w:p>
        </w:tc>
        <w:tc>
          <w:tcPr>
            <w:tcW w:w="1995" w:type="dxa"/>
            <w:vAlign w:val="top"/>
          </w:tcPr>
          <w:p w14:paraId="0617BA30">
            <w:pPr>
              <w:pStyle w:val="30"/>
              <w:spacing w:before="30"/>
              <w:ind w:left="276" w:right="269"/>
              <w:rPr>
                <w:rFonts w:hint="eastAsia" w:ascii="宋体" w:eastAsia="宋体"/>
                <w:color w:val="auto"/>
                <w:sz w:val="20"/>
              </w:rPr>
            </w:pPr>
            <w:r>
              <w:rPr>
                <w:rFonts w:hint="eastAsia" w:ascii="宋体" w:eastAsia="宋体"/>
                <w:color w:val="auto"/>
                <w:sz w:val="20"/>
              </w:rPr>
              <w:t>疫情小班</w:t>
            </w:r>
          </w:p>
        </w:tc>
      </w:tr>
      <w:tr w14:paraId="5456F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4569ABD5">
            <w:pPr>
              <w:pStyle w:val="30"/>
              <w:spacing w:before="43"/>
              <w:ind w:right="146"/>
              <w:rPr>
                <w:color w:val="auto"/>
                <w:sz w:val="20"/>
              </w:rPr>
            </w:pPr>
            <w:r>
              <w:rPr>
                <w:color w:val="auto"/>
                <w:sz w:val="20"/>
              </w:rPr>
              <w:t>67</w:t>
            </w:r>
          </w:p>
        </w:tc>
        <w:tc>
          <w:tcPr>
            <w:tcW w:w="1000" w:type="dxa"/>
            <w:vAlign w:val="top"/>
          </w:tcPr>
          <w:p w14:paraId="08B76039">
            <w:pPr>
              <w:pStyle w:val="30"/>
              <w:spacing w:before="30"/>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78B2FA0D">
            <w:pPr>
              <w:pStyle w:val="30"/>
              <w:spacing w:before="30"/>
              <w:ind w:left="202" w:right="194"/>
              <w:rPr>
                <w:rFonts w:hint="eastAsia" w:ascii="宋体" w:eastAsia="宋体"/>
                <w:color w:val="auto"/>
                <w:sz w:val="20"/>
              </w:rPr>
            </w:pPr>
            <w:r>
              <w:rPr>
                <w:rFonts w:hint="eastAsia" w:ascii="宋体" w:eastAsia="宋体"/>
                <w:color w:val="auto"/>
                <w:sz w:val="20"/>
              </w:rPr>
              <w:t>福坪村</w:t>
            </w:r>
          </w:p>
        </w:tc>
        <w:tc>
          <w:tcPr>
            <w:tcW w:w="755" w:type="dxa"/>
            <w:vAlign w:val="top"/>
          </w:tcPr>
          <w:p w14:paraId="5C8F9B67">
            <w:pPr>
              <w:pStyle w:val="30"/>
              <w:spacing w:before="43"/>
              <w:ind w:right="147"/>
              <w:rPr>
                <w:color w:val="auto"/>
                <w:sz w:val="20"/>
              </w:rPr>
            </w:pPr>
            <w:r>
              <w:rPr>
                <w:color w:val="auto"/>
                <w:sz w:val="20"/>
              </w:rPr>
              <w:t>0400</w:t>
            </w:r>
          </w:p>
        </w:tc>
        <w:tc>
          <w:tcPr>
            <w:tcW w:w="755" w:type="dxa"/>
            <w:vAlign w:val="top"/>
          </w:tcPr>
          <w:p w14:paraId="6AF498F1">
            <w:pPr>
              <w:pStyle w:val="30"/>
              <w:spacing w:before="43"/>
              <w:ind w:right="145"/>
              <w:rPr>
                <w:color w:val="auto"/>
                <w:sz w:val="20"/>
              </w:rPr>
            </w:pPr>
            <w:r>
              <w:rPr>
                <w:color w:val="auto"/>
                <w:sz w:val="20"/>
              </w:rPr>
              <w:t>0005</w:t>
            </w:r>
          </w:p>
        </w:tc>
        <w:tc>
          <w:tcPr>
            <w:tcW w:w="1370" w:type="dxa"/>
            <w:vAlign w:val="top"/>
          </w:tcPr>
          <w:p w14:paraId="7F382CCE">
            <w:pPr>
              <w:pStyle w:val="30"/>
              <w:spacing w:before="43"/>
              <w:ind w:left="235" w:right="225"/>
              <w:rPr>
                <w:color w:val="auto"/>
                <w:sz w:val="20"/>
              </w:rPr>
            </w:pPr>
            <w:r>
              <w:rPr>
                <w:color w:val="auto"/>
                <w:sz w:val="20"/>
              </w:rPr>
              <w:t>0.41</w:t>
            </w:r>
          </w:p>
        </w:tc>
        <w:tc>
          <w:tcPr>
            <w:tcW w:w="1125" w:type="dxa"/>
            <w:vAlign w:val="top"/>
          </w:tcPr>
          <w:p w14:paraId="6F4DA5FA">
            <w:pPr>
              <w:pStyle w:val="30"/>
              <w:spacing w:before="43"/>
              <w:ind w:left="212" w:right="203"/>
              <w:rPr>
                <w:color w:val="auto"/>
                <w:sz w:val="20"/>
              </w:rPr>
            </w:pPr>
            <w:r>
              <w:rPr>
                <w:color w:val="auto"/>
                <w:sz w:val="20"/>
              </w:rPr>
              <w:t>6.15</w:t>
            </w:r>
          </w:p>
        </w:tc>
        <w:tc>
          <w:tcPr>
            <w:tcW w:w="1995" w:type="dxa"/>
            <w:vAlign w:val="top"/>
          </w:tcPr>
          <w:p w14:paraId="2B095532">
            <w:pPr>
              <w:pStyle w:val="30"/>
              <w:spacing w:before="30"/>
              <w:ind w:left="276" w:right="269"/>
              <w:rPr>
                <w:rFonts w:hint="eastAsia" w:ascii="宋体" w:eastAsia="宋体"/>
                <w:color w:val="auto"/>
                <w:sz w:val="20"/>
              </w:rPr>
            </w:pPr>
            <w:r>
              <w:rPr>
                <w:rFonts w:hint="eastAsia" w:ascii="宋体" w:eastAsia="宋体"/>
                <w:color w:val="auto"/>
                <w:sz w:val="20"/>
              </w:rPr>
              <w:t>疫情小班</w:t>
            </w:r>
          </w:p>
        </w:tc>
      </w:tr>
      <w:tr w14:paraId="074E0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654A39B6">
            <w:pPr>
              <w:pStyle w:val="30"/>
              <w:spacing w:before="42"/>
              <w:ind w:right="146"/>
              <w:rPr>
                <w:color w:val="auto"/>
                <w:sz w:val="20"/>
              </w:rPr>
            </w:pPr>
            <w:r>
              <w:rPr>
                <w:color w:val="auto"/>
                <w:sz w:val="20"/>
              </w:rPr>
              <w:t>68</w:t>
            </w:r>
          </w:p>
        </w:tc>
        <w:tc>
          <w:tcPr>
            <w:tcW w:w="1000" w:type="dxa"/>
            <w:vAlign w:val="top"/>
          </w:tcPr>
          <w:p w14:paraId="7CC8FE2A">
            <w:pPr>
              <w:pStyle w:val="30"/>
              <w:spacing w:before="29"/>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21E32474">
            <w:pPr>
              <w:pStyle w:val="30"/>
              <w:spacing w:before="29"/>
              <w:ind w:left="202" w:right="194"/>
              <w:rPr>
                <w:rFonts w:hint="eastAsia" w:ascii="宋体" w:eastAsia="宋体"/>
                <w:color w:val="auto"/>
                <w:sz w:val="20"/>
              </w:rPr>
            </w:pPr>
            <w:r>
              <w:rPr>
                <w:rFonts w:hint="eastAsia" w:ascii="宋体" w:eastAsia="宋体"/>
                <w:color w:val="auto"/>
                <w:sz w:val="20"/>
              </w:rPr>
              <w:t>福坪村</w:t>
            </w:r>
          </w:p>
        </w:tc>
        <w:tc>
          <w:tcPr>
            <w:tcW w:w="755" w:type="dxa"/>
            <w:vAlign w:val="top"/>
          </w:tcPr>
          <w:p w14:paraId="18D64DCA">
            <w:pPr>
              <w:pStyle w:val="30"/>
              <w:spacing w:before="42"/>
              <w:ind w:right="147"/>
              <w:rPr>
                <w:color w:val="auto"/>
                <w:sz w:val="20"/>
              </w:rPr>
            </w:pPr>
            <w:r>
              <w:rPr>
                <w:color w:val="auto"/>
                <w:sz w:val="20"/>
              </w:rPr>
              <w:t>0400</w:t>
            </w:r>
          </w:p>
        </w:tc>
        <w:tc>
          <w:tcPr>
            <w:tcW w:w="755" w:type="dxa"/>
            <w:vAlign w:val="top"/>
          </w:tcPr>
          <w:p w14:paraId="51892365">
            <w:pPr>
              <w:pStyle w:val="30"/>
              <w:spacing w:before="42"/>
              <w:ind w:right="145"/>
              <w:rPr>
                <w:color w:val="auto"/>
                <w:sz w:val="20"/>
              </w:rPr>
            </w:pPr>
            <w:r>
              <w:rPr>
                <w:color w:val="auto"/>
                <w:sz w:val="20"/>
              </w:rPr>
              <w:t>0016</w:t>
            </w:r>
          </w:p>
        </w:tc>
        <w:tc>
          <w:tcPr>
            <w:tcW w:w="1370" w:type="dxa"/>
            <w:vAlign w:val="top"/>
          </w:tcPr>
          <w:p w14:paraId="38756129">
            <w:pPr>
              <w:pStyle w:val="30"/>
              <w:spacing w:before="42"/>
              <w:ind w:left="235" w:right="227"/>
              <w:rPr>
                <w:color w:val="auto"/>
                <w:sz w:val="20"/>
              </w:rPr>
            </w:pPr>
            <w:r>
              <w:rPr>
                <w:color w:val="auto"/>
                <w:sz w:val="20"/>
              </w:rPr>
              <w:t>16.46</w:t>
            </w:r>
          </w:p>
        </w:tc>
        <w:tc>
          <w:tcPr>
            <w:tcW w:w="1125" w:type="dxa"/>
            <w:vAlign w:val="top"/>
          </w:tcPr>
          <w:p w14:paraId="4B60DA20">
            <w:pPr>
              <w:pStyle w:val="30"/>
              <w:spacing w:before="42"/>
              <w:ind w:left="212" w:right="203"/>
              <w:rPr>
                <w:color w:val="auto"/>
                <w:sz w:val="20"/>
              </w:rPr>
            </w:pPr>
            <w:r>
              <w:rPr>
                <w:color w:val="auto"/>
                <w:sz w:val="20"/>
              </w:rPr>
              <w:t>246.90</w:t>
            </w:r>
          </w:p>
        </w:tc>
        <w:tc>
          <w:tcPr>
            <w:tcW w:w="1995" w:type="dxa"/>
            <w:vAlign w:val="top"/>
          </w:tcPr>
          <w:p w14:paraId="7D519632">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165FD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4593509E">
            <w:pPr>
              <w:pStyle w:val="30"/>
              <w:spacing w:before="42"/>
              <w:ind w:right="146"/>
              <w:rPr>
                <w:color w:val="auto"/>
                <w:sz w:val="20"/>
              </w:rPr>
            </w:pPr>
            <w:r>
              <w:rPr>
                <w:color w:val="auto"/>
                <w:sz w:val="20"/>
              </w:rPr>
              <w:t>69</w:t>
            </w:r>
          </w:p>
        </w:tc>
        <w:tc>
          <w:tcPr>
            <w:tcW w:w="1000" w:type="dxa"/>
            <w:vAlign w:val="top"/>
          </w:tcPr>
          <w:p w14:paraId="51081D6B">
            <w:pPr>
              <w:pStyle w:val="30"/>
              <w:spacing w:before="29"/>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550CC4D2">
            <w:pPr>
              <w:pStyle w:val="30"/>
              <w:spacing w:before="29"/>
              <w:ind w:left="202" w:right="194"/>
              <w:rPr>
                <w:rFonts w:hint="eastAsia" w:ascii="宋体" w:eastAsia="宋体"/>
                <w:color w:val="auto"/>
                <w:sz w:val="20"/>
              </w:rPr>
            </w:pPr>
            <w:r>
              <w:rPr>
                <w:rFonts w:hint="eastAsia" w:ascii="宋体" w:eastAsia="宋体"/>
                <w:color w:val="auto"/>
                <w:sz w:val="20"/>
              </w:rPr>
              <w:t>福坪村</w:t>
            </w:r>
          </w:p>
        </w:tc>
        <w:tc>
          <w:tcPr>
            <w:tcW w:w="755" w:type="dxa"/>
            <w:vAlign w:val="top"/>
          </w:tcPr>
          <w:p w14:paraId="39EAD09C">
            <w:pPr>
              <w:pStyle w:val="30"/>
              <w:spacing w:before="42"/>
              <w:ind w:right="147"/>
              <w:rPr>
                <w:color w:val="auto"/>
                <w:sz w:val="20"/>
              </w:rPr>
            </w:pPr>
            <w:r>
              <w:rPr>
                <w:color w:val="auto"/>
                <w:sz w:val="20"/>
              </w:rPr>
              <w:t>0400</w:t>
            </w:r>
          </w:p>
        </w:tc>
        <w:tc>
          <w:tcPr>
            <w:tcW w:w="755" w:type="dxa"/>
            <w:vAlign w:val="top"/>
          </w:tcPr>
          <w:p w14:paraId="4F22014A">
            <w:pPr>
              <w:pStyle w:val="30"/>
              <w:spacing w:before="42"/>
              <w:ind w:right="145"/>
              <w:rPr>
                <w:color w:val="auto"/>
                <w:sz w:val="20"/>
              </w:rPr>
            </w:pPr>
            <w:r>
              <w:rPr>
                <w:color w:val="auto"/>
                <w:sz w:val="20"/>
              </w:rPr>
              <w:t>0020</w:t>
            </w:r>
          </w:p>
        </w:tc>
        <w:tc>
          <w:tcPr>
            <w:tcW w:w="1370" w:type="dxa"/>
            <w:vAlign w:val="top"/>
          </w:tcPr>
          <w:p w14:paraId="138057B2">
            <w:pPr>
              <w:pStyle w:val="30"/>
              <w:spacing w:before="42"/>
              <w:ind w:left="235" w:right="225"/>
              <w:rPr>
                <w:color w:val="auto"/>
                <w:sz w:val="20"/>
              </w:rPr>
            </w:pPr>
            <w:r>
              <w:rPr>
                <w:color w:val="auto"/>
                <w:sz w:val="20"/>
              </w:rPr>
              <w:t>1.29</w:t>
            </w:r>
          </w:p>
        </w:tc>
        <w:tc>
          <w:tcPr>
            <w:tcW w:w="1125" w:type="dxa"/>
            <w:vAlign w:val="top"/>
          </w:tcPr>
          <w:p w14:paraId="7BE15C62">
            <w:pPr>
              <w:pStyle w:val="30"/>
              <w:spacing w:before="42"/>
              <w:ind w:left="212" w:right="203"/>
              <w:rPr>
                <w:color w:val="auto"/>
                <w:sz w:val="20"/>
              </w:rPr>
            </w:pPr>
            <w:r>
              <w:rPr>
                <w:color w:val="auto"/>
                <w:sz w:val="20"/>
              </w:rPr>
              <w:t>19.35</w:t>
            </w:r>
          </w:p>
        </w:tc>
        <w:tc>
          <w:tcPr>
            <w:tcW w:w="1995" w:type="dxa"/>
            <w:vAlign w:val="top"/>
          </w:tcPr>
          <w:p w14:paraId="7DAB840A">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52C9E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095B03F5">
            <w:pPr>
              <w:pStyle w:val="30"/>
              <w:spacing w:before="42"/>
              <w:ind w:right="146"/>
              <w:rPr>
                <w:color w:val="auto"/>
                <w:sz w:val="20"/>
              </w:rPr>
            </w:pPr>
            <w:r>
              <w:rPr>
                <w:color w:val="auto"/>
                <w:sz w:val="20"/>
              </w:rPr>
              <w:t>70</w:t>
            </w:r>
          </w:p>
        </w:tc>
        <w:tc>
          <w:tcPr>
            <w:tcW w:w="1000" w:type="dxa"/>
            <w:vAlign w:val="top"/>
          </w:tcPr>
          <w:p w14:paraId="0266B362">
            <w:pPr>
              <w:pStyle w:val="30"/>
              <w:spacing w:before="28"/>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51EBBECE">
            <w:pPr>
              <w:pStyle w:val="30"/>
              <w:spacing w:before="28"/>
              <w:ind w:left="202" w:right="194"/>
              <w:rPr>
                <w:rFonts w:hint="eastAsia" w:ascii="宋体" w:eastAsia="宋体"/>
                <w:color w:val="auto"/>
                <w:sz w:val="20"/>
              </w:rPr>
            </w:pPr>
            <w:r>
              <w:rPr>
                <w:rFonts w:hint="eastAsia" w:ascii="宋体" w:eastAsia="宋体"/>
                <w:color w:val="auto"/>
                <w:sz w:val="20"/>
              </w:rPr>
              <w:t>福坪村</w:t>
            </w:r>
          </w:p>
        </w:tc>
        <w:tc>
          <w:tcPr>
            <w:tcW w:w="755" w:type="dxa"/>
            <w:vAlign w:val="top"/>
          </w:tcPr>
          <w:p w14:paraId="5EB7918D">
            <w:pPr>
              <w:pStyle w:val="30"/>
              <w:spacing w:before="42"/>
              <w:ind w:right="147"/>
              <w:rPr>
                <w:color w:val="auto"/>
                <w:sz w:val="20"/>
              </w:rPr>
            </w:pPr>
            <w:r>
              <w:rPr>
                <w:color w:val="auto"/>
                <w:sz w:val="20"/>
              </w:rPr>
              <w:t>0400</w:t>
            </w:r>
          </w:p>
        </w:tc>
        <w:tc>
          <w:tcPr>
            <w:tcW w:w="755" w:type="dxa"/>
            <w:vAlign w:val="top"/>
          </w:tcPr>
          <w:p w14:paraId="33C2D6BD">
            <w:pPr>
              <w:pStyle w:val="30"/>
              <w:spacing w:before="42"/>
              <w:ind w:right="145"/>
              <w:rPr>
                <w:color w:val="auto"/>
                <w:sz w:val="20"/>
              </w:rPr>
            </w:pPr>
            <w:r>
              <w:rPr>
                <w:color w:val="auto"/>
                <w:sz w:val="20"/>
              </w:rPr>
              <w:t>0023</w:t>
            </w:r>
          </w:p>
        </w:tc>
        <w:tc>
          <w:tcPr>
            <w:tcW w:w="1370" w:type="dxa"/>
            <w:vAlign w:val="top"/>
          </w:tcPr>
          <w:p w14:paraId="75CDF3A8">
            <w:pPr>
              <w:pStyle w:val="30"/>
              <w:spacing w:before="42"/>
              <w:ind w:left="235" w:right="225"/>
              <w:rPr>
                <w:color w:val="auto"/>
                <w:sz w:val="20"/>
              </w:rPr>
            </w:pPr>
            <w:r>
              <w:rPr>
                <w:color w:val="auto"/>
                <w:sz w:val="20"/>
              </w:rPr>
              <w:t>2.77</w:t>
            </w:r>
          </w:p>
        </w:tc>
        <w:tc>
          <w:tcPr>
            <w:tcW w:w="1125" w:type="dxa"/>
            <w:vAlign w:val="top"/>
          </w:tcPr>
          <w:p w14:paraId="647768B6">
            <w:pPr>
              <w:pStyle w:val="30"/>
              <w:spacing w:before="42"/>
              <w:ind w:left="212" w:right="203"/>
              <w:rPr>
                <w:color w:val="auto"/>
                <w:sz w:val="20"/>
              </w:rPr>
            </w:pPr>
            <w:r>
              <w:rPr>
                <w:color w:val="auto"/>
                <w:sz w:val="20"/>
              </w:rPr>
              <w:t>41.55</w:t>
            </w:r>
          </w:p>
        </w:tc>
        <w:tc>
          <w:tcPr>
            <w:tcW w:w="1995" w:type="dxa"/>
            <w:vAlign w:val="top"/>
          </w:tcPr>
          <w:p w14:paraId="109D4BC6">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6AD60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6E745655">
            <w:pPr>
              <w:pStyle w:val="30"/>
              <w:spacing w:before="41"/>
              <w:ind w:right="146"/>
              <w:rPr>
                <w:color w:val="auto"/>
                <w:sz w:val="20"/>
              </w:rPr>
            </w:pPr>
            <w:r>
              <w:rPr>
                <w:color w:val="auto"/>
                <w:sz w:val="20"/>
              </w:rPr>
              <w:t>71</w:t>
            </w:r>
          </w:p>
        </w:tc>
        <w:tc>
          <w:tcPr>
            <w:tcW w:w="1000" w:type="dxa"/>
            <w:vAlign w:val="top"/>
          </w:tcPr>
          <w:p w14:paraId="4160BD6F">
            <w:pPr>
              <w:pStyle w:val="30"/>
              <w:spacing w:before="28"/>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30455051">
            <w:pPr>
              <w:pStyle w:val="30"/>
              <w:spacing w:before="28"/>
              <w:ind w:left="202" w:right="194"/>
              <w:rPr>
                <w:rFonts w:hint="eastAsia" w:ascii="宋体" w:eastAsia="宋体"/>
                <w:color w:val="auto"/>
                <w:sz w:val="20"/>
              </w:rPr>
            </w:pPr>
            <w:r>
              <w:rPr>
                <w:rFonts w:hint="eastAsia" w:ascii="宋体" w:eastAsia="宋体"/>
                <w:color w:val="auto"/>
                <w:sz w:val="20"/>
              </w:rPr>
              <w:t>福坪村</w:t>
            </w:r>
          </w:p>
        </w:tc>
        <w:tc>
          <w:tcPr>
            <w:tcW w:w="755" w:type="dxa"/>
            <w:vAlign w:val="top"/>
          </w:tcPr>
          <w:p w14:paraId="26AA0826">
            <w:pPr>
              <w:pStyle w:val="30"/>
              <w:spacing w:before="41"/>
              <w:ind w:right="147"/>
              <w:rPr>
                <w:color w:val="auto"/>
                <w:sz w:val="20"/>
              </w:rPr>
            </w:pPr>
            <w:r>
              <w:rPr>
                <w:color w:val="auto"/>
                <w:sz w:val="20"/>
              </w:rPr>
              <w:t>0400</w:t>
            </w:r>
          </w:p>
        </w:tc>
        <w:tc>
          <w:tcPr>
            <w:tcW w:w="755" w:type="dxa"/>
            <w:vAlign w:val="top"/>
          </w:tcPr>
          <w:p w14:paraId="3072B4F6">
            <w:pPr>
              <w:pStyle w:val="30"/>
              <w:spacing w:before="41"/>
              <w:ind w:right="145"/>
              <w:rPr>
                <w:color w:val="auto"/>
                <w:sz w:val="20"/>
              </w:rPr>
            </w:pPr>
            <w:r>
              <w:rPr>
                <w:color w:val="auto"/>
                <w:sz w:val="20"/>
              </w:rPr>
              <w:t>0025</w:t>
            </w:r>
          </w:p>
        </w:tc>
        <w:tc>
          <w:tcPr>
            <w:tcW w:w="1370" w:type="dxa"/>
            <w:vAlign w:val="top"/>
          </w:tcPr>
          <w:p w14:paraId="681319BA">
            <w:pPr>
              <w:pStyle w:val="30"/>
              <w:spacing w:before="41"/>
              <w:ind w:left="235" w:right="225"/>
              <w:rPr>
                <w:color w:val="auto"/>
                <w:sz w:val="20"/>
              </w:rPr>
            </w:pPr>
            <w:r>
              <w:rPr>
                <w:color w:val="auto"/>
                <w:sz w:val="20"/>
              </w:rPr>
              <w:t>0.87</w:t>
            </w:r>
          </w:p>
        </w:tc>
        <w:tc>
          <w:tcPr>
            <w:tcW w:w="1125" w:type="dxa"/>
            <w:vAlign w:val="top"/>
          </w:tcPr>
          <w:p w14:paraId="01016F0F">
            <w:pPr>
              <w:pStyle w:val="30"/>
              <w:spacing w:before="41"/>
              <w:ind w:left="212" w:right="203"/>
              <w:rPr>
                <w:color w:val="auto"/>
                <w:sz w:val="20"/>
              </w:rPr>
            </w:pPr>
            <w:r>
              <w:rPr>
                <w:color w:val="auto"/>
                <w:sz w:val="20"/>
              </w:rPr>
              <w:t>13.05</w:t>
            </w:r>
          </w:p>
        </w:tc>
        <w:tc>
          <w:tcPr>
            <w:tcW w:w="1995" w:type="dxa"/>
            <w:vAlign w:val="top"/>
          </w:tcPr>
          <w:p w14:paraId="7C5C647A">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7821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1E7E28DE">
            <w:pPr>
              <w:pStyle w:val="30"/>
              <w:spacing w:before="43"/>
              <w:ind w:right="146"/>
              <w:rPr>
                <w:color w:val="auto"/>
                <w:sz w:val="20"/>
              </w:rPr>
            </w:pPr>
            <w:r>
              <w:rPr>
                <w:color w:val="auto"/>
                <w:sz w:val="20"/>
              </w:rPr>
              <w:t>72</w:t>
            </w:r>
          </w:p>
        </w:tc>
        <w:tc>
          <w:tcPr>
            <w:tcW w:w="1000" w:type="dxa"/>
            <w:vAlign w:val="top"/>
          </w:tcPr>
          <w:p w14:paraId="4E5B4F97">
            <w:pPr>
              <w:pStyle w:val="30"/>
              <w:spacing w:before="30"/>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24B7D24E">
            <w:pPr>
              <w:pStyle w:val="30"/>
              <w:spacing w:before="30"/>
              <w:ind w:left="202" w:right="194"/>
              <w:rPr>
                <w:rFonts w:hint="eastAsia" w:ascii="宋体" w:eastAsia="宋体"/>
                <w:color w:val="auto"/>
                <w:sz w:val="20"/>
              </w:rPr>
            </w:pPr>
            <w:r>
              <w:rPr>
                <w:rFonts w:hint="eastAsia" w:ascii="宋体" w:eastAsia="宋体"/>
                <w:color w:val="auto"/>
                <w:sz w:val="20"/>
              </w:rPr>
              <w:t>福坪村</w:t>
            </w:r>
          </w:p>
        </w:tc>
        <w:tc>
          <w:tcPr>
            <w:tcW w:w="755" w:type="dxa"/>
            <w:vAlign w:val="top"/>
          </w:tcPr>
          <w:p w14:paraId="07402AA8">
            <w:pPr>
              <w:pStyle w:val="30"/>
              <w:spacing w:before="43"/>
              <w:ind w:right="147"/>
              <w:rPr>
                <w:color w:val="auto"/>
                <w:sz w:val="20"/>
              </w:rPr>
            </w:pPr>
            <w:r>
              <w:rPr>
                <w:color w:val="auto"/>
                <w:sz w:val="20"/>
              </w:rPr>
              <w:t>0400</w:t>
            </w:r>
          </w:p>
        </w:tc>
        <w:tc>
          <w:tcPr>
            <w:tcW w:w="755" w:type="dxa"/>
            <w:vAlign w:val="top"/>
          </w:tcPr>
          <w:p w14:paraId="0AD2B4AC">
            <w:pPr>
              <w:pStyle w:val="30"/>
              <w:spacing w:before="43"/>
              <w:ind w:right="145"/>
              <w:rPr>
                <w:color w:val="auto"/>
                <w:sz w:val="20"/>
              </w:rPr>
            </w:pPr>
            <w:r>
              <w:rPr>
                <w:color w:val="auto"/>
                <w:sz w:val="20"/>
              </w:rPr>
              <w:t>0026</w:t>
            </w:r>
          </w:p>
        </w:tc>
        <w:tc>
          <w:tcPr>
            <w:tcW w:w="1370" w:type="dxa"/>
            <w:vAlign w:val="top"/>
          </w:tcPr>
          <w:p w14:paraId="089BEE89">
            <w:pPr>
              <w:pStyle w:val="30"/>
              <w:spacing w:before="43"/>
              <w:ind w:left="235" w:right="225"/>
              <w:rPr>
                <w:color w:val="auto"/>
                <w:sz w:val="20"/>
              </w:rPr>
            </w:pPr>
            <w:r>
              <w:rPr>
                <w:color w:val="auto"/>
                <w:sz w:val="20"/>
              </w:rPr>
              <w:t>6.39</w:t>
            </w:r>
          </w:p>
        </w:tc>
        <w:tc>
          <w:tcPr>
            <w:tcW w:w="1125" w:type="dxa"/>
            <w:vAlign w:val="top"/>
          </w:tcPr>
          <w:p w14:paraId="770C47BC">
            <w:pPr>
              <w:pStyle w:val="30"/>
              <w:spacing w:before="43"/>
              <w:ind w:left="212" w:right="203"/>
              <w:rPr>
                <w:color w:val="auto"/>
                <w:sz w:val="20"/>
              </w:rPr>
            </w:pPr>
            <w:r>
              <w:rPr>
                <w:color w:val="auto"/>
                <w:sz w:val="20"/>
              </w:rPr>
              <w:t>95.85</w:t>
            </w:r>
          </w:p>
        </w:tc>
        <w:tc>
          <w:tcPr>
            <w:tcW w:w="1995" w:type="dxa"/>
            <w:vAlign w:val="top"/>
          </w:tcPr>
          <w:p w14:paraId="534D60B5">
            <w:pPr>
              <w:pStyle w:val="30"/>
              <w:spacing w:before="30"/>
              <w:ind w:left="276" w:right="269"/>
              <w:rPr>
                <w:rFonts w:hint="eastAsia" w:ascii="宋体" w:eastAsia="宋体"/>
                <w:color w:val="auto"/>
                <w:sz w:val="20"/>
              </w:rPr>
            </w:pPr>
            <w:r>
              <w:rPr>
                <w:rFonts w:hint="eastAsia" w:ascii="宋体" w:eastAsia="宋体"/>
                <w:color w:val="auto"/>
                <w:sz w:val="20"/>
              </w:rPr>
              <w:t>疫情小班</w:t>
            </w:r>
          </w:p>
        </w:tc>
      </w:tr>
      <w:tr w14:paraId="66836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11051D39">
            <w:pPr>
              <w:pStyle w:val="30"/>
              <w:spacing w:before="43"/>
              <w:ind w:right="146"/>
              <w:rPr>
                <w:color w:val="auto"/>
                <w:sz w:val="20"/>
              </w:rPr>
            </w:pPr>
            <w:r>
              <w:rPr>
                <w:color w:val="auto"/>
                <w:sz w:val="20"/>
              </w:rPr>
              <w:t>73</w:t>
            </w:r>
          </w:p>
        </w:tc>
        <w:tc>
          <w:tcPr>
            <w:tcW w:w="1000" w:type="dxa"/>
            <w:vAlign w:val="top"/>
          </w:tcPr>
          <w:p w14:paraId="0FCCBDAF">
            <w:pPr>
              <w:pStyle w:val="30"/>
              <w:spacing w:before="30"/>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0318E8BE">
            <w:pPr>
              <w:pStyle w:val="30"/>
              <w:spacing w:before="30"/>
              <w:ind w:left="202" w:right="194"/>
              <w:rPr>
                <w:rFonts w:hint="eastAsia" w:ascii="宋体" w:eastAsia="宋体"/>
                <w:color w:val="auto"/>
                <w:sz w:val="20"/>
              </w:rPr>
            </w:pPr>
            <w:r>
              <w:rPr>
                <w:rFonts w:hint="eastAsia" w:ascii="宋体" w:eastAsia="宋体"/>
                <w:color w:val="auto"/>
                <w:sz w:val="20"/>
              </w:rPr>
              <w:t>前进村</w:t>
            </w:r>
          </w:p>
        </w:tc>
        <w:tc>
          <w:tcPr>
            <w:tcW w:w="755" w:type="dxa"/>
            <w:vAlign w:val="top"/>
          </w:tcPr>
          <w:p w14:paraId="1B50BA43">
            <w:pPr>
              <w:pStyle w:val="30"/>
              <w:spacing w:before="43"/>
              <w:ind w:right="147"/>
              <w:rPr>
                <w:color w:val="auto"/>
                <w:sz w:val="20"/>
              </w:rPr>
            </w:pPr>
            <w:r>
              <w:rPr>
                <w:color w:val="auto"/>
                <w:sz w:val="20"/>
              </w:rPr>
              <w:t>0100</w:t>
            </w:r>
          </w:p>
        </w:tc>
        <w:tc>
          <w:tcPr>
            <w:tcW w:w="755" w:type="dxa"/>
            <w:vAlign w:val="top"/>
          </w:tcPr>
          <w:p w14:paraId="65F49FAF">
            <w:pPr>
              <w:pStyle w:val="30"/>
              <w:spacing w:before="43"/>
              <w:ind w:right="145"/>
              <w:rPr>
                <w:color w:val="auto"/>
                <w:sz w:val="20"/>
              </w:rPr>
            </w:pPr>
            <w:r>
              <w:rPr>
                <w:color w:val="auto"/>
                <w:sz w:val="20"/>
              </w:rPr>
              <w:t>0016</w:t>
            </w:r>
          </w:p>
        </w:tc>
        <w:tc>
          <w:tcPr>
            <w:tcW w:w="1370" w:type="dxa"/>
            <w:vAlign w:val="top"/>
          </w:tcPr>
          <w:p w14:paraId="605817D0">
            <w:pPr>
              <w:pStyle w:val="30"/>
              <w:spacing w:before="43"/>
              <w:ind w:left="235" w:right="225"/>
              <w:rPr>
                <w:color w:val="auto"/>
                <w:sz w:val="20"/>
              </w:rPr>
            </w:pPr>
            <w:r>
              <w:rPr>
                <w:color w:val="auto"/>
                <w:sz w:val="20"/>
              </w:rPr>
              <w:t>3.01</w:t>
            </w:r>
          </w:p>
        </w:tc>
        <w:tc>
          <w:tcPr>
            <w:tcW w:w="1125" w:type="dxa"/>
            <w:vAlign w:val="top"/>
          </w:tcPr>
          <w:p w14:paraId="6009FAB6">
            <w:pPr>
              <w:pStyle w:val="30"/>
              <w:spacing w:before="43"/>
              <w:ind w:left="212" w:right="203"/>
              <w:rPr>
                <w:color w:val="auto"/>
                <w:sz w:val="20"/>
              </w:rPr>
            </w:pPr>
            <w:r>
              <w:rPr>
                <w:color w:val="auto"/>
                <w:sz w:val="20"/>
              </w:rPr>
              <w:t>45.15</w:t>
            </w:r>
          </w:p>
        </w:tc>
        <w:tc>
          <w:tcPr>
            <w:tcW w:w="1995" w:type="dxa"/>
            <w:vAlign w:val="top"/>
          </w:tcPr>
          <w:p w14:paraId="05EE51C6">
            <w:pPr>
              <w:pStyle w:val="30"/>
              <w:spacing w:before="30"/>
              <w:ind w:left="276" w:right="269"/>
              <w:rPr>
                <w:rFonts w:hint="eastAsia" w:ascii="宋体" w:eastAsia="宋体"/>
                <w:color w:val="auto"/>
                <w:sz w:val="20"/>
              </w:rPr>
            </w:pPr>
            <w:r>
              <w:rPr>
                <w:rFonts w:hint="eastAsia" w:ascii="宋体" w:eastAsia="宋体"/>
                <w:color w:val="auto"/>
                <w:sz w:val="20"/>
              </w:rPr>
              <w:t>疫情小班</w:t>
            </w:r>
          </w:p>
        </w:tc>
      </w:tr>
      <w:tr w14:paraId="7F727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755" w:type="dxa"/>
            <w:vAlign w:val="top"/>
          </w:tcPr>
          <w:p w14:paraId="6766911D">
            <w:pPr>
              <w:pStyle w:val="30"/>
              <w:spacing w:before="42"/>
              <w:ind w:right="146"/>
              <w:rPr>
                <w:color w:val="auto"/>
                <w:sz w:val="20"/>
              </w:rPr>
            </w:pPr>
            <w:r>
              <w:rPr>
                <w:color w:val="auto"/>
                <w:sz w:val="20"/>
              </w:rPr>
              <w:t>74</w:t>
            </w:r>
          </w:p>
        </w:tc>
        <w:tc>
          <w:tcPr>
            <w:tcW w:w="1000" w:type="dxa"/>
            <w:vAlign w:val="top"/>
          </w:tcPr>
          <w:p w14:paraId="30AF2CDD">
            <w:pPr>
              <w:pStyle w:val="30"/>
              <w:spacing w:before="29"/>
              <w:ind w:left="180" w:right="170"/>
              <w:rPr>
                <w:rFonts w:hint="eastAsia" w:ascii="宋体" w:eastAsia="宋体"/>
                <w:color w:val="auto"/>
                <w:sz w:val="20"/>
              </w:rPr>
            </w:pPr>
            <w:r>
              <w:rPr>
                <w:rFonts w:hint="eastAsia" w:ascii="宋体" w:eastAsia="宋体"/>
                <w:color w:val="auto"/>
                <w:sz w:val="20"/>
              </w:rPr>
              <w:t>全州镇</w:t>
            </w:r>
          </w:p>
        </w:tc>
        <w:tc>
          <w:tcPr>
            <w:tcW w:w="1249" w:type="dxa"/>
            <w:vAlign w:val="top"/>
          </w:tcPr>
          <w:p w14:paraId="5577E5E2">
            <w:pPr>
              <w:pStyle w:val="30"/>
              <w:spacing w:before="29"/>
              <w:ind w:left="202" w:right="194"/>
              <w:rPr>
                <w:rFonts w:hint="eastAsia" w:ascii="宋体" w:eastAsia="宋体"/>
                <w:color w:val="auto"/>
                <w:sz w:val="20"/>
              </w:rPr>
            </w:pPr>
            <w:r>
              <w:rPr>
                <w:rFonts w:hint="eastAsia" w:ascii="宋体" w:eastAsia="宋体"/>
                <w:color w:val="auto"/>
                <w:sz w:val="20"/>
              </w:rPr>
              <w:t>前进村</w:t>
            </w:r>
          </w:p>
        </w:tc>
        <w:tc>
          <w:tcPr>
            <w:tcW w:w="755" w:type="dxa"/>
            <w:vAlign w:val="top"/>
          </w:tcPr>
          <w:p w14:paraId="3AD9D2F3">
            <w:pPr>
              <w:pStyle w:val="30"/>
              <w:spacing w:before="42"/>
              <w:ind w:right="147"/>
              <w:rPr>
                <w:color w:val="auto"/>
                <w:sz w:val="20"/>
              </w:rPr>
            </w:pPr>
            <w:r>
              <w:rPr>
                <w:color w:val="auto"/>
                <w:sz w:val="20"/>
              </w:rPr>
              <w:t>0100</w:t>
            </w:r>
          </w:p>
        </w:tc>
        <w:tc>
          <w:tcPr>
            <w:tcW w:w="755" w:type="dxa"/>
            <w:vAlign w:val="top"/>
          </w:tcPr>
          <w:p w14:paraId="00181E44">
            <w:pPr>
              <w:pStyle w:val="30"/>
              <w:spacing w:before="42"/>
              <w:ind w:right="145"/>
              <w:rPr>
                <w:color w:val="auto"/>
                <w:sz w:val="20"/>
              </w:rPr>
            </w:pPr>
            <w:r>
              <w:rPr>
                <w:color w:val="auto"/>
                <w:sz w:val="20"/>
              </w:rPr>
              <w:t>0022</w:t>
            </w:r>
          </w:p>
        </w:tc>
        <w:tc>
          <w:tcPr>
            <w:tcW w:w="1370" w:type="dxa"/>
            <w:vAlign w:val="top"/>
          </w:tcPr>
          <w:p w14:paraId="37DDEEB4">
            <w:pPr>
              <w:pStyle w:val="30"/>
              <w:spacing w:before="42"/>
              <w:ind w:left="235" w:right="225"/>
              <w:rPr>
                <w:color w:val="auto"/>
                <w:sz w:val="20"/>
              </w:rPr>
            </w:pPr>
            <w:r>
              <w:rPr>
                <w:color w:val="auto"/>
                <w:sz w:val="20"/>
              </w:rPr>
              <w:t>9.12</w:t>
            </w:r>
          </w:p>
        </w:tc>
        <w:tc>
          <w:tcPr>
            <w:tcW w:w="1125" w:type="dxa"/>
            <w:vAlign w:val="top"/>
          </w:tcPr>
          <w:p w14:paraId="2C09BAE5">
            <w:pPr>
              <w:pStyle w:val="30"/>
              <w:spacing w:before="42"/>
              <w:ind w:left="212" w:right="203"/>
              <w:rPr>
                <w:color w:val="auto"/>
                <w:sz w:val="20"/>
              </w:rPr>
            </w:pPr>
            <w:r>
              <w:rPr>
                <w:color w:val="auto"/>
                <w:sz w:val="20"/>
              </w:rPr>
              <w:t>136.80</w:t>
            </w:r>
          </w:p>
        </w:tc>
        <w:tc>
          <w:tcPr>
            <w:tcW w:w="1995" w:type="dxa"/>
            <w:vAlign w:val="top"/>
          </w:tcPr>
          <w:p w14:paraId="18D0F410">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bl>
    <w:p w14:paraId="7A1514F9">
      <w:pPr>
        <w:spacing w:after="0"/>
        <w:rPr>
          <w:rFonts w:hint="eastAsia" w:ascii="宋体" w:eastAsia="宋体"/>
          <w:color w:val="auto"/>
          <w:sz w:val="20"/>
        </w:rPr>
        <w:sectPr>
          <w:headerReference r:id="rId6" w:type="default"/>
          <w:pgSz w:w="11910" w:h="16840"/>
          <w:pgMar w:top="1420" w:right="0" w:bottom="1420" w:left="1020" w:header="878" w:footer="1225" w:gutter="0"/>
          <w:pgNumType w:fmt="decimal"/>
          <w:cols w:space="720" w:num="1"/>
        </w:sectPr>
      </w:pPr>
    </w:p>
    <w:tbl>
      <w:tblPr>
        <w:tblStyle w:val="19"/>
        <w:tblW w:w="0" w:type="auto"/>
        <w:tblInd w:w="5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5"/>
        <w:gridCol w:w="1000"/>
        <w:gridCol w:w="1249"/>
        <w:gridCol w:w="755"/>
        <w:gridCol w:w="755"/>
        <w:gridCol w:w="1370"/>
        <w:gridCol w:w="1125"/>
        <w:gridCol w:w="1995"/>
      </w:tblGrid>
      <w:tr w14:paraId="08428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55" w:type="dxa"/>
            <w:shd w:val="clear" w:color="auto" w:fill="BEBEBE"/>
          </w:tcPr>
          <w:p w14:paraId="64DD7DC5">
            <w:pPr>
              <w:pStyle w:val="30"/>
              <w:spacing w:before="62"/>
              <w:ind w:left="152" w:right="148"/>
              <w:rPr>
                <w:rFonts w:hint="eastAsia" w:ascii="宋体" w:eastAsia="宋体"/>
                <w:color w:val="auto"/>
                <w:sz w:val="20"/>
              </w:rPr>
            </w:pPr>
            <w:r>
              <w:rPr>
                <w:rFonts w:hint="eastAsia" w:ascii="宋体" w:eastAsia="宋体"/>
                <w:color w:val="auto"/>
                <w:sz w:val="20"/>
              </w:rPr>
              <w:t>序号</w:t>
            </w:r>
          </w:p>
        </w:tc>
        <w:tc>
          <w:tcPr>
            <w:tcW w:w="1000" w:type="dxa"/>
            <w:shd w:val="clear" w:color="auto" w:fill="BEBEBE"/>
          </w:tcPr>
          <w:p w14:paraId="565C5854">
            <w:pPr>
              <w:pStyle w:val="30"/>
              <w:spacing w:before="62"/>
              <w:ind w:left="176" w:right="170"/>
              <w:rPr>
                <w:rFonts w:hint="eastAsia" w:ascii="宋体" w:eastAsia="宋体"/>
                <w:color w:val="auto"/>
                <w:sz w:val="20"/>
              </w:rPr>
            </w:pPr>
            <w:r>
              <w:rPr>
                <w:rFonts w:hint="eastAsia" w:ascii="宋体" w:eastAsia="宋体"/>
                <w:color w:val="auto"/>
                <w:sz w:val="20"/>
              </w:rPr>
              <w:t>乡镇</w:t>
            </w:r>
          </w:p>
        </w:tc>
        <w:tc>
          <w:tcPr>
            <w:tcW w:w="1249" w:type="dxa"/>
            <w:shd w:val="clear" w:color="auto" w:fill="BEBEBE"/>
          </w:tcPr>
          <w:p w14:paraId="69E9F1AE">
            <w:pPr>
              <w:pStyle w:val="30"/>
              <w:spacing w:before="62"/>
              <w:ind w:left="5"/>
              <w:rPr>
                <w:rFonts w:hint="eastAsia" w:ascii="宋体" w:eastAsia="宋体"/>
                <w:color w:val="auto"/>
                <w:sz w:val="20"/>
              </w:rPr>
            </w:pPr>
            <w:r>
              <w:rPr>
                <w:rFonts w:hint="eastAsia" w:ascii="宋体" w:eastAsia="宋体"/>
                <w:color w:val="auto"/>
                <w:w w:val="99"/>
                <w:sz w:val="20"/>
              </w:rPr>
              <w:t>村</w:t>
            </w:r>
          </w:p>
        </w:tc>
        <w:tc>
          <w:tcPr>
            <w:tcW w:w="755" w:type="dxa"/>
            <w:shd w:val="clear" w:color="auto" w:fill="BEBEBE"/>
          </w:tcPr>
          <w:p w14:paraId="0A95311A">
            <w:pPr>
              <w:pStyle w:val="30"/>
              <w:spacing w:before="62"/>
              <w:ind w:left="153" w:right="148"/>
              <w:rPr>
                <w:rFonts w:hint="eastAsia" w:ascii="宋体" w:eastAsia="宋体"/>
                <w:color w:val="auto"/>
                <w:sz w:val="20"/>
              </w:rPr>
            </w:pPr>
            <w:r>
              <w:rPr>
                <w:rFonts w:hint="eastAsia" w:ascii="宋体" w:eastAsia="宋体"/>
                <w:color w:val="auto"/>
                <w:sz w:val="20"/>
              </w:rPr>
              <w:t>林班</w:t>
            </w:r>
          </w:p>
        </w:tc>
        <w:tc>
          <w:tcPr>
            <w:tcW w:w="755" w:type="dxa"/>
            <w:shd w:val="clear" w:color="auto" w:fill="BEBEBE"/>
          </w:tcPr>
          <w:p w14:paraId="4E46D546">
            <w:pPr>
              <w:pStyle w:val="30"/>
              <w:spacing w:before="62"/>
              <w:ind w:right="147"/>
              <w:rPr>
                <w:rFonts w:hint="eastAsia" w:ascii="宋体" w:eastAsia="宋体"/>
                <w:color w:val="auto"/>
                <w:sz w:val="20"/>
              </w:rPr>
            </w:pPr>
            <w:r>
              <w:rPr>
                <w:rFonts w:hint="eastAsia" w:ascii="宋体" w:eastAsia="宋体"/>
                <w:color w:val="auto"/>
                <w:sz w:val="20"/>
              </w:rPr>
              <w:t>小班</w:t>
            </w:r>
          </w:p>
        </w:tc>
        <w:tc>
          <w:tcPr>
            <w:tcW w:w="1370" w:type="dxa"/>
            <w:shd w:val="clear" w:color="auto" w:fill="BEBEBE"/>
          </w:tcPr>
          <w:p w14:paraId="13983764">
            <w:pPr>
              <w:pStyle w:val="30"/>
              <w:spacing w:before="62"/>
              <w:ind w:left="235" w:right="229"/>
              <w:rPr>
                <w:rFonts w:hint="eastAsia" w:ascii="宋体" w:eastAsia="宋体"/>
                <w:color w:val="auto"/>
                <w:sz w:val="20"/>
              </w:rPr>
            </w:pPr>
            <w:r>
              <w:rPr>
                <w:rFonts w:hint="eastAsia" w:ascii="宋体" w:eastAsia="宋体"/>
                <w:color w:val="auto"/>
                <w:sz w:val="20"/>
              </w:rPr>
              <w:t>面积</w:t>
            </w:r>
            <w:r>
              <w:rPr>
                <w:color w:val="auto"/>
                <w:sz w:val="20"/>
              </w:rPr>
              <w:t>/</w:t>
            </w:r>
            <w:r>
              <w:rPr>
                <w:rFonts w:hint="eastAsia" w:ascii="宋体" w:eastAsia="宋体"/>
                <w:color w:val="auto"/>
                <w:sz w:val="20"/>
              </w:rPr>
              <w:t>公顷</w:t>
            </w:r>
          </w:p>
        </w:tc>
        <w:tc>
          <w:tcPr>
            <w:tcW w:w="1125" w:type="dxa"/>
            <w:shd w:val="clear" w:color="auto" w:fill="BEBEBE"/>
          </w:tcPr>
          <w:p w14:paraId="78C980CA">
            <w:pPr>
              <w:pStyle w:val="30"/>
              <w:spacing w:before="62"/>
              <w:ind w:left="212" w:right="207"/>
              <w:rPr>
                <w:rFonts w:hint="eastAsia" w:ascii="宋体" w:eastAsia="宋体"/>
                <w:color w:val="auto"/>
                <w:sz w:val="20"/>
              </w:rPr>
            </w:pPr>
            <w:r>
              <w:rPr>
                <w:rFonts w:hint="eastAsia" w:ascii="宋体" w:eastAsia="宋体"/>
                <w:color w:val="auto"/>
                <w:sz w:val="20"/>
              </w:rPr>
              <w:t>面积</w:t>
            </w:r>
            <w:r>
              <w:rPr>
                <w:color w:val="auto"/>
                <w:sz w:val="20"/>
              </w:rPr>
              <w:t>/</w:t>
            </w:r>
            <w:r>
              <w:rPr>
                <w:rFonts w:hint="eastAsia" w:ascii="宋体" w:eastAsia="宋体"/>
                <w:color w:val="auto"/>
                <w:sz w:val="20"/>
              </w:rPr>
              <w:t>亩</w:t>
            </w:r>
          </w:p>
        </w:tc>
        <w:tc>
          <w:tcPr>
            <w:tcW w:w="1995" w:type="dxa"/>
            <w:shd w:val="clear" w:color="auto" w:fill="BEBEBE"/>
          </w:tcPr>
          <w:p w14:paraId="241F96DE">
            <w:pPr>
              <w:pStyle w:val="30"/>
              <w:spacing w:before="62"/>
              <w:ind w:left="276" w:right="269"/>
              <w:rPr>
                <w:rFonts w:hint="eastAsia" w:ascii="宋体" w:eastAsia="宋体"/>
                <w:color w:val="auto"/>
                <w:sz w:val="20"/>
              </w:rPr>
            </w:pPr>
            <w:r>
              <w:rPr>
                <w:rFonts w:hint="eastAsia" w:ascii="宋体" w:eastAsia="宋体"/>
                <w:color w:val="auto"/>
                <w:sz w:val="20"/>
              </w:rPr>
              <w:t>小班类型</w:t>
            </w:r>
          </w:p>
        </w:tc>
      </w:tr>
      <w:tr w14:paraId="46CE7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5" w:type="dxa"/>
          </w:tcPr>
          <w:p w14:paraId="48619AB1">
            <w:pPr>
              <w:pStyle w:val="30"/>
              <w:spacing w:before="42"/>
              <w:ind w:left="8"/>
              <w:rPr>
                <w:color w:val="auto"/>
                <w:sz w:val="20"/>
              </w:rPr>
            </w:pPr>
            <w:r>
              <w:rPr>
                <w:color w:val="auto"/>
                <w:w w:val="99"/>
                <w:sz w:val="20"/>
              </w:rPr>
              <w:t>1</w:t>
            </w:r>
          </w:p>
        </w:tc>
        <w:tc>
          <w:tcPr>
            <w:tcW w:w="1000" w:type="dxa"/>
          </w:tcPr>
          <w:p w14:paraId="6A76C0DF">
            <w:pPr>
              <w:pStyle w:val="30"/>
              <w:spacing w:before="28"/>
              <w:ind w:left="180" w:right="170"/>
              <w:rPr>
                <w:rFonts w:hint="eastAsia" w:ascii="宋体" w:eastAsia="宋体"/>
                <w:color w:val="auto"/>
                <w:sz w:val="20"/>
              </w:rPr>
            </w:pPr>
            <w:r>
              <w:rPr>
                <w:rFonts w:hint="eastAsia" w:ascii="宋体" w:eastAsia="宋体"/>
                <w:color w:val="auto"/>
                <w:sz w:val="20"/>
              </w:rPr>
              <w:t>龙水镇</w:t>
            </w:r>
          </w:p>
        </w:tc>
        <w:tc>
          <w:tcPr>
            <w:tcW w:w="1249" w:type="dxa"/>
          </w:tcPr>
          <w:p w14:paraId="134E4209">
            <w:pPr>
              <w:pStyle w:val="30"/>
              <w:spacing w:before="28"/>
              <w:ind w:left="202" w:right="194"/>
              <w:rPr>
                <w:rFonts w:hint="eastAsia" w:ascii="宋体" w:eastAsia="宋体"/>
                <w:color w:val="auto"/>
                <w:sz w:val="20"/>
              </w:rPr>
            </w:pPr>
            <w:r>
              <w:rPr>
                <w:rFonts w:hint="eastAsia" w:ascii="宋体" w:eastAsia="宋体"/>
                <w:color w:val="auto"/>
                <w:sz w:val="20"/>
              </w:rPr>
              <w:t>百福村</w:t>
            </w:r>
          </w:p>
        </w:tc>
        <w:tc>
          <w:tcPr>
            <w:tcW w:w="755" w:type="dxa"/>
          </w:tcPr>
          <w:p w14:paraId="48457486">
            <w:pPr>
              <w:pStyle w:val="30"/>
              <w:spacing w:before="42"/>
              <w:ind w:right="147"/>
              <w:rPr>
                <w:color w:val="auto"/>
                <w:sz w:val="20"/>
              </w:rPr>
            </w:pPr>
            <w:r>
              <w:rPr>
                <w:color w:val="auto"/>
                <w:sz w:val="20"/>
              </w:rPr>
              <w:t>0100</w:t>
            </w:r>
          </w:p>
        </w:tc>
        <w:tc>
          <w:tcPr>
            <w:tcW w:w="755" w:type="dxa"/>
          </w:tcPr>
          <w:p w14:paraId="2BE1F60E">
            <w:pPr>
              <w:pStyle w:val="30"/>
              <w:spacing w:before="42"/>
              <w:ind w:right="145"/>
              <w:rPr>
                <w:color w:val="auto"/>
                <w:sz w:val="20"/>
              </w:rPr>
            </w:pPr>
            <w:r>
              <w:rPr>
                <w:color w:val="auto"/>
                <w:sz w:val="20"/>
              </w:rPr>
              <w:t>0044</w:t>
            </w:r>
          </w:p>
        </w:tc>
        <w:tc>
          <w:tcPr>
            <w:tcW w:w="1370" w:type="dxa"/>
          </w:tcPr>
          <w:p w14:paraId="08E0E0D4">
            <w:pPr>
              <w:pStyle w:val="30"/>
              <w:spacing w:before="42"/>
              <w:ind w:left="235" w:right="225"/>
              <w:rPr>
                <w:color w:val="auto"/>
                <w:sz w:val="20"/>
              </w:rPr>
            </w:pPr>
            <w:r>
              <w:rPr>
                <w:color w:val="auto"/>
                <w:sz w:val="20"/>
              </w:rPr>
              <w:t>3.68</w:t>
            </w:r>
          </w:p>
        </w:tc>
        <w:tc>
          <w:tcPr>
            <w:tcW w:w="1125" w:type="dxa"/>
          </w:tcPr>
          <w:p w14:paraId="4D320679">
            <w:pPr>
              <w:pStyle w:val="30"/>
              <w:spacing w:before="42"/>
              <w:ind w:left="212" w:right="203"/>
              <w:rPr>
                <w:color w:val="auto"/>
                <w:sz w:val="20"/>
              </w:rPr>
            </w:pPr>
            <w:r>
              <w:rPr>
                <w:color w:val="auto"/>
                <w:sz w:val="20"/>
              </w:rPr>
              <w:t>55.20</w:t>
            </w:r>
          </w:p>
        </w:tc>
        <w:tc>
          <w:tcPr>
            <w:tcW w:w="1995" w:type="dxa"/>
          </w:tcPr>
          <w:p w14:paraId="103D0343">
            <w:pPr>
              <w:pStyle w:val="30"/>
              <w:spacing w:before="28"/>
              <w:ind w:left="276" w:right="269"/>
              <w:rPr>
                <w:rFonts w:hint="eastAsia" w:ascii="宋体" w:eastAsia="宋体"/>
                <w:color w:val="auto"/>
                <w:sz w:val="20"/>
              </w:rPr>
            </w:pPr>
            <w:r>
              <w:rPr>
                <w:rFonts w:hint="eastAsia" w:ascii="宋体" w:eastAsia="宋体"/>
                <w:color w:val="auto"/>
                <w:sz w:val="20"/>
              </w:rPr>
              <w:t>实现无疫情小班</w:t>
            </w:r>
          </w:p>
        </w:tc>
      </w:tr>
      <w:tr w14:paraId="15ADD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5" w:type="dxa"/>
          </w:tcPr>
          <w:p w14:paraId="4C607484">
            <w:pPr>
              <w:pStyle w:val="30"/>
              <w:spacing w:before="41"/>
              <w:ind w:right="146"/>
              <w:rPr>
                <w:color w:val="auto"/>
                <w:sz w:val="20"/>
              </w:rPr>
            </w:pPr>
            <w:r>
              <w:rPr>
                <w:color w:val="auto"/>
                <w:sz w:val="20"/>
              </w:rPr>
              <w:t>75</w:t>
            </w:r>
          </w:p>
        </w:tc>
        <w:tc>
          <w:tcPr>
            <w:tcW w:w="1000" w:type="dxa"/>
          </w:tcPr>
          <w:p w14:paraId="43B4B6EF">
            <w:pPr>
              <w:pStyle w:val="30"/>
              <w:spacing w:before="28"/>
              <w:ind w:left="180" w:right="170"/>
              <w:rPr>
                <w:rFonts w:hint="eastAsia" w:ascii="宋体" w:eastAsia="宋体"/>
                <w:color w:val="auto"/>
                <w:sz w:val="20"/>
              </w:rPr>
            </w:pPr>
            <w:r>
              <w:rPr>
                <w:rFonts w:hint="eastAsia" w:ascii="宋体" w:eastAsia="宋体"/>
                <w:color w:val="auto"/>
                <w:sz w:val="20"/>
              </w:rPr>
              <w:t>全州镇</w:t>
            </w:r>
          </w:p>
        </w:tc>
        <w:tc>
          <w:tcPr>
            <w:tcW w:w="1249" w:type="dxa"/>
          </w:tcPr>
          <w:p w14:paraId="47635C51">
            <w:pPr>
              <w:pStyle w:val="30"/>
              <w:spacing w:before="28"/>
              <w:ind w:left="202" w:right="194"/>
              <w:rPr>
                <w:rFonts w:hint="eastAsia" w:ascii="宋体" w:eastAsia="宋体"/>
                <w:color w:val="auto"/>
                <w:sz w:val="20"/>
              </w:rPr>
            </w:pPr>
            <w:r>
              <w:rPr>
                <w:rFonts w:hint="eastAsia" w:ascii="宋体" w:eastAsia="宋体"/>
                <w:color w:val="auto"/>
                <w:sz w:val="20"/>
              </w:rPr>
              <w:t>全州村</w:t>
            </w:r>
          </w:p>
        </w:tc>
        <w:tc>
          <w:tcPr>
            <w:tcW w:w="755" w:type="dxa"/>
          </w:tcPr>
          <w:p w14:paraId="5F0C75A6">
            <w:pPr>
              <w:pStyle w:val="30"/>
              <w:spacing w:before="41"/>
              <w:ind w:right="147"/>
              <w:rPr>
                <w:color w:val="auto"/>
                <w:sz w:val="20"/>
              </w:rPr>
            </w:pPr>
            <w:r>
              <w:rPr>
                <w:color w:val="auto"/>
                <w:sz w:val="20"/>
              </w:rPr>
              <w:t>0100</w:t>
            </w:r>
          </w:p>
        </w:tc>
        <w:tc>
          <w:tcPr>
            <w:tcW w:w="755" w:type="dxa"/>
          </w:tcPr>
          <w:p w14:paraId="5CA33087">
            <w:pPr>
              <w:pStyle w:val="30"/>
              <w:spacing w:before="41"/>
              <w:ind w:right="145"/>
              <w:rPr>
                <w:color w:val="auto"/>
                <w:sz w:val="20"/>
              </w:rPr>
            </w:pPr>
            <w:r>
              <w:rPr>
                <w:color w:val="auto"/>
                <w:sz w:val="20"/>
              </w:rPr>
              <w:t>0020</w:t>
            </w:r>
          </w:p>
        </w:tc>
        <w:tc>
          <w:tcPr>
            <w:tcW w:w="1370" w:type="dxa"/>
          </w:tcPr>
          <w:p w14:paraId="223C6E31">
            <w:pPr>
              <w:pStyle w:val="30"/>
              <w:spacing w:before="41"/>
              <w:ind w:left="235" w:right="225"/>
              <w:rPr>
                <w:color w:val="auto"/>
                <w:sz w:val="20"/>
              </w:rPr>
            </w:pPr>
            <w:r>
              <w:rPr>
                <w:color w:val="auto"/>
                <w:sz w:val="20"/>
              </w:rPr>
              <w:t>5.03</w:t>
            </w:r>
          </w:p>
        </w:tc>
        <w:tc>
          <w:tcPr>
            <w:tcW w:w="1125" w:type="dxa"/>
          </w:tcPr>
          <w:p w14:paraId="47B5CFC5">
            <w:pPr>
              <w:pStyle w:val="30"/>
              <w:spacing w:before="41"/>
              <w:ind w:left="212" w:right="203"/>
              <w:rPr>
                <w:color w:val="auto"/>
                <w:sz w:val="20"/>
              </w:rPr>
            </w:pPr>
            <w:r>
              <w:rPr>
                <w:color w:val="auto"/>
                <w:sz w:val="20"/>
              </w:rPr>
              <w:t>75.45</w:t>
            </w:r>
          </w:p>
        </w:tc>
        <w:tc>
          <w:tcPr>
            <w:tcW w:w="1995" w:type="dxa"/>
          </w:tcPr>
          <w:p w14:paraId="3898565F">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4918F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5" w:type="dxa"/>
          </w:tcPr>
          <w:p w14:paraId="362A89A4">
            <w:pPr>
              <w:pStyle w:val="30"/>
              <w:spacing w:before="43"/>
              <w:ind w:right="146"/>
              <w:rPr>
                <w:color w:val="auto"/>
                <w:sz w:val="20"/>
              </w:rPr>
            </w:pPr>
            <w:r>
              <w:rPr>
                <w:color w:val="auto"/>
                <w:sz w:val="20"/>
              </w:rPr>
              <w:t>76</w:t>
            </w:r>
          </w:p>
        </w:tc>
        <w:tc>
          <w:tcPr>
            <w:tcW w:w="1000" w:type="dxa"/>
          </w:tcPr>
          <w:p w14:paraId="3FBEB760">
            <w:pPr>
              <w:pStyle w:val="30"/>
              <w:spacing w:before="30"/>
              <w:ind w:left="180" w:right="170"/>
              <w:rPr>
                <w:rFonts w:hint="eastAsia" w:ascii="宋体" w:eastAsia="宋体"/>
                <w:color w:val="auto"/>
                <w:sz w:val="20"/>
              </w:rPr>
            </w:pPr>
            <w:r>
              <w:rPr>
                <w:rFonts w:hint="eastAsia" w:ascii="宋体" w:eastAsia="宋体"/>
                <w:color w:val="auto"/>
                <w:sz w:val="20"/>
              </w:rPr>
              <w:t>全州镇</w:t>
            </w:r>
          </w:p>
        </w:tc>
        <w:tc>
          <w:tcPr>
            <w:tcW w:w="1249" w:type="dxa"/>
          </w:tcPr>
          <w:p w14:paraId="6EDD73D2">
            <w:pPr>
              <w:pStyle w:val="30"/>
              <w:spacing w:before="30"/>
              <w:ind w:left="202" w:right="194"/>
              <w:rPr>
                <w:rFonts w:hint="eastAsia" w:ascii="宋体" w:eastAsia="宋体"/>
                <w:color w:val="auto"/>
                <w:sz w:val="20"/>
              </w:rPr>
            </w:pPr>
            <w:r>
              <w:rPr>
                <w:rFonts w:hint="eastAsia" w:ascii="宋体" w:eastAsia="宋体"/>
                <w:color w:val="auto"/>
                <w:sz w:val="20"/>
              </w:rPr>
              <w:t>柘桥村</w:t>
            </w:r>
          </w:p>
        </w:tc>
        <w:tc>
          <w:tcPr>
            <w:tcW w:w="755" w:type="dxa"/>
          </w:tcPr>
          <w:p w14:paraId="74B9F2FB">
            <w:pPr>
              <w:pStyle w:val="30"/>
              <w:spacing w:before="43"/>
              <w:ind w:right="147"/>
              <w:rPr>
                <w:color w:val="auto"/>
                <w:sz w:val="20"/>
              </w:rPr>
            </w:pPr>
            <w:r>
              <w:rPr>
                <w:color w:val="auto"/>
                <w:sz w:val="20"/>
              </w:rPr>
              <w:t>0100</w:t>
            </w:r>
          </w:p>
        </w:tc>
        <w:tc>
          <w:tcPr>
            <w:tcW w:w="755" w:type="dxa"/>
          </w:tcPr>
          <w:p w14:paraId="03CF561B">
            <w:pPr>
              <w:pStyle w:val="30"/>
              <w:spacing w:before="43"/>
              <w:ind w:right="145"/>
              <w:rPr>
                <w:color w:val="auto"/>
                <w:sz w:val="20"/>
              </w:rPr>
            </w:pPr>
            <w:r>
              <w:rPr>
                <w:color w:val="auto"/>
                <w:sz w:val="20"/>
              </w:rPr>
              <w:t>0016</w:t>
            </w:r>
          </w:p>
        </w:tc>
        <w:tc>
          <w:tcPr>
            <w:tcW w:w="1370" w:type="dxa"/>
          </w:tcPr>
          <w:p w14:paraId="3BE1121F">
            <w:pPr>
              <w:pStyle w:val="30"/>
              <w:spacing w:before="43"/>
              <w:ind w:left="235" w:right="227"/>
              <w:rPr>
                <w:color w:val="auto"/>
                <w:sz w:val="20"/>
              </w:rPr>
            </w:pPr>
            <w:r>
              <w:rPr>
                <w:color w:val="auto"/>
                <w:sz w:val="20"/>
              </w:rPr>
              <w:t>12.12</w:t>
            </w:r>
          </w:p>
        </w:tc>
        <w:tc>
          <w:tcPr>
            <w:tcW w:w="1125" w:type="dxa"/>
          </w:tcPr>
          <w:p w14:paraId="3AE53AAB">
            <w:pPr>
              <w:pStyle w:val="30"/>
              <w:spacing w:before="43"/>
              <w:ind w:left="212" w:right="203"/>
              <w:rPr>
                <w:color w:val="auto"/>
                <w:sz w:val="20"/>
              </w:rPr>
            </w:pPr>
            <w:r>
              <w:rPr>
                <w:color w:val="auto"/>
                <w:sz w:val="20"/>
              </w:rPr>
              <w:t>181.80</w:t>
            </w:r>
          </w:p>
        </w:tc>
        <w:tc>
          <w:tcPr>
            <w:tcW w:w="1995" w:type="dxa"/>
          </w:tcPr>
          <w:p w14:paraId="1EE32E43">
            <w:pPr>
              <w:pStyle w:val="30"/>
              <w:spacing w:before="30"/>
              <w:ind w:left="276" w:right="269"/>
              <w:rPr>
                <w:rFonts w:hint="eastAsia" w:ascii="宋体" w:eastAsia="宋体"/>
                <w:color w:val="auto"/>
                <w:sz w:val="20"/>
              </w:rPr>
            </w:pPr>
            <w:r>
              <w:rPr>
                <w:rFonts w:hint="eastAsia" w:ascii="宋体" w:eastAsia="宋体"/>
                <w:color w:val="auto"/>
                <w:sz w:val="20"/>
              </w:rPr>
              <w:t>疫情小班</w:t>
            </w:r>
          </w:p>
        </w:tc>
      </w:tr>
      <w:tr w14:paraId="4C383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5" w:type="dxa"/>
          </w:tcPr>
          <w:p w14:paraId="38569F5A">
            <w:pPr>
              <w:pStyle w:val="30"/>
              <w:spacing w:before="43"/>
              <w:ind w:right="146"/>
              <w:rPr>
                <w:color w:val="auto"/>
                <w:sz w:val="20"/>
              </w:rPr>
            </w:pPr>
            <w:r>
              <w:rPr>
                <w:color w:val="auto"/>
                <w:sz w:val="20"/>
              </w:rPr>
              <w:t>77</w:t>
            </w:r>
          </w:p>
        </w:tc>
        <w:tc>
          <w:tcPr>
            <w:tcW w:w="1000" w:type="dxa"/>
          </w:tcPr>
          <w:p w14:paraId="608C6271">
            <w:pPr>
              <w:pStyle w:val="30"/>
              <w:spacing w:before="30"/>
              <w:ind w:left="180" w:right="170"/>
              <w:rPr>
                <w:rFonts w:hint="eastAsia" w:ascii="宋体" w:eastAsia="宋体"/>
                <w:color w:val="auto"/>
                <w:sz w:val="20"/>
              </w:rPr>
            </w:pPr>
            <w:r>
              <w:rPr>
                <w:rFonts w:hint="eastAsia" w:ascii="宋体" w:eastAsia="宋体"/>
                <w:color w:val="auto"/>
                <w:sz w:val="20"/>
              </w:rPr>
              <w:t>全州镇</w:t>
            </w:r>
          </w:p>
        </w:tc>
        <w:tc>
          <w:tcPr>
            <w:tcW w:w="1249" w:type="dxa"/>
          </w:tcPr>
          <w:p w14:paraId="08FE39C4">
            <w:pPr>
              <w:pStyle w:val="30"/>
              <w:spacing w:before="30"/>
              <w:ind w:left="202" w:right="194"/>
              <w:rPr>
                <w:rFonts w:hint="eastAsia" w:ascii="宋体" w:eastAsia="宋体"/>
                <w:color w:val="auto"/>
                <w:sz w:val="20"/>
              </w:rPr>
            </w:pPr>
            <w:r>
              <w:rPr>
                <w:rFonts w:hint="eastAsia" w:ascii="宋体" w:eastAsia="宋体"/>
                <w:color w:val="auto"/>
                <w:sz w:val="20"/>
              </w:rPr>
              <w:t>柘桥村</w:t>
            </w:r>
          </w:p>
        </w:tc>
        <w:tc>
          <w:tcPr>
            <w:tcW w:w="755" w:type="dxa"/>
          </w:tcPr>
          <w:p w14:paraId="33D1B569">
            <w:pPr>
              <w:pStyle w:val="30"/>
              <w:spacing w:before="43"/>
              <w:ind w:right="147"/>
              <w:rPr>
                <w:color w:val="auto"/>
                <w:sz w:val="20"/>
              </w:rPr>
            </w:pPr>
            <w:r>
              <w:rPr>
                <w:color w:val="auto"/>
                <w:sz w:val="20"/>
              </w:rPr>
              <w:t>0100</w:t>
            </w:r>
          </w:p>
        </w:tc>
        <w:tc>
          <w:tcPr>
            <w:tcW w:w="755" w:type="dxa"/>
          </w:tcPr>
          <w:p w14:paraId="5C331130">
            <w:pPr>
              <w:pStyle w:val="30"/>
              <w:spacing w:before="43"/>
              <w:ind w:right="145"/>
              <w:rPr>
                <w:color w:val="auto"/>
                <w:sz w:val="20"/>
              </w:rPr>
            </w:pPr>
            <w:r>
              <w:rPr>
                <w:color w:val="auto"/>
                <w:sz w:val="20"/>
              </w:rPr>
              <w:t>0020</w:t>
            </w:r>
          </w:p>
        </w:tc>
        <w:tc>
          <w:tcPr>
            <w:tcW w:w="1370" w:type="dxa"/>
          </w:tcPr>
          <w:p w14:paraId="0C522A87">
            <w:pPr>
              <w:pStyle w:val="30"/>
              <w:spacing w:before="43"/>
              <w:ind w:left="235" w:right="225"/>
              <w:rPr>
                <w:color w:val="auto"/>
                <w:sz w:val="20"/>
              </w:rPr>
            </w:pPr>
            <w:r>
              <w:rPr>
                <w:color w:val="auto"/>
                <w:sz w:val="20"/>
              </w:rPr>
              <w:t>0.66</w:t>
            </w:r>
          </w:p>
        </w:tc>
        <w:tc>
          <w:tcPr>
            <w:tcW w:w="1125" w:type="dxa"/>
          </w:tcPr>
          <w:p w14:paraId="6A56EFFA">
            <w:pPr>
              <w:pStyle w:val="30"/>
              <w:spacing w:before="43"/>
              <w:ind w:left="212" w:right="203"/>
              <w:rPr>
                <w:color w:val="auto"/>
                <w:sz w:val="20"/>
              </w:rPr>
            </w:pPr>
            <w:r>
              <w:rPr>
                <w:color w:val="auto"/>
                <w:sz w:val="20"/>
              </w:rPr>
              <w:t>9.90</w:t>
            </w:r>
          </w:p>
        </w:tc>
        <w:tc>
          <w:tcPr>
            <w:tcW w:w="1995" w:type="dxa"/>
          </w:tcPr>
          <w:p w14:paraId="0A09BDE5">
            <w:pPr>
              <w:pStyle w:val="30"/>
              <w:spacing w:before="30"/>
              <w:ind w:left="276" w:right="269"/>
              <w:rPr>
                <w:rFonts w:hint="eastAsia" w:ascii="宋体" w:eastAsia="宋体"/>
                <w:color w:val="auto"/>
                <w:sz w:val="20"/>
              </w:rPr>
            </w:pPr>
            <w:r>
              <w:rPr>
                <w:rFonts w:hint="eastAsia" w:ascii="宋体" w:eastAsia="宋体"/>
                <w:color w:val="auto"/>
                <w:sz w:val="20"/>
              </w:rPr>
              <w:t>疫情小班</w:t>
            </w:r>
          </w:p>
        </w:tc>
      </w:tr>
      <w:tr w14:paraId="681A9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55" w:type="dxa"/>
          </w:tcPr>
          <w:p w14:paraId="5AE78AB3">
            <w:pPr>
              <w:pStyle w:val="30"/>
              <w:spacing w:before="42"/>
              <w:ind w:right="146"/>
              <w:rPr>
                <w:color w:val="auto"/>
                <w:sz w:val="20"/>
              </w:rPr>
            </w:pPr>
            <w:r>
              <w:rPr>
                <w:color w:val="auto"/>
                <w:sz w:val="20"/>
              </w:rPr>
              <w:t>78</w:t>
            </w:r>
          </w:p>
        </w:tc>
        <w:tc>
          <w:tcPr>
            <w:tcW w:w="1000" w:type="dxa"/>
          </w:tcPr>
          <w:p w14:paraId="41F86882">
            <w:pPr>
              <w:pStyle w:val="30"/>
              <w:spacing w:before="29"/>
              <w:ind w:left="180" w:right="170"/>
              <w:rPr>
                <w:rFonts w:hint="eastAsia" w:ascii="宋体" w:eastAsia="宋体"/>
                <w:color w:val="auto"/>
                <w:sz w:val="20"/>
              </w:rPr>
            </w:pPr>
            <w:r>
              <w:rPr>
                <w:rFonts w:hint="eastAsia" w:ascii="宋体" w:eastAsia="宋体"/>
                <w:color w:val="auto"/>
                <w:sz w:val="20"/>
              </w:rPr>
              <w:t>全州镇</w:t>
            </w:r>
          </w:p>
        </w:tc>
        <w:tc>
          <w:tcPr>
            <w:tcW w:w="1249" w:type="dxa"/>
          </w:tcPr>
          <w:p w14:paraId="255F4731">
            <w:pPr>
              <w:pStyle w:val="30"/>
              <w:spacing w:before="29"/>
              <w:ind w:left="202" w:right="194"/>
              <w:rPr>
                <w:rFonts w:hint="eastAsia" w:ascii="宋体" w:eastAsia="宋体"/>
                <w:color w:val="auto"/>
                <w:sz w:val="20"/>
              </w:rPr>
            </w:pPr>
            <w:r>
              <w:rPr>
                <w:rFonts w:hint="eastAsia" w:ascii="宋体" w:eastAsia="宋体"/>
                <w:color w:val="auto"/>
                <w:sz w:val="20"/>
              </w:rPr>
              <w:t>柘桥村</w:t>
            </w:r>
          </w:p>
        </w:tc>
        <w:tc>
          <w:tcPr>
            <w:tcW w:w="755" w:type="dxa"/>
          </w:tcPr>
          <w:p w14:paraId="23E80B3C">
            <w:pPr>
              <w:pStyle w:val="30"/>
              <w:spacing w:before="42"/>
              <w:ind w:right="147"/>
              <w:rPr>
                <w:color w:val="auto"/>
                <w:sz w:val="20"/>
              </w:rPr>
            </w:pPr>
            <w:r>
              <w:rPr>
                <w:color w:val="auto"/>
                <w:sz w:val="20"/>
              </w:rPr>
              <w:t>0100</w:t>
            </w:r>
          </w:p>
        </w:tc>
        <w:tc>
          <w:tcPr>
            <w:tcW w:w="755" w:type="dxa"/>
          </w:tcPr>
          <w:p w14:paraId="1DA56833">
            <w:pPr>
              <w:pStyle w:val="30"/>
              <w:spacing w:before="42"/>
              <w:ind w:right="145"/>
              <w:rPr>
                <w:color w:val="auto"/>
                <w:sz w:val="20"/>
              </w:rPr>
            </w:pPr>
            <w:r>
              <w:rPr>
                <w:color w:val="auto"/>
                <w:sz w:val="20"/>
              </w:rPr>
              <w:t>0027</w:t>
            </w:r>
          </w:p>
        </w:tc>
        <w:tc>
          <w:tcPr>
            <w:tcW w:w="1370" w:type="dxa"/>
          </w:tcPr>
          <w:p w14:paraId="6749E422">
            <w:pPr>
              <w:pStyle w:val="30"/>
              <w:spacing w:before="42"/>
              <w:ind w:left="235" w:right="225"/>
              <w:rPr>
                <w:color w:val="auto"/>
                <w:sz w:val="20"/>
              </w:rPr>
            </w:pPr>
            <w:r>
              <w:rPr>
                <w:color w:val="auto"/>
                <w:sz w:val="20"/>
              </w:rPr>
              <w:t>3.89</w:t>
            </w:r>
          </w:p>
        </w:tc>
        <w:tc>
          <w:tcPr>
            <w:tcW w:w="1125" w:type="dxa"/>
          </w:tcPr>
          <w:p w14:paraId="50F9B3B1">
            <w:pPr>
              <w:pStyle w:val="30"/>
              <w:spacing w:before="42"/>
              <w:ind w:left="212" w:right="203"/>
              <w:rPr>
                <w:color w:val="auto"/>
                <w:sz w:val="20"/>
              </w:rPr>
            </w:pPr>
            <w:r>
              <w:rPr>
                <w:color w:val="auto"/>
                <w:sz w:val="20"/>
              </w:rPr>
              <w:t>58.35</w:t>
            </w:r>
          </w:p>
        </w:tc>
        <w:tc>
          <w:tcPr>
            <w:tcW w:w="1995" w:type="dxa"/>
          </w:tcPr>
          <w:p w14:paraId="43EB5804">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73DB8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5" w:type="dxa"/>
          </w:tcPr>
          <w:p w14:paraId="054AF9E2">
            <w:pPr>
              <w:pStyle w:val="30"/>
              <w:spacing w:before="42"/>
              <w:ind w:right="146"/>
              <w:rPr>
                <w:color w:val="auto"/>
                <w:sz w:val="20"/>
              </w:rPr>
            </w:pPr>
            <w:r>
              <w:rPr>
                <w:color w:val="auto"/>
                <w:sz w:val="20"/>
              </w:rPr>
              <w:t>79</w:t>
            </w:r>
          </w:p>
        </w:tc>
        <w:tc>
          <w:tcPr>
            <w:tcW w:w="1000" w:type="dxa"/>
          </w:tcPr>
          <w:p w14:paraId="71AA51DB">
            <w:pPr>
              <w:pStyle w:val="30"/>
              <w:spacing w:before="29"/>
              <w:ind w:left="180" w:right="170"/>
              <w:rPr>
                <w:rFonts w:hint="eastAsia" w:ascii="宋体" w:eastAsia="宋体"/>
                <w:color w:val="auto"/>
                <w:sz w:val="20"/>
              </w:rPr>
            </w:pPr>
            <w:r>
              <w:rPr>
                <w:rFonts w:hint="eastAsia" w:ascii="宋体" w:eastAsia="宋体"/>
                <w:color w:val="auto"/>
                <w:sz w:val="20"/>
              </w:rPr>
              <w:t>全州镇</w:t>
            </w:r>
          </w:p>
        </w:tc>
        <w:tc>
          <w:tcPr>
            <w:tcW w:w="1249" w:type="dxa"/>
          </w:tcPr>
          <w:p w14:paraId="3B33DB34">
            <w:pPr>
              <w:pStyle w:val="30"/>
              <w:spacing w:before="29"/>
              <w:ind w:left="202" w:right="194"/>
              <w:rPr>
                <w:rFonts w:hint="eastAsia" w:ascii="宋体" w:eastAsia="宋体"/>
                <w:color w:val="auto"/>
                <w:sz w:val="20"/>
              </w:rPr>
            </w:pPr>
            <w:r>
              <w:rPr>
                <w:rFonts w:hint="eastAsia" w:ascii="宋体" w:eastAsia="宋体"/>
                <w:color w:val="auto"/>
                <w:sz w:val="20"/>
              </w:rPr>
              <w:t>柘桥村</w:t>
            </w:r>
          </w:p>
        </w:tc>
        <w:tc>
          <w:tcPr>
            <w:tcW w:w="755" w:type="dxa"/>
          </w:tcPr>
          <w:p w14:paraId="513BDC8D">
            <w:pPr>
              <w:pStyle w:val="30"/>
              <w:spacing w:before="42"/>
              <w:ind w:right="147"/>
              <w:rPr>
                <w:color w:val="auto"/>
                <w:sz w:val="20"/>
              </w:rPr>
            </w:pPr>
            <w:r>
              <w:rPr>
                <w:color w:val="auto"/>
                <w:sz w:val="20"/>
              </w:rPr>
              <w:t>0200</w:t>
            </w:r>
          </w:p>
        </w:tc>
        <w:tc>
          <w:tcPr>
            <w:tcW w:w="755" w:type="dxa"/>
          </w:tcPr>
          <w:p w14:paraId="5F0680D1">
            <w:pPr>
              <w:pStyle w:val="30"/>
              <w:spacing w:before="42"/>
              <w:ind w:right="145"/>
              <w:rPr>
                <w:color w:val="auto"/>
                <w:sz w:val="20"/>
              </w:rPr>
            </w:pPr>
            <w:r>
              <w:rPr>
                <w:color w:val="auto"/>
                <w:sz w:val="20"/>
              </w:rPr>
              <w:t>0008</w:t>
            </w:r>
          </w:p>
        </w:tc>
        <w:tc>
          <w:tcPr>
            <w:tcW w:w="1370" w:type="dxa"/>
          </w:tcPr>
          <w:p w14:paraId="45496833">
            <w:pPr>
              <w:pStyle w:val="30"/>
              <w:spacing w:before="42"/>
              <w:ind w:left="235" w:right="225"/>
              <w:rPr>
                <w:color w:val="auto"/>
                <w:sz w:val="20"/>
              </w:rPr>
            </w:pPr>
            <w:r>
              <w:rPr>
                <w:color w:val="auto"/>
                <w:sz w:val="20"/>
              </w:rPr>
              <w:t>1.09</w:t>
            </w:r>
          </w:p>
        </w:tc>
        <w:tc>
          <w:tcPr>
            <w:tcW w:w="1125" w:type="dxa"/>
          </w:tcPr>
          <w:p w14:paraId="7645FEF2">
            <w:pPr>
              <w:pStyle w:val="30"/>
              <w:spacing w:before="42"/>
              <w:ind w:left="212" w:right="203"/>
              <w:rPr>
                <w:color w:val="auto"/>
                <w:sz w:val="20"/>
              </w:rPr>
            </w:pPr>
            <w:r>
              <w:rPr>
                <w:color w:val="auto"/>
                <w:sz w:val="20"/>
              </w:rPr>
              <w:t>16.35</w:t>
            </w:r>
          </w:p>
        </w:tc>
        <w:tc>
          <w:tcPr>
            <w:tcW w:w="1995" w:type="dxa"/>
          </w:tcPr>
          <w:p w14:paraId="07E81878">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6CD09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5" w:type="dxa"/>
          </w:tcPr>
          <w:p w14:paraId="1CC9E138">
            <w:pPr>
              <w:pStyle w:val="30"/>
              <w:spacing w:before="42"/>
              <w:ind w:right="146"/>
              <w:rPr>
                <w:color w:val="auto"/>
                <w:sz w:val="20"/>
              </w:rPr>
            </w:pPr>
            <w:r>
              <w:rPr>
                <w:color w:val="auto"/>
                <w:sz w:val="20"/>
              </w:rPr>
              <w:t>80</w:t>
            </w:r>
          </w:p>
        </w:tc>
        <w:tc>
          <w:tcPr>
            <w:tcW w:w="1000" w:type="dxa"/>
          </w:tcPr>
          <w:p w14:paraId="6B9B87BD">
            <w:pPr>
              <w:pStyle w:val="30"/>
              <w:spacing w:before="28"/>
              <w:ind w:left="180" w:right="170"/>
              <w:rPr>
                <w:rFonts w:hint="eastAsia" w:ascii="宋体" w:eastAsia="宋体"/>
                <w:color w:val="auto"/>
                <w:sz w:val="20"/>
              </w:rPr>
            </w:pPr>
            <w:r>
              <w:rPr>
                <w:rFonts w:hint="eastAsia" w:ascii="宋体" w:eastAsia="宋体"/>
                <w:color w:val="auto"/>
                <w:sz w:val="20"/>
              </w:rPr>
              <w:t>全州镇</w:t>
            </w:r>
          </w:p>
        </w:tc>
        <w:tc>
          <w:tcPr>
            <w:tcW w:w="1249" w:type="dxa"/>
          </w:tcPr>
          <w:p w14:paraId="224AB57B">
            <w:pPr>
              <w:pStyle w:val="30"/>
              <w:spacing w:before="28"/>
              <w:ind w:left="202" w:right="194"/>
              <w:rPr>
                <w:rFonts w:hint="eastAsia" w:ascii="宋体" w:eastAsia="宋体"/>
                <w:color w:val="auto"/>
                <w:sz w:val="20"/>
              </w:rPr>
            </w:pPr>
            <w:r>
              <w:rPr>
                <w:rFonts w:hint="eastAsia" w:ascii="宋体" w:eastAsia="宋体"/>
                <w:color w:val="auto"/>
                <w:sz w:val="20"/>
              </w:rPr>
              <w:t>柘桥村</w:t>
            </w:r>
          </w:p>
        </w:tc>
        <w:tc>
          <w:tcPr>
            <w:tcW w:w="755" w:type="dxa"/>
          </w:tcPr>
          <w:p w14:paraId="395C6789">
            <w:pPr>
              <w:pStyle w:val="30"/>
              <w:spacing w:before="42"/>
              <w:ind w:right="147"/>
              <w:rPr>
                <w:color w:val="auto"/>
                <w:sz w:val="20"/>
              </w:rPr>
            </w:pPr>
            <w:r>
              <w:rPr>
                <w:color w:val="auto"/>
                <w:sz w:val="20"/>
              </w:rPr>
              <w:t>0200</w:t>
            </w:r>
          </w:p>
        </w:tc>
        <w:tc>
          <w:tcPr>
            <w:tcW w:w="755" w:type="dxa"/>
          </w:tcPr>
          <w:p w14:paraId="13518E46">
            <w:pPr>
              <w:pStyle w:val="30"/>
              <w:spacing w:before="42"/>
              <w:ind w:right="145"/>
              <w:rPr>
                <w:color w:val="auto"/>
                <w:sz w:val="20"/>
              </w:rPr>
            </w:pPr>
            <w:r>
              <w:rPr>
                <w:color w:val="auto"/>
                <w:sz w:val="20"/>
              </w:rPr>
              <w:t>0009</w:t>
            </w:r>
          </w:p>
        </w:tc>
        <w:tc>
          <w:tcPr>
            <w:tcW w:w="1370" w:type="dxa"/>
          </w:tcPr>
          <w:p w14:paraId="6F05DB26">
            <w:pPr>
              <w:pStyle w:val="30"/>
              <w:spacing w:before="42"/>
              <w:ind w:left="235" w:right="225"/>
              <w:rPr>
                <w:color w:val="auto"/>
                <w:sz w:val="20"/>
              </w:rPr>
            </w:pPr>
            <w:r>
              <w:rPr>
                <w:color w:val="auto"/>
                <w:sz w:val="20"/>
              </w:rPr>
              <w:t>2.13</w:t>
            </w:r>
          </w:p>
        </w:tc>
        <w:tc>
          <w:tcPr>
            <w:tcW w:w="1125" w:type="dxa"/>
          </w:tcPr>
          <w:p w14:paraId="71072777">
            <w:pPr>
              <w:pStyle w:val="30"/>
              <w:spacing w:before="42"/>
              <w:ind w:left="212" w:right="203"/>
              <w:rPr>
                <w:color w:val="auto"/>
                <w:sz w:val="20"/>
              </w:rPr>
            </w:pPr>
            <w:r>
              <w:rPr>
                <w:color w:val="auto"/>
                <w:sz w:val="20"/>
              </w:rPr>
              <w:t>31.95</w:t>
            </w:r>
          </w:p>
        </w:tc>
        <w:tc>
          <w:tcPr>
            <w:tcW w:w="1995" w:type="dxa"/>
          </w:tcPr>
          <w:p w14:paraId="4614CEF8">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6BFFB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5" w:type="dxa"/>
          </w:tcPr>
          <w:p w14:paraId="5BAC50FF">
            <w:pPr>
              <w:pStyle w:val="30"/>
              <w:spacing w:before="41"/>
              <w:ind w:right="146"/>
              <w:rPr>
                <w:color w:val="auto"/>
                <w:sz w:val="20"/>
              </w:rPr>
            </w:pPr>
            <w:r>
              <w:rPr>
                <w:color w:val="auto"/>
                <w:sz w:val="20"/>
              </w:rPr>
              <w:t>81</w:t>
            </w:r>
          </w:p>
        </w:tc>
        <w:tc>
          <w:tcPr>
            <w:tcW w:w="1000" w:type="dxa"/>
          </w:tcPr>
          <w:p w14:paraId="29494CEB">
            <w:pPr>
              <w:pStyle w:val="30"/>
              <w:spacing w:before="28"/>
              <w:ind w:left="180" w:right="170"/>
              <w:rPr>
                <w:rFonts w:hint="eastAsia" w:ascii="宋体" w:eastAsia="宋体"/>
                <w:color w:val="auto"/>
                <w:sz w:val="20"/>
              </w:rPr>
            </w:pPr>
            <w:r>
              <w:rPr>
                <w:rFonts w:hint="eastAsia" w:ascii="宋体" w:eastAsia="宋体"/>
                <w:color w:val="auto"/>
                <w:sz w:val="20"/>
              </w:rPr>
              <w:t>全州镇</w:t>
            </w:r>
          </w:p>
        </w:tc>
        <w:tc>
          <w:tcPr>
            <w:tcW w:w="1249" w:type="dxa"/>
          </w:tcPr>
          <w:p w14:paraId="7F4FC8EE">
            <w:pPr>
              <w:pStyle w:val="30"/>
              <w:spacing w:before="28"/>
              <w:ind w:left="202" w:right="194"/>
              <w:rPr>
                <w:rFonts w:hint="eastAsia" w:ascii="宋体" w:eastAsia="宋体"/>
                <w:color w:val="auto"/>
                <w:sz w:val="20"/>
              </w:rPr>
            </w:pPr>
            <w:r>
              <w:rPr>
                <w:rFonts w:hint="eastAsia" w:ascii="宋体" w:eastAsia="宋体"/>
                <w:color w:val="auto"/>
                <w:sz w:val="20"/>
              </w:rPr>
              <w:t>柘桥村</w:t>
            </w:r>
          </w:p>
        </w:tc>
        <w:tc>
          <w:tcPr>
            <w:tcW w:w="755" w:type="dxa"/>
          </w:tcPr>
          <w:p w14:paraId="78621D5A">
            <w:pPr>
              <w:pStyle w:val="30"/>
              <w:spacing w:before="41"/>
              <w:ind w:right="147"/>
              <w:rPr>
                <w:color w:val="auto"/>
                <w:sz w:val="20"/>
              </w:rPr>
            </w:pPr>
            <w:r>
              <w:rPr>
                <w:color w:val="auto"/>
                <w:sz w:val="20"/>
              </w:rPr>
              <w:t>0200</w:t>
            </w:r>
          </w:p>
        </w:tc>
        <w:tc>
          <w:tcPr>
            <w:tcW w:w="755" w:type="dxa"/>
          </w:tcPr>
          <w:p w14:paraId="04B76D83">
            <w:pPr>
              <w:pStyle w:val="30"/>
              <w:spacing w:before="41"/>
              <w:ind w:right="145"/>
              <w:rPr>
                <w:color w:val="auto"/>
                <w:sz w:val="20"/>
              </w:rPr>
            </w:pPr>
            <w:r>
              <w:rPr>
                <w:color w:val="auto"/>
                <w:sz w:val="20"/>
              </w:rPr>
              <w:t>0010</w:t>
            </w:r>
          </w:p>
        </w:tc>
        <w:tc>
          <w:tcPr>
            <w:tcW w:w="1370" w:type="dxa"/>
          </w:tcPr>
          <w:p w14:paraId="3A26937A">
            <w:pPr>
              <w:pStyle w:val="30"/>
              <w:spacing w:before="41"/>
              <w:ind w:left="235" w:right="225"/>
              <w:rPr>
                <w:color w:val="auto"/>
                <w:sz w:val="20"/>
              </w:rPr>
            </w:pPr>
            <w:r>
              <w:rPr>
                <w:color w:val="auto"/>
                <w:sz w:val="20"/>
              </w:rPr>
              <w:t>1.47</w:t>
            </w:r>
          </w:p>
        </w:tc>
        <w:tc>
          <w:tcPr>
            <w:tcW w:w="1125" w:type="dxa"/>
          </w:tcPr>
          <w:p w14:paraId="08EE0852">
            <w:pPr>
              <w:pStyle w:val="30"/>
              <w:spacing w:before="41"/>
              <w:ind w:left="212" w:right="203"/>
              <w:rPr>
                <w:color w:val="auto"/>
                <w:sz w:val="20"/>
              </w:rPr>
            </w:pPr>
            <w:r>
              <w:rPr>
                <w:color w:val="auto"/>
                <w:sz w:val="20"/>
              </w:rPr>
              <w:t>22.05</w:t>
            </w:r>
          </w:p>
        </w:tc>
        <w:tc>
          <w:tcPr>
            <w:tcW w:w="1995" w:type="dxa"/>
          </w:tcPr>
          <w:p w14:paraId="5F4DA0B2">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10936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5" w:type="dxa"/>
          </w:tcPr>
          <w:p w14:paraId="77111B78">
            <w:pPr>
              <w:pStyle w:val="30"/>
              <w:spacing w:before="43"/>
              <w:ind w:right="146"/>
              <w:rPr>
                <w:color w:val="auto"/>
                <w:sz w:val="20"/>
              </w:rPr>
            </w:pPr>
            <w:r>
              <w:rPr>
                <w:color w:val="auto"/>
                <w:sz w:val="20"/>
              </w:rPr>
              <w:t>82</w:t>
            </w:r>
          </w:p>
        </w:tc>
        <w:tc>
          <w:tcPr>
            <w:tcW w:w="1000" w:type="dxa"/>
          </w:tcPr>
          <w:p w14:paraId="7C8299A2">
            <w:pPr>
              <w:pStyle w:val="30"/>
              <w:spacing w:before="30"/>
              <w:ind w:left="180" w:right="170"/>
              <w:rPr>
                <w:rFonts w:hint="eastAsia" w:ascii="宋体" w:eastAsia="宋体"/>
                <w:color w:val="auto"/>
                <w:sz w:val="20"/>
              </w:rPr>
            </w:pPr>
            <w:r>
              <w:rPr>
                <w:rFonts w:hint="eastAsia" w:ascii="宋体" w:eastAsia="宋体"/>
                <w:color w:val="auto"/>
                <w:sz w:val="20"/>
              </w:rPr>
              <w:t>全州镇</w:t>
            </w:r>
          </w:p>
        </w:tc>
        <w:tc>
          <w:tcPr>
            <w:tcW w:w="1249" w:type="dxa"/>
          </w:tcPr>
          <w:p w14:paraId="2414BC80">
            <w:pPr>
              <w:pStyle w:val="30"/>
              <w:spacing w:before="30"/>
              <w:ind w:left="202" w:right="194"/>
              <w:rPr>
                <w:rFonts w:hint="eastAsia" w:ascii="宋体" w:eastAsia="宋体"/>
                <w:color w:val="auto"/>
                <w:sz w:val="20"/>
              </w:rPr>
            </w:pPr>
            <w:r>
              <w:rPr>
                <w:rFonts w:hint="eastAsia" w:ascii="宋体" w:eastAsia="宋体"/>
                <w:color w:val="auto"/>
                <w:sz w:val="20"/>
              </w:rPr>
              <w:t>柘桥村</w:t>
            </w:r>
          </w:p>
        </w:tc>
        <w:tc>
          <w:tcPr>
            <w:tcW w:w="755" w:type="dxa"/>
          </w:tcPr>
          <w:p w14:paraId="4F92D654">
            <w:pPr>
              <w:pStyle w:val="30"/>
              <w:spacing w:before="43"/>
              <w:ind w:right="147"/>
              <w:rPr>
                <w:color w:val="auto"/>
                <w:sz w:val="20"/>
              </w:rPr>
            </w:pPr>
            <w:r>
              <w:rPr>
                <w:color w:val="auto"/>
                <w:sz w:val="20"/>
              </w:rPr>
              <w:t>0200</w:t>
            </w:r>
          </w:p>
        </w:tc>
        <w:tc>
          <w:tcPr>
            <w:tcW w:w="755" w:type="dxa"/>
          </w:tcPr>
          <w:p w14:paraId="512E4114">
            <w:pPr>
              <w:pStyle w:val="30"/>
              <w:spacing w:before="43"/>
              <w:ind w:right="145"/>
              <w:rPr>
                <w:color w:val="auto"/>
                <w:sz w:val="20"/>
              </w:rPr>
            </w:pPr>
            <w:r>
              <w:rPr>
                <w:color w:val="auto"/>
                <w:sz w:val="20"/>
              </w:rPr>
              <w:t>0022</w:t>
            </w:r>
          </w:p>
        </w:tc>
        <w:tc>
          <w:tcPr>
            <w:tcW w:w="1370" w:type="dxa"/>
          </w:tcPr>
          <w:p w14:paraId="1FFEA33A">
            <w:pPr>
              <w:pStyle w:val="30"/>
              <w:spacing w:before="43"/>
              <w:ind w:left="235" w:right="225"/>
              <w:rPr>
                <w:color w:val="auto"/>
                <w:sz w:val="20"/>
              </w:rPr>
            </w:pPr>
            <w:r>
              <w:rPr>
                <w:color w:val="auto"/>
                <w:sz w:val="20"/>
              </w:rPr>
              <w:t>1.72</w:t>
            </w:r>
          </w:p>
        </w:tc>
        <w:tc>
          <w:tcPr>
            <w:tcW w:w="1125" w:type="dxa"/>
          </w:tcPr>
          <w:p w14:paraId="1406B90E">
            <w:pPr>
              <w:pStyle w:val="30"/>
              <w:spacing w:before="43"/>
              <w:ind w:left="212" w:right="203"/>
              <w:rPr>
                <w:color w:val="auto"/>
                <w:sz w:val="20"/>
              </w:rPr>
            </w:pPr>
            <w:r>
              <w:rPr>
                <w:color w:val="auto"/>
                <w:sz w:val="20"/>
              </w:rPr>
              <w:t>25.80</w:t>
            </w:r>
          </w:p>
        </w:tc>
        <w:tc>
          <w:tcPr>
            <w:tcW w:w="1995" w:type="dxa"/>
          </w:tcPr>
          <w:p w14:paraId="6B2B7E82">
            <w:pPr>
              <w:pStyle w:val="30"/>
              <w:spacing w:before="30"/>
              <w:ind w:left="276" w:right="269"/>
              <w:rPr>
                <w:rFonts w:hint="eastAsia" w:ascii="宋体" w:eastAsia="宋体"/>
                <w:color w:val="auto"/>
                <w:sz w:val="20"/>
              </w:rPr>
            </w:pPr>
            <w:r>
              <w:rPr>
                <w:rFonts w:hint="eastAsia" w:ascii="宋体" w:eastAsia="宋体"/>
                <w:color w:val="auto"/>
                <w:sz w:val="20"/>
              </w:rPr>
              <w:t>疫情小班</w:t>
            </w:r>
          </w:p>
        </w:tc>
      </w:tr>
      <w:tr w14:paraId="516FD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55" w:type="dxa"/>
          </w:tcPr>
          <w:p w14:paraId="73CF1618">
            <w:pPr>
              <w:pStyle w:val="30"/>
              <w:spacing w:before="43"/>
              <w:ind w:right="146"/>
              <w:rPr>
                <w:color w:val="auto"/>
                <w:sz w:val="20"/>
              </w:rPr>
            </w:pPr>
            <w:r>
              <w:rPr>
                <w:color w:val="auto"/>
                <w:sz w:val="20"/>
              </w:rPr>
              <w:t>83</w:t>
            </w:r>
          </w:p>
        </w:tc>
        <w:tc>
          <w:tcPr>
            <w:tcW w:w="1000" w:type="dxa"/>
          </w:tcPr>
          <w:p w14:paraId="3F3198CF">
            <w:pPr>
              <w:pStyle w:val="30"/>
              <w:spacing w:before="29"/>
              <w:ind w:left="180" w:right="170"/>
              <w:rPr>
                <w:rFonts w:hint="eastAsia" w:ascii="宋体" w:eastAsia="宋体"/>
                <w:color w:val="auto"/>
                <w:sz w:val="20"/>
              </w:rPr>
            </w:pPr>
            <w:r>
              <w:rPr>
                <w:rFonts w:hint="eastAsia" w:ascii="宋体" w:eastAsia="宋体"/>
                <w:color w:val="auto"/>
                <w:sz w:val="20"/>
              </w:rPr>
              <w:t>全州镇</w:t>
            </w:r>
          </w:p>
        </w:tc>
        <w:tc>
          <w:tcPr>
            <w:tcW w:w="1249" w:type="dxa"/>
          </w:tcPr>
          <w:p w14:paraId="5AA8EB4F">
            <w:pPr>
              <w:pStyle w:val="30"/>
              <w:spacing w:before="29"/>
              <w:ind w:left="202" w:right="194"/>
              <w:rPr>
                <w:rFonts w:hint="eastAsia" w:ascii="宋体" w:eastAsia="宋体"/>
                <w:color w:val="auto"/>
                <w:sz w:val="20"/>
              </w:rPr>
            </w:pPr>
            <w:r>
              <w:rPr>
                <w:rFonts w:hint="eastAsia" w:ascii="宋体" w:eastAsia="宋体"/>
                <w:color w:val="auto"/>
                <w:sz w:val="20"/>
              </w:rPr>
              <w:t>柘桥村</w:t>
            </w:r>
          </w:p>
        </w:tc>
        <w:tc>
          <w:tcPr>
            <w:tcW w:w="755" w:type="dxa"/>
          </w:tcPr>
          <w:p w14:paraId="5F4F3E7D">
            <w:pPr>
              <w:pStyle w:val="30"/>
              <w:spacing w:before="43"/>
              <w:ind w:right="147"/>
              <w:rPr>
                <w:color w:val="auto"/>
                <w:sz w:val="20"/>
              </w:rPr>
            </w:pPr>
            <w:r>
              <w:rPr>
                <w:color w:val="auto"/>
                <w:sz w:val="20"/>
              </w:rPr>
              <w:t>0300</w:t>
            </w:r>
          </w:p>
        </w:tc>
        <w:tc>
          <w:tcPr>
            <w:tcW w:w="755" w:type="dxa"/>
          </w:tcPr>
          <w:p w14:paraId="64F08568">
            <w:pPr>
              <w:pStyle w:val="30"/>
              <w:spacing w:before="43"/>
              <w:ind w:right="145"/>
              <w:rPr>
                <w:color w:val="auto"/>
                <w:sz w:val="20"/>
              </w:rPr>
            </w:pPr>
            <w:r>
              <w:rPr>
                <w:color w:val="auto"/>
                <w:sz w:val="20"/>
              </w:rPr>
              <w:t>0001</w:t>
            </w:r>
          </w:p>
        </w:tc>
        <w:tc>
          <w:tcPr>
            <w:tcW w:w="1370" w:type="dxa"/>
          </w:tcPr>
          <w:p w14:paraId="4F420BB6">
            <w:pPr>
              <w:pStyle w:val="30"/>
              <w:spacing w:before="43"/>
              <w:ind w:left="235" w:right="225"/>
              <w:rPr>
                <w:color w:val="auto"/>
                <w:sz w:val="20"/>
              </w:rPr>
            </w:pPr>
            <w:r>
              <w:rPr>
                <w:color w:val="auto"/>
                <w:sz w:val="20"/>
              </w:rPr>
              <w:t>4.11</w:t>
            </w:r>
          </w:p>
        </w:tc>
        <w:tc>
          <w:tcPr>
            <w:tcW w:w="1125" w:type="dxa"/>
          </w:tcPr>
          <w:p w14:paraId="4BF2C80E">
            <w:pPr>
              <w:pStyle w:val="30"/>
              <w:spacing w:before="43"/>
              <w:ind w:left="212" w:right="203"/>
              <w:rPr>
                <w:color w:val="auto"/>
                <w:sz w:val="20"/>
              </w:rPr>
            </w:pPr>
            <w:r>
              <w:rPr>
                <w:color w:val="auto"/>
                <w:sz w:val="20"/>
              </w:rPr>
              <w:t>61.65</w:t>
            </w:r>
          </w:p>
        </w:tc>
        <w:tc>
          <w:tcPr>
            <w:tcW w:w="1995" w:type="dxa"/>
          </w:tcPr>
          <w:p w14:paraId="65F22837">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3B588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5" w:type="dxa"/>
          </w:tcPr>
          <w:p w14:paraId="4F8E3517">
            <w:pPr>
              <w:pStyle w:val="30"/>
              <w:spacing w:before="42"/>
              <w:ind w:right="146"/>
              <w:rPr>
                <w:color w:val="auto"/>
                <w:sz w:val="20"/>
              </w:rPr>
            </w:pPr>
            <w:r>
              <w:rPr>
                <w:color w:val="auto"/>
                <w:sz w:val="20"/>
              </w:rPr>
              <w:t>84</w:t>
            </w:r>
          </w:p>
        </w:tc>
        <w:tc>
          <w:tcPr>
            <w:tcW w:w="1000" w:type="dxa"/>
          </w:tcPr>
          <w:p w14:paraId="4609E365">
            <w:pPr>
              <w:pStyle w:val="30"/>
              <w:spacing w:before="29"/>
              <w:ind w:left="180" w:right="170"/>
              <w:rPr>
                <w:rFonts w:hint="eastAsia" w:ascii="宋体" w:eastAsia="宋体"/>
                <w:color w:val="auto"/>
                <w:sz w:val="20"/>
              </w:rPr>
            </w:pPr>
            <w:r>
              <w:rPr>
                <w:rFonts w:hint="eastAsia" w:ascii="宋体" w:eastAsia="宋体"/>
                <w:color w:val="auto"/>
                <w:sz w:val="20"/>
              </w:rPr>
              <w:t>全州镇</w:t>
            </w:r>
          </w:p>
        </w:tc>
        <w:tc>
          <w:tcPr>
            <w:tcW w:w="1249" w:type="dxa"/>
          </w:tcPr>
          <w:p w14:paraId="1AC66D4D">
            <w:pPr>
              <w:pStyle w:val="30"/>
              <w:spacing w:before="29"/>
              <w:ind w:left="202" w:right="194"/>
              <w:rPr>
                <w:rFonts w:hint="eastAsia" w:ascii="宋体" w:eastAsia="宋体"/>
                <w:color w:val="auto"/>
                <w:sz w:val="20"/>
              </w:rPr>
            </w:pPr>
            <w:r>
              <w:rPr>
                <w:rFonts w:hint="eastAsia" w:ascii="宋体" w:eastAsia="宋体"/>
                <w:color w:val="auto"/>
                <w:sz w:val="20"/>
              </w:rPr>
              <w:t>柘桥村</w:t>
            </w:r>
          </w:p>
        </w:tc>
        <w:tc>
          <w:tcPr>
            <w:tcW w:w="755" w:type="dxa"/>
          </w:tcPr>
          <w:p w14:paraId="1CA75DFE">
            <w:pPr>
              <w:pStyle w:val="30"/>
              <w:spacing w:before="42"/>
              <w:ind w:right="147"/>
              <w:rPr>
                <w:color w:val="auto"/>
                <w:sz w:val="20"/>
              </w:rPr>
            </w:pPr>
            <w:r>
              <w:rPr>
                <w:color w:val="auto"/>
                <w:sz w:val="20"/>
              </w:rPr>
              <w:t>0300</w:t>
            </w:r>
          </w:p>
        </w:tc>
        <w:tc>
          <w:tcPr>
            <w:tcW w:w="755" w:type="dxa"/>
          </w:tcPr>
          <w:p w14:paraId="78E74BDE">
            <w:pPr>
              <w:pStyle w:val="30"/>
              <w:spacing w:before="42"/>
              <w:ind w:right="145"/>
              <w:rPr>
                <w:color w:val="auto"/>
                <w:sz w:val="20"/>
              </w:rPr>
            </w:pPr>
            <w:r>
              <w:rPr>
                <w:color w:val="auto"/>
                <w:sz w:val="20"/>
              </w:rPr>
              <w:t>0006</w:t>
            </w:r>
          </w:p>
        </w:tc>
        <w:tc>
          <w:tcPr>
            <w:tcW w:w="1370" w:type="dxa"/>
          </w:tcPr>
          <w:p w14:paraId="0D2F01BC">
            <w:pPr>
              <w:pStyle w:val="30"/>
              <w:spacing w:before="42"/>
              <w:ind w:left="235" w:right="225"/>
              <w:rPr>
                <w:color w:val="auto"/>
                <w:sz w:val="20"/>
              </w:rPr>
            </w:pPr>
            <w:r>
              <w:rPr>
                <w:color w:val="auto"/>
                <w:sz w:val="20"/>
              </w:rPr>
              <w:t>0.59</w:t>
            </w:r>
          </w:p>
        </w:tc>
        <w:tc>
          <w:tcPr>
            <w:tcW w:w="1125" w:type="dxa"/>
          </w:tcPr>
          <w:p w14:paraId="596B1050">
            <w:pPr>
              <w:pStyle w:val="30"/>
              <w:spacing w:before="42"/>
              <w:ind w:left="212" w:right="203"/>
              <w:rPr>
                <w:color w:val="auto"/>
                <w:sz w:val="20"/>
              </w:rPr>
            </w:pPr>
            <w:r>
              <w:rPr>
                <w:color w:val="auto"/>
                <w:sz w:val="20"/>
              </w:rPr>
              <w:t>8.85</w:t>
            </w:r>
          </w:p>
        </w:tc>
        <w:tc>
          <w:tcPr>
            <w:tcW w:w="1995" w:type="dxa"/>
          </w:tcPr>
          <w:p w14:paraId="5AF14453">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39560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55" w:type="dxa"/>
          </w:tcPr>
          <w:p w14:paraId="44BBEE3B">
            <w:pPr>
              <w:pStyle w:val="30"/>
              <w:spacing w:before="42"/>
              <w:ind w:right="146"/>
              <w:rPr>
                <w:color w:val="auto"/>
                <w:sz w:val="20"/>
              </w:rPr>
            </w:pPr>
            <w:r>
              <w:rPr>
                <w:color w:val="auto"/>
                <w:sz w:val="20"/>
              </w:rPr>
              <w:t>85</w:t>
            </w:r>
          </w:p>
        </w:tc>
        <w:tc>
          <w:tcPr>
            <w:tcW w:w="1000" w:type="dxa"/>
          </w:tcPr>
          <w:p w14:paraId="418C8EB2">
            <w:pPr>
              <w:pStyle w:val="30"/>
              <w:spacing w:before="29"/>
              <w:ind w:left="180" w:right="170"/>
              <w:rPr>
                <w:rFonts w:hint="eastAsia" w:ascii="宋体" w:eastAsia="宋体"/>
                <w:color w:val="auto"/>
                <w:sz w:val="20"/>
              </w:rPr>
            </w:pPr>
            <w:r>
              <w:rPr>
                <w:rFonts w:hint="eastAsia" w:ascii="宋体" w:eastAsia="宋体"/>
                <w:color w:val="auto"/>
                <w:sz w:val="20"/>
              </w:rPr>
              <w:t>全州镇</w:t>
            </w:r>
          </w:p>
        </w:tc>
        <w:tc>
          <w:tcPr>
            <w:tcW w:w="1249" w:type="dxa"/>
          </w:tcPr>
          <w:p w14:paraId="1FB1EC39">
            <w:pPr>
              <w:pStyle w:val="30"/>
              <w:spacing w:before="29"/>
              <w:ind w:left="202" w:right="194"/>
              <w:rPr>
                <w:rFonts w:hint="eastAsia" w:ascii="宋体" w:eastAsia="宋体"/>
                <w:color w:val="auto"/>
                <w:sz w:val="20"/>
              </w:rPr>
            </w:pPr>
            <w:r>
              <w:rPr>
                <w:rFonts w:hint="eastAsia" w:ascii="宋体" w:eastAsia="宋体"/>
                <w:color w:val="auto"/>
                <w:sz w:val="20"/>
              </w:rPr>
              <w:t>柘桥村</w:t>
            </w:r>
          </w:p>
        </w:tc>
        <w:tc>
          <w:tcPr>
            <w:tcW w:w="755" w:type="dxa"/>
          </w:tcPr>
          <w:p w14:paraId="006EE714">
            <w:pPr>
              <w:pStyle w:val="30"/>
              <w:spacing w:before="42"/>
              <w:ind w:right="147"/>
              <w:rPr>
                <w:color w:val="auto"/>
                <w:sz w:val="20"/>
              </w:rPr>
            </w:pPr>
            <w:r>
              <w:rPr>
                <w:color w:val="auto"/>
                <w:sz w:val="20"/>
              </w:rPr>
              <w:t>0300</w:t>
            </w:r>
          </w:p>
        </w:tc>
        <w:tc>
          <w:tcPr>
            <w:tcW w:w="755" w:type="dxa"/>
          </w:tcPr>
          <w:p w14:paraId="49B8F419">
            <w:pPr>
              <w:pStyle w:val="30"/>
              <w:spacing w:before="42"/>
              <w:ind w:right="145"/>
              <w:rPr>
                <w:color w:val="auto"/>
                <w:sz w:val="20"/>
              </w:rPr>
            </w:pPr>
            <w:r>
              <w:rPr>
                <w:color w:val="auto"/>
                <w:sz w:val="20"/>
              </w:rPr>
              <w:t>0013</w:t>
            </w:r>
          </w:p>
        </w:tc>
        <w:tc>
          <w:tcPr>
            <w:tcW w:w="1370" w:type="dxa"/>
          </w:tcPr>
          <w:p w14:paraId="78CF9850">
            <w:pPr>
              <w:pStyle w:val="30"/>
              <w:spacing w:before="42"/>
              <w:ind w:left="235" w:right="225"/>
              <w:rPr>
                <w:color w:val="auto"/>
                <w:sz w:val="20"/>
              </w:rPr>
            </w:pPr>
            <w:r>
              <w:rPr>
                <w:color w:val="auto"/>
                <w:sz w:val="20"/>
              </w:rPr>
              <w:t>1.78</w:t>
            </w:r>
          </w:p>
        </w:tc>
        <w:tc>
          <w:tcPr>
            <w:tcW w:w="1125" w:type="dxa"/>
          </w:tcPr>
          <w:p w14:paraId="348F9D3E">
            <w:pPr>
              <w:pStyle w:val="30"/>
              <w:spacing w:before="42"/>
              <w:ind w:left="212" w:right="203"/>
              <w:rPr>
                <w:color w:val="auto"/>
                <w:sz w:val="20"/>
              </w:rPr>
            </w:pPr>
            <w:r>
              <w:rPr>
                <w:color w:val="auto"/>
                <w:sz w:val="20"/>
              </w:rPr>
              <w:t>26.70</w:t>
            </w:r>
          </w:p>
        </w:tc>
        <w:tc>
          <w:tcPr>
            <w:tcW w:w="1995" w:type="dxa"/>
          </w:tcPr>
          <w:p w14:paraId="6823DBD5">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5CA36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5" w:type="dxa"/>
          </w:tcPr>
          <w:p w14:paraId="3A06F040">
            <w:pPr>
              <w:pStyle w:val="30"/>
              <w:spacing w:before="42"/>
              <w:ind w:right="146"/>
              <w:rPr>
                <w:color w:val="auto"/>
                <w:sz w:val="20"/>
              </w:rPr>
            </w:pPr>
            <w:r>
              <w:rPr>
                <w:color w:val="auto"/>
                <w:sz w:val="20"/>
              </w:rPr>
              <w:t>86</w:t>
            </w:r>
          </w:p>
        </w:tc>
        <w:tc>
          <w:tcPr>
            <w:tcW w:w="1000" w:type="dxa"/>
          </w:tcPr>
          <w:p w14:paraId="7ECB1F71">
            <w:pPr>
              <w:pStyle w:val="30"/>
              <w:spacing w:before="28"/>
              <w:ind w:left="180" w:right="170"/>
              <w:rPr>
                <w:rFonts w:hint="eastAsia" w:ascii="宋体" w:eastAsia="宋体"/>
                <w:color w:val="auto"/>
                <w:sz w:val="20"/>
              </w:rPr>
            </w:pPr>
            <w:r>
              <w:rPr>
                <w:rFonts w:hint="eastAsia" w:ascii="宋体" w:eastAsia="宋体"/>
                <w:color w:val="auto"/>
                <w:sz w:val="20"/>
              </w:rPr>
              <w:t>全州镇</w:t>
            </w:r>
          </w:p>
        </w:tc>
        <w:tc>
          <w:tcPr>
            <w:tcW w:w="1249" w:type="dxa"/>
          </w:tcPr>
          <w:p w14:paraId="0FA51A2C">
            <w:pPr>
              <w:pStyle w:val="30"/>
              <w:spacing w:before="28"/>
              <w:ind w:left="202" w:right="194"/>
              <w:rPr>
                <w:rFonts w:hint="eastAsia" w:ascii="宋体" w:eastAsia="宋体"/>
                <w:color w:val="auto"/>
                <w:sz w:val="20"/>
              </w:rPr>
            </w:pPr>
            <w:r>
              <w:rPr>
                <w:rFonts w:hint="eastAsia" w:ascii="宋体" w:eastAsia="宋体"/>
                <w:color w:val="auto"/>
                <w:sz w:val="20"/>
              </w:rPr>
              <w:t>柘桥村</w:t>
            </w:r>
          </w:p>
        </w:tc>
        <w:tc>
          <w:tcPr>
            <w:tcW w:w="755" w:type="dxa"/>
          </w:tcPr>
          <w:p w14:paraId="731FC6D5">
            <w:pPr>
              <w:pStyle w:val="30"/>
              <w:spacing w:before="42"/>
              <w:ind w:right="147"/>
              <w:rPr>
                <w:color w:val="auto"/>
                <w:sz w:val="20"/>
              </w:rPr>
            </w:pPr>
            <w:r>
              <w:rPr>
                <w:color w:val="auto"/>
                <w:sz w:val="20"/>
              </w:rPr>
              <w:t>0800</w:t>
            </w:r>
          </w:p>
        </w:tc>
        <w:tc>
          <w:tcPr>
            <w:tcW w:w="755" w:type="dxa"/>
          </w:tcPr>
          <w:p w14:paraId="7CB657F4">
            <w:pPr>
              <w:pStyle w:val="30"/>
              <w:spacing w:before="42"/>
              <w:ind w:right="145"/>
              <w:rPr>
                <w:color w:val="auto"/>
                <w:sz w:val="20"/>
              </w:rPr>
            </w:pPr>
            <w:r>
              <w:rPr>
                <w:color w:val="auto"/>
                <w:sz w:val="20"/>
              </w:rPr>
              <w:t>0011</w:t>
            </w:r>
          </w:p>
        </w:tc>
        <w:tc>
          <w:tcPr>
            <w:tcW w:w="1370" w:type="dxa"/>
          </w:tcPr>
          <w:p w14:paraId="65D3E578">
            <w:pPr>
              <w:pStyle w:val="30"/>
              <w:spacing w:before="42"/>
              <w:ind w:left="235" w:right="227"/>
              <w:rPr>
                <w:color w:val="auto"/>
                <w:sz w:val="20"/>
              </w:rPr>
            </w:pPr>
            <w:r>
              <w:rPr>
                <w:color w:val="auto"/>
                <w:sz w:val="20"/>
              </w:rPr>
              <w:t>14.71</w:t>
            </w:r>
          </w:p>
        </w:tc>
        <w:tc>
          <w:tcPr>
            <w:tcW w:w="1125" w:type="dxa"/>
          </w:tcPr>
          <w:p w14:paraId="3F2505E9">
            <w:pPr>
              <w:pStyle w:val="30"/>
              <w:spacing w:before="42"/>
              <w:ind w:left="212" w:right="203"/>
              <w:rPr>
                <w:color w:val="auto"/>
                <w:sz w:val="20"/>
              </w:rPr>
            </w:pPr>
            <w:r>
              <w:rPr>
                <w:color w:val="auto"/>
                <w:sz w:val="20"/>
              </w:rPr>
              <w:t>220.65</w:t>
            </w:r>
          </w:p>
        </w:tc>
        <w:tc>
          <w:tcPr>
            <w:tcW w:w="1995" w:type="dxa"/>
          </w:tcPr>
          <w:p w14:paraId="3E8A58AB">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1B794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5" w:type="dxa"/>
          </w:tcPr>
          <w:p w14:paraId="4A4973A5">
            <w:pPr>
              <w:pStyle w:val="30"/>
              <w:spacing w:before="41"/>
              <w:ind w:right="146"/>
              <w:rPr>
                <w:color w:val="auto"/>
                <w:sz w:val="20"/>
              </w:rPr>
            </w:pPr>
            <w:r>
              <w:rPr>
                <w:color w:val="auto"/>
                <w:sz w:val="20"/>
              </w:rPr>
              <w:t>87</w:t>
            </w:r>
          </w:p>
        </w:tc>
        <w:tc>
          <w:tcPr>
            <w:tcW w:w="1000" w:type="dxa"/>
          </w:tcPr>
          <w:p w14:paraId="7B40B079">
            <w:pPr>
              <w:pStyle w:val="30"/>
              <w:spacing w:before="28"/>
              <w:ind w:left="180" w:right="170"/>
              <w:rPr>
                <w:rFonts w:hint="eastAsia" w:ascii="宋体" w:eastAsia="宋体"/>
                <w:color w:val="auto"/>
                <w:sz w:val="20"/>
              </w:rPr>
            </w:pPr>
            <w:r>
              <w:rPr>
                <w:rFonts w:hint="eastAsia" w:ascii="宋体" w:eastAsia="宋体"/>
                <w:color w:val="auto"/>
                <w:sz w:val="20"/>
              </w:rPr>
              <w:t>全州镇</w:t>
            </w:r>
          </w:p>
        </w:tc>
        <w:tc>
          <w:tcPr>
            <w:tcW w:w="1249" w:type="dxa"/>
          </w:tcPr>
          <w:p w14:paraId="6B72F876">
            <w:pPr>
              <w:pStyle w:val="30"/>
              <w:spacing w:before="28"/>
              <w:ind w:left="202" w:right="194"/>
              <w:rPr>
                <w:rFonts w:hint="eastAsia" w:ascii="宋体" w:eastAsia="宋体"/>
                <w:color w:val="auto"/>
                <w:sz w:val="20"/>
              </w:rPr>
            </w:pPr>
            <w:r>
              <w:rPr>
                <w:rFonts w:hint="eastAsia" w:ascii="宋体" w:eastAsia="宋体"/>
                <w:color w:val="auto"/>
                <w:sz w:val="20"/>
              </w:rPr>
              <w:t>柘桥村</w:t>
            </w:r>
          </w:p>
        </w:tc>
        <w:tc>
          <w:tcPr>
            <w:tcW w:w="755" w:type="dxa"/>
          </w:tcPr>
          <w:p w14:paraId="27AE7E0D">
            <w:pPr>
              <w:pStyle w:val="30"/>
              <w:spacing w:before="41"/>
              <w:ind w:right="147"/>
              <w:rPr>
                <w:color w:val="auto"/>
                <w:sz w:val="20"/>
              </w:rPr>
            </w:pPr>
            <w:r>
              <w:rPr>
                <w:color w:val="auto"/>
                <w:sz w:val="20"/>
              </w:rPr>
              <w:t>0800</w:t>
            </w:r>
          </w:p>
        </w:tc>
        <w:tc>
          <w:tcPr>
            <w:tcW w:w="755" w:type="dxa"/>
          </w:tcPr>
          <w:p w14:paraId="6F04FF14">
            <w:pPr>
              <w:pStyle w:val="30"/>
              <w:spacing w:before="41"/>
              <w:ind w:right="145"/>
              <w:rPr>
                <w:color w:val="auto"/>
                <w:sz w:val="20"/>
              </w:rPr>
            </w:pPr>
            <w:r>
              <w:rPr>
                <w:color w:val="auto"/>
                <w:sz w:val="20"/>
              </w:rPr>
              <w:t>0021</w:t>
            </w:r>
          </w:p>
        </w:tc>
        <w:tc>
          <w:tcPr>
            <w:tcW w:w="1370" w:type="dxa"/>
          </w:tcPr>
          <w:p w14:paraId="547D461E">
            <w:pPr>
              <w:pStyle w:val="30"/>
              <w:spacing w:before="41"/>
              <w:ind w:left="235" w:right="225"/>
              <w:rPr>
                <w:color w:val="auto"/>
                <w:sz w:val="20"/>
              </w:rPr>
            </w:pPr>
            <w:r>
              <w:rPr>
                <w:color w:val="auto"/>
                <w:sz w:val="20"/>
              </w:rPr>
              <w:t>3.47</w:t>
            </w:r>
          </w:p>
        </w:tc>
        <w:tc>
          <w:tcPr>
            <w:tcW w:w="1125" w:type="dxa"/>
          </w:tcPr>
          <w:p w14:paraId="58E14FF6">
            <w:pPr>
              <w:pStyle w:val="30"/>
              <w:spacing w:before="41"/>
              <w:ind w:left="212" w:right="203"/>
              <w:rPr>
                <w:color w:val="auto"/>
                <w:sz w:val="20"/>
              </w:rPr>
            </w:pPr>
            <w:r>
              <w:rPr>
                <w:color w:val="auto"/>
                <w:sz w:val="20"/>
              </w:rPr>
              <w:t>52.05</w:t>
            </w:r>
          </w:p>
        </w:tc>
        <w:tc>
          <w:tcPr>
            <w:tcW w:w="1995" w:type="dxa"/>
          </w:tcPr>
          <w:p w14:paraId="06089625">
            <w:pPr>
              <w:pStyle w:val="30"/>
              <w:spacing w:before="28"/>
              <w:ind w:left="276" w:right="269"/>
              <w:rPr>
                <w:rFonts w:hint="eastAsia" w:ascii="宋体" w:eastAsia="宋体"/>
                <w:color w:val="auto"/>
                <w:sz w:val="20"/>
              </w:rPr>
            </w:pPr>
            <w:r>
              <w:rPr>
                <w:rFonts w:hint="eastAsia" w:ascii="宋体" w:eastAsia="宋体"/>
                <w:color w:val="auto"/>
                <w:sz w:val="20"/>
              </w:rPr>
              <w:t>疫情小班</w:t>
            </w:r>
          </w:p>
        </w:tc>
      </w:tr>
      <w:tr w14:paraId="71A9A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55" w:type="dxa"/>
          </w:tcPr>
          <w:p w14:paraId="74EDF883">
            <w:pPr>
              <w:pStyle w:val="30"/>
              <w:spacing w:before="43"/>
              <w:ind w:right="146"/>
              <w:rPr>
                <w:color w:val="auto"/>
                <w:sz w:val="20"/>
              </w:rPr>
            </w:pPr>
            <w:r>
              <w:rPr>
                <w:color w:val="auto"/>
                <w:sz w:val="20"/>
              </w:rPr>
              <w:t>88</w:t>
            </w:r>
          </w:p>
        </w:tc>
        <w:tc>
          <w:tcPr>
            <w:tcW w:w="1000" w:type="dxa"/>
          </w:tcPr>
          <w:p w14:paraId="6BDAB7BC">
            <w:pPr>
              <w:pStyle w:val="30"/>
              <w:spacing w:before="30"/>
              <w:ind w:left="180" w:right="170"/>
              <w:rPr>
                <w:rFonts w:hint="eastAsia" w:ascii="宋体" w:eastAsia="宋体"/>
                <w:color w:val="auto"/>
                <w:sz w:val="20"/>
              </w:rPr>
            </w:pPr>
            <w:r>
              <w:rPr>
                <w:rFonts w:hint="eastAsia" w:ascii="宋体" w:eastAsia="宋体"/>
                <w:color w:val="auto"/>
                <w:sz w:val="20"/>
              </w:rPr>
              <w:t>全州镇</w:t>
            </w:r>
          </w:p>
        </w:tc>
        <w:tc>
          <w:tcPr>
            <w:tcW w:w="1249" w:type="dxa"/>
          </w:tcPr>
          <w:p w14:paraId="089E1631">
            <w:pPr>
              <w:pStyle w:val="30"/>
              <w:spacing w:before="30"/>
              <w:ind w:left="202" w:right="194"/>
              <w:rPr>
                <w:rFonts w:hint="eastAsia" w:ascii="宋体" w:eastAsia="宋体"/>
                <w:color w:val="auto"/>
                <w:sz w:val="20"/>
              </w:rPr>
            </w:pPr>
            <w:r>
              <w:rPr>
                <w:rFonts w:hint="eastAsia" w:ascii="宋体" w:eastAsia="宋体"/>
                <w:color w:val="auto"/>
                <w:sz w:val="20"/>
              </w:rPr>
              <w:t>柘桥村</w:t>
            </w:r>
          </w:p>
        </w:tc>
        <w:tc>
          <w:tcPr>
            <w:tcW w:w="755" w:type="dxa"/>
          </w:tcPr>
          <w:p w14:paraId="452F0567">
            <w:pPr>
              <w:pStyle w:val="30"/>
              <w:spacing w:before="43"/>
              <w:ind w:right="147"/>
              <w:rPr>
                <w:color w:val="auto"/>
                <w:sz w:val="20"/>
              </w:rPr>
            </w:pPr>
            <w:r>
              <w:rPr>
                <w:color w:val="auto"/>
                <w:sz w:val="20"/>
              </w:rPr>
              <w:t>0800</w:t>
            </w:r>
          </w:p>
        </w:tc>
        <w:tc>
          <w:tcPr>
            <w:tcW w:w="755" w:type="dxa"/>
          </w:tcPr>
          <w:p w14:paraId="65B43386">
            <w:pPr>
              <w:pStyle w:val="30"/>
              <w:spacing w:before="43"/>
              <w:ind w:right="145"/>
              <w:rPr>
                <w:color w:val="auto"/>
                <w:sz w:val="20"/>
              </w:rPr>
            </w:pPr>
            <w:r>
              <w:rPr>
                <w:color w:val="auto"/>
                <w:sz w:val="20"/>
              </w:rPr>
              <w:t>0022</w:t>
            </w:r>
          </w:p>
        </w:tc>
        <w:tc>
          <w:tcPr>
            <w:tcW w:w="1370" w:type="dxa"/>
          </w:tcPr>
          <w:p w14:paraId="15294173">
            <w:pPr>
              <w:pStyle w:val="30"/>
              <w:spacing w:before="43"/>
              <w:ind w:left="235" w:right="225"/>
              <w:rPr>
                <w:color w:val="auto"/>
                <w:sz w:val="20"/>
              </w:rPr>
            </w:pPr>
            <w:r>
              <w:rPr>
                <w:color w:val="auto"/>
                <w:sz w:val="20"/>
              </w:rPr>
              <w:t>2.28</w:t>
            </w:r>
          </w:p>
        </w:tc>
        <w:tc>
          <w:tcPr>
            <w:tcW w:w="1125" w:type="dxa"/>
          </w:tcPr>
          <w:p w14:paraId="0545CD72">
            <w:pPr>
              <w:pStyle w:val="30"/>
              <w:spacing w:before="43"/>
              <w:ind w:left="212" w:right="203"/>
              <w:rPr>
                <w:color w:val="auto"/>
                <w:sz w:val="20"/>
              </w:rPr>
            </w:pPr>
            <w:r>
              <w:rPr>
                <w:color w:val="auto"/>
                <w:sz w:val="20"/>
              </w:rPr>
              <w:t>34.20</w:t>
            </w:r>
          </w:p>
        </w:tc>
        <w:tc>
          <w:tcPr>
            <w:tcW w:w="1995" w:type="dxa"/>
          </w:tcPr>
          <w:p w14:paraId="2009E273">
            <w:pPr>
              <w:pStyle w:val="30"/>
              <w:spacing w:before="30"/>
              <w:ind w:left="276" w:right="269"/>
              <w:rPr>
                <w:rFonts w:hint="eastAsia" w:ascii="宋体" w:eastAsia="宋体"/>
                <w:color w:val="auto"/>
                <w:sz w:val="20"/>
              </w:rPr>
            </w:pPr>
            <w:r>
              <w:rPr>
                <w:rFonts w:hint="eastAsia" w:ascii="宋体" w:eastAsia="宋体"/>
                <w:color w:val="auto"/>
                <w:sz w:val="20"/>
              </w:rPr>
              <w:t>疫情小班</w:t>
            </w:r>
          </w:p>
        </w:tc>
      </w:tr>
      <w:tr w14:paraId="67B23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5" w:type="dxa"/>
          </w:tcPr>
          <w:p w14:paraId="0436C918">
            <w:pPr>
              <w:pStyle w:val="30"/>
              <w:spacing w:before="43"/>
              <w:ind w:right="146"/>
              <w:rPr>
                <w:color w:val="auto"/>
                <w:sz w:val="20"/>
              </w:rPr>
            </w:pPr>
            <w:r>
              <w:rPr>
                <w:color w:val="auto"/>
                <w:sz w:val="20"/>
              </w:rPr>
              <w:t>89</w:t>
            </w:r>
          </w:p>
        </w:tc>
        <w:tc>
          <w:tcPr>
            <w:tcW w:w="1000" w:type="dxa"/>
          </w:tcPr>
          <w:p w14:paraId="78FDA314">
            <w:pPr>
              <w:pStyle w:val="30"/>
              <w:spacing w:before="29"/>
              <w:ind w:left="180" w:right="170"/>
              <w:rPr>
                <w:rFonts w:hint="eastAsia" w:ascii="宋体" w:eastAsia="宋体"/>
                <w:color w:val="auto"/>
                <w:sz w:val="20"/>
              </w:rPr>
            </w:pPr>
            <w:r>
              <w:rPr>
                <w:rFonts w:hint="eastAsia" w:ascii="宋体" w:eastAsia="宋体"/>
                <w:color w:val="auto"/>
                <w:sz w:val="20"/>
              </w:rPr>
              <w:t>全州镇</w:t>
            </w:r>
          </w:p>
        </w:tc>
        <w:tc>
          <w:tcPr>
            <w:tcW w:w="1249" w:type="dxa"/>
          </w:tcPr>
          <w:p w14:paraId="1FA1EC35">
            <w:pPr>
              <w:pStyle w:val="30"/>
              <w:spacing w:before="29"/>
              <w:ind w:left="202" w:right="194"/>
              <w:rPr>
                <w:rFonts w:hint="eastAsia" w:ascii="宋体" w:eastAsia="宋体"/>
                <w:color w:val="auto"/>
                <w:sz w:val="20"/>
              </w:rPr>
            </w:pPr>
            <w:r>
              <w:rPr>
                <w:rFonts w:hint="eastAsia" w:ascii="宋体" w:eastAsia="宋体"/>
                <w:color w:val="auto"/>
                <w:sz w:val="20"/>
              </w:rPr>
              <w:t>柘桥村</w:t>
            </w:r>
          </w:p>
        </w:tc>
        <w:tc>
          <w:tcPr>
            <w:tcW w:w="755" w:type="dxa"/>
          </w:tcPr>
          <w:p w14:paraId="55967AC7">
            <w:pPr>
              <w:pStyle w:val="30"/>
              <w:spacing w:before="43"/>
              <w:ind w:right="147"/>
              <w:rPr>
                <w:color w:val="auto"/>
                <w:sz w:val="20"/>
              </w:rPr>
            </w:pPr>
            <w:r>
              <w:rPr>
                <w:color w:val="auto"/>
                <w:sz w:val="20"/>
              </w:rPr>
              <w:t>0800</w:t>
            </w:r>
          </w:p>
        </w:tc>
        <w:tc>
          <w:tcPr>
            <w:tcW w:w="755" w:type="dxa"/>
          </w:tcPr>
          <w:p w14:paraId="1F82C086">
            <w:pPr>
              <w:pStyle w:val="30"/>
              <w:spacing w:before="43"/>
              <w:ind w:right="145"/>
              <w:rPr>
                <w:color w:val="auto"/>
                <w:sz w:val="20"/>
              </w:rPr>
            </w:pPr>
            <w:r>
              <w:rPr>
                <w:color w:val="auto"/>
                <w:sz w:val="20"/>
              </w:rPr>
              <w:t>0031</w:t>
            </w:r>
          </w:p>
        </w:tc>
        <w:tc>
          <w:tcPr>
            <w:tcW w:w="1370" w:type="dxa"/>
          </w:tcPr>
          <w:p w14:paraId="0CF7505C">
            <w:pPr>
              <w:pStyle w:val="30"/>
              <w:spacing w:before="43"/>
              <w:ind w:left="235" w:right="225"/>
              <w:rPr>
                <w:color w:val="auto"/>
                <w:sz w:val="20"/>
              </w:rPr>
            </w:pPr>
            <w:r>
              <w:rPr>
                <w:color w:val="auto"/>
                <w:sz w:val="20"/>
              </w:rPr>
              <w:t>8.64</w:t>
            </w:r>
          </w:p>
        </w:tc>
        <w:tc>
          <w:tcPr>
            <w:tcW w:w="1125" w:type="dxa"/>
          </w:tcPr>
          <w:p w14:paraId="6168A2EA">
            <w:pPr>
              <w:pStyle w:val="30"/>
              <w:spacing w:before="43"/>
              <w:ind w:left="212" w:right="203"/>
              <w:rPr>
                <w:color w:val="auto"/>
                <w:sz w:val="20"/>
              </w:rPr>
            </w:pPr>
            <w:r>
              <w:rPr>
                <w:color w:val="auto"/>
                <w:sz w:val="20"/>
              </w:rPr>
              <w:t>129.60</w:t>
            </w:r>
          </w:p>
        </w:tc>
        <w:tc>
          <w:tcPr>
            <w:tcW w:w="1995" w:type="dxa"/>
          </w:tcPr>
          <w:p w14:paraId="5F16A812">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706FC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55" w:type="dxa"/>
          </w:tcPr>
          <w:p w14:paraId="48149F84">
            <w:pPr>
              <w:pStyle w:val="30"/>
              <w:spacing w:before="42"/>
              <w:ind w:right="146"/>
              <w:rPr>
                <w:color w:val="auto"/>
                <w:sz w:val="20"/>
              </w:rPr>
            </w:pPr>
            <w:r>
              <w:rPr>
                <w:color w:val="auto"/>
                <w:sz w:val="20"/>
              </w:rPr>
              <w:t>90</w:t>
            </w:r>
          </w:p>
        </w:tc>
        <w:tc>
          <w:tcPr>
            <w:tcW w:w="1000" w:type="dxa"/>
          </w:tcPr>
          <w:p w14:paraId="2DF0F774">
            <w:pPr>
              <w:pStyle w:val="30"/>
              <w:spacing w:before="29"/>
              <w:ind w:left="180" w:right="170"/>
              <w:rPr>
                <w:rFonts w:hint="eastAsia" w:ascii="宋体" w:eastAsia="宋体"/>
                <w:color w:val="auto"/>
                <w:sz w:val="20"/>
              </w:rPr>
            </w:pPr>
            <w:r>
              <w:rPr>
                <w:rFonts w:hint="eastAsia" w:ascii="宋体" w:eastAsia="宋体"/>
                <w:color w:val="auto"/>
                <w:sz w:val="20"/>
              </w:rPr>
              <w:t>全州镇</w:t>
            </w:r>
          </w:p>
        </w:tc>
        <w:tc>
          <w:tcPr>
            <w:tcW w:w="1249" w:type="dxa"/>
          </w:tcPr>
          <w:p w14:paraId="3272BC71">
            <w:pPr>
              <w:pStyle w:val="30"/>
              <w:spacing w:before="29"/>
              <w:ind w:left="202" w:right="194"/>
              <w:rPr>
                <w:rFonts w:hint="eastAsia" w:ascii="宋体" w:eastAsia="宋体"/>
                <w:color w:val="auto"/>
                <w:sz w:val="20"/>
              </w:rPr>
            </w:pPr>
            <w:r>
              <w:rPr>
                <w:rFonts w:hint="eastAsia" w:ascii="宋体" w:eastAsia="宋体"/>
                <w:color w:val="auto"/>
                <w:sz w:val="20"/>
              </w:rPr>
              <w:t>柘桥村</w:t>
            </w:r>
          </w:p>
        </w:tc>
        <w:tc>
          <w:tcPr>
            <w:tcW w:w="755" w:type="dxa"/>
          </w:tcPr>
          <w:p w14:paraId="5B91C651">
            <w:pPr>
              <w:pStyle w:val="30"/>
              <w:spacing w:before="42"/>
              <w:ind w:right="147"/>
              <w:rPr>
                <w:color w:val="auto"/>
                <w:sz w:val="20"/>
              </w:rPr>
            </w:pPr>
            <w:r>
              <w:rPr>
                <w:color w:val="auto"/>
                <w:sz w:val="20"/>
              </w:rPr>
              <w:t>0800</w:t>
            </w:r>
          </w:p>
        </w:tc>
        <w:tc>
          <w:tcPr>
            <w:tcW w:w="755" w:type="dxa"/>
          </w:tcPr>
          <w:p w14:paraId="70DB3695">
            <w:pPr>
              <w:pStyle w:val="30"/>
              <w:spacing w:before="42"/>
              <w:ind w:right="145"/>
              <w:rPr>
                <w:color w:val="auto"/>
                <w:sz w:val="20"/>
              </w:rPr>
            </w:pPr>
            <w:r>
              <w:rPr>
                <w:color w:val="auto"/>
                <w:sz w:val="20"/>
              </w:rPr>
              <w:t>0033</w:t>
            </w:r>
          </w:p>
        </w:tc>
        <w:tc>
          <w:tcPr>
            <w:tcW w:w="1370" w:type="dxa"/>
          </w:tcPr>
          <w:p w14:paraId="7C88A039">
            <w:pPr>
              <w:pStyle w:val="30"/>
              <w:spacing w:before="42"/>
              <w:ind w:left="235" w:right="225"/>
              <w:rPr>
                <w:color w:val="auto"/>
                <w:sz w:val="20"/>
              </w:rPr>
            </w:pPr>
            <w:r>
              <w:rPr>
                <w:color w:val="auto"/>
                <w:sz w:val="20"/>
              </w:rPr>
              <w:t>7.78</w:t>
            </w:r>
          </w:p>
        </w:tc>
        <w:tc>
          <w:tcPr>
            <w:tcW w:w="1125" w:type="dxa"/>
          </w:tcPr>
          <w:p w14:paraId="027BACD3">
            <w:pPr>
              <w:pStyle w:val="30"/>
              <w:spacing w:before="42"/>
              <w:ind w:left="212" w:right="203"/>
              <w:rPr>
                <w:color w:val="auto"/>
                <w:sz w:val="20"/>
              </w:rPr>
            </w:pPr>
            <w:r>
              <w:rPr>
                <w:color w:val="auto"/>
                <w:sz w:val="20"/>
              </w:rPr>
              <w:t>116.70</w:t>
            </w:r>
          </w:p>
        </w:tc>
        <w:tc>
          <w:tcPr>
            <w:tcW w:w="1995" w:type="dxa"/>
          </w:tcPr>
          <w:p w14:paraId="32E98777">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72038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55" w:type="dxa"/>
          </w:tcPr>
          <w:p w14:paraId="3A9F22BE">
            <w:pPr>
              <w:pStyle w:val="30"/>
              <w:spacing w:before="42"/>
              <w:ind w:right="146"/>
              <w:rPr>
                <w:color w:val="auto"/>
                <w:sz w:val="20"/>
              </w:rPr>
            </w:pPr>
            <w:r>
              <w:rPr>
                <w:color w:val="auto"/>
                <w:sz w:val="20"/>
              </w:rPr>
              <w:t>91</w:t>
            </w:r>
          </w:p>
        </w:tc>
        <w:tc>
          <w:tcPr>
            <w:tcW w:w="1000" w:type="dxa"/>
          </w:tcPr>
          <w:p w14:paraId="1DA97BC7">
            <w:pPr>
              <w:pStyle w:val="30"/>
              <w:spacing w:before="29"/>
              <w:ind w:left="180" w:right="170"/>
              <w:rPr>
                <w:rFonts w:hint="eastAsia" w:ascii="宋体" w:eastAsia="宋体"/>
                <w:color w:val="auto"/>
                <w:sz w:val="20"/>
              </w:rPr>
            </w:pPr>
            <w:r>
              <w:rPr>
                <w:rFonts w:hint="eastAsia" w:ascii="宋体" w:eastAsia="宋体"/>
                <w:color w:val="auto"/>
                <w:sz w:val="20"/>
              </w:rPr>
              <w:t>全州镇</w:t>
            </w:r>
          </w:p>
        </w:tc>
        <w:tc>
          <w:tcPr>
            <w:tcW w:w="1249" w:type="dxa"/>
          </w:tcPr>
          <w:p w14:paraId="641BDD57">
            <w:pPr>
              <w:pStyle w:val="30"/>
              <w:spacing w:before="29"/>
              <w:ind w:left="202" w:right="194"/>
              <w:rPr>
                <w:rFonts w:hint="eastAsia" w:ascii="宋体" w:eastAsia="宋体"/>
                <w:color w:val="auto"/>
                <w:sz w:val="20"/>
              </w:rPr>
            </w:pPr>
            <w:r>
              <w:rPr>
                <w:rFonts w:hint="eastAsia" w:ascii="宋体" w:eastAsia="宋体"/>
                <w:color w:val="auto"/>
                <w:sz w:val="20"/>
              </w:rPr>
              <w:t>柘桥村</w:t>
            </w:r>
          </w:p>
        </w:tc>
        <w:tc>
          <w:tcPr>
            <w:tcW w:w="755" w:type="dxa"/>
          </w:tcPr>
          <w:p w14:paraId="49953813">
            <w:pPr>
              <w:pStyle w:val="30"/>
              <w:spacing w:before="42"/>
              <w:ind w:right="147"/>
              <w:rPr>
                <w:color w:val="auto"/>
                <w:sz w:val="20"/>
              </w:rPr>
            </w:pPr>
            <w:r>
              <w:rPr>
                <w:color w:val="auto"/>
                <w:sz w:val="20"/>
              </w:rPr>
              <w:t>0800</w:t>
            </w:r>
          </w:p>
        </w:tc>
        <w:tc>
          <w:tcPr>
            <w:tcW w:w="755" w:type="dxa"/>
          </w:tcPr>
          <w:p w14:paraId="498FAF26">
            <w:pPr>
              <w:pStyle w:val="30"/>
              <w:spacing w:before="42"/>
              <w:ind w:right="145"/>
              <w:rPr>
                <w:color w:val="auto"/>
                <w:sz w:val="20"/>
              </w:rPr>
            </w:pPr>
            <w:r>
              <w:rPr>
                <w:color w:val="auto"/>
                <w:sz w:val="20"/>
              </w:rPr>
              <w:t>0037</w:t>
            </w:r>
          </w:p>
        </w:tc>
        <w:tc>
          <w:tcPr>
            <w:tcW w:w="1370" w:type="dxa"/>
          </w:tcPr>
          <w:p w14:paraId="66C9C6C3">
            <w:pPr>
              <w:pStyle w:val="30"/>
              <w:spacing w:before="42"/>
              <w:ind w:left="235" w:right="225"/>
              <w:rPr>
                <w:color w:val="auto"/>
                <w:sz w:val="20"/>
              </w:rPr>
            </w:pPr>
            <w:r>
              <w:rPr>
                <w:color w:val="auto"/>
                <w:sz w:val="20"/>
              </w:rPr>
              <w:t>0.68</w:t>
            </w:r>
          </w:p>
        </w:tc>
        <w:tc>
          <w:tcPr>
            <w:tcW w:w="1125" w:type="dxa"/>
          </w:tcPr>
          <w:p w14:paraId="26FE4251">
            <w:pPr>
              <w:pStyle w:val="30"/>
              <w:spacing w:before="42"/>
              <w:ind w:left="212" w:right="203"/>
              <w:rPr>
                <w:color w:val="auto"/>
                <w:sz w:val="20"/>
              </w:rPr>
            </w:pPr>
            <w:r>
              <w:rPr>
                <w:color w:val="auto"/>
                <w:sz w:val="20"/>
              </w:rPr>
              <w:t>10.20</w:t>
            </w:r>
          </w:p>
        </w:tc>
        <w:tc>
          <w:tcPr>
            <w:tcW w:w="1995" w:type="dxa"/>
          </w:tcPr>
          <w:p w14:paraId="13D5BA91">
            <w:pPr>
              <w:pStyle w:val="30"/>
              <w:spacing w:before="29"/>
              <w:ind w:left="276" w:right="269"/>
              <w:rPr>
                <w:rFonts w:hint="eastAsia" w:ascii="宋体" w:eastAsia="宋体"/>
                <w:color w:val="auto"/>
                <w:sz w:val="20"/>
              </w:rPr>
            </w:pPr>
            <w:r>
              <w:rPr>
                <w:rFonts w:hint="eastAsia" w:ascii="宋体" w:eastAsia="宋体"/>
                <w:color w:val="auto"/>
                <w:sz w:val="20"/>
              </w:rPr>
              <w:t>疫情小班</w:t>
            </w:r>
          </w:p>
        </w:tc>
      </w:tr>
      <w:tr w14:paraId="10EBB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755" w:type="dxa"/>
            <w:shd w:val="clear" w:color="auto" w:fill="BEBEBE"/>
          </w:tcPr>
          <w:p w14:paraId="6FC06FD8">
            <w:pPr>
              <w:pStyle w:val="30"/>
              <w:spacing w:before="52"/>
              <w:ind w:left="152" w:right="148"/>
              <w:rPr>
                <w:rFonts w:hint="eastAsia" w:ascii="宋体" w:eastAsia="宋体"/>
                <w:color w:val="auto"/>
                <w:sz w:val="20"/>
              </w:rPr>
            </w:pPr>
            <w:r>
              <w:rPr>
                <w:rFonts w:hint="eastAsia" w:ascii="宋体" w:eastAsia="宋体"/>
                <w:color w:val="auto"/>
                <w:sz w:val="20"/>
              </w:rPr>
              <w:t>小计</w:t>
            </w:r>
          </w:p>
        </w:tc>
        <w:tc>
          <w:tcPr>
            <w:tcW w:w="1000" w:type="dxa"/>
            <w:shd w:val="clear" w:color="auto" w:fill="BEBEBE"/>
          </w:tcPr>
          <w:p w14:paraId="0DE7EA01">
            <w:pPr>
              <w:pStyle w:val="30"/>
              <w:spacing w:before="66"/>
              <w:ind w:left="9"/>
              <w:rPr>
                <w:color w:val="auto"/>
                <w:sz w:val="20"/>
              </w:rPr>
            </w:pPr>
            <w:r>
              <w:rPr>
                <w:color w:val="auto"/>
                <w:w w:val="99"/>
                <w:sz w:val="20"/>
              </w:rPr>
              <w:t>1</w:t>
            </w:r>
          </w:p>
        </w:tc>
        <w:tc>
          <w:tcPr>
            <w:tcW w:w="1249" w:type="dxa"/>
            <w:shd w:val="clear" w:color="auto" w:fill="BEBEBE"/>
          </w:tcPr>
          <w:p w14:paraId="7F0A06A2">
            <w:pPr>
              <w:pStyle w:val="30"/>
              <w:spacing w:before="66"/>
              <w:ind w:left="7"/>
              <w:rPr>
                <w:color w:val="auto"/>
                <w:sz w:val="20"/>
              </w:rPr>
            </w:pPr>
            <w:r>
              <w:rPr>
                <w:color w:val="auto"/>
                <w:w w:val="99"/>
                <w:sz w:val="20"/>
              </w:rPr>
              <w:t>6</w:t>
            </w:r>
          </w:p>
        </w:tc>
        <w:tc>
          <w:tcPr>
            <w:tcW w:w="755" w:type="dxa"/>
            <w:shd w:val="clear" w:color="auto" w:fill="BEBEBE"/>
          </w:tcPr>
          <w:p w14:paraId="50CC136C">
            <w:pPr>
              <w:pStyle w:val="30"/>
              <w:spacing w:before="66"/>
              <w:ind w:right="145"/>
              <w:rPr>
                <w:color w:val="auto"/>
                <w:sz w:val="20"/>
              </w:rPr>
            </w:pPr>
            <w:r>
              <w:rPr>
                <w:color w:val="auto"/>
                <w:sz w:val="20"/>
              </w:rPr>
              <w:t>11</w:t>
            </w:r>
          </w:p>
        </w:tc>
        <w:tc>
          <w:tcPr>
            <w:tcW w:w="755" w:type="dxa"/>
            <w:shd w:val="clear" w:color="auto" w:fill="BEBEBE"/>
          </w:tcPr>
          <w:p w14:paraId="38E98386">
            <w:pPr>
              <w:pStyle w:val="30"/>
              <w:spacing w:before="66"/>
              <w:ind w:right="148"/>
              <w:rPr>
                <w:color w:val="auto"/>
                <w:sz w:val="20"/>
              </w:rPr>
            </w:pPr>
            <w:r>
              <w:rPr>
                <w:color w:val="auto"/>
                <w:sz w:val="20"/>
              </w:rPr>
              <w:t>37</w:t>
            </w:r>
          </w:p>
        </w:tc>
        <w:tc>
          <w:tcPr>
            <w:tcW w:w="1370" w:type="dxa"/>
            <w:shd w:val="clear" w:color="auto" w:fill="BEBEBE"/>
          </w:tcPr>
          <w:p w14:paraId="56EB0950">
            <w:pPr>
              <w:pStyle w:val="30"/>
              <w:spacing w:before="66"/>
              <w:ind w:left="235" w:right="227"/>
              <w:rPr>
                <w:color w:val="auto"/>
                <w:sz w:val="20"/>
              </w:rPr>
            </w:pPr>
            <w:r>
              <w:rPr>
                <w:color w:val="auto"/>
                <w:sz w:val="20"/>
              </w:rPr>
              <w:t>165.35</w:t>
            </w:r>
          </w:p>
        </w:tc>
        <w:tc>
          <w:tcPr>
            <w:tcW w:w="1125" w:type="dxa"/>
            <w:shd w:val="clear" w:color="auto" w:fill="BEBEBE"/>
          </w:tcPr>
          <w:p w14:paraId="73B82A10">
            <w:pPr>
              <w:pStyle w:val="30"/>
              <w:spacing w:before="66"/>
              <w:ind w:left="212" w:right="203"/>
              <w:rPr>
                <w:color w:val="auto"/>
                <w:sz w:val="20"/>
              </w:rPr>
            </w:pPr>
            <w:r>
              <w:rPr>
                <w:color w:val="auto"/>
                <w:sz w:val="20"/>
              </w:rPr>
              <w:t>2480.25</w:t>
            </w:r>
          </w:p>
        </w:tc>
        <w:tc>
          <w:tcPr>
            <w:tcW w:w="1995" w:type="dxa"/>
            <w:shd w:val="clear" w:color="auto" w:fill="BEBEBE"/>
          </w:tcPr>
          <w:p w14:paraId="5658AE3E">
            <w:pPr>
              <w:pStyle w:val="30"/>
              <w:spacing w:before="66"/>
              <w:ind w:left="7"/>
              <w:rPr>
                <w:color w:val="auto"/>
                <w:sz w:val="20"/>
              </w:rPr>
            </w:pPr>
            <w:r>
              <w:rPr>
                <w:color w:val="auto"/>
                <w:w w:val="99"/>
                <w:sz w:val="20"/>
              </w:rPr>
              <w:t>—</w:t>
            </w:r>
          </w:p>
        </w:tc>
      </w:tr>
      <w:tr w14:paraId="6622F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55" w:type="dxa"/>
            <w:shd w:val="clear" w:color="auto" w:fill="BEBEBE"/>
          </w:tcPr>
          <w:p w14:paraId="771CBEAB">
            <w:pPr>
              <w:pStyle w:val="30"/>
              <w:spacing w:before="61"/>
              <w:ind w:left="152" w:right="148"/>
              <w:rPr>
                <w:rFonts w:hint="eastAsia" w:ascii="宋体" w:eastAsia="宋体"/>
                <w:color w:val="auto"/>
                <w:sz w:val="20"/>
              </w:rPr>
            </w:pPr>
            <w:r>
              <w:rPr>
                <w:rFonts w:hint="eastAsia" w:ascii="宋体" w:eastAsia="宋体"/>
                <w:color w:val="auto"/>
                <w:sz w:val="20"/>
              </w:rPr>
              <w:t>合计</w:t>
            </w:r>
          </w:p>
        </w:tc>
        <w:tc>
          <w:tcPr>
            <w:tcW w:w="1000" w:type="dxa"/>
            <w:shd w:val="clear" w:color="auto" w:fill="BEBEBE"/>
          </w:tcPr>
          <w:p w14:paraId="22503BB4">
            <w:pPr>
              <w:pStyle w:val="30"/>
              <w:spacing w:before="75"/>
              <w:ind w:left="9"/>
              <w:rPr>
                <w:color w:val="auto"/>
                <w:sz w:val="20"/>
              </w:rPr>
            </w:pPr>
            <w:r>
              <w:rPr>
                <w:color w:val="auto"/>
                <w:w w:val="99"/>
                <w:sz w:val="20"/>
              </w:rPr>
              <w:t>5</w:t>
            </w:r>
          </w:p>
        </w:tc>
        <w:tc>
          <w:tcPr>
            <w:tcW w:w="1249" w:type="dxa"/>
            <w:shd w:val="clear" w:color="auto" w:fill="BEBEBE"/>
          </w:tcPr>
          <w:p w14:paraId="7D0C9C93">
            <w:pPr>
              <w:pStyle w:val="30"/>
              <w:spacing w:before="75"/>
              <w:ind w:left="202" w:right="195"/>
              <w:rPr>
                <w:color w:val="auto"/>
                <w:sz w:val="20"/>
              </w:rPr>
            </w:pPr>
            <w:r>
              <w:rPr>
                <w:color w:val="auto"/>
                <w:sz w:val="20"/>
              </w:rPr>
              <w:t>13</w:t>
            </w:r>
          </w:p>
        </w:tc>
        <w:tc>
          <w:tcPr>
            <w:tcW w:w="755" w:type="dxa"/>
            <w:shd w:val="clear" w:color="auto" w:fill="BEBEBE"/>
          </w:tcPr>
          <w:p w14:paraId="5B1DD192">
            <w:pPr>
              <w:pStyle w:val="30"/>
              <w:spacing w:before="75"/>
              <w:ind w:right="145"/>
              <w:rPr>
                <w:color w:val="auto"/>
                <w:sz w:val="20"/>
              </w:rPr>
            </w:pPr>
            <w:r>
              <w:rPr>
                <w:color w:val="auto"/>
                <w:sz w:val="20"/>
              </w:rPr>
              <w:t>26</w:t>
            </w:r>
          </w:p>
        </w:tc>
        <w:tc>
          <w:tcPr>
            <w:tcW w:w="755" w:type="dxa"/>
            <w:shd w:val="clear" w:color="auto" w:fill="BEBEBE"/>
          </w:tcPr>
          <w:p w14:paraId="6C338749">
            <w:pPr>
              <w:pStyle w:val="30"/>
              <w:spacing w:before="75"/>
              <w:ind w:right="148"/>
              <w:rPr>
                <w:color w:val="auto"/>
                <w:sz w:val="20"/>
              </w:rPr>
            </w:pPr>
            <w:r>
              <w:rPr>
                <w:color w:val="auto"/>
                <w:sz w:val="20"/>
              </w:rPr>
              <w:t>91</w:t>
            </w:r>
          </w:p>
        </w:tc>
        <w:tc>
          <w:tcPr>
            <w:tcW w:w="1370" w:type="dxa"/>
            <w:shd w:val="clear" w:color="auto" w:fill="BEBEBE"/>
          </w:tcPr>
          <w:p w14:paraId="691D34E5">
            <w:pPr>
              <w:pStyle w:val="30"/>
              <w:spacing w:before="75"/>
              <w:ind w:left="235" w:right="227"/>
              <w:rPr>
                <w:color w:val="auto"/>
                <w:sz w:val="20"/>
              </w:rPr>
            </w:pPr>
            <w:r>
              <w:rPr>
                <w:color w:val="auto"/>
                <w:sz w:val="20"/>
              </w:rPr>
              <w:t>403.38</w:t>
            </w:r>
          </w:p>
        </w:tc>
        <w:tc>
          <w:tcPr>
            <w:tcW w:w="1125" w:type="dxa"/>
            <w:shd w:val="clear" w:color="auto" w:fill="BEBEBE"/>
          </w:tcPr>
          <w:p w14:paraId="76E6A553">
            <w:pPr>
              <w:pStyle w:val="30"/>
              <w:spacing w:before="75"/>
              <w:ind w:left="212" w:right="203"/>
              <w:rPr>
                <w:color w:val="auto"/>
                <w:sz w:val="20"/>
              </w:rPr>
            </w:pPr>
            <w:r>
              <w:rPr>
                <w:color w:val="auto"/>
                <w:sz w:val="20"/>
              </w:rPr>
              <w:t>6050.65</w:t>
            </w:r>
          </w:p>
        </w:tc>
        <w:tc>
          <w:tcPr>
            <w:tcW w:w="1995" w:type="dxa"/>
            <w:shd w:val="clear" w:color="auto" w:fill="BEBEBE"/>
          </w:tcPr>
          <w:p w14:paraId="1A414463">
            <w:pPr>
              <w:pStyle w:val="30"/>
              <w:spacing w:before="75"/>
              <w:ind w:left="7"/>
              <w:rPr>
                <w:color w:val="auto"/>
                <w:sz w:val="20"/>
              </w:rPr>
            </w:pPr>
            <w:r>
              <w:rPr>
                <w:color w:val="auto"/>
                <w:w w:val="99"/>
                <w:sz w:val="20"/>
              </w:rPr>
              <w:t>—</w:t>
            </w:r>
          </w:p>
        </w:tc>
      </w:tr>
    </w:tbl>
    <w:p w14:paraId="22E5FB0E">
      <w:pPr>
        <w:spacing w:after="0"/>
        <w:rPr>
          <w:color w:val="auto"/>
          <w:sz w:val="20"/>
        </w:rPr>
        <w:sectPr>
          <w:headerReference r:id="rId7" w:type="default"/>
          <w:pgSz w:w="11910" w:h="16840"/>
          <w:pgMar w:top="1420" w:right="0" w:bottom="1420" w:left="1020" w:header="878" w:footer="1225" w:gutter="0"/>
          <w:pgNumType w:fmt="decimal"/>
          <w:cols w:space="720" w:num="1"/>
        </w:sectPr>
      </w:pPr>
    </w:p>
    <w:p w14:paraId="426A7F49">
      <w:pPr>
        <w:tabs>
          <w:tab w:val="left" w:pos="2301"/>
        </w:tabs>
        <w:spacing w:before="90"/>
        <w:ind w:left="1161" w:right="0" w:firstLine="0"/>
        <w:jc w:val="left"/>
        <w:rPr>
          <w:rFonts w:hint="eastAsia" w:ascii="宋体" w:eastAsia="宋体"/>
          <w:b/>
          <w:color w:val="auto"/>
          <w:sz w:val="24"/>
        </w:rPr>
      </w:pPr>
      <w:r>
        <w:rPr>
          <w:rFonts w:hint="eastAsia" w:ascii="宋体" w:eastAsia="宋体"/>
          <w:b/>
          <w:color w:val="auto"/>
          <w:sz w:val="24"/>
        </w:rPr>
        <w:t>附表</w:t>
      </w:r>
      <w:r>
        <w:rPr>
          <w:rFonts w:hint="eastAsia" w:ascii="宋体" w:eastAsia="宋体"/>
          <w:b/>
          <w:color w:val="auto"/>
          <w:spacing w:val="-62"/>
          <w:sz w:val="24"/>
        </w:rPr>
        <w:t xml:space="preserve"> </w:t>
      </w:r>
      <w:r>
        <w:rPr>
          <w:rFonts w:ascii="Times New Roman" w:eastAsia="Times New Roman"/>
          <w:b/>
          <w:color w:val="auto"/>
          <w:sz w:val="24"/>
        </w:rPr>
        <w:t>2</w:t>
      </w:r>
      <w:r>
        <w:rPr>
          <w:rFonts w:ascii="Times New Roman" w:eastAsia="Times New Roman"/>
          <w:b/>
          <w:color w:val="auto"/>
          <w:sz w:val="24"/>
        </w:rPr>
        <w:tab/>
      </w:r>
      <w:r>
        <w:rPr>
          <w:rFonts w:hint="eastAsia" w:ascii="宋体" w:eastAsia="宋体"/>
          <w:b/>
          <w:color w:val="auto"/>
          <w:sz w:val="24"/>
        </w:rPr>
        <w:t>全州县</w:t>
      </w:r>
      <w:r>
        <w:rPr>
          <w:rFonts w:hint="eastAsia" w:ascii="宋体" w:eastAsia="宋体"/>
          <w:b/>
          <w:color w:val="auto"/>
          <w:spacing w:val="-61"/>
          <w:sz w:val="24"/>
        </w:rPr>
        <w:t xml:space="preserve"> </w:t>
      </w:r>
      <w:r>
        <w:rPr>
          <w:rFonts w:ascii="Times New Roman" w:eastAsia="Times New Roman"/>
          <w:b/>
          <w:color w:val="auto"/>
          <w:sz w:val="24"/>
        </w:rPr>
        <w:t>2023-2026</w:t>
      </w:r>
      <w:r>
        <w:rPr>
          <w:rFonts w:ascii="Times New Roman" w:eastAsia="Times New Roman"/>
          <w:b/>
          <w:color w:val="auto"/>
          <w:spacing w:val="2"/>
          <w:sz w:val="24"/>
        </w:rPr>
        <w:t xml:space="preserve"> </w:t>
      </w:r>
      <w:r>
        <w:rPr>
          <w:rFonts w:hint="eastAsia" w:ascii="宋体" w:eastAsia="宋体"/>
          <w:b/>
          <w:color w:val="auto"/>
          <w:sz w:val="24"/>
        </w:rPr>
        <w:t>年松材线虫病绩效除治区划表</w:t>
      </w:r>
    </w:p>
    <w:p w14:paraId="2BF2016D">
      <w:pPr>
        <w:pStyle w:val="10"/>
        <w:spacing w:before="3"/>
        <w:ind w:left="0"/>
        <w:rPr>
          <w:rFonts w:ascii="宋体"/>
          <w:b/>
          <w:color w:val="auto"/>
          <w:sz w:val="6"/>
        </w:rPr>
      </w:pPr>
    </w:p>
    <w:tbl>
      <w:tblPr>
        <w:tblStyle w:val="19"/>
        <w:tblW w:w="0" w:type="auto"/>
        <w:tblInd w:w="5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1"/>
        <w:gridCol w:w="1470"/>
        <w:gridCol w:w="1553"/>
        <w:gridCol w:w="2187"/>
        <w:gridCol w:w="2536"/>
      </w:tblGrid>
      <w:tr w14:paraId="33F81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1271" w:type="dxa"/>
            <w:shd w:val="clear" w:color="auto" w:fill="D6D6D6"/>
            <w:vAlign w:val="center"/>
          </w:tcPr>
          <w:p w14:paraId="5ABA61B7">
            <w:pPr>
              <w:pStyle w:val="30"/>
              <w:spacing w:before="11"/>
              <w:ind w:left="0"/>
              <w:jc w:val="center"/>
              <w:rPr>
                <w:rFonts w:hint="eastAsia" w:ascii="宋体" w:hAnsi="宋体" w:eastAsia="宋体" w:cs="宋体"/>
                <w:b/>
                <w:color w:val="auto"/>
                <w:sz w:val="21"/>
                <w:szCs w:val="21"/>
              </w:rPr>
            </w:pPr>
          </w:p>
          <w:p w14:paraId="209E1F59">
            <w:pPr>
              <w:pStyle w:val="30"/>
              <w:spacing w:before="1"/>
              <w:ind w:left="90" w:right="81"/>
              <w:jc w:val="center"/>
              <w:rPr>
                <w:rFonts w:hint="eastAsia" w:ascii="宋体" w:hAnsi="宋体" w:eastAsia="宋体" w:cs="宋体"/>
                <w:color w:val="auto"/>
                <w:sz w:val="21"/>
                <w:szCs w:val="21"/>
              </w:rPr>
            </w:pPr>
            <w:r>
              <w:rPr>
                <w:rFonts w:hint="eastAsia" w:ascii="宋体" w:hAnsi="宋体" w:eastAsia="宋体" w:cs="宋体"/>
                <w:color w:val="auto"/>
                <w:sz w:val="21"/>
                <w:szCs w:val="21"/>
              </w:rPr>
              <w:t>防控分区</w:t>
            </w:r>
          </w:p>
        </w:tc>
        <w:tc>
          <w:tcPr>
            <w:tcW w:w="1470" w:type="dxa"/>
            <w:shd w:val="clear" w:color="auto" w:fill="D6D6D6"/>
            <w:vAlign w:val="center"/>
          </w:tcPr>
          <w:p w14:paraId="2B74682D">
            <w:pPr>
              <w:pStyle w:val="30"/>
              <w:spacing w:before="11"/>
              <w:ind w:left="0"/>
              <w:jc w:val="center"/>
              <w:rPr>
                <w:rFonts w:hint="eastAsia" w:ascii="宋体" w:hAnsi="宋体" w:eastAsia="宋体" w:cs="宋体"/>
                <w:b/>
                <w:color w:val="auto"/>
                <w:sz w:val="21"/>
                <w:szCs w:val="21"/>
              </w:rPr>
            </w:pPr>
          </w:p>
          <w:p w14:paraId="2ACB031C">
            <w:pPr>
              <w:pStyle w:val="30"/>
              <w:spacing w:before="1"/>
              <w:ind w:left="334"/>
              <w:jc w:val="center"/>
              <w:rPr>
                <w:rFonts w:hint="eastAsia" w:ascii="宋体" w:hAnsi="宋体" w:eastAsia="宋体" w:cs="宋体"/>
                <w:color w:val="auto"/>
                <w:sz w:val="21"/>
                <w:szCs w:val="21"/>
              </w:rPr>
            </w:pPr>
            <w:r>
              <w:rPr>
                <w:rFonts w:hint="eastAsia" w:ascii="宋体" w:hAnsi="宋体" w:eastAsia="宋体" w:cs="宋体"/>
                <w:color w:val="auto"/>
                <w:sz w:val="21"/>
                <w:szCs w:val="21"/>
              </w:rPr>
              <w:t>划分依据</w:t>
            </w:r>
          </w:p>
        </w:tc>
        <w:tc>
          <w:tcPr>
            <w:tcW w:w="1553" w:type="dxa"/>
            <w:shd w:val="clear" w:color="auto" w:fill="D6D6D6"/>
            <w:vAlign w:val="center"/>
          </w:tcPr>
          <w:p w14:paraId="04F78AE7">
            <w:pPr>
              <w:pStyle w:val="30"/>
              <w:spacing w:before="11"/>
              <w:ind w:left="0"/>
              <w:jc w:val="center"/>
              <w:rPr>
                <w:rFonts w:hint="eastAsia" w:ascii="宋体" w:hAnsi="宋体" w:eastAsia="宋体" w:cs="宋体"/>
                <w:b/>
                <w:color w:val="auto"/>
                <w:sz w:val="21"/>
                <w:szCs w:val="21"/>
              </w:rPr>
            </w:pPr>
          </w:p>
          <w:p w14:paraId="0CFF5110">
            <w:pPr>
              <w:pStyle w:val="30"/>
              <w:spacing w:before="1"/>
              <w:ind w:left="374"/>
              <w:jc w:val="center"/>
              <w:rPr>
                <w:rFonts w:hint="eastAsia" w:ascii="宋体" w:hAnsi="宋体" w:eastAsia="宋体" w:cs="宋体"/>
                <w:color w:val="auto"/>
                <w:sz w:val="21"/>
                <w:szCs w:val="21"/>
              </w:rPr>
            </w:pPr>
            <w:r>
              <w:rPr>
                <w:rFonts w:hint="eastAsia" w:ascii="宋体" w:hAnsi="宋体" w:eastAsia="宋体" w:cs="宋体"/>
                <w:color w:val="auto"/>
                <w:sz w:val="21"/>
                <w:szCs w:val="21"/>
              </w:rPr>
              <w:t>具体范围</w:t>
            </w:r>
          </w:p>
        </w:tc>
        <w:tc>
          <w:tcPr>
            <w:tcW w:w="2187" w:type="dxa"/>
            <w:shd w:val="clear" w:color="auto" w:fill="D6D6D6"/>
            <w:vAlign w:val="center"/>
          </w:tcPr>
          <w:p w14:paraId="155D8C39">
            <w:pPr>
              <w:pStyle w:val="30"/>
              <w:spacing w:before="11"/>
              <w:ind w:left="0"/>
              <w:jc w:val="center"/>
              <w:rPr>
                <w:rFonts w:hint="eastAsia" w:ascii="宋体" w:hAnsi="宋体" w:eastAsia="宋体" w:cs="宋体"/>
                <w:b/>
                <w:color w:val="auto"/>
                <w:sz w:val="21"/>
                <w:szCs w:val="21"/>
              </w:rPr>
            </w:pPr>
          </w:p>
          <w:p w14:paraId="5217E538">
            <w:pPr>
              <w:pStyle w:val="30"/>
              <w:spacing w:before="1"/>
              <w:ind w:left="693"/>
              <w:jc w:val="center"/>
              <w:rPr>
                <w:rFonts w:hint="eastAsia" w:ascii="宋体" w:hAnsi="宋体" w:eastAsia="宋体" w:cs="宋体"/>
                <w:color w:val="auto"/>
                <w:sz w:val="21"/>
                <w:szCs w:val="21"/>
              </w:rPr>
            </w:pPr>
            <w:r>
              <w:rPr>
                <w:rFonts w:hint="eastAsia" w:ascii="宋体" w:hAnsi="宋体" w:eastAsia="宋体" w:cs="宋体"/>
                <w:color w:val="auto"/>
                <w:sz w:val="21"/>
                <w:szCs w:val="21"/>
              </w:rPr>
              <w:t>防控目标</w:t>
            </w:r>
          </w:p>
        </w:tc>
        <w:tc>
          <w:tcPr>
            <w:tcW w:w="2536" w:type="dxa"/>
            <w:shd w:val="clear" w:color="auto" w:fill="D6D6D6"/>
            <w:vAlign w:val="center"/>
          </w:tcPr>
          <w:p w14:paraId="5A332C7E">
            <w:pPr>
              <w:pStyle w:val="30"/>
              <w:spacing w:before="11"/>
              <w:ind w:left="0"/>
              <w:jc w:val="center"/>
              <w:rPr>
                <w:rFonts w:hint="eastAsia" w:ascii="宋体" w:hAnsi="宋体" w:eastAsia="宋体" w:cs="宋体"/>
                <w:b/>
                <w:color w:val="auto"/>
                <w:sz w:val="21"/>
                <w:szCs w:val="21"/>
              </w:rPr>
            </w:pPr>
          </w:p>
          <w:p w14:paraId="7F2CC89F">
            <w:pPr>
              <w:pStyle w:val="30"/>
              <w:spacing w:before="1"/>
              <w:ind w:left="107" w:right="98"/>
              <w:jc w:val="center"/>
              <w:rPr>
                <w:rFonts w:hint="eastAsia" w:ascii="宋体" w:hAnsi="宋体" w:eastAsia="宋体" w:cs="宋体"/>
                <w:color w:val="auto"/>
                <w:sz w:val="21"/>
                <w:szCs w:val="21"/>
              </w:rPr>
            </w:pPr>
            <w:r>
              <w:rPr>
                <w:rFonts w:hint="eastAsia" w:ascii="宋体" w:hAnsi="宋体" w:eastAsia="宋体" w:cs="宋体"/>
                <w:color w:val="auto"/>
                <w:sz w:val="21"/>
                <w:szCs w:val="21"/>
              </w:rPr>
              <w:t>防控策略</w:t>
            </w:r>
          </w:p>
        </w:tc>
      </w:tr>
      <w:tr w14:paraId="55A53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7" w:hRule="atLeast"/>
        </w:trPr>
        <w:tc>
          <w:tcPr>
            <w:tcW w:w="1271" w:type="dxa"/>
            <w:vAlign w:val="center"/>
          </w:tcPr>
          <w:p w14:paraId="529E73BE">
            <w:pPr>
              <w:pStyle w:val="30"/>
              <w:ind w:left="0"/>
              <w:jc w:val="center"/>
              <w:rPr>
                <w:rFonts w:hint="eastAsia" w:ascii="宋体" w:hAnsi="宋体" w:eastAsia="宋体" w:cs="宋体"/>
                <w:b/>
                <w:color w:val="auto"/>
                <w:sz w:val="21"/>
                <w:szCs w:val="21"/>
              </w:rPr>
            </w:pPr>
          </w:p>
          <w:p w14:paraId="36017B6D">
            <w:pPr>
              <w:pStyle w:val="30"/>
              <w:spacing w:before="9"/>
              <w:ind w:left="0"/>
              <w:jc w:val="center"/>
              <w:rPr>
                <w:rFonts w:hint="eastAsia" w:ascii="宋体" w:hAnsi="宋体" w:eastAsia="宋体" w:cs="宋体"/>
                <w:b/>
                <w:color w:val="auto"/>
                <w:sz w:val="21"/>
                <w:szCs w:val="21"/>
              </w:rPr>
            </w:pPr>
          </w:p>
          <w:p w14:paraId="0863D0F6">
            <w:pPr>
              <w:pStyle w:val="30"/>
              <w:ind w:left="90" w:right="81"/>
              <w:jc w:val="center"/>
              <w:rPr>
                <w:rFonts w:hint="eastAsia" w:ascii="宋体" w:hAnsi="宋体" w:eastAsia="宋体" w:cs="宋体"/>
                <w:color w:val="auto"/>
                <w:sz w:val="21"/>
                <w:szCs w:val="21"/>
              </w:rPr>
            </w:pPr>
            <w:r>
              <w:rPr>
                <w:rFonts w:hint="eastAsia" w:ascii="宋体" w:hAnsi="宋体" w:eastAsia="宋体" w:cs="宋体"/>
                <w:color w:val="auto"/>
                <w:sz w:val="21"/>
                <w:szCs w:val="21"/>
              </w:rPr>
              <w:t>疫情压缩区</w:t>
            </w:r>
          </w:p>
        </w:tc>
        <w:tc>
          <w:tcPr>
            <w:tcW w:w="1470" w:type="dxa"/>
            <w:vAlign w:val="center"/>
          </w:tcPr>
          <w:p w14:paraId="3A479963">
            <w:pPr>
              <w:pStyle w:val="30"/>
              <w:spacing w:before="5"/>
              <w:ind w:left="0"/>
              <w:jc w:val="center"/>
              <w:rPr>
                <w:rFonts w:hint="eastAsia" w:ascii="宋体" w:hAnsi="宋体" w:eastAsia="宋体" w:cs="宋体"/>
                <w:b/>
                <w:color w:val="auto"/>
                <w:sz w:val="21"/>
                <w:szCs w:val="21"/>
              </w:rPr>
            </w:pPr>
          </w:p>
          <w:p w14:paraId="60B46277">
            <w:pPr>
              <w:pStyle w:val="30"/>
              <w:spacing w:line="278" w:lineRule="auto"/>
              <w:ind w:left="106" w:right="98" w:firstLine="2"/>
              <w:jc w:val="center"/>
              <w:rPr>
                <w:rFonts w:hint="eastAsia" w:ascii="宋体" w:hAnsi="宋体" w:eastAsia="宋体" w:cs="宋体"/>
                <w:color w:val="auto"/>
                <w:sz w:val="21"/>
                <w:szCs w:val="21"/>
              </w:rPr>
            </w:pPr>
            <w:r>
              <w:rPr>
                <w:rFonts w:hint="eastAsia" w:ascii="宋体" w:hAnsi="宋体" w:eastAsia="宋体" w:cs="宋体"/>
                <w:color w:val="auto"/>
                <w:sz w:val="21"/>
                <w:szCs w:val="21"/>
              </w:rPr>
              <w:t>发生时间早</w:t>
            </w:r>
            <w:r>
              <w:rPr>
                <w:rFonts w:hint="eastAsia" w:ascii="宋体" w:hAnsi="宋体" w:eastAsia="宋体" w:cs="宋体"/>
                <w:color w:val="auto"/>
                <w:spacing w:val="-4"/>
                <w:sz w:val="21"/>
                <w:szCs w:val="21"/>
              </w:rPr>
              <w:t>或面积大、枯</w:t>
            </w:r>
            <w:r>
              <w:rPr>
                <w:rFonts w:hint="eastAsia" w:ascii="宋体" w:hAnsi="宋体" w:eastAsia="宋体" w:cs="宋体"/>
                <w:color w:val="auto"/>
                <w:sz w:val="21"/>
                <w:szCs w:val="21"/>
              </w:rPr>
              <w:t>死松树多</w:t>
            </w:r>
          </w:p>
        </w:tc>
        <w:tc>
          <w:tcPr>
            <w:tcW w:w="1553" w:type="dxa"/>
            <w:vAlign w:val="center"/>
          </w:tcPr>
          <w:p w14:paraId="0324533B">
            <w:pPr>
              <w:pStyle w:val="30"/>
              <w:ind w:left="0"/>
              <w:jc w:val="center"/>
              <w:rPr>
                <w:rFonts w:hint="eastAsia" w:ascii="宋体" w:hAnsi="宋体" w:eastAsia="宋体" w:cs="宋体"/>
                <w:b/>
                <w:color w:val="auto"/>
                <w:sz w:val="21"/>
                <w:szCs w:val="21"/>
              </w:rPr>
            </w:pPr>
          </w:p>
          <w:p w14:paraId="5910E50B">
            <w:pPr>
              <w:pStyle w:val="30"/>
              <w:spacing w:before="7"/>
              <w:ind w:left="0"/>
              <w:jc w:val="center"/>
              <w:rPr>
                <w:rFonts w:hint="eastAsia" w:ascii="宋体" w:hAnsi="宋体" w:eastAsia="宋体" w:cs="宋体"/>
                <w:b/>
                <w:color w:val="auto"/>
                <w:sz w:val="21"/>
                <w:szCs w:val="21"/>
              </w:rPr>
            </w:pPr>
          </w:p>
          <w:p w14:paraId="3AE48C6E">
            <w:pPr>
              <w:pStyle w:val="30"/>
              <w:spacing w:line="278" w:lineRule="auto"/>
              <w:ind w:left="669" w:right="136" w:hanging="524"/>
              <w:jc w:val="center"/>
              <w:rPr>
                <w:rFonts w:hint="eastAsia" w:ascii="宋体" w:hAnsi="宋体" w:eastAsia="宋体" w:cs="宋体"/>
                <w:color w:val="auto"/>
                <w:sz w:val="21"/>
                <w:szCs w:val="21"/>
              </w:rPr>
            </w:pPr>
            <w:r>
              <w:rPr>
                <w:rFonts w:hint="eastAsia" w:ascii="宋体" w:hAnsi="宋体" w:eastAsia="宋体" w:cs="宋体"/>
                <w:color w:val="auto"/>
                <w:sz w:val="21"/>
                <w:szCs w:val="21"/>
              </w:rPr>
              <w:t>枧塘镇、全州镇</w:t>
            </w:r>
          </w:p>
        </w:tc>
        <w:tc>
          <w:tcPr>
            <w:tcW w:w="2187" w:type="dxa"/>
            <w:vAlign w:val="center"/>
          </w:tcPr>
          <w:p w14:paraId="668376B9">
            <w:pPr>
              <w:pStyle w:val="30"/>
              <w:spacing w:line="278" w:lineRule="auto"/>
              <w:ind w:left="106" w:right="98" w:firstLine="2"/>
              <w:jc w:val="center"/>
              <w:rPr>
                <w:rFonts w:hint="eastAsia" w:ascii="宋体" w:hAnsi="宋体" w:eastAsia="宋体" w:cs="宋体"/>
                <w:color w:val="auto"/>
                <w:sz w:val="21"/>
                <w:szCs w:val="21"/>
              </w:rPr>
            </w:pPr>
          </w:p>
          <w:p w14:paraId="587EDC88">
            <w:pPr>
              <w:pStyle w:val="30"/>
              <w:spacing w:line="278" w:lineRule="auto"/>
              <w:ind w:left="106" w:right="98" w:firstLine="2"/>
              <w:jc w:val="center"/>
              <w:rPr>
                <w:rFonts w:hint="eastAsia" w:ascii="宋体" w:hAnsi="宋体" w:eastAsia="宋体" w:cs="宋体"/>
                <w:color w:val="auto"/>
                <w:sz w:val="21"/>
                <w:szCs w:val="21"/>
              </w:rPr>
            </w:pPr>
            <w:r>
              <w:rPr>
                <w:rFonts w:hint="eastAsia" w:ascii="宋体" w:hAnsi="宋体" w:eastAsia="宋体" w:cs="宋体"/>
                <w:color w:val="auto"/>
                <w:sz w:val="21"/>
                <w:szCs w:val="21"/>
              </w:rPr>
              <w:t>五通镇和中庸镇到</w:t>
            </w:r>
          </w:p>
          <w:p w14:paraId="68A20648">
            <w:pPr>
              <w:pStyle w:val="30"/>
              <w:spacing w:line="278" w:lineRule="auto"/>
              <w:ind w:left="106" w:right="98" w:firstLine="2"/>
              <w:jc w:val="center"/>
              <w:rPr>
                <w:rFonts w:hint="eastAsia" w:ascii="宋体" w:hAnsi="宋体" w:eastAsia="宋体" w:cs="宋体"/>
                <w:color w:val="auto"/>
                <w:sz w:val="21"/>
                <w:szCs w:val="21"/>
              </w:rPr>
            </w:pPr>
            <w:r>
              <w:rPr>
                <w:rFonts w:hint="eastAsia" w:ascii="宋体" w:hAnsi="宋体" w:eastAsia="宋体" w:cs="宋体"/>
                <w:color w:val="auto"/>
                <w:sz w:val="21"/>
                <w:szCs w:val="21"/>
              </w:rPr>
              <w:t>2026 年疫情面积较</w:t>
            </w:r>
          </w:p>
          <w:p w14:paraId="587463C5">
            <w:pPr>
              <w:pStyle w:val="30"/>
              <w:spacing w:line="278" w:lineRule="auto"/>
              <w:ind w:left="106" w:right="98" w:firstLine="2"/>
              <w:jc w:val="center"/>
              <w:rPr>
                <w:rFonts w:hint="eastAsia" w:ascii="宋体" w:hAnsi="宋体" w:eastAsia="宋体" w:cs="宋体"/>
                <w:color w:val="auto"/>
                <w:sz w:val="21"/>
                <w:szCs w:val="21"/>
              </w:rPr>
            </w:pPr>
            <w:r>
              <w:rPr>
                <w:rFonts w:hint="eastAsia" w:ascii="宋体" w:hAnsi="宋体" w:eastAsia="宋体" w:cs="宋体"/>
                <w:color w:val="auto"/>
                <w:sz w:val="21"/>
                <w:szCs w:val="21"/>
              </w:rPr>
              <w:t>2023 年下降 20%。</w:t>
            </w:r>
          </w:p>
        </w:tc>
        <w:tc>
          <w:tcPr>
            <w:tcW w:w="2536" w:type="dxa"/>
            <w:vAlign w:val="center"/>
          </w:tcPr>
          <w:p w14:paraId="10FAA65E">
            <w:pPr>
              <w:pStyle w:val="30"/>
              <w:spacing w:line="278" w:lineRule="auto"/>
              <w:ind w:left="106" w:right="98" w:firstLine="2"/>
              <w:jc w:val="center"/>
              <w:rPr>
                <w:rFonts w:hint="eastAsia" w:ascii="宋体" w:hAnsi="宋体" w:eastAsia="宋体" w:cs="宋体"/>
                <w:color w:val="auto"/>
                <w:sz w:val="21"/>
                <w:szCs w:val="21"/>
              </w:rPr>
            </w:pPr>
            <w:r>
              <w:rPr>
                <w:rFonts w:hint="eastAsia" w:ascii="宋体" w:hAnsi="宋体" w:eastAsia="宋体" w:cs="宋体"/>
                <w:color w:val="auto"/>
                <w:sz w:val="21"/>
                <w:szCs w:val="21"/>
              </w:rPr>
              <w:t>“内防扩散、外防输出、全面攻坚”的要求，实现疫情整体可控、逐步压缩、定点清除</w:t>
            </w:r>
          </w:p>
        </w:tc>
      </w:tr>
      <w:tr w14:paraId="6779C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0" w:hRule="atLeast"/>
        </w:trPr>
        <w:tc>
          <w:tcPr>
            <w:tcW w:w="1271" w:type="dxa"/>
            <w:vAlign w:val="center"/>
          </w:tcPr>
          <w:p w14:paraId="6FC4E313">
            <w:pPr>
              <w:pStyle w:val="30"/>
              <w:ind w:left="0"/>
              <w:jc w:val="center"/>
              <w:rPr>
                <w:rFonts w:hint="eastAsia" w:ascii="宋体" w:hAnsi="宋体" w:eastAsia="宋体" w:cs="宋体"/>
                <w:b/>
                <w:color w:val="auto"/>
                <w:sz w:val="21"/>
                <w:szCs w:val="21"/>
              </w:rPr>
            </w:pPr>
          </w:p>
          <w:p w14:paraId="2A294F54">
            <w:pPr>
              <w:pStyle w:val="30"/>
              <w:ind w:left="0"/>
              <w:jc w:val="center"/>
              <w:rPr>
                <w:rFonts w:hint="eastAsia" w:ascii="宋体" w:hAnsi="宋体" w:eastAsia="宋体" w:cs="宋体"/>
                <w:b/>
                <w:color w:val="auto"/>
                <w:sz w:val="21"/>
                <w:szCs w:val="21"/>
              </w:rPr>
            </w:pPr>
          </w:p>
          <w:p w14:paraId="7877CCC1">
            <w:pPr>
              <w:pStyle w:val="30"/>
              <w:spacing w:before="11"/>
              <w:ind w:left="0"/>
              <w:jc w:val="center"/>
              <w:rPr>
                <w:rFonts w:hint="eastAsia" w:ascii="宋体" w:hAnsi="宋体" w:eastAsia="宋体" w:cs="宋体"/>
                <w:b/>
                <w:color w:val="auto"/>
                <w:sz w:val="21"/>
                <w:szCs w:val="21"/>
              </w:rPr>
            </w:pPr>
          </w:p>
          <w:p w14:paraId="5B3EE9B6">
            <w:pPr>
              <w:pStyle w:val="30"/>
              <w:ind w:left="90" w:right="81"/>
              <w:jc w:val="center"/>
              <w:rPr>
                <w:rFonts w:hint="eastAsia" w:ascii="宋体" w:hAnsi="宋体" w:eastAsia="宋体" w:cs="宋体"/>
                <w:color w:val="auto"/>
                <w:sz w:val="21"/>
                <w:szCs w:val="21"/>
              </w:rPr>
            </w:pPr>
            <w:r>
              <w:rPr>
                <w:rFonts w:hint="eastAsia" w:ascii="宋体" w:hAnsi="宋体" w:eastAsia="宋体" w:cs="宋体"/>
                <w:color w:val="auto"/>
                <w:sz w:val="21"/>
                <w:szCs w:val="21"/>
              </w:rPr>
              <w:t>疫情拔除区</w:t>
            </w:r>
          </w:p>
        </w:tc>
        <w:tc>
          <w:tcPr>
            <w:tcW w:w="1470" w:type="dxa"/>
            <w:vAlign w:val="center"/>
          </w:tcPr>
          <w:p w14:paraId="791A17F0">
            <w:pPr>
              <w:pStyle w:val="30"/>
              <w:ind w:left="0"/>
              <w:jc w:val="center"/>
              <w:rPr>
                <w:rFonts w:hint="eastAsia" w:ascii="宋体" w:hAnsi="宋体" w:eastAsia="宋体" w:cs="宋体"/>
                <w:b/>
                <w:color w:val="auto"/>
                <w:sz w:val="21"/>
                <w:szCs w:val="21"/>
              </w:rPr>
            </w:pPr>
          </w:p>
          <w:p w14:paraId="2934EBAA">
            <w:pPr>
              <w:pStyle w:val="30"/>
              <w:spacing w:before="9"/>
              <w:ind w:left="0"/>
              <w:jc w:val="center"/>
              <w:rPr>
                <w:rFonts w:hint="eastAsia" w:ascii="宋体" w:hAnsi="宋体" w:eastAsia="宋体" w:cs="宋体"/>
                <w:b/>
                <w:color w:val="auto"/>
                <w:sz w:val="21"/>
                <w:szCs w:val="21"/>
              </w:rPr>
            </w:pPr>
          </w:p>
          <w:p w14:paraId="782D755F">
            <w:pPr>
              <w:pStyle w:val="30"/>
              <w:spacing w:line="278" w:lineRule="auto"/>
              <w:ind w:left="524" w:right="198" w:hanging="315"/>
              <w:jc w:val="center"/>
              <w:rPr>
                <w:rFonts w:hint="eastAsia" w:ascii="宋体" w:hAnsi="宋体" w:eastAsia="宋体" w:cs="宋体"/>
                <w:color w:val="auto"/>
                <w:sz w:val="21"/>
                <w:szCs w:val="21"/>
              </w:rPr>
            </w:pPr>
            <w:r>
              <w:rPr>
                <w:rFonts w:hint="eastAsia" w:ascii="宋体" w:hAnsi="宋体" w:eastAsia="宋体" w:cs="宋体"/>
                <w:color w:val="auto"/>
                <w:sz w:val="21"/>
                <w:szCs w:val="21"/>
              </w:rPr>
              <w:t>实现拔点的单位</w:t>
            </w:r>
          </w:p>
        </w:tc>
        <w:tc>
          <w:tcPr>
            <w:tcW w:w="1553" w:type="dxa"/>
            <w:vAlign w:val="center"/>
          </w:tcPr>
          <w:p w14:paraId="4E774860">
            <w:pPr>
              <w:pStyle w:val="30"/>
              <w:ind w:left="0"/>
              <w:jc w:val="center"/>
              <w:rPr>
                <w:rFonts w:hint="eastAsia" w:ascii="宋体" w:hAnsi="宋体" w:eastAsia="宋体" w:cs="宋体"/>
                <w:b/>
                <w:color w:val="auto"/>
                <w:sz w:val="21"/>
                <w:szCs w:val="21"/>
              </w:rPr>
            </w:pPr>
          </w:p>
          <w:p w14:paraId="4E7DC9E7">
            <w:pPr>
              <w:pStyle w:val="30"/>
              <w:spacing w:before="9"/>
              <w:ind w:left="0"/>
              <w:jc w:val="center"/>
              <w:rPr>
                <w:rFonts w:hint="eastAsia" w:ascii="宋体" w:hAnsi="宋体" w:eastAsia="宋体" w:cs="宋体"/>
                <w:b/>
                <w:color w:val="auto"/>
                <w:sz w:val="21"/>
                <w:szCs w:val="21"/>
              </w:rPr>
            </w:pPr>
          </w:p>
          <w:p w14:paraId="361B2BAB">
            <w:pPr>
              <w:pStyle w:val="30"/>
              <w:spacing w:line="278" w:lineRule="auto"/>
              <w:ind w:left="249" w:right="136" w:hanging="104"/>
              <w:jc w:val="center"/>
              <w:rPr>
                <w:rFonts w:hint="eastAsia" w:ascii="宋体" w:hAnsi="宋体" w:eastAsia="宋体" w:cs="宋体"/>
                <w:color w:val="auto"/>
                <w:sz w:val="21"/>
                <w:szCs w:val="21"/>
              </w:rPr>
            </w:pPr>
            <w:r>
              <w:rPr>
                <w:rFonts w:hint="eastAsia" w:ascii="宋体" w:hAnsi="宋体" w:eastAsia="宋体" w:cs="宋体"/>
                <w:color w:val="auto"/>
                <w:sz w:val="21"/>
                <w:szCs w:val="21"/>
              </w:rPr>
              <w:t>龙水镇、庙头镇、才湾镇</w:t>
            </w:r>
          </w:p>
        </w:tc>
        <w:tc>
          <w:tcPr>
            <w:tcW w:w="2187" w:type="dxa"/>
            <w:vAlign w:val="center"/>
          </w:tcPr>
          <w:p w14:paraId="50535048">
            <w:pPr>
              <w:pStyle w:val="30"/>
              <w:spacing w:line="278" w:lineRule="auto"/>
              <w:ind w:left="106" w:right="98" w:firstLine="2"/>
              <w:jc w:val="center"/>
              <w:rPr>
                <w:rFonts w:hint="eastAsia" w:ascii="宋体" w:hAnsi="宋体" w:eastAsia="宋体" w:cs="宋体"/>
                <w:color w:val="auto"/>
                <w:sz w:val="21"/>
                <w:szCs w:val="21"/>
              </w:rPr>
            </w:pPr>
            <w:r>
              <w:rPr>
                <w:rFonts w:hint="eastAsia" w:ascii="宋体" w:hAnsi="宋体" w:eastAsia="宋体" w:cs="宋体"/>
                <w:color w:val="auto"/>
                <w:sz w:val="21"/>
                <w:szCs w:val="21"/>
              </w:rPr>
              <w:t>龙水镇、庙头镇 2023 年实现无疫情，202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 xml:space="preserve"> 年拔除疫点；才湾镇2024 年实现无疫情，</w:t>
            </w:r>
          </w:p>
          <w:p w14:paraId="3F8FDF8F">
            <w:pPr>
              <w:pStyle w:val="30"/>
              <w:spacing w:line="278" w:lineRule="auto"/>
              <w:ind w:left="106" w:right="98" w:firstLine="2"/>
              <w:jc w:val="center"/>
              <w:rPr>
                <w:rFonts w:hint="eastAsia" w:ascii="宋体" w:hAnsi="宋体" w:eastAsia="宋体" w:cs="宋体"/>
                <w:color w:val="auto"/>
                <w:sz w:val="21"/>
                <w:szCs w:val="21"/>
              </w:rPr>
            </w:pPr>
            <w:r>
              <w:rPr>
                <w:rFonts w:hint="eastAsia" w:ascii="宋体" w:hAnsi="宋体" w:eastAsia="宋体" w:cs="宋体"/>
                <w:color w:val="auto"/>
                <w:sz w:val="21"/>
                <w:szCs w:val="21"/>
              </w:rPr>
              <w:t>2025 年拔除疫点</w:t>
            </w:r>
          </w:p>
        </w:tc>
        <w:tc>
          <w:tcPr>
            <w:tcW w:w="2536" w:type="dxa"/>
            <w:vAlign w:val="center"/>
          </w:tcPr>
          <w:p w14:paraId="6D84AFB3">
            <w:pPr>
              <w:pStyle w:val="30"/>
              <w:spacing w:line="278" w:lineRule="auto"/>
              <w:ind w:left="0" w:leftChars="0" w:right="98"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“外防输入、内防扩散、集中歼灭”的策略，最大限度清除病枯死树，拔除疫点</w:t>
            </w:r>
          </w:p>
        </w:tc>
      </w:tr>
      <w:tr w14:paraId="0FEAC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7" w:hRule="atLeast"/>
        </w:trPr>
        <w:tc>
          <w:tcPr>
            <w:tcW w:w="1271" w:type="dxa"/>
            <w:vAlign w:val="center"/>
          </w:tcPr>
          <w:p w14:paraId="595BCC2A">
            <w:pPr>
              <w:pStyle w:val="30"/>
              <w:ind w:left="0"/>
              <w:jc w:val="center"/>
              <w:rPr>
                <w:rFonts w:hint="eastAsia" w:ascii="宋体" w:hAnsi="宋体" w:eastAsia="宋体" w:cs="宋体"/>
                <w:b/>
                <w:color w:val="auto"/>
                <w:sz w:val="21"/>
                <w:szCs w:val="21"/>
              </w:rPr>
            </w:pPr>
          </w:p>
          <w:p w14:paraId="3551A948">
            <w:pPr>
              <w:pStyle w:val="30"/>
              <w:spacing w:before="1"/>
              <w:ind w:left="0"/>
              <w:jc w:val="center"/>
              <w:rPr>
                <w:rFonts w:hint="eastAsia" w:ascii="宋体" w:hAnsi="宋体" w:eastAsia="宋体" w:cs="宋体"/>
                <w:b/>
                <w:color w:val="auto"/>
                <w:sz w:val="21"/>
                <w:szCs w:val="21"/>
              </w:rPr>
            </w:pPr>
          </w:p>
          <w:p w14:paraId="17AADD97">
            <w:pPr>
              <w:pStyle w:val="30"/>
              <w:ind w:left="90" w:right="81"/>
              <w:jc w:val="center"/>
              <w:rPr>
                <w:rFonts w:hint="eastAsia" w:ascii="宋体" w:hAnsi="宋体" w:eastAsia="宋体" w:cs="宋体"/>
                <w:color w:val="auto"/>
                <w:sz w:val="21"/>
                <w:szCs w:val="21"/>
              </w:rPr>
            </w:pPr>
            <w:r>
              <w:rPr>
                <w:rFonts w:hint="eastAsia" w:ascii="宋体" w:hAnsi="宋体" w:eastAsia="宋体" w:cs="宋体"/>
                <w:color w:val="auto"/>
                <w:sz w:val="21"/>
                <w:szCs w:val="21"/>
              </w:rPr>
              <w:t>预防保护区</w:t>
            </w:r>
          </w:p>
        </w:tc>
        <w:tc>
          <w:tcPr>
            <w:tcW w:w="1470" w:type="dxa"/>
            <w:vAlign w:val="center"/>
          </w:tcPr>
          <w:p w14:paraId="5681AF8C">
            <w:pPr>
              <w:pStyle w:val="30"/>
              <w:ind w:left="0"/>
              <w:jc w:val="center"/>
              <w:rPr>
                <w:rFonts w:hint="eastAsia" w:ascii="宋体" w:hAnsi="宋体" w:eastAsia="宋体" w:cs="宋体"/>
                <w:b/>
                <w:color w:val="auto"/>
                <w:sz w:val="21"/>
                <w:szCs w:val="21"/>
              </w:rPr>
            </w:pPr>
          </w:p>
          <w:p w14:paraId="04FC3FF8">
            <w:pPr>
              <w:pStyle w:val="30"/>
              <w:spacing w:before="11"/>
              <w:ind w:left="0"/>
              <w:jc w:val="center"/>
              <w:rPr>
                <w:rFonts w:hint="eastAsia" w:ascii="宋体" w:hAnsi="宋体" w:eastAsia="宋体" w:cs="宋体"/>
                <w:b/>
                <w:color w:val="auto"/>
                <w:sz w:val="21"/>
                <w:szCs w:val="21"/>
              </w:rPr>
            </w:pPr>
          </w:p>
          <w:p w14:paraId="2F2CC228">
            <w:pPr>
              <w:pStyle w:val="30"/>
              <w:spacing w:before="1" w:line="278" w:lineRule="auto"/>
              <w:ind w:left="418" w:right="198" w:hanging="209"/>
              <w:jc w:val="center"/>
              <w:rPr>
                <w:rFonts w:hint="eastAsia" w:ascii="宋体" w:hAnsi="宋体" w:eastAsia="宋体" w:cs="宋体"/>
                <w:color w:val="auto"/>
                <w:sz w:val="21"/>
                <w:szCs w:val="21"/>
              </w:rPr>
            </w:pPr>
            <w:r>
              <w:rPr>
                <w:rFonts w:hint="eastAsia" w:ascii="宋体" w:hAnsi="宋体" w:eastAsia="宋体" w:cs="宋体"/>
                <w:color w:val="auto"/>
                <w:sz w:val="21"/>
                <w:szCs w:val="21"/>
              </w:rPr>
              <w:t>无疫情发生的单位</w:t>
            </w:r>
          </w:p>
        </w:tc>
        <w:tc>
          <w:tcPr>
            <w:tcW w:w="1553" w:type="dxa"/>
            <w:vAlign w:val="center"/>
          </w:tcPr>
          <w:p w14:paraId="4703A69A">
            <w:pPr>
              <w:pStyle w:val="30"/>
              <w:spacing w:before="12"/>
              <w:ind w:left="0"/>
              <w:jc w:val="center"/>
              <w:rPr>
                <w:rFonts w:hint="eastAsia" w:ascii="宋体" w:hAnsi="宋体" w:eastAsia="宋体" w:cs="宋体"/>
                <w:b/>
                <w:color w:val="auto"/>
                <w:sz w:val="21"/>
                <w:szCs w:val="21"/>
              </w:rPr>
            </w:pPr>
          </w:p>
          <w:p w14:paraId="420018F5">
            <w:pPr>
              <w:pStyle w:val="30"/>
              <w:spacing w:line="278" w:lineRule="auto"/>
              <w:ind w:left="108" w:right="98" w:hanging="23"/>
              <w:jc w:val="center"/>
              <w:rPr>
                <w:rFonts w:hint="eastAsia" w:ascii="宋体" w:hAnsi="宋体" w:eastAsia="宋体" w:cs="宋体"/>
                <w:color w:val="auto"/>
                <w:sz w:val="21"/>
                <w:szCs w:val="21"/>
              </w:rPr>
            </w:pPr>
            <w:r>
              <w:rPr>
                <w:rFonts w:hint="eastAsia" w:ascii="宋体" w:hAnsi="宋体" w:eastAsia="宋体" w:cs="宋体"/>
                <w:color w:val="auto"/>
                <w:spacing w:val="-10"/>
                <w:sz w:val="21"/>
                <w:szCs w:val="21"/>
              </w:rPr>
              <w:t xml:space="preserve">全州县其余 </w:t>
            </w:r>
            <w:r>
              <w:rPr>
                <w:rFonts w:hint="eastAsia" w:ascii="宋体" w:hAnsi="宋体" w:eastAsia="宋体" w:cs="宋体"/>
                <w:color w:val="auto"/>
                <w:sz w:val="21"/>
                <w:szCs w:val="21"/>
              </w:rPr>
              <w:t xml:space="preserve">13 </w:t>
            </w:r>
            <w:r>
              <w:rPr>
                <w:rFonts w:hint="eastAsia" w:ascii="宋体" w:hAnsi="宋体" w:eastAsia="宋体" w:cs="宋体"/>
                <w:color w:val="auto"/>
                <w:spacing w:val="-20"/>
                <w:sz w:val="21"/>
                <w:szCs w:val="21"/>
              </w:rPr>
              <w:t>个乡镇、</w:t>
            </w:r>
            <w:r>
              <w:rPr>
                <w:rFonts w:hint="eastAsia" w:ascii="宋体" w:hAnsi="宋体" w:eastAsia="宋体" w:cs="宋体"/>
                <w:color w:val="auto"/>
                <w:sz w:val="21"/>
                <w:szCs w:val="21"/>
              </w:rPr>
              <w:t xml:space="preserve">1 </w:t>
            </w:r>
            <w:r>
              <w:rPr>
                <w:rFonts w:hint="eastAsia" w:ascii="宋体" w:hAnsi="宋体" w:eastAsia="宋体" w:cs="宋体"/>
                <w:color w:val="auto"/>
                <w:spacing w:val="-7"/>
                <w:sz w:val="21"/>
                <w:szCs w:val="21"/>
              </w:rPr>
              <w:t>个林</w:t>
            </w:r>
            <w:r>
              <w:rPr>
                <w:rFonts w:hint="eastAsia" w:ascii="宋体" w:hAnsi="宋体" w:eastAsia="宋体" w:cs="宋体"/>
                <w:color w:val="auto"/>
                <w:sz w:val="21"/>
                <w:szCs w:val="21"/>
              </w:rPr>
              <w:t>场</w:t>
            </w:r>
          </w:p>
        </w:tc>
        <w:tc>
          <w:tcPr>
            <w:tcW w:w="2187" w:type="dxa"/>
            <w:vAlign w:val="center"/>
          </w:tcPr>
          <w:p w14:paraId="7F6EC40F">
            <w:pPr>
              <w:pStyle w:val="30"/>
              <w:spacing w:line="278" w:lineRule="auto"/>
              <w:ind w:left="106" w:right="98" w:firstLine="2"/>
              <w:jc w:val="center"/>
              <w:rPr>
                <w:rFonts w:hint="eastAsia" w:ascii="宋体" w:hAnsi="宋体" w:eastAsia="宋体" w:cs="宋体"/>
                <w:color w:val="auto"/>
                <w:sz w:val="21"/>
                <w:szCs w:val="21"/>
              </w:rPr>
            </w:pPr>
          </w:p>
          <w:p w14:paraId="1146A66B">
            <w:pPr>
              <w:pStyle w:val="30"/>
              <w:spacing w:line="278" w:lineRule="auto"/>
              <w:ind w:left="106" w:right="98" w:firstLine="2"/>
              <w:jc w:val="center"/>
              <w:rPr>
                <w:rFonts w:hint="eastAsia" w:ascii="宋体" w:hAnsi="宋体" w:eastAsia="宋体" w:cs="宋体"/>
                <w:color w:val="auto"/>
                <w:sz w:val="21"/>
                <w:szCs w:val="21"/>
              </w:rPr>
            </w:pPr>
            <w:r>
              <w:rPr>
                <w:rFonts w:hint="eastAsia" w:ascii="宋体" w:hAnsi="宋体" w:eastAsia="宋体" w:cs="宋体"/>
                <w:color w:val="auto"/>
                <w:sz w:val="21"/>
                <w:szCs w:val="21"/>
              </w:rPr>
              <w:t>若发现新疫情，及时除治，1 年内实现无疫情。</w:t>
            </w:r>
          </w:p>
        </w:tc>
        <w:tc>
          <w:tcPr>
            <w:tcW w:w="2536" w:type="dxa"/>
            <w:vAlign w:val="center"/>
          </w:tcPr>
          <w:p w14:paraId="08C628B5">
            <w:pPr>
              <w:pStyle w:val="30"/>
              <w:spacing w:line="278" w:lineRule="auto"/>
              <w:ind w:left="106" w:right="98" w:firstLine="2"/>
              <w:jc w:val="center"/>
              <w:rPr>
                <w:rFonts w:hint="eastAsia" w:ascii="宋体" w:hAnsi="宋体" w:eastAsia="宋体" w:cs="宋体"/>
                <w:color w:val="auto"/>
                <w:sz w:val="21"/>
                <w:szCs w:val="21"/>
              </w:rPr>
            </w:pPr>
            <w:r>
              <w:rPr>
                <w:rFonts w:hint="eastAsia" w:ascii="宋体" w:hAnsi="宋体" w:eastAsia="宋体" w:cs="宋体"/>
                <w:color w:val="auto"/>
                <w:sz w:val="21"/>
                <w:szCs w:val="21"/>
              </w:rPr>
              <w:t>“全面监测、严防输入、快速处置”的策略，做到“早发现、早报告、早除治、早拔除”</w:t>
            </w:r>
          </w:p>
        </w:tc>
      </w:tr>
    </w:tbl>
    <w:p w14:paraId="0E90135E">
      <w:pPr>
        <w:spacing w:after="0" w:line="278" w:lineRule="auto"/>
        <w:rPr>
          <w:color w:val="auto"/>
          <w:sz w:val="21"/>
        </w:rPr>
        <w:sectPr>
          <w:pgSz w:w="11910" w:h="16840"/>
          <w:pgMar w:top="1420" w:right="0" w:bottom="1420" w:left="1020" w:header="878" w:footer="1225" w:gutter="0"/>
          <w:pgNumType w:fmt="decimal"/>
          <w:cols w:space="720" w:num="1"/>
        </w:sectPr>
      </w:pPr>
    </w:p>
    <w:p w14:paraId="33C770EE">
      <w:pPr>
        <w:pStyle w:val="10"/>
        <w:ind w:left="101"/>
        <w:rPr>
          <w:rFonts w:ascii="等线"/>
          <w:color w:val="auto"/>
          <w:sz w:val="20"/>
        </w:rPr>
      </w:pPr>
      <w:bookmarkStart w:id="48" w:name="附图"/>
      <w:bookmarkEnd w:id="48"/>
      <w:r>
        <w:rPr>
          <w:rFonts w:ascii="等线"/>
          <w:color w:val="auto"/>
          <w:sz w:val="20"/>
        </w:rPr>
        <w:drawing>
          <wp:inline distT="0" distB="0" distL="0" distR="0">
            <wp:extent cx="8850630" cy="6346190"/>
            <wp:effectExtent l="0" t="0" r="7620" b="16510"/>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a:picLocks noChangeAspect="1"/>
                    </pic:cNvPicPr>
                  </pic:nvPicPr>
                  <pic:blipFill>
                    <a:blip r:embed="rId17" cstate="print"/>
                    <a:stretch>
                      <a:fillRect/>
                    </a:stretch>
                  </pic:blipFill>
                  <pic:spPr>
                    <a:xfrm>
                      <a:off x="0" y="0"/>
                      <a:ext cx="8850630" cy="6346190"/>
                    </a:xfrm>
                    <a:prstGeom prst="rect">
                      <a:avLst/>
                    </a:prstGeom>
                  </pic:spPr>
                </pic:pic>
              </a:graphicData>
            </a:graphic>
          </wp:inline>
        </w:drawing>
      </w:r>
    </w:p>
    <w:p w14:paraId="67740D41">
      <w:pPr>
        <w:spacing w:after="0"/>
        <w:rPr>
          <w:rFonts w:ascii="等线"/>
          <w:color w:val="auto"/>
          <w:sz w:val="20"/>
        </w:rPr>
        <w:sectPr>
          <w:headerReference r:id="rId8" w:type="default"/>
          <w:footerReference r:id="rId9" w:type="default"/>
          <w:pgSz w:w="16850" w:h="11920" w:orient="landscape"/>
          <w:pgMar w:top="640" w:right="500" w:bottom="0" w:left="740" w:header="0" w:footer="0" w:gutter="0"/>
          <w:pgNumType w:fmt="decimal"/>
          <w:cols w:space="720" w:num="1"/>
        </w:sectPr>
      </w:pPr>
    </w:p>
    <w:p w14:paraId="45B6B262">
      <w:pPr>
        <w:pStyle w:val="10"/>
        <w:ind w:left="116"/>
        <w:rPr>
          <w:rFonts w:ascii="等线"/>
          <w:color w:val="auto"/>
          <w:sz w:val="20"/>
        </w:rPr>
      </w:pPr>
      <w:r>
        <w:rPr>
          <w:rFonts w:ascii="等线"/>
          <w:color w:val="auto"/>
          <w:sz w:val="20"/>
        </w:rPr>
        <w:drawing>
          <wp:inline distT="0" distB="0" distL="0" distR="0">
            <wp:extent cx="6145530" cy="9098280"/>
            <wp:effectExtent l="0" t="0" r="7620" b="7620"/>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jpeg"/>
                    <pic:cNvPicPr>
                      <a:picLocks noChangeAspect="1"/>
                    </pic:cNvPicPr>
                  </pic:nvPicPr>
                  <pic:blipFill>
                    <a:blip r:embed="rId18" cstate="print"/>
                    <a:stretch>
                      <a:fillRect/>
                    </a:stretch>
                  </pic:blipFill>
                  <pic:spPr>
                    <a:xfrm>
                      <a:off x="0" y="0"/>
                      <a:ext cx="6145530" cy="9098280"/>
                    </a:xfrm>
                    <a:prstGeom prst="rect">
                      <a:avLst/>
                    </a:prstGeom>
                  </pic:spPr>
                </pic:pic>
              </a:graphicData>
            </a:graphic>
          </wp:inline>
        </w:drawing>
      </w:r>
    </w:p>
    <w:p w14:paraId="112E9C72">
      <w:pPr>
        <w:spacing w:after="0"/>
        <w:rPr>
          <w:rFonts w:ascii="等线"/>
          <w:color w:val="auto"/>
          <w:sz w:val="20"/>
        </w:rPr>
        <w:sectPr>
          <w:headerReference r:id="rId10" w:type="default"/>
          <w:footerReference r:id="rId11" w:type="default"/>
          <w:pgSz w:w="11920" w:h="16830"/>
          <w:pgMar w:top="580" w:right="440" w:bottom="0" w:left="460" w:header="0" w:footer="0" w:gutter="0"/>
          <w:pgNumType w:fmt="decimal"/>
          <w:cols w:space="720" w:num="1"/>
        </w:sectPr>
      </w:pPr>
    </w:p>
    <w:p w14:paraId="5CA7FBB5">
      <w:pPr>
        <w:pStyle w:val="10"/>
        <w:ind w:left="116"/>
        <w:rPr>
          <w:rFonts w:ascii="等线"/>
          <w:color w:val="auto"/>
          <w:sz w:val="20"/>
        </w:rPr>
      </w:pPr>
      <w:r>
        <w:rPr>
          <w:rFonts w:ascii="等线"/>
          <w:color w:val="auto"/>
          <w:sz w:val="20"/>
        </w:rPr>
        <w:drawing>
          <wp:inline distT="0" distB="0" distL="0" distR="0">
            <wp:extent cx="6050280" cy="8956040"/>
            <wp:effectExtent l="0" t="0" r="7620" b="16510"/>
            <wp:docPr id="2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a:picLocks noChangeAspect="1"/>
                    </pic:cNvPicPr>
                  </pic:nvPicPr>
                  <pic:blipFill>
                    <a:blip r:embed="rId19" cstate="print"/>
                    <a:stretch>
                      <a:fillRect/>
                    </a:stretch>
                  </pic:blipFill>
                  <pic:spPr>
                    <a:xfrm>
                      <a:off x="0" y="0"/>
                      <a:ext cx="6050280" cy="8956040"/>
                    </a:xfrm>
                    <a:prstGeom prst="rect">
                      <a:avLst/>
                    </a:prstGeom>
                  </pic:spPr>
                </pic:pic>
              </a:graphicData>
            </a:graphic>
          </wp:inline>
        </w:drawing>
      </w:r>
    </w:p>
    <w:p w14:paraId="23DE0217">
      <w:pPr>
        <w:spacing w:after="0"/>
        <w:rPr>
          <w:rFonts w:ascii="等线"/>
          <w:color w:val="auto"/>
          <w:sz w:val="20"/>
        </w:rPr>
        <w:sectPr>
          <w:headerReference r:id="rId12" w:type="default"/>
          <w:footerReference r:id="rId13" w:type="default"/>
          <w:pgSz w:w="11920" w:h="16830"/>
          <w:pgMar w:top="580" w:right="440" w:bottom="0" w:left="460" w:header="0" w:footer="0" w:gutter="0"/>
          <w:pgNumType w:fmt="decimal"/>
          <w:cols w:space="720" w:num="1"/>
        </w:sectPr>
      </w:pPr>
    </w:p>
    <w:p w14:paraId="1195DA92">
      <w:pPr>
        <w:pStyle w:val="10"/>
        <w:ind w:left="148"/>
        <w:rPr>
          <w:rFonts w:ascii="等线"/>
          <w:color w:val="auto"/>
          <w:sz w:val="20"/>
        </w:rPr>
      </w:pPr>
      <w:r>
        <w:rPr>
          <w:rFonts w:ascii="等线"/>
          <w:color w:val="auto"/>
          <w:sz w:val="20"/>
        </w:rPr>
        <w:drawing>
          <wp:inline distT="0" distB="0" distL="0" distR="0">
            <wp:extent cx="5763260" cy="8545195"/>
            <wp:effectExtent l="0" t="0" r="8890" b="825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20" cstate="print"/>
                    <a:stretch>
                      <a:fillRect/>
                    </a:stretch>
                  </pic:blipFill>
                  <pic:spPr>
                    <a:xfrm>
                      <a:off x="0" y="0"/>
                      <a:ext cx="5763260" cy="8545195"/>
                    </a:xfrm>
                    <a:prstGeom prst="rect">
                      <a:avLst/>
                    </a:prstGeom>
                  </pic:spPr>
                </pic:pic>
              </a:graphicData>
            </a:graphic>
          </wp:inline>
        </w:drawing>
      </w:r>
    </w:p>
    <w:p w14:paraId="0119ED7E">
      <w:pPr>
        <w:spacing w:after="0" w:line="360" w:lineRule="exact"/>
        <w:jc w:val="center"/>
        <w:outlineLvl w:val="0"/>
        <w:rPr>
          <w:rFonts w:hint="eastAsia" w:ascii="宋体" w:hAnsi="宋体" w:eastAsia="宋体" w:cs="宋体"/>
          <w:b/>
          <w:color w:val="auto"/>
          <w:sz w:val="28"/>
          <w:szCs w:val="28"/>
          <w:highlight w:val="none"/>
          <w:lang w:eastAsia="zh-CN"/>
        </w:rPr>
      </w:pPr>
    </w:p>
    <w:p w14:paraId="285B8F6B">
      <w:pPr>
        <w:spacing w:after="0" w:line="360" w:lineRule="exact"/>
        <w:jc w:val="center"/>
        <w:outlineLvl w:val="0"/>
        <w:rPr>
          <w:rFonts w:hint="eastAsia" w:ascii="宋体" w:hAnsi="宋体" w:eastAsia="宋体" w:cs="宋体"/>
          <w:b/>
          <w:color w:val="auto"/>
          <w:sz w:val="28"/>
          <w:szCs w:val="28"/>
          <w:highlight w:val="none"/>
          <w:lang w:eastAsia="zh-CN"/>
        </w:rPr>
      </w:pPr>
    </w:p>
    <w:p w14:paraId="6522480B">
      <w:pPr>
        <w:spacing w:after="0" w:line="360" w:lineRule="exact"/>
        <w:jc w:val="center"/>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eastAsia="zh-CN"/>
        </w:rPr>
        <w:t>第四章</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评标办法</w:t>
      </w:r>
      <w:bookmarkEnd w:id="47"/>
    </w:p>
    <w:p w14:paraId="1397F03E">
      <w:pPr>
        <w:spacing w:after="0" w:line="360" w:lineRule="exact"/>
        <w:jc w:val="center"/>
        <w:rPr>
          <w:rFonts w:hint="eastAsia" w:ascii="宋体" w:hAnsi="宋体" w:eastAsia="宋体" w:cs="宋体"/>
          <w:b/>
          <w:color w:val="auto"/>
          <w:sz w:val="21"/>
          <w:szCs w:val="21"/>
          <w:highlight w:val="none"/>
        </w:rPr>
      </w:pPr>
    </w:p>
    <w:p w14:paraId="76786B94">
      <w:pPr>
        <w:spacing w:after="0" w:line="360" w:lineRule="auto"/>
        <w:ind w:firstLine="422" w:firstLineChars="200"/>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一、投标文件评审（初步评审）：</w:t>
      </w:r>
    </w:p>
    <w:p w14:paraId="18BA257D">
      <w:pPr>
        <w:tabs>
          <w:tab w:val="left" w:pos="1140"/>
        </w:tabs>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1、采购人依据法律法规和招标文件的规定，对投标文件中的资格证明进行资格性审查，以确定投标供应商是否具备投标资格。</w:t>
      </w:r>
    </w:p>
    <w:p w14:paraId="276EBBA9">
      <w:pPr>
        <w:tabs>
          <w:tab w:val="left" w:pos="1140"/>
        </w:tabs>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2、评标委员会依据招标文件的规定，从投标文件的有效性、完整性和对招标文件的响应程度进行符合性审查，以确定是否对招标文件的实质性要求作出响应。</w:t>
      </w:r>
    </w:p>
    <w:p w14:paraId="616FEDE1">
      <w:pPr>
        <w:widowControl w:val="0"/>
        <w:spacing w:after="0" w:line="360" w:lineRule="auto"/>
        <w:ind w:firstLine="422" w:firstLineChars="200"/>
        <w:jc w:val="both"/>
        <w:rPr>
          <w:rFonts w:hint="eastAsia" w:ascii="宋体" w:hAnsi="宋体" w:eastAsia="宋体" w:cs="宋体"/>
          <w:b/>
          <w:bCs/>
          <w:color w:val="auto"/>
          <w:kern w:val="2"/>
          <w:sz w:val="21"/>
          <w:szCs w:val="21"/>
          <w:highlight w:val="none"/>
        </w:rPr>
      </w:pPr>
      <w:r>
        <w:rPr>
          <w:rFonts w:hint="eastAsia" w:ascii="宋体" w:hAnsi="宋体" w:eastAsia="宋体" w:cs="宋体"/>
          <w:b/>
          <w:color w:val="auto"/>
          <w:kern w:val="2"/>
          <w:sz w:val="21"/>
          <w:szCs w:val="21"/>
          <w:highlight w:val="none"/>
        </w:rPr>
        <w:t>二、</w:t>
      </w:r>
      <w:r>
        <w:rPr>
          <w:rFonts w:hint="eastAsia" w:ascii="宋体" w:hAnsi="宋体" w:eastAsia="宋体" w:cs="宋体"/>
          <w:b/>
          <w:bCs/>
          <w:color w:val="auto"/>
          <w:kern w:val="2"/>
          <w:sz w:val="21"/>
          <w:szCs w:val="21"/>
          <w:highlight w:val="none"/>
        </w:rPr>
        <w:t>投标文件评审（详细评审）</w:t>
      </w:r>
    </w:p>
    <w:p w14:paraId="108EB88A">
      <w:pPr>
        <w:widowControl w:val="0"/>
        <w:spacing w:after="0" w:line="360" w:lineRule="auto"/>
        <w:ind w:firstLine="420" w:firstLineChars="200"/>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（一）评标依据：评标委员会以招标文件和投标文件为评标依据，对投标人的投标报价、项目实施方案、履约能力等方面内容按百分制打分。</w:t>
      </w:r>
    </w:p>
    <w:p w14:paraId="301C4E46">
      <w:pPr>
        <w:widowControl w:val="0"/>
        <w:spacing w:after="0" w:line="360" w:lineRule="auto"/>
        <w:ind w:firstLine="420" w:firstLineChars="200"/>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（二）评标方式：以封闭方式进行评标。</w:t>
      </w:r>
    </w:p>
    <w:p w14:paraId="0BA92353">
      <w:pPr>
        <w:widowControl w:val="0"/>
        <w:spacing w:after="0" w:line="360"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（三）根据财库〔2012〕69号文规定，采购人和采购代理机构、评标委员会成员要严格遵守政府采购相关法律制度，依法履行各自职责，公正、客观、审慎地组织和参与评审工作。</w:t>
      </w:r>
    </w:p>
    <w:p w14:paraId="208917B3">
      <w:pPr>
        <w:widowControl w:val="0"/>
        <w:spacing w:after="0" w:line="360" w:lineRule="auto"/>
        <w:ind w:firstLine="420" w:firstLineChars="200"/>
        <w:jc w:val="both"/>
        <w:rPr>
          <w:rFonts w:hint="eastAsia" w:ascii="宋体" w:hAnsi="宋体" w:eastAsia="宋体" w:cs="宋体"/>
          <w:b/>
          <w:color w:val="auto"/>
          <w:kern w:val="2"/>
          <w:sz w:val="21"/>
          <w:szCs w:val="21"/>
          <w:highlight w:val="none"/>
        </w:rPr>
      </w:pPr>
      <w:r>
        <w:rPr>
          <w:rFonts w:hint="eastAsia" w:ascii="宋体" w:hAnsi="宋体" w:eastAsia="宋体" w:cs="宋体"/>
          <w:bCs/>
          <w:color w:val="auto"/>
          <w:kern w:val="2"/>
          <w:sz w:val="21"/>
          <w:szCs w:val="21"/>
          <w:highlight w:val="none"/>
        </w:rPr>
        <w:t>（四）评标方法：</w:t>
      </w:r>
      <w:r>
        <w:rPr>
          <w:rFonts w:hint="eastAsia" w:ascii="宋体" w:hAnsi="宋体" w:eastAsia="宋体" w:cs="宋体"/>
          <w:color w:val="auto"/>
          <w:kern w:val="2"/>
          <w:sz w:val="21"/>
          <w:szCs w:val="21"/>
          <w:highlight w:val="none"/>
        </w:rPr>
        <w:t>对进入详评的，采用百分制综合评分法。</w:t>
      </w:r>
    </w:p>
    <w:p w14:paraId="48E93E04">
      <w:pPr>
        <w:widowControl w:val="0"/>
        <w:spacing w:after="0" w:line="360" w:lineRule="auto"/>
        <w:ind w:firstLine="420" w:firstLineChars="200"/>
        <w:jc w:val="both"/>
        <w:outlineLvl w:val="9"/>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（五）计分办法（</w:t>
      </w:r>
      <w:r>
        <w:rPr>
          <w:rFonts w:hint="eastAsia" w:ascii="宋体" w:hAnsi="宋体" w:eastAsia="宋体" w:cs="宋体"/>
          <w:bCs/>
          <w:color w:val="auto"/>
          <w:kern w:val="2"/>
          <w:sz w:val="21"/>
          <w:szCs w:val="21"/>
          <w:highlight w:val="none"/>
        </w:rPr>
        <w:t>按四舍五入取至小数点后二位</w:t>
      </w:r>
      <w:r>
        <w:rPr>
          <w:rFonts w:hint="eastAsia" w:ascii="宋体" w:hAnsi="宋体" w:eastAsia="宋体" w:cs="宋体"/>
          <w:color w:val="auto"/>
          <w:kern w:val="2"/>
          <w:sz w:val="21"/>
          <w:szCs w:val="21"/>
          <w:highlight w:val="none"/>
        </w:rPr>
        <w:t>）：</w:t>
      </w:r>
    </w:p>
    <w:p w14:paraId="24713900">
      <w:pPr>
        <w:widowControl w:val="0"/>
        <w:spacing w:after="0" w:line="360" w:lineRule="auto"/>
        <w:ind w:right="-209" w:rightChars="-95" w:firstLine="420"/>
        <w:jc w:val="both"/>
        <w:rPr>
          <w:rFonts w:hint="eastAsia" w:ascii="宋体" w:hAnsi="宋体" w:eastAsia="宋体" w:cs="宋体"/>
          <w:b/>
          <w:bCs/>
          <w:color w:val="auto"/>
          <w:kern w:val="2"/>
          <w:sz w:val="21"/>
          <w:szCs w:val="21"/>
          <w:highlight w:val="none"/>
        </w:rPr>
      </w:pPr>
      <w:r>
        <w:rPr>
          <w:rFonts w:hint="eastAsia" w:ascii="宋体" w:hAnsi="宋体" w:eastAsia="宋体" w:cs="宋体"/>
          <w:b/>
          <w:color w:val="auto"/>
          <w:kern w:val="2"/>
          <w:sz w:val="21"/>
          <w:szCs w:val="21"/>
          <w:highlight w:val="none"/>
        </w:rPr>
        <w:t xml:space="preserve">1. </w:t>
      </w:r>
      <w:r>
        <w:rPr>
          <w:rFonts w:hint="eastAsia" w:ascii="宋体" w:hAnsi="宋体" w:eastAsia="宋体" w:cs="宋体"/>
          <w:b/>
          <w:bCs/>
          <w:color w:val="auto"/>
          <w:kern w:val="2"/>
          <w:sz w:val="21"/>
          <w:szCs w:val="21"/>
          <w:highlight w:val="none"/>
        </w:rPr>
        <w:t>价格分………………………………………………………………………………………………</w:t>
      </w:r>
      <w:r>
        <w:rPr>
          <w:rFonts w:hint="eastAsia" w:ascii="宋体" w:hAnsi="宋体" w:eastAsia="宋体" w:cs="宋体"/>
          <w:b/>
          <w:color w:val="auto"/>
          <w:kern w:val="2"/>
          <w:sz w:val="21"/>
          <w:szCs w:val="21"/>
          <w:highlight w:val="none"/>
        </w:rPr>
        <w:t>满分</w:t>
      </w:r>
      <w:r>
        <w:rPr>
          <w:rFonts w:hint="eastAsia" w:ascii="宋体" w:hAnsi="宋体" w:eastAsia="宋体" w:cs="宋体"/>
          <w:b/>
          <w:bCs/>
          <w:color w:val="auto"/>
          <w:kern w:val="2"/>
          <w:sz w:val="21"/>
          <w:szCs w:val="21"/>
          <w:highlight w:val="none"/>
          <w:lang w:val="en-US" w:eastAsia="zh-CN"/>
        </w:rPr>
        <w:t>3</w:t>
      </w:r>
      <w:r>
        <w:rPr>
          <w:rFonts w:hint="eastAsia" w:ascii="宋体" w:hAnsi="宋体" w:eastAsia="宋体" w:cs="宋体"/>
          <w:b/>
          <w:bCs/>
          <w:color w:val="auto"/>
          <w:kern w:val="2"/>
          <w:sz w:val="21"/>
          <w:szCs w:val="21"/>
          <w:highlight w:val="none"/>
        </w:rPr>
        <w:t>0分</w:t>
      </w:r>
    </w:p>
    <w:p w14:paraId="3616A1A9">
      <w:pPr>
        <w:widowControl w:val="0"/>
        <w:spacing w:after="0" w:line="360" w:lineRule="auto"/>
        <w:ind w:firstLine="420" w:firstLineChars="200"/>
        <w:jc w:val="both"/>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kern w:val="2"/>
          <w:sz w:val="21"/>
          <w:szCs w:val="21"/>
          <w:highlight w:val="none"/>
        </w:rPr>
        <w:t>（1）根据《政府采购促进中小企业发展管理办法》（财库〔2020〕46号）和《关于进一步加大政府采购支持中小企业力度的通知》（财库〔2022〕19号）的规定，投标人在其投标文件中提供《中小企业声明函》，且其投标全部货物</w:t>
      </w:r>
      <w:r>
        <w:rPr>
          <w:rFonts w:hint="eastAsia" w:ascii="宋体" w:hAnsi="宋体" w:eastAsia="宋体" w:cs="宋体"/>
          <w:b w:val="0"/>
          <w:bCs/>
          <w:color w:val="auto"/>
          <w:kern w:val="2"/>
          <w:sz w:val="21"/>
          <w:szCs w:val="21"/>
          <w:highlight w:val="none"/>
          <w:lang w:eastAsia="zh-CN"/>
        </w:rPr>
        <w:t>（服务）</w:t>
      </w:r>
      <w:r>
        <w:rPr>
          <w:rFonts w:hint="eastAsia" w:ascii="宋体" w:hAnsi="宋体" w:eastAsia="宋体" w:cs="宋体"/>
          <w:b w:val="0"/>
          <w:bCs/>
          <w:color w:val="auto"/>
          <w:kern w:val="2"/>
          <w:sz w:val="21"/>
          <w:szCs w:val="21"/>
          <w:highlight w:val="none"/>
        </w:rPr>
        <w:t>由符合政策要求的小微企业制造的，对其投标报价给予20%的扣除，扣除后的价格为评标报价，即评标报价=投标报价×（1-20%）；</w:t>
      </w:r>
    </w:p>
    <w:p w14:paraId="5A1AC6BA">
      <w:pPr>
        <w:widowControl w:val="0"/>
        <w:spacing w:after="0" w:line="360" w:lineRule="auto"/>
        <w:ind w:firstLine="420" w:firstLineChars="200"/>
        <w:jc w:val="both"/>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kern w:val="2"/>
          <w:sz w:val="21"/>
          <w:szCs w:val="21"/>
          <w:highlight w:val="none"/>
        </w:rPr>
        <w:t>(2) 根据《关于政府采购支持监狱企业发展有关问题的通知》（财库[2014]68号）和《关于促进残疾人就业政府采购政策的通知》（财库[2017]141号），监狱企业和符合条件的残疾人企业视同小型、微型企业，享受小型、微型企业评审中价格扣除的政府采购政策。</w:t>
      </w:r>
    </w:p>
    <w:p w14:paraId="211B43BA">
      <w:pPr>
        <w:widowControl w:val="0"/>
        <w:spacing w:after="0" w:line="360" w:lineRule="auto"/>
        <w:ind w:firstLine="420" w:firstLineChars="200"/>
        <w:jc w:val="both"/>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kern w:val="2"/>
          <w:sz w:val="21"/>
          <w:szCs w:val="21"/>
          <w:highlight w:val="none"/>
        </w:rPr>
        <w:t>（3）除上述情况外，评</w:t>
      </w:r>
      <w:r>
        <w:rPr>
          <w:rFonts w:hint="eastAsia" w:ascii="宋体" w:hAnsi="宋体" w:eastAsia="宋体" w:cs="宋体"/>
          <w:b w:val="0"/>
          <w:bCs/>
          <w:color w:val="auto"/>
          <w:kern w:val="2"/>
          <w:sz w:val="21"/>
          <w:szCs w:val="21"/>
          <w:highlight w:val="none"/>
          <w:lang w:val="en-US" w:eastAsia="zh-CN"/>
        </w:rPr>
        <w:t>标</w:t>
      </w:r>
      <w:r>
        <w:rPr>
          <w:rFonts w:hint="eastAsia" w:ascii="宋体" w:hAnsi="宋体" w:eastAsia="宋体" w:cs="宋体"/>
          <w:b w:val="0"/>
          <w:bCs/>
          <w:color w:val="auto"/>
          <w:kern w:val="2"/>
          <w:sz w:val="21"/>
          <w:szCs w:val="21"/>
          <w:highlight w:val="none"/>
        </w:rPr>
        <w:t>报价=投标报价。</w:t>
      </w:r>
    </w:p>
    <w:p w14:paraId="6BCEA768">
      <w:pPr>
        <w:widowControl w:val="0"/>
        <w:spacing w:after="0" w:line="360" w:lineRule="auto"/>
        <w:ind w:firstLine="420" w:firstLineChars="200"/>
        <w:jc w:val="both"/>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rPr>
        <w:t>（4）满足招标文件要求且投标价格最低的投标报价为评标基准价</w:t>
      </w:r>
      <w:r>
        <w:rPr>
          <w:rFonts w:hint="eastAsia" w:ascii="宋体" w:hAnsi="宋体" w:eastAsia="宋体" w:cs="宋体"/>
          <w:b w:val="0"/>
          <w:bCs/>
          <w:color w:val="auto"/>
          <w:kern w:val="2"/>
          <w:sz w:val="21"/>
          <w:szCs w:val="21"/>
          <w:highlight w:val="none"/>
          <w:lang w:eastAsia="zh-CN"/>
        </w:rPr>
        <w:t>。</w:t>
      </w:r>
    </w:p>
    <w:p w14:paraId="38CE70F0">
      <w:pPr>
        <w:widowControl w:val="0"/>
        <w:spacing w:after="0" w:line="320" w:lineRule="exact"/>
        <w:ind w:firstLine="3990" w:firstLineChars="19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 xml:space="preserve">评标基准价          </w:t>
      </w:r>
    </w:p>
    <w:p w14:paraId="1628D2F5">
      <w:pPr>
        <w:widowControl w:val="0"/>
        <w:spacing w:after="0" w:line="320" w:lineRule="exact"/>
        <w:ind w:firstLine="42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mc:AlternateContent>
          <mc:Choice Requires="wps">
            <w:drawing>
              <wp:anchor distT="0" distB="0" distL="114300" distR="114300" simplePos="0" relativeHeight="251664384" behindDoc="0" locked="0" layoutInCell="1" allowOverlap="1">
                <wp:simplePos x="0" y="0"/>
                <wp:positionH relativeFrom="column">
                  <wp:posOffset>1828800</wp:posOffset>
                </wp:positionH>
                <wp:positionV relativeFrom="paragraph">
                  <wp:posOffset>196850</wp:posOffset>
                </wp:positionV>
                <wp:extent cx="2199005" cy="0"/>
                <wp:effectExtent l="0" t="4445" r="0" b="5080"/>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44pt;margin-top:15.5pt;height:0pt;width:173.15pt;z-index:251664384;mso-width-relative:page;mso-height-relative:page;" filled="f" stroked="t" coordsize="21600,21600" o:gfxdata="UEsDBAoAAAAAAIdO4kAAAAAAAAAAAAAAAAAEAAAAZHJzL1BLAwQUAAAACACHTuJAMlf9htcAAAAJ&#10;AQAADwAAAGRycy9kb3ducmV2LnhtbE2PS0/DQAyE70j8h5WRuFR080BVFLLpAciNC6WIq5s1SUTW&#10;m2a3D/j1GHGAk2XPaPxNtT67UR1pDoNnA+kyAUXcejtwZ2D70twUoEJEtjh6JgOfFGBdX15UWFp/&#10;4mc6bmKnJIRDiQb6GKdS69D25DAs/UQs2rufHUZZ507bGU8S7kadJclKOxxYPvQ40X1P7cfm4AyE&#10;5pX2zdeiXSRveecp2z88PaIx11dpcgcq0jn+meEHX9ChFqadP7ANajSQFYV0iQbyVKYYVvltDmr3&#10;e9B1pf83qL8BUEsDBBQAAAAIAIdO4kDXX/ok6QEAALgDAAAOAAAAZHJzL2Uyb0RvYy54bWytU72O&#10;EzEQ7pF4B8s92SRSAqyyuSLR0RwQ6Y4HcLzerIXtsTxONnkJXgCJDipKet7mjsdg7E3C/TRXsIXl&#10;8cx8M983s7OLvTVspwJqcBUfDYacKSeh1m5T8U83l6/ecIZRuFoYcKriB4X8Yv7yxazzpRpDC6ZW&#10;gRGIw7LzFW9j9GVRoGyVFTgArxw5GwhWRDLDpqiD6AjdmmI8HE6LDkLtA0iFSK/L3smPiOE5gNA0&#10;WqolyK1VLvaoQRkRiRK22iOf526bRsn4sWlQRWYqTkxjPqkI3dfpLOYzUW6C8K2WxxbEc1p4xMkK&#10;7ajoGWopomDboJ9AWS0DIDRxIMEWPZGsCLEYDR9pc90KrzIXkhr9WXT8f7Dyw24VmK4rPuXMCUsD&#10;v/v66/bL9z+/v9F59/MHmyaROo8lxS7cKiSacu+u/RXIz8gcLFrhNio3e3PwhDBKGcWDlGSgp1Lr&#10;7j3UFCO2EbJi+ybYBElasH0ezOE8GLWPTNLjmBZn/HrCmTz5ClGeEn3A+E6BZelScaNd0kyUYneF&#10;MTUiylNIenZwqY3JczeOdRV/OxlPcgKC0XVypjAMm/XCBLYTaXPyl1mR535YgK2r+yLGpTyVl+5Y&#10;+cS6128N9WEVTtLQQHNvx+VLG3PfzgL+++H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yV/2G&#10;1wAAAAkBAAAPAAAAAAAAAAEAIAAAACIAAABkcnMvZG93bnJldi54bWxQSwECFAAUAAAACACHTuJA&#10;11/6JOkBAAC4AwAADgAAAAAAAAABACAAAAAmAQAAZHJzL2Uyb0RvYy54bWxQSwUGAAAAAAYABgBZ&#10;AQAAgQUAAAAA&#10;">
                <v:fill on="f" focussize="0,0"/>
                <v:stroke color="#000000" joinstyle="round"/>
                <v:imagedata o:title=""/>
                <o:lock v:ext="edit" aspectratio="f"/>
              </v:line>
            </w:pict>
          </mc:Fallback>
        </mc:AlternateContent>
      </w:r>
      <w:r>
        <w:rPr>
          <w:rFonts w:hint="eastAsia" w:ascii="宋体" w:hAnsi="宋体" w:eastAsia="宋体" w:cs="宋体"/>
          <w:bCs/>
          <w:color w:val="auto"/>
          <w:kern w:val="2"/>
          <w:sz w:val="21"/>
          <w:szCs w:val="21"/>
          <w:highlight w:val="none"/>
        </w:rPr>
        <w:t>（</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rPr>
        <w:t>）</w:t>
      </w:r>
      <w:r>
        <w:rPr>
          <w:rFonts w:hint="eastAsia" w:ascii="宋体" w:hAnsi="宋体" w:eastAsia="宋体" w:cs="宋体"/>
          <w:color w:val="auto"/>
          <w:kern w:val="2"/>
          <w:sz w:val="21"/>
          <w:szCs w:val="21"/>
          <w:highlight w:val="none"/>
        </w:rPr>
        <w:t>投标人</w:t>
      </w:r>
      <w:r>
        <w:rPr>
          <w:rFonts w:hint="eastAsia" w:ascii="宋体" w:hAnsi="宋体" w:eastAsia="宋体" w:cs="宋体"/>
          <w:bCs/>
          <w:color w:val="auto"/>
          <w:kern w:val="2"/>
          <w:sz w:val="21"/>
          <w:szCs w:val="21"/>
          <w:highlight w:val="none"/>
        </w:rPr>
        <w:t>价格分 =                                      　×</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rPr>
        <w:t>0分</w:t>
      </w:r>
    </w:p>
    <w:p w14:paraId="76CC502A">
      <w:pPr>
        <w:widowControl w:val="0"/>
        <w:spacing w:after="0" w:line="360" w:lineRule="auto"/>
        <w:ind w:firstLine="420" w:firstLineChars="200"/>
        <w:jc w:val="both"/>
        <w:rPr>
          <w:rFonts w:hint="eastAsia"/>
          <w:color w:val="auto"/>
        </w:rPr>
      </w:pPr>
      <w:r>
        <w:rPr>
          <w:rFonts w:hint="eastAsia" w:ascii="宋体" w:hAnsi="宋体" w:eastAsia="宋体" w:cs="宋体"/>
          <w:bCs/>
          <w:color w:val="auto"/>
          <w:kern w:val="2"/>
          <w:sz w:val="21"/>
          <w:szCs w:val="21"/>
          <w:highlight w:val="none"/>
        </w:rPr>
        <w:t xml:space="preserve">                                投标人</w:t>
      </w:r>
      <w:r>
        <w:rPr>
          <w:rFonts w:hint="eastAsia" w:ascii="宋体" w:hAnsi="宋体" w:eastAsia="宋体" w:cs="宋体"/>
          <w:color w:val="auto"/>
          <w:kern w:val="2"/>
          <w:sz w:val="21"/>
          <w:szCs w:val="21"/>
          <w:highlight w:val="none"/>
        </w:rPr>
        <w:t>评标报价</w:t>
      </w:r>
      <w:r>
        <w:rPr>
          <w:rFonts w:hint="eastAsia" w:ascii="宋体" w:hAnsi="宋体" w:eastAsia="宋体" w:cs="宋体"/>
          <w:bCs/>
          <w:color w:val="auto"/>
          <w:kern w:val="2"/>
          <w:sz w:val="21"/>
          <w:szCs w:val="21"/>
          <w:highlight w:val="none"/>
        </w:rPr>
        <w:t xml:space="preserve">  </w:t>
      </w:r>
    </w:p>
    <w:p w14:paraId="2421E5A7">
      <w:pPr>
        <w:pStyle w:val="2"/>
        <w:spacing w:line="360" w:lineRule="auto"/>
        <w:rPr>
          <w:rFonts w:hint="eastAsia" w:ascii="宋体" w:hAnsi="宋体" w:eastAsia="宋体" w:cs="宋体"/>
          <w:color w:val="auto"/>
          <w:sz w:val="21"/>
          <w:szCs w:val="20"/>
        </w:rPr>
      </w:pPr>
      <w:r>
        <w:rPr>
          <w:rFonts w:hint="eastAsia" w:ascii="宋体" w:hAnsi="宋体" w:eastAsia="宋体" w:cs="宋体"/>
          <w:b/>
          <w:bCs/>
          <w:color w:val="auto"/>
          <w:sz w:val="21"/>
          <w:szCs w:val="20"/>
        </w:rPr>
        <w:t>注：如</w:t>
      </w:r>
      <w:r>
        <w:rPr>
          <w:rFonts w:hint="eastAsia" w:ascii="宋体" w:hAnsi="宋体" w:eastAsia="宋体" w:cs="宋体"/>
          <w:b/>
          <w:bCs/>
          <w:color w:val="auto"/>
          <w:sz w:val="21"/>
          <w:szCs w:val="20"/>
          <w:lang w:eastAsia="zh-CN"/>
        </w:rPr>
        <w:t>评标</w:t>
      </w:r>
      <w:r>
        <w:rPr>
          <w:rFonts w:hint="eastAsia" w:ascii="宋体" w:hAnsi="宋体" w:eastAsia="宋体" w:cs="宋体"/>
          <w:b/>
          <w:bCs/>
          <w:color w:val="auto"/>
          <w:sz w:val="21"/>
          <w:szCs w:val="20"/>
        </w:rPr>
        <w:t>小组认为某</w:t>
      </w:r>
      <w:r>
        <w:rPr>
          <w:rFonts w:hint="eastAsia" w:ascii="宋体" w:hAnsi="宋体" w:eastAsia="宋体" w:cs="宋体"/>
          <w:b/>
          <w:bCs/>
          <w:color w:val="auto"/>
          <w:sz w:val="21"/>
          <w:szCs w:val="20"/>
          <w:lang w:eastAsia="zh-CN"/>
        </w:rPr>
        <w:t>投</w:t>
      </w:r>
      <w:r>
        <w:rPr>
          <w:rFonts w:hint="eastAsia" w:ascii="宋体" w:hAnsi="宋体" w:eastAsia="宋体" w:cs="宋体"/>
          <w:b/>
          <w:bCs/>
          <w:color w:val="auto"/>
          <w:sz w:val="21"/>
          <w:szCs w:val="20"/>
        </w:rPr>
        <w:t>标人</w:t>
      </w:r>
      <w:r>
        <w:rPr>
          <w:rFonts w:hint="eastAsia" w:ascii="宋体" w:hAnsi="宋体" w:eastAsia="宋体" w:cs="宋体"/>
          <w:b/>
          <w:bCs/>
          <w:color w:val="auto"/>
          <w:sz w:val="21"/>
          <w:szCs w:val="20"/>
          <w:lang w:eastAsia="zh-CN"/>
        </w:rPr>
        <w:t>的</w:t>
      </w:r>
      <w:r>
        <w:rPr>
          <w:rFonts w:hint="eastAsia" w:ascii="宋体" w:hAnsi="宋体" w:eastAsia="宋体" w:cs="宋体"/>
          <w:b/>
          <w:bCs/>
          <w:color w:val="auto"/>
          <w:sz w:val="21"/>
          <w:szCs w:val="16"/>
        </w:rPr>
        <w:t>报价明显低于其他通过符合性审查</w:t>
      </w:r>
      <w:r>
        <w:rPr>
          <w:rFonts w:hint="eastAsia" w:ascii="宋体" w:hAnsi="宋体" w:eastAsia="宋体" w:cs="宋体"/>
          <w:b/>
          <w:bCs/>
          <w:color w:val="auto"/>
          <w:sz w:val="21"/>
          <w:szCs w:val="16"/>
          <w:lang w:eastAsia="zh-CN"/>
        </w:rPr>
        <w:t>投标</w:t>
      </w:r>
      <w:r>
        <w:rPr>
          <w:rFonts w:hint="eastAsia" w:ascii="宋体" w:hAnsi="宋体" w:eastAsia="宋体" w:cs="宋体"/>
          <w:b/>
          <w:bCs/>
          <w:color w:val="auto"/>
          <w:sz w:val="21"/>
          <w:szCs w:val="16"/>
        </w:rPr>
        <w:t>人的报价，有可能影响产品质量或者不能诚信履约的，应当要求其在评标现场合理的时间内提供书面说明，必要时提交相关证明材料，请各位</w:t>
      </w:r>
      <w:r>
        <w:rPr>
          <w:rFonts w:hint="eastAsia" w:ascii="宋体" w:hAnsi="宋体" w:eastAsia="宋体" w:cs="宋体"/>
          <w:b/>
          <w:bCs/>
          <w:color w:val="auto"/>
          <w:sz w:val="21"/>
          <w:szCs w:val="16"/>
          <w:lang w:eastAsia="zh-CN"/>
        </w:rPr>
        <w:t>投标</w:t>
      </w:r>
      <w:r>
        <w:rPr>
          <w:rFonts w:hint="eastAsia" w:ascii="宋体" w:hAnsi="宋体" w:eastAsia="宋体" w:cs="宋体"/>
          <w:b/>
          <w:bCs/>
          <w:color w:val="auto"/>
          <w:sz w:val="21"/>
          <w:szCs w:val="16"/>
        </w:rPr>
        <w:t>人提前做好准备；</w:t>
      </w:r>
      <w:r>
        <w:rPr>
          <w:rFonts w:hint="eastAsia" w:ascii="宋体" w:hAnsi="宋体" w:eastAsia="宋体" w:cs="宋体"/>
          <w:b/>
          <w:bCs/>
          <w:color w:val="auto"/>
          <w:sz w:val="21"/>
          <w:szCs w:val="16"/>
          <w:lang w:eastAsia="zh-CN"/>
        </w:rPr>
        <w:t>投标</w:t>
      </w:r>
      <w:r>
        <w:rPr>
          <w:rFonts w:hint="eastAsia" w:ascii="宋体" w:hAnsi="宋体" w:eastAsia="宋体" w:cs="宋体"/>
          <w:b/>
          <w:bCs/>
          <w:color w:val="auto"/>
          <w:sz w:val="21"/>
          <w:szCs w:val="16"/>
        </w:rPr>
        <w:t>人不能证明其报价合理性的，</w:t>
      </w:r>
      <w:r>
        <w:rPr>
          <w:rFonts w:hint="eastAsia" w:ascii="宋体" w:hAnsi="宋体" w:eastAsia="宋体" w:cs="宋体"/>
          <w:b/>
          <w:bCs/>
          <w:color w:val="auto"/>
          <w:sz w:val="21"/>
          <w:szCs w:val="16"/>
          <w:lang w:eastAsia="zh-CN"/>
        </w:rPr>
        <w:t>评标小组</w:t>
      </w:r>
      <w:r>
        <w:rPr>
          <w:rFonts w:hint="eastAsia" w:ascii="宋体" w:hAnsi="宋体" w:eastAsia="宋体" w:cs="宋体"/>
          <w:b/>
          <w:bCs/>
          <w:color w:val="auto"/>
          <w:sz w:val="21"/>
          <w:szCs w:val="16"/>
        </w:rPr>
        <w:t>应当将其作为无效投标处理。</w:t>
      </w:r>
    </w:p>
    <w:p w14:paraId="63250848">
      <w:pPr>
        <w:pStyle w:val="13"/>
        <w:spacing w:line="360" w:lineRule="auto"/>
        <w:rPr>
          <w:rFonts w:hint="eastAsia" w:ascii="宋体" w:hAnsi="宋体" w:eastAsia="宋体" w:cs="宋体"/>
          <w:b/>
          <w:color w:val="auto"/>
          <w:kern w:val="2"/>
          <w:sz w:val="21"/>
          <w:szCs w:val="21"/>
          <w:highlight w:val="none"/>
        </w:rPr>
      </w:pPr>
      <w:r>
        <w:rPr>
          <w:rFonts w:hint="eastAsia" w:ascii="宋体" w:hAnsi="宋体" w:eastAsia="宋体" w:cs="宋体"/>
          <w:b/>
          <w:bCs/>
          <w:color w:val="auto"/>
          <w:sz w:val="21"/>
          <w:szCs w:val="21"/>
          <w:highlight w:val="none"/>
          <w:lang w:val="en-US" w:eastAsia="zh-CN"/>
        </w:rPr>
        <w:t>2.</w:t>
      </w:r>
      <w:r>
        <w:rPr>
          <w:rFonts w:hint="eastAsia" w:hAnsi="宋体" w:cs="宋体"/>
          <w:b/>
          <w:bCs/>
          <w:color w:val="auto"/>
          <w:sz w:val="21"/>
          <w:szCs w:val="21"/>
          <w:highlight w:val="none"/>
          <w:lang w:val="en-US" w:eastAsia="zh-CN"/>
        </w:rPr>
        <w:t>项目实施方案分</w:t>
      </w:r>
      <w:r>
        <w:rPr>
          <w:rFonts w:hint="eastAsia" w:ascii="宋体" w:hAnsi="宋体" w:eastAsia="宋体" w:cs="宋体"/>
          <w:b/>
          <w:bCs/>
          <w:color w:val="auto"/>
          <w:kern w:val="0"/>
          <w:szCs w:val="21"/>
          <w:highlight w:val="none"/>
        </w:rPr>
        <w:t>………………………………………………………………………………………满分</w:t>
      </w:r>
      <w:r>
        <w:rPr>
          <w:rFonts w:hint="eastAsia" w:hAnsi="宋体" w:cs="宋体"/>
          <w:b/>
          <w:bCs/>
          <w:color w:val="auto"/>
          <w:kern w:val="0"/>
          <w:szCs w:val="21"/>
          <w:highlight w:val="none"/>
          <w:lang w:val="en-US" w:eastAsia="zh-CN"/>
        </w:rPr>
        <w:t>55</w:t>
      </w:r>
      <w:r>
        <w:rPr>
          <w:rFonts w:hint="eastAsia" w:ascii="宋体" w:hAnsi="宋体" w:eastAsia="宋体" w:cs="宋体"/>
          <w:b/>
          <w:bCs/>
          <w:color w:val="auto"/>
          <w:kern w:val="0"/>
          <w:szCs w:val="21"/>
          <w:highlight w:val="none"/>
        </w:rPr>
        <w:t>分</w:t>
      </w:r>
    </w:p>
    <w:p w14:paraId="57143851">
      <w:pPr>
        <w:pStyle w:val="13"/>
        <w:spacing w:line="360" w:lineRule="auto"/>
        <w:rPr>
          <w:rFonts w:hint="eastAsia" w:ascii="宋体" w:hAnsi="宋体" w:eastAsia="宋体" w:cs="宋体"/>
          <w:b/>
          <w:bCs/>
          <w:color w:val="auto"/>
          <w:sz w:val="21"/>
          <w:szCs w:val="21"/>
          <w:highlight w:val="none"/>
          <w:lang w:val="en-US" w:eastAsia="zh-CN"/>
        </w:rPr>
      </w:pPr>
      <w:r>
        <w:rPr>
          <w:rFonts w:hint="eastAsia"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服务内容理解</w:t>
      </w:r>
      <w:r>
        <w:rPr>
          <w:rFonts w:hint="eastAsia" w:ascii="宋体" w:hAnsi="宋体" w:eastAsia="宋体" w:cs="宋体"/>
          <w:b/>
          <w:bCs/>
          <w:color w:val="auto"/>
          <w:kern w:val="0"/>
          <w:szCs w:val="21"/>
          <w:highlight w:val="none"/>
        </w:rPr>
        <w:t>………………………………………………………………………………………满分</w:t>
      </w:r>
      <w:r>
        <w:rPr>
          <w:rFonts w:hint="eastAsia" w:hAnsi="宋体" w:cs="宋体"/>
          <w:b/>
          <w:bCs/>
          <w:color w:val="auto"/>
          <w:kern w:val="0"/>
          <w:szCs w:val="21"/>
          <w:highlight w:val="none"/>
          <w:lang w:val="en-US" w:eastAsia="zh-CN"/>
        </w:rPr>
        <w:t>9</w:t>
      </w:r>
      <w:r>
        <w:rPr>
          <w:rFonts w:hint="eastAsia" w:ascii="宋体" w:hAnsi="宋体" w:eastAsia="宋体" w:cs="宋体"/>
          <w:b/>
          <w:bCs/>
          <w:color w:val="auto"/>
          <w:kern w:val="0"/>
          <w:szCs w:val="21"/>
          <w:highlight w:val="none"/>
        </w:rPr>
        <w:t>分</w:t>
      </w:r>
    </w:p>
    <w:p w14:paraId="3263616F">
      <w:pPr>
        <w:pStyle w:val="13"/>
        <w:keepNext w:val="0"/>
        <w:keepLines w:val="0"/>
        <w:pageBreakBefore w:val="0"/>
        <w:widowControl w:val="0"/>
        <w:kinsoku/>
        <w:wordWrap/>
        <w:overflowPunct/>
        <w:topLinePunct w:val="0"/>
        <w:autoSpaceDE/>
        <w:autoSpaceDN/>
        <w:bidi w:val="0"/>
        <w:adjustRightInd/>
        <w:snapToGrid/>
        <w:spacing w:line="360" w:lineRule="auto"/>
        <w:ind w:firstLine="535" w:firstLineChars="255"/>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由评委在打分前对比各</w:t>
      </w:r>
      <w:r>
        <w:rPr>
          <w:rFonts w:hint="eastAsia" w:ascii="宋体" w:hAnsi="宋体" w:eastAsia="宋体" w:cs="宋体"/>
          <w:color w:val="auto"/>
          <w:sz w:val="21"/>
          <w:szCs w:val="21"/>
          <w:highlight w:val="none"/>
          <w:lang w:val="en-US" w:eastAsia="zh-CN"/>
        </w:rPr>
        <w:t>投标人的投标文件</w:t>
      </w:r>
      <w:r>
        <w:rPr>
          <w:rFonts w:hint="eastAsia" w:ascii="宋体" w:hAnsi="宋体" w:eastAsia="宋体" w:cs="宋体"/>
          <w:color w:val="auto"/>
          <w:sz w:val="21"/>
          <w:szCs w:val="21"/>
          <w:highlight w:val="none"/>
        </w:rPr>
        <w:t>针对本项目</w:t>
      </w:r>
      <w:r>
        <w:rPr>
          <w:rFonts w:hint="eastAsia" w:ascii="宋体" w:hAnsi="宋体" w:eastAsia="宋体" w:cs="宋体"/>
          <w:color w:val="auto"/>
          <w:sz w:val="21"/>
          <w:szCs w:val="21"/>
          <w:highlight w:val="none"/>
          <w:lang w:eastAsia="zh-CN"/>
        </w:rPr>
        <w:t>服务内容理解进行综合评定并</w:t>
      </w:r>
      <w:r>
        <w:rPr>
          <w:rFonts w:hint="eastAsia" w:ascii="宋体" w:hAnsi="宋体" w:eastAsia="宋体" w:cs="宋体"/>
          <w:color w:val="auto"/>
          <w:sz w:val="21"/>
          <w:szCs w:val="21"/>
          <w:highlight w:val="none"/>
          <w:lang w:val="en-US" w:eastAsia="zh-CN"/>
        </w:rPr>
        <w:t>根据档次</w:t>
      </w:r>
      <w:r>
        <w:rPr>
          <w:rFonts w:hint="eastAsia" w:ascii="宋体" w:hAnsi="宋体" w:eastAsia="宋体" w:cs="宋体"/>
          <w:color w:val="auto"/>
          <w:sz w:val="21"/>
          <w:szCs w:val="21"/>
          <w:highlight w:val="none"/>
          <w:lang w:eastAsia="zh-CN"/>
        </w:rPr>
        <w:t>独立打分。</w:t>
      </w:r>
    </w:p>
    <w:p w14:paraId="7CBA9E4E">
      <w:pPr>
        <w:pStyle w:val="13"/>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val="en-US" w:eastAsia="zh-CN"/>
        </w:rPr>
        <w:t xml:space="preserve">一档（ </w:t>
      </w:r>
      <w:r>
        <w:rPr>
          <w:rFonts w:hint="eastAsia"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color w:val="auto"/>
          <w:sz w:val="21"/>
          <w:szCs w:val="21"/>
          <w:highlight w:val="none"/>
          <w:lang w:val="en-US" w:eastAsia="zh-CN"/>
        </w:rPr>
        <w:t>基本理解本项目服务需求内容但不够全面或不符合本项目实际情况或简单复制服务采购需求的</w:t>
      </w:r>
      <w:r>
        <w:rPr>
          <w:rFonts w:hint="eastAsia" w:ascii="宋体" w:hAnsi="宋体" w:eastAsia="宋体" w:cs="宋体"/>
          <w:b/>
          <w:bCs/>
          <w:color w:val="auto"/>
          <w:sz w:val="21"/>
          <w:szCs w:val="21"/>
          <w:highlight w:val="none"/>
        </w:rPr>
        <w:t>；</w:t>
      </w:r>
    </w:p>
    <w:p w14:paraId="4C75DE90">
      <w:pPr>
        <w:pStyle w:val="13"/>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 xml:space="preserve">二档（ </w:t>
      </w:r>
      <w:r>
        <w:rPr>
          <w:rFonts w:hint="eastAsia"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 xml:space="preserve"> 分）：</w:t>
      </w:r>
      <w:r>
        <w:rPr>
          <w:rFonts w:hint="eastAsia" w:ascii="宋体" w:hAnsi="宋体" w:eastAsia="宋体" w:cs="宋体"/>
          <w:color w:val="auto"/>
          <w:sz w:val="21"/>
          <w:szCs w:val="21"/>
          <w:highlight w:val="none"/>
          <w:lang w:val="en-US" w:eastAsia="zh-CN"/>
        </w:rPr>
        <w:t>理解本项目服务需求内容，有前期的现场了解并对本项目服务范围内的疫木实际情况描述</w:t>
      </w:r>
      <w:r>
        <w:rPr>
          <w:rFonts w:hint="eastAsia" w:ascii="宋体" w:hAnsi="宋体" w:eastAsia="宋体" w:cs="宋体"/>
          <w:b/>
          <w:bCs/>
          <w:color w:val="auto"/>
          <w:sz w:val="21"/>
          <w:szCs w:val="21"/>
          <w:highlight w:val="none"/>
          <w:lang w:val="en-US" w:eastAsia="zh-CN"/>
        </w:rPr>
        <w:t>详细</w:t>
      </w:r>
      <w:r>
        <w:rPr>
          <w:rFonts w:hint="eastAsia" w:ascii="宋体" w:hAnsi="宋体" w:eastAsia="宋体" w:cs="宋体"/>
          <w:b/>
          <w:bCs/>
          <w:color w:val="auto"/>
          <w:sz w:val="21"/>
          <w:szCs w:val="21"/>
          <w:highlight w:val="none"/>
        </w:rPr>
        <w:t>；</w:t>
      </w:r>
    </w:p>
    <w:p w14:paraId="5B0AC033">
      <w:pPr>
        <w:pStyle w:val="7"/>
        <w:spacing w:line="360" w:lineRule="auto"/>
        <w:ind w:left="0" w:leftChars="0" w:firstLine="0" w:firstLineChars="0"/>
        <w:rPr>
          <w:rFonts w:hint="eastAsia" w:ascii="宋体" w:hAnsi="宋体" w:eastAsia="宋体" w:cs="宋体"/>
          <w:b w:val="0"/>
          <w:bCs w:val="0"/>
          <w:color w:val="auto"/>
          <w:lang w:val="en-US" w:eastAsia="zh-CN"/>
        </w:rPr>
      </w:pPr>
      <w:r>
        <w:rPr>
          <w:rFonts w:hint="eastAsia" w:ascii="宋体" w:hAnsi="宋体" w:eastAsia="宋体" w:cs="宋体"/>
          <w:b/>
          <w:bCs/>
          <w:color w:val="auto"/>
          <w:sz w:val="21"/>
          <w:szCs w:val="21"/>
          <w:highlight w:val="none"/>
          <w:lang w:val="en-US" w:eastAsia="zh-CN"/>
        </w:rPr>
        <w:t xml:space="preserve">   三档（ 9分）：</w:t>
      </w:r>
      <w:r>
        <w:rPr>
          <w:rFonts w:hint="eastAsia" w:ascii="宋体" w:hAnsi="宋体" w:eastAsia="宋体" w:cs="宋体"/>
          <w:b w:val="0"/>
          <w:bCs w:val="0"/>
          <w:color w:val="auto"/>
          <w:sz w:val="21"/>
          <w:szCs w:val="21"/>
          <w:highlight w:val="none"/>
          <w:lang w:val="en-US" w:eastAsia="zh-CN"/>
        </w:rPr>
        <w:t>对本项目服务需求内容、服务工作目标理解透彻，</w:t>
      </w:r>
      <w:r>
        <w:rPr>
          <w:rFonts w:hint="eastAsia" w:ascii="宋体" w:hAnsi="宋体" w:eastAsia="宋体" w:cs="宋体"/>
          <w:color w:val="auto"/>
          <w:sz w:val="21"/>
          <w:szCs w:val="21"/>
          <w:highlight w:val="none"/>
          <w:lang w:val="en-US" w:eastAsia="zh-CN"/>
        </w:rPr>
        <w:t>有前期的现场了解并对本项目服务范围内的疫木实际情况描述详细完整，能描述各疫木地处的松线虫病的疫情情况。</w:t>
      </w:r>
    </w:p>
    <w:p w14:paraId="128CA784">
      <w:pPr>
        <w:pStyle w:val="13"/>
        <w:spacing w:line="360" w:lineRule="auto"/>
        <w:rPr>
          <w:rFonts w:hint="eastAsia" w:ascii="宋体" w:hAnsi="宋体" w:eastAsia="宋体" w:cs="宋体"/>
          <w:b/>
          <w:bCs/>
          <w:color w:val="auto"/>
          <w:sz w:val="21"/>
          <w:szCs w:val="21"/>
          <w:highlight w:val="none"/>
          <w:lang w:val="en-US" w:eastAsia="zh-CN"/>
        </w:rPr>
      </w:pPr>
      <w:r>
        <w:rPr>
          <w:rFonts w:hint="eastAsia" w:hAnsi="宋体" w:cs="宋体"/>
          <w:b/>
          <w:bCs/>
          <w:color w:val="auto"/>
          <w:szCs w:val="21"/>
          <w:highlight w:val="none"/>
          <w:lang w:val="en-US" w:eastAsia="zh-CN"/>
        </w:rPr>
        <w:t>（2）</w:t>
      </w:r>
      <w:r>
        <w:rPr>
          <w:rFonts w:hint="eastAsia" w:ascii="宋体" w:hAnsi="宋体" w:eastAsia="宋体" w:cs="宋体"/>
          <w:b/>
          <w:bCs/>
          <w:color w:val="auto"/>
          <w:sz w:val="21"/>
          <w:szCs w:val="21"/>
          <w:highlight w:val="none"/>
          <w:lang w:val="en-US" w:eastAsia="zh-CN"/>
        </w:rPr>
        <w:t>管理方案分</w:t>
      </w:r>
      <w:r>
        <w:rPr>
          <w:rFonts w:hint="eastAsia" w:ascii="宋体" w:hAnsi="宋体" w:eastAsia="宋体" w:cs="宋体"/>
          <w:b/>
          <w:bCs/>
          <w:color w:val="auto"/>
          <w:kern w:val="0"/>
          <w:szCs w:val="21"/>
          <w:highlight w:val="none"/>
        </w:rPr>
        <w:t>………………………………………………………………………………………满分</w:t>
      </w:r>
      <w:r>
        <w:rPr>
          <w:rFonts w:hint="eastAsia" w:hAnsi="宋体" w:cs="宋体"/>
          <w:b/>
          <w:bCs/>
          <w:color w:val="auto"/>
          <w:kern w:val="0"/>
          <w:szCs w:val="21"/>
          <w:highlight w:val="none"/>
          <w:lang w:val="en-US" w:eastAsia="zh-CN"/>
        </w:rPr>
        <w:t>16</w:t>
      </w:r>
      <w:r>
        <w:rPr>
          <w:rFonts w:hint="eastAsia" w:ascii="宋体" w:hAnsi="宋体" w:eastAsia="宋体" w:cs="宋体"/>
          <w:b/>
          <w:bCs/>
          <w:color w:val="auto"/>
          <w:kern w:val="0"/>
          <w:szCs w:val="21"/>
          <w:highlight w:val="none"/>
        </w:rPr>
        <w:t>分</w:t>
      </w:r>
    </w:p>
    <w:p w14:paraId="7C6C59F8">
      <w:pPr>
        <w:bidi w:val="0"/>
        <w:spacing w:line="360" w:lineRule="auto"/>
        <w:ind w:firstLine="440" w:firstLineChars="200"/>
        <w:rPr>
          <w:rFonts w:hint="eastAsia" w:ascii="宋体" w:hAnsi="宋体" w:eastAsia="宋体" w:cs="宋体"/>
          <w:color w:val="auto"/>
        </w:rPr>
      </w:pPr>
      <w:r>
        <w:rPr>
          <w:rFonts w:hint="eastAsia" w:ascii="宋体" w:hAnsi="宋体" w:eastAsia="宋体" w:cs="宋体"/>
          <w:color w:val="auto"/>
        </w:rPr>
        <w:t>由评标委员会根据</w:t>
      </w:r>
      <w:r>
        <w:rPr>
          <w:rFonts w:hint="eastAsia" w:ascii="宋体" w:hAnsi="宋体" w:eastAsia="宋体" w:cs="宋体"/>
          <w:color w:val="auto"/>
          <w:lang w:eastAsia="zh-CN"/>
        </w:rPr>
        <w:t>服务</w:t>
      </w:r>
      <w:r>
        <w:rPr>
          <w:rFonts w:hint="eastAsia" w:ascii="宋体" w:hAnsi="宋体" w:eastAsia="宋体" w:cs="宋体"/>
          <w:color w:val="auto"/>
        </w:rPr>
        <w:t>采购需求，对比各</w:t>
      </w:r>
      <w:r>
        <w:rPr>
          <w:rFonts w:hint="eastAsia" w:ascii="宋体" w:hAnsi="宋体" w:eastAsia="宋体" w:cs="宋体"/>
          <w:color w:val="auto"/>
          <w:lang w:eastAsia="zh-CN"/>
        </w:rPr>
        <w:t>投标人</w:t>
      </w:r>
      <w:r>
        <w:rPr>
          <w:rFonts w:hint="eastAsia" w:ascii="宋体" w:hAnsi="宋体" w:eastAsia="宋体" w:cs="宋体"/>
          <w:color w:val="auto"/>
        </w:rPr>
        <w:t>的</w:t>
      </w:r>
      <w:r>
        <w:rPr>
          <w:rFonts w:hint="eastAsia" w:ascii="宋体" w:hAnsi="宋体" w:eastAsia="宋体" w:cs="宋体"/>
          <w:color w:val="auto"/>
          <w:lang w:val="en-US" w:eastAsia="zh-CN"/>
        </w:rPr>
        <w:t>采伐</w:t>
      </w:r>
      <w:r>
        <w:rPr>
          <w:rFonts w:hint="eastAsia" w:ascii="宋体" w:hAnsi="宋体" w:eastAsia="宋体" w:cs="宋体"/>
          <w:color w:val="auto"/>
        </w:rPr>
        <w:t>管理方案【</w:t>
      </w:r>
      <w:r>
        <w:rPr>
          <w:rFonts w:hint="eastAsia" w:ascii="宋体" w:hAnsi="宋体" w:eastAsia="宋体" w:cs="宋体"/>
          <w:color w:val="auto"/>
          <w:lang w:eastAsia="zh-CN"/>
        </w:rPr>
        <w:t>包含但不限于</w:t>
      </w:r>
      <w:r>
        <w:rPr>
          <w:rFonts w:hint="eastAsia" w:ascii="宋体" w:hAnsi="宋体" w:eastAsia="宋体" w:cs="宋体"/>
          <w:color w:val="auto"/>
        </w:rPr>
        <w:t>人员管理方案</w:t>
      </w:r>
      <w:r>
        <w:rPr>
          <w:rFonts w:hint="eastAsia" w:ascii="宋体" w:hAnsi="宋体" w:eastAsia="宋体" w:cs="宋体"/>
          <w:color w:val="auto"/>
          <w:lang w:eastAsia="zh-CN"/>
        </w:rPr>
        <w:t>（</w:t>
      </w:r>
      <w:r>
        <w:rPr>
          <w:rFonts w:hint="eastAsia" w:ascii="宋体" w:hAnsi="宋体" w:eastAsia="宋体" w:cs="宋体"/>
          <w:color w:val="auto"/>
          <w:lang w:val="en-US" w:eastAsia="zh-CN"/>
        </w:rPr>
        <w:t>人员健康情况、人员培训、工作标准、工作服装、岗位制度等）</w:t>
      </w:r>
      <w:r>
        <w:rPr>
          <w:rFonts w:hint="eastAsia" w:ascii="宋体" w:hAnsi="宋体" w:eastAsia="宋体" w:cs="宋体"/>
          <w:color w:val="auto"/>
          <w:lang w:eastAsia="zh-CN"/>
        </w:rPr>
        <w:t>；</w:t>
      </w:r>
      <w:r>
        <w:rPr>
          <w:rFonts w:hint="eastAsia" w:ascii="宋体" w:hAnsi="宋体" w:eastAsia="宋体" w:cs="宋体"/>
          <w:color w:val="auto"/>
        </w:rPr>
        <w:t>进度管理</w:t>
      </w:r>
      <w:r>
        <w:rPr>
          <w:rFonts w:hint="eastAsia" w:ascii="宋体" w:hAnsi="宋体" w:eastAsia="宋体" w:cs="宋体"/>
          <w:color w:val="auto"/>
          <w:lang w:val="en-US" w:eastAsia="zh-CN"/>
        </w:rPr>
        <w:t>；</w:t>
      </w:r>
      <w:r>
        <w:rPr>
          <w:rFonts w:hint="eastAsia" w:ascii="宋体" w:hAnsi="宋体" w:eastAsia="宋体" w:cs="宋体"/>
          <w:color w:val="auto"/>
        </w:rPr>
        <w:t>用工风险的防范措施、劳务纠纷、突发事件的处理</w:t>
      </w:r>
      <w:r>
        <w:rPr>
          <w:rFonts w:hint="eastAsia" w:ascii="宋体" w:hAnsi="宋体" w:eastAsia="宋体" w:cs="宋体"/>
          <w:color w:val="auto"/>
          <w:lang w:eastAsia="zh-CN"/>
        </w:rPr>
        <w:t>；</w:t>
      </w:r>
      <w:r>
        <w:rPr>
          <w:rFonts w:hint="eastAsia" w:ascii="宋体" w:hAnsi="宋体" w:eastAsia="宋体" w:cs="宋体"/>
          <w:color w:val="auto"/>
        </w:rPr>
        <w:t>防火安全管理措施、伐木作业人身安全管理措施等】内容进行独立评审。</w:t>
      </w:r>
    </w:p>
    <w:p w14:paraId="199AB3EA">
      <w:pPr>
        <w:bidi w:val="0"/>
        <w:spacing w:line="360" w:lineRule="auto"/>
        <w:ind w:firstLine="422" w:firstLineChars="200"/>
        <w:rPr>
          <w:rFonts w:hint="eastAsia" w:ascii="宋体" w:hAnsi="宋体" w:eastAsia="宋体" w:cs="宋体"/>
          <w:color w:val="auto"/>
        </w:rPr>
      </w:pPr>
      <w:r>
        <w:rPr>
          <w:rFonts w:hint="eastAsia" w:ascii="宋体" w:hAnsi="宋体" w:eastAsia="宋体" w:cs="宋体"/>
          <w:b/>
          <w:bCs/>
          <w:color w:val="auto"/>
          <w:sz w:val="21"/>
          <w:szCs w:val="21"/>
          <w:highlight w:val="none"/>
          <w:lang w:val="en-US" w:eastAsia="zh-CN"/>
        </w:rPr>
        <w:t>一档（4分）：</w:t>
      </w:r>
      <w:r>
        <w:rPr>
          <w:rFonts w:hint="eastAsia" w:ascii="宋体" w:hAnsi="宋体" w:eastAsia="宋体" w:cs="宋体"/>
          <w:color w:val="auto"/>
        </w:rPr>
        <w:t xml:space="preserve"> 提供的管理方案内容</w:t>
      </w:r>
      <w:r>
        <w:rPr>
          <w:rFonts w:hint="eastAsia" w:ascii="宋体" w:hAnsi="宋体" w:eastAsia="宋体" w:cs="宋体"/>
          <w:color w:val="auto"/>
          <w:lang w:eastAsia="zh-CN"/>
        </w:rPr>
        <w:t>简单，可行性，针对性一般</w:t>
      </w:r>
      <w:r>
        <w:rPr>
          <w:rFonts w:hint="eastAsia" w:ascii="宋体" w:hAnsi="宋体" w:eastAsia="宋体" w:cs="宋体"/>
          <w:color w:val="auto"/>
        </w:rPr>
        <w:t>；</w:t>
      </w:r>
    </w:p>
    <w:p w14:paraId="49290458">
      <w:pPr>
        <w:pStyle w:val="13"/>
        <w:keepNext w:val="0"/>
        <w:keepLines w:val="0"/>
        <w:pageBreakBefore w:val="0"/>
        <w:widowControl w:val="0"/>
        <w:kinsoku/>
        <w:wordWrap/>
        <w:overflowPunct/>
        <w:topLinePunct w:val="0"/>
        <w:autoSpaceDE/>
        <w:autoSpaceDN/>
        <w:bidi w:val="0"/>
        <w:snapToGrid/>
        <w:spacing w:line="360" w:lineRule="auto"/>
        <w:ind w:firstLine="422"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二档（</w:t>
      </w:r>
      <w:r>
        <w:rPr>
          <w:rFonts w:hint="eastAsia"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val="0"/>
          <w:bCs w:val="0"/>
          <w:color w:val="auto"/>
          <w:sz w:val="21"/>
          <w:szCs w:val="21"/>
          <w:highlight w:val="none"/>
          <w:lang w:val="en-US" w:eastAsia="zh-CN"/>
        </w:rPr>
        <w:t>提供的管理方案内容详细，人员</w:t>
      </w:r>
      <w:r>
        <w:rPr>
          <w:rFonts w:hint="eastAsia" w:hAnsi="宋体" w:cs="宋体"/>
          <w:b w:val="0"/>
          <w:bCs w:val="0"/>
          <w:color w:val="auto"/>
          <w:sz w:val="21"/>
          <w:szCs w:val="21"/>
          <w:highlight w:val="none"/>
          <w:lang w:val="en-US" w:eastAsia="zh-CN"/>
        </w:rPr>
        <w:t>管理方案(</w:t>
      </w:r>
      <w:r>
        <w:rPr>
          <w:rFonts w:hint="eastAsia" w:ascii="宋体" w:hAnsi="宋体" w:eastAsia="宋体" w:cs="宋体"/>
          <w:b w:val="0"/>
          <w:bCs w:val="0"/>
          <w:color w:val="auto"/>
          <w:sz w:val="21"/>
          <w:szCs w:val="21"/>
          <w:highlight w:val="none"/>
          <w:lang w:val="en-US" w:eastAsia="zh-CN"/>
        </w:rPr>
        <w:t>包含但不限于人员健康情况、人员培训、工作标准、工作服装、岗位制度等）</w:t>
      </w:r>
      <w:r>
        <w:rPr>
          <w:rFonts w:hint="eastAsia" w:hAnsi="宋体" w:cs="宋体"/>
          <w:b w:val="0"/>
          <w:bCs w:val="0"/>
          <w:color w:val="auto"/>
          <w:sz w:val="21"/>
          <w:szCs w:val="21"/>
          <w:highlight w:val="none"/>
          <w:lang w:val="en-US" w:eastAsia="zh-CN"/>
        </w:rPr>
        <w:t>描述全面，条理清晰</w:t>
      </w:r>
      <w:r>
        <w:rPr>
          <w:rFonts w:hint="eastAsia" w:ascii="宋体" w:hAnsi="宋体" w:eastAsia="宋体" w:cs="宋体"/>
          <w:b w:val="0"/>
          <w:bCs w:val="0"/>
          <w:color w:val="auto"/>
          <w:sz w:val="21"/>
          <w:szCs w:val="21"/>
          <w:highlight w:val="none"/>
          <w:lang w:val="en-US" w:eastAsia="zh-CN"/>
        </w:rPr>
        <w:t>；</w:t>
      </w:r>
      <w:r>
        <w:rPr>
          <w:rFonts w:hint="eastAsia" w:hAnsi="宋体" w:cs="宋体"/>
          <w:b w:val="0"/>
          <w:bCs w:val="0"/>
          <w:color w:val="auto"/>
          <w:sz w:val="21"/>
          <w:szCs w:val="21"/>
          <w:highlight w:val="none"/>
          <w:lang w:val="en-US" w:eastAsia="zh-CN"/>
        </w:rPr>
        <w:t>进度管理可行、合理；</w:t>
      </w:r>
      <w:r>
        <w:rPr>
          <w:rFonts w:hint="eastAsia" w:ascii="宋体" w:hAnsi="宋体" w:eastAsia="宋体" w:cs="宋体"/>
          <w:b w:val="0"/>
          <w:bCs w:val="0"/>
          <w:color w:val="auto"/>
          <w:sz w:val="21"/>
          <w:szCs w:val="21"/>
          <w:highlight w:val="none"/>
          <w:lang w:val="en-US" w:eastAsia="zh-CN"/>
        </w:rPr>
        <w:t>有激励措施促进采伐管理，用工风险的防范措施、劳务纠纷、突发事件的处置基本可行；松材线虫病疫木采伐方案</w:t>
      </w:r>
      <w:r>
        <w:rPr>
          <w:rFonts w:hint="eastAsia" w:hAnsi="宋体" w:cs="宋体"/>
          <w:b w:val="0"/>
          <w:bCs w:val="0"/>
          <w:color w:val="auto"/>
          <w:sz w:val="21"/>
          <w:szCs w:val="21"/>
          <w:highlight w:val="none"/>
          <w:lang w:val="en-US" w:eastAsia="zh-CN"/>
        </w:rPr>
        <w:t>、防火安全管理措施、</w:t>
      </w:r>
      <w:r>
        <w:rPr>
          <w:rFonts w:hint="eastAsia" w:ascii="宋体" w:hAnsi="宋体" w:eastAsia="宋体" w:cs="宋体"/>
          <w:color w:val="auto"/>
        </w:rPr>
        <w:t>伐木作业人身安全管理措施</w:t>
      </w:r>
      <w:r>
        <w:rPr>
          <w:rFonts w:hint="eastAsia" w:ascii="宋体" w:hAnsi="宋体" w:eastAsia="宋体" w:cs="宋体"/>
          <w:b w:val="0"/>
          <w:bCs w:val="0"/>
          <w:color w:val="auto"/>
          <w:sz w:val="21"/>
          <w:szCs w:val="21"/>
          <w:highlight w:val="none"/>
          <w:lang w:val="en-US" w:eastAsia="zh-CN"/>
        </w:rPr>
        <w:t>简单</w:t>
      </w:r>
      <w:r>
        <w:rPr>
          <w:rFonts w:hint="eastAsia"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解决问题的响应时限及出现工作失误的处罚和赔偿承诺等内容差，基本符合采购需求。</w:t>
      </w:r>
    </w:p>
    <w:p w14:paraId="0ABF0248">
      <w:pPr>
        <w:pStyle w:val="13"/>
        <w:keepNext w:val="0"/>
        <w:keepLines w:val="0"/>
        <w:pageBreakBefore w:val="0"/>
        <w:widowControl w:val="0"/>
        <w:kinsoku/>
        <w:wordWrap/>
        <w:overflowPunct/>
        <w:topLinePunct w:val="0"/>
        <w:autoSpaceDE/>
        <w:autoSpaceDN/>
        <w:bidi w:val="0"/>
        <w:snapToGrid/>
        <w:spacing w:line="360" w:lineRule="auto"/>
        <w:ind w:firstLine="422"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三档（</w:t>
      </w:r>
      <w:r>
        <w:rPr>
          <w:rFonts w:hint="eastAsia" w:hAnsi="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val="0"/>
          <w:bCs w:val="0"/>
          <w:color w:val="auto"/>
          <w:sz w:val="21"/>
          <w:szCs w:val="21"/>
          <w:highlight w:val="none"/>
          <w:lang w:val="en-US" w:eastAsia="zh-CN"/>
        </w:rPr>
        <w:t>提供的管理方案内容详细、完整，人员</w:t>
      </w:r>
      <w:r>
        <w:rPr>
          <w:rFonts w:hint="eastAsia" w:hAnsi="宋体" w:cs="宋体"/>
          <w:b w:val="0"/>
          <w:bCs w:val="0"/>
          <w:color w:val="auto"/>
          <w:sz w:val="21"/>
          <w:szCs w:val="21"/>
          <w:highlight w:val="none"/>
          <w:lang w:val="en-US" w:eastAsia="zh-CN"/>
        </w:rPr>
        <w:t>管理方案(</w:t>
      </w:r>
      <w:r>
        <w:rPr>
          <w:rFonts w:hint="eastAsia" w:ascii="宋体" w:hAnsi="宋体" w:eastAsia="宋体" w:cs="宋体"/>
          <w:b w:val="0"/>
          <w:bCs w:val="0"/>
          <w:color w:val="auto"/>
          <w:sz w:val="21"/>
          <w:szCs w:val="21"/>
          <w:highlight w:val="none"/>
          <w:lang w:val="en-US" w:eastAsia="zh-CN"/>
        </w:rPr>
        <w:t>包含但不限于人员健康情况、人员培训、工作标准、工作服装、岗位制度等）</w:t>
      </w:r>
      <w:r>
        <w:rPr>
          <w:rFonts w:hint="eastAsia" w:hAnsi="宋体" w:cs="宋体"/>
          <w:b w:val="0"/>
          <w:bCs w:val="0"/>
          <w:color w:val="auto"/>
          <w:sz w:val="21"/>
          <w:szCs w:val="21"/>
          <w:highlight w:val="none"/>
          <w:lang w:val="en-US" w:eastAsia="zh-CN"/>
        </w:rPr>
        <w:t>描述全面，条理清晰；进度管理合理可行有效；</w:t>
      </w:r>
      <w:r>
        <w:rPr>
          <w:rFonts w:hint="eastAsia" w:ascii="宋体" w:hAnsi="宋体" w:eastAsia="宋体" w:cs="宋体"/>
          <w:b w:val="0"/>
          <w:bCs w:val="0"/>
          <w:color w:val="auto"/>
          <w:sz w:val="21"/>
          <w:szCs w:val="21"/>
          <w:highlight w:val="none"/>
          <w:lang w:val="en-US" w:eastAsia="zh-CN"/>
        </w:rPr>
        <w:t>有具体详细的激励措施促进采伐管理，用工风险的防范措施、劳务纠纷、突发事件的处置合理；松材线虫病疫木采伐方案</w:t>
      </w:r>
      <w:r>
        <w:rPr>
          <w:rFonts w:hint="eastAsia" w:hAnsi="宋体" w:cs="宋体"/>
          <w:b w:val="0"/>
          <w:bCs w:val="0"/>
          <w:color w:val="auto"/>
          <w:sz w:val="21"/>
          <w:szCs w:val="21"/>
          <w:highlight w:val="none"/>
          <w:lang w:val="en-US" w:eastAsia="zh-CN"/>
        </w:rPr>
        <w:t>、防火安全管理措施、</w:t>
      </w:r>
      <w:r>
        <w:rPr>
          <w:rFonts w:hint="eastAsia" w:ascii="宋体" w:hAnsi="宋体" w:eastAsia="宋体" w:cs="宋体"/>
          <w:color w:val="auto"/>
        </w:rPr>
        <w:t>伐木作业人身安全管理措施</w:t>
      </w:r>
      <w:r>
        <w:rPr>
          <w:rFonts w:hint="eastAsia" w:ascii="宋体" w:hAnsi="宋体" w:eastAsia="宋体" w:cs="宋体"/>
          <w:b w:val="0"/>
          <w:bCs w:val="0"/>
          <w:color w:val="auto"/>
          <w:sz w:val="21"/>
          <w:szCs w:val="21"/>
          <w:highlight w:val="none"/>
          <w:lang w:val="en-US" w:eastAsia="zh-CN"/>
        </w:rPr>
        <w:t>较详细、完整</w:t>
      </w:r>
      <w:r>
        <w:rPr>
          <w:rFonts w:hint="eastAsia"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解决问题的响应时限及出现工作失误的处罚和赔偿承诺等内容一般、合理、可行、满足采购需求。</w:t>
      </w:r>
    </w:p>
    <w:p w14:paraId="5170BCC6">
      <w:pPr>
        <w:pStyle w:val="13"/>
        <w:keepNext w:val="0"/>
        <w:keepLines w:val="0"/>
        <w:pageBreakBefore w:val="0"/>
        <w:widowControl w:val="0"/>
        <w:kinsoku/>
        <w:wordWrap/>
        <w:overflowPunct/>
        <w:topLinePunct w:val="0"/>
        <w:autoSpaceDE/>
        <w:autoSpaceDN/>
        <w:bidi w:val="0"/>
        <w:snapToGrid/>
        <w:spacing w:line="360" w:lineRule="auto"/>
        <w:ind w:firstLine="422"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四档（</w:t>
      </w:r>
      <w:r>
        <w:rPr>
          <w:rFonts w:hint="eastAsia" w:hAnsi="宋体" w:cs="宋体"/>
          <w:b/>
          <w:bCs/>
          <w:color w:val="auto"/>
          <w:sz w:val="21"/>
          <w:szCs w:val="21"/>
          <w:highlight w:val="none"/>
          <w:lang w:val="en-US" w:eastAsia="zh-CN"/>
        </w:rPr>
        <w:t>16</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val="0"/>
          <w:bCs w:val="0"/>
          <w:color w:val="auto"/>
          <w:sz w:val="21"/>
          <w:szCs w:val="21"/>
          <w:highlight w:val="none"/>
          <w:lang w:val="en-US" w:eastAsia="zh-CN"/>
        </w:rPr>
        <w:t>提供的管理方案内容详细、完整且针对性强，充分考虑了招标人采购需求并有利于提升本项目服务质量。人员</w:t>
      </w:r>
      <w:r>
        <w:rPr>
          <w:rFonts w:hint="eastAsia" w:hAnsi="宋体" w:cs="宋体"/>
          <w:b w:val="0"/>
          <w:bCs w:val="0"/>
          <w:color w:val="auto"/>
          <w:sz w:val="21"/>
          <w:szCs w:val="21"/>
          <w:highlight w:val="none"/>
          <w:lang w:val="en-US" w:eastAsia="zh-CN"/>
        </w:rPr>
        <w:t>管理方案(</w:t>
      </w:r>
      <w:r>
        <w:rPr>
          <w:rFonts w:hint="eastAsia" w:ascii="宋体" w:hAnsi="宋体" w:eastAsia="宋体" w:cs="宋体"/>
          <w:b w:val="0"/>
          <w:bCs w:val="0"/>
          <w:color w:val="auto"/>
          <w:sz w:val="21"/>
          <w:szCs w:val="21"/>
          <w:highlight w:val="none"/>
          <w:lang w:val="en-US" w:eastAsia="zh-CN"/>
        </w:rPr>
        <w:t>包含但不限于人员健康情况、人员培训、工作标准、工作服装、岗位制度等）</w:t>
      </w:r>
      <w:r>
        <w:rPr>
          <w:rFonts w:hint="eastAsia" w:hAnsi="宋体" w:cs="宋体"/>
          <w:b w:val="0"/>
          <w:bCs w:val="0"/>
          <w:color w:val="auto"/>
          <w:sz w:val="21"/>
          <w:szCs w:val="21"/>
          <w:highlight w:val="none"/>
          <w:lang w:val="en-US" w:eastAsia="zh-CN"/>
        </w:rPr>
        <w:t>描述详细，条理清晰，针对性强</w:t>
      </w:r>
      <w:r>
        <w:rPr>
          <w:rFonts w:hint="eastAsia" w:ascii="宋体" w:hAnsi="宋体" w:eastAsia="宋体" w:cs="宋体"/>
          <w:b w:val="0"/>
          <w:bCs w:val="0"/>
          <w:color w:val="auto"/>
          <w:sz w:val="21"/>
          <w:szCs w:val="21"/>
          <w:highlight w:val="none"/>
          <w:lang w:val="en-US" w:eastAsia="zh-CN"/>
        </w:rPr>
        <w:t>；</w:t>
      </w:r>
      <w:r>
        <w:rPr>
          <w:rFonts w:hint="eastAsia" w:hAnsi="宋体" w:cs="宋体"/>
          <w:b w:val="0"/>
          <w:bCs w:val="0"/>
          <w:color w:val="auto"/>
          <w:sz w:val="21"/>
          <w:szCs w:val="21"/>
          <w:highlight w:val="none"/>
          <w:lang w:val="en-US" w:eastAsia="zh-CN"/>
        </w:rPr>
        <w:t>进度管理合理可行有效并针对性强；</w:t>
      </w:r>
      <w:r>
        <w:rPr>
          <w:rFonts w:hint="eastAsia" w:ascii="宋体" w:hAnsi="宋体" w:eastAsia="宋体" w:cs="宋体"/>
          <w:b w:val="0"/>
          <w:bCs w:val="0"/>
          <w:color w:val="auto"/>
          <w:sz w:val="21"/>
          <w:szCs w:val="21"/>
          <w:highlight w:val="none"/>
          <w:lang w:val="en-US" w:eastAsia="zh-CN"/>
        </w:rPr>
        <w:t>有具体详细的激励措施促进采伐管理高效运作，用工风险的防范措施、劳务纠纷、突发事件的处置良好；松材线虫病疫木采伐方案</w:t>
      </w:r>
      <w:r>
        <w:rPr>
          <w:rFonts w:hint="eastAsia" w:hAnsi="宋体" w:cs="宋体"/>
          <w:b w:val="0"/>
          <w:bCs w:val="0"/>
          <w:color w:val="auto"/>
          <w:sz w:val="21"/>
          <w:szCs w:val="21"/>
          <w:highlight w:val="none"/>
          <w:lang w:val="en-US" w:eastAsia="zh-CN"/>
        </w:rPr>
        <w:t>、防火安全管理措施、</w:t>
      </w:r>
      <w:r>
        <w:rPr>
          <w:rFonts w:hint="eastAsia" w:ascii="宋体" w:hAnsi="宋体" w:eastAsia="宋体" w:cs="宋体"/>
          <w:color w:val="auto"/>
        </w:rPr>
        <w:t>伐木作业人身安全管理措施</w:t>
      </w:r>
      <w:r>
        <w:rPr>
          <w:rFonts w:hint="eastAsia" w:ascii="宋体" w:hAnsi="宋体" w:eastAsia="宋体" w:cs="宋体"/>
          <w:b w:val="0"/>
          <w:bCs w:val="0"/>
          <w:color w:val="auto"/>
          <w:sz w:val="21"/>
          <w:szCs w:val="21"/>
          <w:highlight w:val="none"/>
          <w:lang w:val="en-US" w:eastAsia="zh-CN"/>
        </w:rPr>
        <w:t>详细、完整</w:t>
      </w:r>
      <w:r>
        <w:rPr>
          <w:rFonts w:hint="eastAsia" w:hAnsi="宋体" w:cs="宋体"/>
          <w:b w:val="0"/>
          <w:bCs w:val="0"/>
          <w:color w:val="auto"/>
          <w:sz w:val="21"/>
          <w:szCs w:val="21"/>
          <w:highlight w:val="none"/>
          <w:lang w:val="en-US" w:eastAsia="zh-CN"/>
        </w:rPr>
        <w:t>针对性强</w:t>
      </w:r>
      <w:r>
        <w:rPr>
          <w:rFonts w:hint="eastAsia" w:ascii="宋体" w:hAnsi="宋体" w:eastAsia="宋体" w:cs="宋体"/>
          <w:b w:val="0"/>
          <w:bCs w:val="0"/>
          <w:color w:val="auto"/>
          <w:sz w:val="21"/>
          <w:szCs w:val="21"/>
          <w:highlight w:val="none"/>
          <w:lang w:val="en-US" w:eastAsia="zh-CN"/>
        </w:rPr>
        <w:t>【包含拟投入本项目实施人员，且内容含采伐计划、人员及时间进度安排、疫木清理烧毁流程、疫木清理方法（手段）、采伐专用设备表（含专用机油锯、高枝锯、</w:t>
      </w:r>
      <w:r>
        <w:rPr>
          <w:rFonts w:hint="eastAsia" w:hAnsi="宋体" w:cs="宋体"/>
          <w:b w:val="0"/>
          <w:bCs w:val="0"/>
          <w:color w:val="auto"/>
          <w:sz w:val="21"/>
          <w:szCs w:val="21"/>
          <w:highlight w:val="none"/>
          <w:lang w:val="en-US" w:eastAsia="zh-CN"/>
        </w:rPr>
        <w:t>风力灭火机、</w:t>
      </w:r>
      <w:r>
        <w:rPr>
          <w:rFonts w:hint="eastAsia" w:ascii="宋体" w:hAnsi="宋体" w:eastAsia="宋体" w:cs="宋体"/>
          <w:b w:val="0"/>
          <w:bCs w:val="0"/>
          <w:color w:val="auto"/>
          <w:sz w:val="21"/>
          <w:szCs w:val="21"/>
          <w:highlight w:val="none"/>
          <w:lang w:val="en-US" w:eastAsia="zh-CN"/>
        </w:rPr>
        <w:t>运输车辆等）、疫木运输计划等】</w:t>
      </w:r>
      <w:r>
        <w:rPr>
          <w:rFonts w:hint="eastAsia"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解决问题的响应时限及出现工作失误的处罚和赔偿承诺等内容。</w:t>
      </w:r>
    </w:p>
    <w:p w14:paraId="11F3509A">
      <w:pPr>
        <w:pStyle w:val="13"/>
        <w:spacing w:line="360" w:lineRule="auto"/>
        <w:rPr>
          <w:rFonts w:hint="eastAsia" w:ascii="宋体" w:hAnsi="宋体" w:eastAsia="宋体" w:cs="宋体"/>
          <w:b/>
          <w:bCs/>
          <w:color w:val="auto"/>
          <w:sz w:val="21"/>
          <w:szCs w:val="21"/>
          <w:highlight w:val="none"/>
          <w:lang w:val="en-US" w:eastAsia="zh-CN"/>
        </w:rPr>
      </w:pPr>
      <w:r>
        <w:rPr>
          <w:rFonts w:hint="eastAsia" w:hAnsi="宋体" w:cs="宋体"/>
          <w:b/>
          <w:bCs/>
          <w:color w:val="auto"/>
          <w:szCs w:val="21"/>
          <w:highlight w:val="none"/>
          <w:lang w:val="en-US" w:eastAsia="zh-CN"/>
        </w:rPr>
        <w:t>（3）</w:t>
      </w:r>
      <w:r>
        <w:rPr>
          <w:rFonts w:hint="eastAsia" w:ascii="宋体" w:hAnsi="宋体" w:eastAsia="宋体" w:cs="宋体"/>
          <w:b/>
          <w:bCs/>
          <w:color w:val="auto"/>
          <w:sz w:val="21"/>
          <w:szCs w:val="21"/>
          <w:highlight w:val="none"/>
          <w:lang w:val="en-US" w:eastAsia="zh-CN"/>
        </w:rPr>
        <w:t>治理方案分</w:t>
      </w:r>
      <w:r>
        <w:rPr>
          <w:rFonts w:hint="eastAsia" w:ascii="宋体" w:hAnsi="宋体" w:eastAsia="宋体" w:cs="宋体"/>
          <w:b/>
          <w:bCs/>
          <w:color w:val="auto"/>
          <w:kern w:val="0"/>
          <w:szCs w:val="21"/>
          <w:highlight w:val="none"/>
        </w:rPr>
        <w:t>…………………………………………………………………………………………满分</w:t>
      </w:r>
      <w:r>
        <w:rPr>
          <w:rFonts w:hint="eastAsia" w:hAnsi="宋体" w:cs="宋体"/>
          <w:b/>
          <w:bCs/>
          <w:color w:val="auto"/>
          <w:kern w:val="0"/>
          <w:szCs w:val="21"/>
          <w:highlight w:val="none"/>
          <w:lang w:val="en-US" w:eastAsia="zh-CN"/>
        </w:rPr>
        <w:t>21</w:t>
      </w:r>
      <w:r>
        <w:rPr>
          <w:rFonts w:hint="eastAsia" w:ascii="宋体" w:hAnsi="宋体" w:eastAsia="宋体" w:cs="宋体"/>
          <w:b/>
          <w:bCs/>
          <w:color w:val="auto"/>
          <w:kern w:val="0"/>
          <w:szCs w:val="21"/>
          <w:highlight w:val="none"/>
        </w:rPr>
        <w:t>分</w:t>
      </w:r>
    </w:p>
    <w:p w14:paraId="3225CE37">
      <w:pPr>
        <w:pStyle w:val="13"/>
        <w:keepNext w:val="0"/>
        <w:keepLines w:val="0"/>
        <w:pageBreakBefore w:val="0"/>
        <w:widowControl w:val="0"/>
        <w:tabs>
          <w:tab w:val="left" w:pos="4214"/>
        </w:tabs>
        <w:kinsoku/>
        <w:wordWrap/>
        <w:overflowPunct/>
        <w:topLinePunct w:val="0"/>
        <w:autoSpaceDE/>
        <w:autoSpaceDN/>
        <w:bidi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由评委在打分前对比各</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针对</w:t>
      </w:r>
      <w:r>
        <w:rPr>
          <w:rFonts w:hint="eastAsia" w:ascii="宋体" w:hAnsi="宋体" w:eastAsia="宋体" w:cs="宋体"/>
          <w:color w:val="auto"/>
          <w:sz w:val="21"/>
          <w:szCs w:val="21"/>
          <w:highlight w:val="none"/>
          <w:lang w:val="en-US" w:eastAsia="zh-CN"/>
        </w:rPr>
        <w:t>本项目</w:t>
      </w:r>
      <w:r>
        <w:rPr>
          <w:rFonts w:hint="eastAsia" w:ascii="宋体" w:hAnsi="宋体" w:eastAsia="宋体" w:cs="宋体"/>
          <w:color w:val="auto"/>
          <w:sz w:val="21"/>
          <w:szCs w:val="21"/>
          <w:highlight w:val="none"/>
        </w:rPr>
        <w:t>伐根治理方案</w:t>
      </w:r>
      <w:r>
        <w:rPr>
          <w:rFonts w:hint="eastAsia" w:ascii="宋体" w:hAnsi="宋体" w:eastAsia="宋体" w:cs="宋体"/>
          <w:color w:val="auto"/>
          <w:sz w:val="21"/>
          <w:szCs w:val="21"/>
          <w:highlight w:val="none"/>
          <w:lang w:eastAsia="zh-CN"/>
        </w:rPr>
        <w:t>（包含但不限于伐根处理流程、保护措施、松材线虫病监测小班化管理方案等）</w:t>
      </w:r>
      <w:r>
        <w:rPr>
          <w:rFonts w:hint="eastAsia" w:ascii="宋体" w:hAnsi="宋体" w:eastAsia="宋体" w:cs="宋体"/>
          <w:color w:val="auto"/>
          <w:sz w:val="21"/>
          <w:szCs w:val="21"/>
          <w:highlight w:val="none"/>
          <w:lang w:val="en-US" w:eastAsia="zh-CN"/>
        </w:rPr>
        <w:t>内容</w:t>
      </w:r>
      <w:r>
        <w:rPr>
          <w:rFonts w:hint="eastAsia" w:ascii="宋体" w:hAnsi="宋体" w:eastAsia="宋体" w:cs="宋体"/>
          <w:color w:val="auto"/>
          <w:sz w:val="21"/>
          <w:szCs w:val="21"/>
          <w:highlight w:val="none"/>
        </w:rPr>
        <w:t>确定各投标人所属档次，然后各评委</w:t>
      </w:r>
      <w:r>
        <w:rPr>
          <w:rFonts w:hint="eastAsia" w:ascii="宋体" w:hAnsi="宋体" w:eastAsia="宋体" w:cs="宋体"/>
          <w:color w:val="auto"/>
          <w:sz w:val="21"/>
          <w:szCs w:val="21"/>
          <w:highlight w:val="none"/>
          <w:lang w:val="en-US" w:eastAsia="zh-CN"/>
        </w:rPr>
        <w:t>根据档次</w:t>
      </w:r>
      <w:r>
        <w:rPr>
          <w:rFonts w:hint="eastAsia" w:ascii="宋体" w:hAnsi="宋体" w:eastAsia="宋体" w:cs="宋体"/>
          <w:color w:val="auto"/>
          <w:sz w:val="21"/>
          <w:szCs w:val="21"/>
          <w:highlight w:val="none"/>
        </w:rPr>
        <w:t>独立打分：</w:t>
      </w:r>
    </w:p>
    <w:p w14:paraId="6D5F6CB7">
      <w:pPr>
        <w:pStyle w:val="13"/>
        <w:keepNext w:val="0"/>
        <w:keepLines w:val="0"/>
        <w:pageBreakBefore w:val="0"/>
        <w:widowControl w:val="0"/>
        <w:kinsoku/>
        <w:wordWrap/>
        <w:overflowPunct/>
        <w:topLinePunct w:val="0"/>
        <w:autoSpaceDE/>
        <w:autoSpaceDN/>
        <w:bidi w:val="0"/>
        <w:snapToGrid/>
        <w:spacing w:line="360" w:lineRule="auto"/>
        <w:ind w:firstLine="538" w:firstLineChars="255"/>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一档（</w:t>
      </w:r>
      <w:r>
        <w:rPr>
          <w:rFonts w:hint="eastAsia"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val="0"/>
          <w:bCs w:val="0"/>
          <w:color w:val="auto"/>
          <w:sz w:val="21"/>
          <w:szCs w:val="21"/>
          <w:highlight w:val="none"/>
          <w:lang w:val="en-US" w:eastAsia="zh-CN"/>
        </w:rPr>
        <w:t>提供的</w:t>
      </w:r>
      <w:r>
        <w:rPr>
          <w:rFonts w:hint="eastAsia" w:ascii="宋体" w:hAnsi="宋体" w:eastAsia="宋体" w:cs="宋体"/>
          <w:b w:val="0"/>
          <w:bCs w:val="0"/>
          <w:color w:val="auto"/>
          <w:sz w:val="21"/>
          <w:szCs w:val="21"/>
          <w:highlight w:val="none"/>
        </w:rPr>
        <w:t>伐根治理方案</w:t>
      </w:r>
      <w:r>
        <w:rPr>
          <w:rFonts w:hint="eastAsia" w:ascii="宋体" w:hAnsi="宋体" w:eastAsia="宋体" w:cs="宋体"/>
          <w:b w:val="0"/>
          <w:bCs w:val="0"/>
          <w:color w:val="auto"/>
          <w:sz w:val="21"/>
          <w:szCs w:val="21"/>
          <w:highlight w:val="none"/>
          <w:lang w:val="en-US" w:eastAsia="zh-CN"/>
        </w:rPr>
        <w:t>简单。</w:t>
      </w:r>
    </w:p>
    <w:p w14:paraId="717C749B">
      <w:pPr>
        <w:pStyle w:val="13"/>
        <w:keepNext w:val="0"/>
        <w:keepLines w:val="0"/>
        <w:pageBreakBefore w:val="0"/>
        <w:widowControl w:val="0"/>
        <w:kinsoku/>
        <w:wordWrap/>
        <w:overflowPunct/>
        <w:topLinePunct w:val="0"/>
        <w:autoSpaceDE/>
        <w:autoSpaceDN/>
        <w:bidi w:val="0"/>
        <w:snapToGrid/>
        <w:spacing w:line="360" w:lineRule="auto"/>
        <w:ind w:firstLine="538" w:firstLineChars="255"/>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bCs/>
          <w:color w:val="auto"/>
          <w:sz w:val="21"/>
          <w:szCs w:val="21"/>
          <w:highlight w:val="none"/>
          <w:lang w:val="en-US" w:eastAsia="zh-CN"/>
        </w:rPr>
        <w:t>二档（</w:t>
      </w:r>
      <w:r>
        <w:rPr>
          <w:rFonts w:hint="eastAsia" w:hAnsi="宋体" w:cs="宋体"/>
          <w:b/>
          <w:bCs/>
          <w:color w:val="auto"/>
          <w:sz w:val="21"/>
          <w:szCs w:val="21"/>
          <w:highlight w:val="none"/>
          <w:lang w:val="en-US" w:eastAsia="zh-CN"/>
        </w:rPr>
        <w:t>14</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val="0"/>
          <w:bCs w:val="0"/>
          <w:color w:val="auto"/>
          <w:sz w:val="21"/>
          <w:szCs w:val="21"/>
          <w:highlight w:val="none"/>
          <w:lang w:val="en-US" w:eastAsia="zh-CN"/>
        </w:rPr>
        <w:t>提供的</w:t>
      </w:r>
      <w:r>
        <w:rPr>
          <w:rFonts w:hint="eastAsia" w:ascii="宋体" w:hAnsi="宋体" w:eastAsia="宋体" w:cs="宋体"/>
          <w:b w:val="0"/>
          <w:bCs w:val="0"/>
          <w:color w:val="auto"/>
          <w:sz w:val="21"/>
          <w:szCs w:val="21"/>
          <w:highlight w:val="none"/>
        </w:rPr>
        <w:t>伐根治理方案详细、完整的伐根治理方案，内容含伐根处理流程、保护措施</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color w:val="auto"/>
          <w:sz w:val="21"/>
          <w:szCs w:val="21"/>
          <w:highlight w:val="none"/>
          <w:lang w:eastAsia="zh-CN"/>
        </w:rPr>
        <w:t>松材线虫病监测小班化管理方案</w:t>
      </w:r>
      <w:r>
        <w:rPr>
          <w:rFonts w:hint="eastAsia" w:ascii="宋体" w:hAnsi="宋体" w:eastAsia="宋体" w:cs="宋体"/>
          <w:b w:val="0"/>
          <w:bCs w:val="0"/>
          <w:color w:val="auto"/>
          <w:sz w:val="21"/>
          <w:szCs w:val="21"/>
          <w:highlight w:val="none"/>
        </w:rPr>
        <w:t>等，且方案基本合理、可行的</w:t>
      </w:r>
      <w:r>
        <w:rPr>
          <w:rFonts w:hint="eastAsia" w:ascii="宋体" w:hAnsi="宋体" w:eastAsia="宋体" w:cs="宋体"/>
          <w:b w:val="0"/>
          <w:bCs w:val="0"/>
          <w:color w:val="auto"/>
          <w:sz w:val="21"/>
          <w:szCs w:val="21"/>
          <w:highlight w:val="none"/>
          <w:lang w:eastAsia="zh-CN"/>
        </w:rPr>
        <w:t>。</w:t>
      </w:r>
    </w:p>
    <w:p w14:paraId="3372780A">
      <w:pPr>
        <w:pStyle w:val="13"/>
        <w:keepNext w:val="0"/>
        <w:keepLines w:val="0"/>
        <w:pageBreakBefore w:val="0"/>
        <w:widowControl w:val="0"/>
        <w:kinsoku/>
        <w:wordWrap/>
        <w:overflowPunct/>
        <w:topLinePunct w:val="0"/>
        <w:autoSpaceDE/>
        <w:autoSpaceDN/>
        <w:bidi w:val="0"/>
        <w:snapToGrid/>
        <w:spacing w:line="360" w:lineRule="auto"/>
        <w:ind w:firstLine="538" w:firstLineChars="255"/>
        <w:textAlignment w:val="auto"/>
        <w:rPr>
          <w:rFonts w:hint="eastAsia" w:ascii="宋体" w:hAnsi="宋体" w:eastAsia="宋体" w:cs="宋体"/>
          <w:b/>
          <w:bCs/>
          <w:color w:val="auto"/>
          <w:szCs w:val="21"/>
          <w:lang w:val="en-US" w:eastAsia="zh-CN"/>
        </w:rPr>
      </w:pPr>
      <w:r>
        <w:rPr>
          <w:rFonts w:hint="eastAsia" w:ascii="宋体" w:hAnsi="宋体" w:eastAsia="宋体" w:cs="宋体"/>
          <w:b/>
          <w:bCs/>
          <w:color w:val="auto"/>
          <w:sz w:val="21"/>
          <w:szCs w:val="21"/>
          <w:highlight w:val="none"/>
          <w:lang w:val="en-US" w:eastAsia="zh-CN"/>
        </w:rPr>
        <w:t>三档（</w:t>
      </w:r>
      <w:r>
        <w:rPr>
          <w:rFonts w:hint="eastAsia" w:hAnsi="宋体" w:cs="宋体"/>
          <w:b/>
          <w:bCs/>
          <w:color w:val="auto"/>
          <w:sz w:val="21"/>
          <w:szCs w:val="21"/>
          <w:highlight w:val="none"/>
          <w:lang w:val="en-US" w:eastAsia="zh-CN"/>
        </w:rPr>
        <w:t>21</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val="0"/>
          <w:bCs w:val="0"/>
          <w:color w:val="auto"/>
          <w:sz w:val="21"/>
          <w:szCs w:val="21"/>
          <w:highlight w:val="none"/>
          <w:lang w:val="en-US" w:eastAsia="zh-CN"/>
        </w:rPr>
        <w:t>提供的</w:t>
      </w:r>
      <w:r>
        <w:rPr>
          <w:rFonts w:hint="eastAsia" w:ascii="宋体" w:hAnsi="宋体" w:eastAsia="宋体" w:cs="宋体"/>
          <w:b w:val="0"/>
          <w:bCs w:val="0"/>
          <w:color w:val="auto"/>
          <w:sz w:val="21"/>
          <w:szCs w:val="21"/>
          <w:highlight w:val="none"/>
        </w:rPr>
        <w:t>伐根治理方案</w:t>
      </w:r>
      <w:r>
        <w:rPr>
          <w:rFonts w:hint="eastAsia" w:ascii="宋体" w:hAnsi="宋体" w:eastAsia="宋体" w:cs="宋体"/>
          <w:b w:val="0"/>
          <w:bCs w:val="0"/>
          <w:color w:val="auto"/>
          <w:sz w:val="21"/>
          <w:szCs w:val="21"/>
          <w:highlight w:val="none"/>
          <w:lang w:val="en-US" w:eastAsia="zh-CN"/>
        </w:rPr>
        <w:t>更</w:t>
      </w:r>
      <w:r>
        <w:rPr>
          <w:rFonts w:hint="eastAsia" w:ascii="宋体" w:hAnsi="宋体" w:eastAsia="宋体" w:cs="宋体"/>
          <w:b w:val="0"/>
          <w:bCs w:val="0"/>
          <w:color w:val="auto"/>
          <w:sz w:val="21"/>
          <w:szCs w:val="21"/>
          <w:highlight w:val="none"/>
        </w:rPr>
        <w:t>详细、完整的伐根治理方案，内容含伐根喷药处理流程、</w:t>
      </w:r>
      <w:r>
        <w:rPr>
          <w:rFonts w:hint="eastAsia" w:ascii="宋体" w:hAnsi="宋体" w:eastAsia="宋体" w:cs="宋体"/>
          <w:b w:val="0"/>
          <w:bCs w:val="0"/>
          <w:color w:val="auto"/>
          <w:sz w:val="21"/>
          <w:szCs w:val="21"/>
          <w:highlight w:val="none"/>
          <w:lang w:val="en-US" w:eastAsia="zh-CN"/>
        </w:rPr>
        <w:t>保护措施、</w:t>
      </w:r>
      <w:r>
        <w:rPr>
          <w:rFonts w:hint="eastAsia" w:ascii="宋体" w:hAnsi="宋体" w:eastAsia="宋体" w:cs="宋体"/>
          <w:color w:val="auto"/>
          <w:sz w:val="21"/>
          <w:szCs w:val="21"/>
          <w:highlight w:val="none"/>
          <w:lang w:eastAsia="zh-CN"/>
        </w:rPr>
        <w:t>松材线虫病监测小班化管理方案</w:t>
      </w:r>
      <w:r>
        <w:rPr>
          <w:rFonts w:hint="eastAsia" w:ascii="宋体" w:hAnsi="宋体" w:eastAsia="宋体" w:cs="宋体"/>
          <w:color w:val="auto"/>
          <w:sz w:val="21"/>
          <w:szCs w:val="21"/>
          <w:highlight w:val="none"/>
          <w:lang w:val="en-US" w:eastAsia="zh-CN"/>
        </w:rPr>
        <w:t>等，</w:t>
      </w:r>
      <w:r>
        <w:rPr>
          <w:rFonts w:hint="eastAsia" w:ascii="宋体" w:hAnsi="宋体" w:eastAsia="宋体" w:cs="宋体"/>
          <w:b w:val="0"/>
          <w:bCs w:val="0"/>
          <w:color w:val="auto"/>
          <w:sz w:val="21"/>
          <w:szCs w:val="21"/>
          <w:highlight w:val="none"/>
        </w:rPr>
        <w:t>根据不同的松材线虫病疫情况定制出不同的解决分析方案、有效的保护措施等，且方案具有合理性、科学性、针对性</w:t>
      </w:r>
      <w:r>
        <w:rPr>
          <w:rFonts w:hint="eastAsia" w:ascii="宋体" w:hAnsi="宋体" w:eastAsia="宋体" w:cs="宋体"/>
          <w:b w:val="0"/>
          <w:bCs w:val="0"/>
          <w:color w:val="auto"/>
          <w:sz w:val="21"/>
          <w:szCs w:val="21"/>
          <w:highlight w:val="none"/>
          <w:lang w:val="en-US" w:eastAsia="zh-CN"/>
        </w:rPr>
        <w:t>强</w:t>
      </w:r>
      <w:r>
        <w:rPr>
          <w:rFonts w:hint="eastAsia" w:ascii="宋体" w:hAnsi="宋体" w:eastAsia="宋体" w:cs="宋体"/>
          <w:b w:val="0"/>
          <w:bCs w:val="0"/>
          <w:color w:val="auto"/>
          <w:sz w:val="21"/>
          <w:szCs w:val="21"/>
          <w:highlight w:val="none"/>
        </w:rPr>
        <w:t>、规范性的，</w:t>
      </w:r>
      <w:r>
        <w:rPr>
          <w:rFonts w:hint="eastAsia" w:ascii="宋体" w:hAnsi="宋体" w:eastAsia="宋体" w:cs="宋体"/>
          <w:b w:val="0"/>
          <w:bCs w:val="0"/>
          <w:color w:val="auto"/>
          <w:sz w:val="21"/>
          <w:szCs w:val="21"/>
          <w:highlight w:val="none"/>
          <w:lang w:val="en-US" w:eastAsia="zh-CN"/>
        </w:rPr>
        <w:t>完全可行。</w:t>
      </w:r>
    </w:p>
    <w:p w14:paraId="4B7B13B7">
      <w:pPr>
        <w:pStyle w:val="13"/>
        <w:spacing w:line="360" w:lineRule="auto"/>
        <w:rPr>
          <w:rFonts w:hint="eastAsia" w:ascii="宋体" w:hAnsi="宋体" w:eastAsia="宋体" w:cs="宋体"/>
          <w:color w:val="auto"/>
          <w:sz w:val="21"/>
          <w:szCs w:val="21"/>
          <w:highlight w:val="none"/>
          <w:lang w:val="en-US" w:eastAsia="zh-CN"/>
        </w:rPr>
      </w:pPr>
      <w:r>
        <w:rPr>
          <w:rFonts w:hint="eastAsia" w:hAnsi="宋体" w:cs="宋体"/>
          <w:b/>
          <w:bCs/>
          <w:color w:val="auto"/>
          <w:szCs w:val="21"/>
          <w:lang w:val="en-US" w:eastAsia="zh-CN"/>
        </w:rPr>
        <w:t>（4）</w:t>
      </w:r>
      <w:r>
        <w:rPr>
          <w:rFonts w:hint="eastAsia" w:ascii="宋体" w:hAnsi="宋体" w:eastAsia="宋体" w:cs="宋体"/>
          <w:b/>
          <w:bCs/>
          <w:color w:val="auto"/>
          <w:sz w:val="21"/>
          <w:szCs w:val="21"/>
          <w:highlight w:val="none"/>
          <w:lang w:val="en-US" w:eastAsia="zh-CN"/>
        </w:rPr>
        <w:t>重点、难点及解决方案分</w:t>
      </w:r>
      <w:r>
        <w:rPr>
          <w:rFonts w:hint="eastAsia" w:ascii="宋体" w:hAnsi="宋体" w:eastAsia="宋体" w:cs="宋体"/>
          <w:b/>
          <w:bCs/>
          <w:color w:val="auto"/>
          <w:sz w:val="21"/>
          <w:szCs w:val="21"/>
          <w:highlight w:val="none"/>
        </w:rPr>
        <w:t>…………………………………………………………………………</w:t>
      </w:r>
      <w:r>
        <w:rPr>
          <w:rFonts w:hint="eastAsia" w:ascii="宋体" w:hAnsi="宋体" w:eastAsia="宋体" w:cs="宋体"/>
          <w:b/>
          <w:bCs/>
          <w:color w:val="auto"/>
          <w:kern w:val="0"/>
          <w:szCs w:val="21"/>
        </w:rPr>
        <w:t>满分</w:t>
      </w:r>
      <w:r>
        <w:rPr>
          <w:rFonts w:hint="eastAsia" w:hAnsi="宋体" w:cs="宋体"/>
          <w:b/>
          <w:bCs/>
          <w:color w:val="auto"/>
          <w:kern w:val="0"/>
          <w:szCs w:val="21"/>
          <w:lang w:val="en-US" w:eastAsia="zh-CN"/>
        </w:rPr>
        <w:t>9</w:t>
      </w:r>
      <w:r>
        <w:rPr>
          <w:rFonts w:hint="eastAsia" w:ascii="宋体" w:hAnsi="宋体" w:eastAsia="宋体" w:cs="宋体"/>
          <w:b/>
          <w:bCs/>
          <w:color w:val="auto"/>
          <w:sz w:val="21"/>
          <w:szCs w:val="21"/>
          <w:highlight w:val="none"/>
        </w:rPr>
        <w:t>分</w:t>
      </w:r>
    </w:p>
    <w:p w14:paraId="0A5360D1">
      <w:pPr>
        <w:pStyle w:val="13"/>
        <w:spacing w:line="360" w:lineRule="auto"/>
        <w:ind w:firstLine="630" w:firstLineChars="300"/>
        <w:rPr>
          <w:rFonts w:hint="eastAsia" w:ascii="宋体" w:hAnsi="宋体" w:eastAsia="宋体" w:cs="宋体"/>
          <w:color w:val="auto"/>
        </w:rPr>
      </w:pPr>
      <w:r>
        <w:rPr>
          <w:rFonts w:hint="eastAsia" w:ascii="宋体" w:hAnsi="宋体" w:eastAsia="宋体" w:cs="宋体"/>
          <w:color w:val="auto"/>
          <w:highlight w:val="none"/>
        </w:rPr>
        <w:t>由评委在打分前</w:t>
      </w:r>
      <w:r>
        <w:rPr>
          <w:rFonts w:hint="eastAsia" w:ascii="宋体" w:hAnsi="宋体" w:eastAsia="宋体" w:cs="宋体"/>
          <w:color w:val="auto"/>
        </w:rPr>
        <w:t>根据</w:t>
      </w:r>
      <w:r>
        <w:rPr>
          <w:rFonts w:hint="eastAsia" w:ascii="宋体" w:hAnsi="宋体" w:eastAsia="宋体" w:cs="宋体"/>
          <w:color w:val="auto"/>
          <w:lang w:eastAsia="zh-CN"/>
        </w:rPr>
        <w:t>招标</w:t>
      </w:r>
      <w:r>
        <w:rPr>
          <w:rFonts w:hint="eastAsia" w:ascii="宋体" w:hAnsi="宋体" w:eastAsia="宋体" w:cs="宋体"/>
          <w:color w:val="auto"/>
        </w:rPr>
        <w:t>文件</w:t>
      </w:r>
      <w:r>
        <w:rPr>
          <w:rFonts w:hint="eastAsia" w:ascii="宋体" w:hAnsi="宋体" w:eastAsia="宋体" w:cs="宋体"/>
          <w:color w:val="auto"/>
          <w:lang w:eastAsia="zh-CN"/>
        </w:rPr>
        <w:t>项目</w:t>
      </w:r>
      <w:r>
        <w:rPr>
          <w:rFonts w:hint="eastAsia" w:ascii="宋体" w:hAnsi="宋体" w:eastAsia="宋体" w:cs="宋体"/>
          <w:color w:val="auto"/>
        </w:rPr>
        <w:t>要求，</w:t>
      </w:r>
      <w:r>
        <w:rPr>
          <w:rFonts w:hint="eastAsia" w:ascii="宋体" w:hAnsi="宋体" w:eastAsia="宋体" w:cs="宋体"/>
          <w:color w:val="auto"/>
          <w:lang w:eastAsia="zh-CN"/>
        </w:rPr>
        <w:t>对</w:t>
      </w:r>
      <w:r>
        <w:rPr>
          <w:rFonts w:hint="eastAsia" w:ascii="宋体" w:hAnsi="宋体" w:eastAsia="宋体" w:cs="宋体"/>
          <w:color w:val="auto"/>
        </w:rPr>
        <w:t>各</w:t>
      </w:r>
      <w:r>
        <w:rPr>
          <w:rFonts w:hint="eastAsia" w:ascii="宋体" w:hAnsi="宋体" w:eastAsia="宋体" w:cs="宋体"/>
          <w:color w:val="auto"/>
          <w:lang w:eastAsia="zh-CN"/>
        </w:rPr>
        <w:t>投标</w:t>
      </w:r>
      <w:r>
        <w:rPr>
          <w:rFonts w:hint="eastAsia" w:ascii="宋体" w:hAnsi="宋体" w:eastAsia="宋体" w:cs="宋体"/>
          <w:color w:val="auto"/>
        </w:rPr>
        <w:t>文件</w:t>
      </w:r>
      <w:r>
        <w:rPr>
          <w:rFonts w:hint="eastAsia" w:ascii="宋体" w:hAnsi="宋体" w:eastAsia="宋体" w:cs="宋体"/>
          <w:color w:val="auto"/>
          <w:lang w:val="en-US" w:eastAsia="zh-CN"/>
        </w:rPr>
        <w:t>重点、难点解决方案</w:t>
      </w:r>
      <w:r>
        <w:rPr>
          <w:rFonts w:hint="eastAsia" w:ascii="宋体" w:hAnsi="宋体" w:eastAsia="宋体" w:cs="宋体"/>
          <w:bCs/>
          <w:color w:val="auto"/>
        </w:rPr>
        <w:t>内容响应情况</w:t>
      </w:r>
      <w:r>
        <w:rPr>
          <w:rFonts w:hint="eastAsia" w:ascii="宋体" w:hAnsi="宋体" w:eastAsia="宋体" w:cs="宋体"/>
          <w:color w:val="auto"/>
        </w:rPr>
        <w:t>由评委</w:t>
      </w:r>
      <w:r>
        <w:rPr>
          <w:rFonts w:hint="eastAsia" w:ascii="宋体" w:hAnsi="宋体" w:eastAsia="宋体" w:cs="宋体"/>
          <w:color w:val="auto"/>
          <w:lang w:eastAsia="zh-CN"/>
        </w:rPr>
        <w:t>依据档次</w:t>
      </w:r>
      <w:r>
        <w:rPr>
          <w:rFonts w:hint="eastAsia" w:ascii="宋体" w:hAnsi="宋体" w:eastAsia="宋体" w:cs="宋体"/>
          <w:color w:val="auto"/>
        </w:rPr>
        <w:t>说明内容</w:t>
      </w:r>
      <w:r>
        <w:rPr>
          <w:rFonts w:hint="eastAsia" w:ascii="宋体" w:hAnsi="宋体" w:eastAsia="宋体" w:cs="宋体"/>
          <w:color w:val="auto"/>
          <w:lang w:eastAsia="zh-CN"/>
        </w:rPr>
        <w:t>及招标文件项目</w:t>
      </w:r>
      <w:r>
        <w:rPr>
          <w:rFonts w:hint="eastAsia" w:ascii="宋体" w:hAnsi="宋体" w:eastAsia="宋体" w:cs="宋体"/>
          <w:color w:val="auto"/>
        </w:rPr>
        <w:t>要求，</w:t>
      </w:r>
      <w:r>
        <w:rPr>
          <w:rFonts w:hint="eastAsia" w:ascii="宋体" w:hAnsi="宋体" w:eastAsia="宋体" w:cs="宋体"/>
          <w:color w:val="auto"/>
          <w:lang w:eastAsia="zh-CN"/>
        </w:rPr>
        <w:t>独立</w:t>
      </w:r>
      <w:r>
        <w:rPr>
          <w:rFonts w:hint="eastAsia" w:ascii="宋体" w:hAnsi="宋体" w:eastAsia="宋体" w:cs="宋体"/>
          <w:color w:val="auto"/>
        </w:rPr>
        <w:t>打分。</w:t>
      </w:r>
    </w:p>
    <w:p w14:paraId="4E3C490A">
      <w:pPr>
        <w:pStyle w:val="13"/>
        <w:keepNext w:val="0"/>
        <w:keepLines w:val="0"/>
        <w:pageBreakBefore w:val="0"/>
        <w:widowControl w:val="0"/>
        <w:kinsoku/>
        <w:wordWrap/>
        <w:overflowPunct/>
        <w:topLinePunct w:val="0"/>
        <w:autoSpaceDE/>
        <w:autoSpaceDN/>
        <w:bidi w:val="0"/>
        <w:adjustRightInd/>
        <w:snapToGrid/>
        <w:spacing w:line="360" w:lineRule="auto"/>
        <w:ind w:firstLine="632" w:firstLineChars="3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 xml:space="preserve">一档（ </w:t>
      </w:r>
      <w:r>
        <w:rPr>
          <w:rFonts w:hint="eastAsia"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val="en-US" w:eastAsia="zh-CN"/>
        </w:rPr>
        <w:t xml:space="preserve"> 分）：</w:t>
      </w: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eastAsia="zh-CN"/>
        </w:rPr>
        <w:t>的方案</w:t>
      </w:r>
      <w:r>
        <w:rPr>
          <w:rFonts w:hint="eastAsia" w:ascii="宋体" w:hAnsi="宋体" w:eastAsia="宋体" w:cs="宋体"/>
          <w:color w:val="auto"/>
          <w:sz w:val="21"/>
          <w:szCs w:val="21"/>
          <w:highlight w:val="none"/>
        </w:rPr>
        <w:t>内容</w:t>
      </w:r>
      <w:r>
        <w:rPr>
          <w:rFonts w:hint="eastAsia" w:ascii="宋体" w:hAnsi="宋体" w:eastAsia="宋体" w:cs="宋体"/>
          <w:color w:val="auto"/>
          <w:sz w:val="21"/>
          <w:szCs w:val="21"/>
          <w:highlight w:val="none"/>
          <w:lang w:val="en-US" w:eastAsia="zh-CN"/>
        </w:rPr>
        <w:t>简单，对项目的重点、难点问题阐述简单，未提供解决措施</w:t>
      </w:r>
      <w:r>
        <w:rPr>
          <w:rFonts w:hint="eastAsia" w:ascii="宋体" w:hAnsi="宋体" w:eastAsia="宋体" w:cs="宋体"/>
          <w:color w:val="auto"/>
          <w:sz w:val="21"/>
          <w:szCs w:val="21"/>
          <w:highlight w:val="none"/>
        </w:rPr>
        <w:t>。</w:t>
      </w:r>
    </w:p>
    <w:p w14:paraId="19C7CEFB">
      <w:pPr>
        <w:pStyle w:val="13"/>
        <w:keepNext w:val="0"/>
        <w:keepLines w:val="0"/>
        <w:pageBreakBefore w:val="0"/>
        <w:widowControl w:val="0"/>
        <w:kinsoku/>
        <w:wordWrap/>
        <w:overflowPunct/>
        <w:topLinePunct w:val="0"/>
        <w:autoSpaceDE/>
        <w:autoSpaceDN/>
        <w:bidi w:val="0"/>
        <w:adjustRightInd/>
        <w:snapToGrid/>
        <w:spacing w:line="360" w:lineRule="auto"/>
        <w:ind w:firstLine="632" w:firstLineChars="3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val="en-US" w:eastAsia="zh-CN"/>
        </w:rPr>
        <w:t xml:space="preserve">二档（ </w:t>
      </w:r>
      <w:r>
        <w:rPr>
          <w:rFonts w:hint="eastAsia"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 xml:space="preserve"> 分）：</w:t>
      </w:r>
      <w:r>
        <w:rPr>
          <w:rFonts w:hint="eastAsia" w:ascii="宋体" w:hAnsi="宋体" w:eastAsia="宋体" w:cs="宋体"/>
          <w:color w:val="auto"/>
          <w:sz w:val="21"/>
          <w:szCs w:val="21"/>
          <w:highlight w:val="none"/>
          <w:lang w:val="en-US" w:eastAsia="zh-CN"/>
        </w:rPr>
        <w:t>提供的方案内容详细</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对项目的重点、难点问题阐述详细但不够准确、全面</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提供有解决措施</w:t>
      </w:r>
      <w:r>
        <w:rPr>
          <w:rFonts w:hint="eastAsia" w:ascii="宋体" w:hAnsi="宋体" w:eastAsia="宋体" w:cs="宋体"/>
          <w:color w:val="auto"/>
          <w:sz w:val="21"/>
          <w:szCs w:val="21"/>
          <w:highlight w:val="none"/>
          <w:lang w:eastAsia="zh-CN"/>
        </w:rPr>
        <w:t>。</w:t>
      </w:r>
    </w:p>
    <w:p w14:paraId="5218473D">
      <w:pPr>
        <w:pStyle w:val="13"/>
        <w:keepNext w:val="0"/>
        <w:keepLines w:val="0"/>
        <w:pageBreakBefore w:val="0"/>
        <w:widowControl w:val="0"/>
        <w:kinsoku/>
        <w:wordWrap/>
        <w:overflowPunct/>
        <w:topLinePunct w:val="0"/>
        <w:autoSpaceDE/>
        <w:autoSpaceDN/>
        <w:bidi w:val="0"/>
        <w:adjustRightInd/>
        <w:snapToGrid/>
        <w:spacing w:line="360" w:lineRule="auto"/>
        <w:ind w:firstLine="632" w:firstLineChars="3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 xml:space="preserve">三档（ </w:t>
      </w:r>
      <w:r>
        <w:rPr>
          <w:rFonts w:hint="eastAsia"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val="en-US" w:eastAsia="zh-CN"/>
        </w:rPr>
        <w:t xml:space="preserve"> 分）：</w:t>
      </w:r>
      <w:r>
        <w:rPr>
          <w:rFonts w:hint="eastAsia" w:ascii="宋体" w:hAnsi="宋体" w:eastAsia="宋体" w:cs="宋体"/>
          <w:color w:val="auto"/>
          <w:sz w:val="21"/>
          <w:szCs w:val="21"/>
          <w:highlight w:val="none"/>
          <w:lang w:val="en-US" w:eastAsia="zh-CN"/>
        </w:rPr>
        <w:t>提供的方案</w:t>
      </w:r>
      <w:r>
        <w:rPr>
          <w:rFonts w:hint="eastAsia" w:ascii="宋体" w:hAnsi="宋体" w:eastAsia="宋体" w:cs="宋体"/>
          <w:color w:val="auto"/>
          <w:sz w:val="21"/>
          <w:szCs w:val="21"/>
          <w:highlight w:val="none"/>
        </w:rPr>
        <w:t>内容</w:t>
      </w:r>
      <w:r>
        <w:rPr>
          <w:rFonts w:hint="eastAsia" w:ascii="宋体" w:hAnsi="宋体" w:eastAsia="宋体" w:cs="宋体"/>
          <w:color w:val="auto"/>
          <w:sz w:val="21"/>
          <w:szCs w:val="21"/>
          <w:highlight w:val="none"/>
          <w:lang w:eastAsia="zh-CN"/>
        </w:rPr>
        <w:t>详细完整，对项目</w:t>
      </w:r>
      <w:r>
        <w:rPr>
          <w:rFonts w:hint="eastAsia" w:ascii="宋体" w:hAnsi="宋体" w:eastAsia="宋体" w:cs="宋体"/>
          <w:color w:val="auto"/>
          <w:sz w:val="21"/>
          <w:szCs w:val="21"/>
          <w:highlight w:val="none"/>
          <w:lang w:val="en-US" w:eastAsia="zh-CN"/>
        </w:rPr>
        <w:t>项目的重点、难点问题阐述完善、准确、全面</w:t>
      </w:r>
      <w:r>
        <w:rPr>
          <w:rFonts w:hint="eastAsia" w:ascii="宋体" w:hAnsi="宋体" w:eastAsia="宋体" w:cs="宋体"/>
          <w:color w:val="auto"/>
          <w:sz w:val="21"/>
          <w:szCs w:val="21"/>
          <w:highlight w:val="none"/>
          <w:lang w:eastAsia="zh-CN"/>
        </w:rPr>
        <w:t>，提供有完善的、具有针对性的解决措施。</w:t>
      </w:r>
    </w:p>
    <w:p w14:paraId="4FB763A5">
      <w:pPr>
        <w:pStyle w:val="13"/>
        <w:spacing w:line="360" w:lineRule="auto"/>
        <w:rPr>
          <w:rFonts w:hint="eastAsia" w:ascii="宋体" w:hAnsi="宋体" w:eastAsia="宋体" w:cs="宋体"/>
          <w:b/>
          <w:bCs/>
          <w:color w:val="auto"/>
          <w:szCs w:val="21"/>
          <w:highlight w:val="none"/>
          <w:lang w:val="en-US" w:eastAsia="zh-CN"/>
        </w:rPr>
      </w:pPr>
      <w:r>
        <w:rPr>
          <w:rFonts w:hint="eastAsia" w:hAnsi="宋体" w:cs="宋体"/>
          <w:b/>
          <w:bCs/>
          <w:color w:val="auto"/>
          <w:szCs w:val="21"/>
          <w:highlight w:val="none"/>
          <w:lang w:val="en-US" w:eastAsia="zh-CN"/>
        </w:rPr>
        <w:t>3</w:t>
      </w:r>
      <w:r>
        <w:rPr>
          <w:rFonts w:hint="eastAsia" w:ascii="宋体" w:hAnsi="宋体" w:eastAsia="宋体" w:cs="宋体"/>
          <w:b/>
          <w:bCs/>
          <w:color w:val="auto"/>
          <w:szCs w:val="21"/>
          <w:highlight w:val="none"/>
          <w:lang w:val="en-US" w:eastAsia="zh-CN"/>
        </w:rPr>
        <w:t>、履约能力分…………………………………………………………………………………………满分</w:t>
      </w:r>
      <w:r>
        <w:rPr>
          <w:rFonts w:hint="eastAsia" w:hAnsi="宋体" w:cs="宋体"/>
          <w:b/>
          <w:bCs/>
          <w:color w:val="auto"/>
          <w:szCs w:val="21"/>
          <w:highlight w:val="none"/>
          <w:lang w:val="en-US" w:eastAsia="zh-CN"/>
        </w:rPr>
        <w:t>15</w:t>
      </w:r>
      <w:r>
        <w:rPr>
          <w:rFonts w:hint="eastAsia" w:ascii="宋体" w:hAnsi="宋体" w:eastAsia="宋体" w:cs="宋体"/>
          <w:b/>
          <w:bCs/>
          <w:color w:val="auto"/>
          <w:szCs w:val="21"/>
          <w:highlight w:val="none"/>
          <w:lang w:val="en-US" w:eastAsia="zh-CN"/>
        </w:rPr>
        <w:t>分</w:t>
      </w:r>
    </w:p>
    <w:p w14:paraId="79565BF1">
      <w:pPr>
        <w:pStyle w:val="13"/>
        <w:spacing w:line="360" w:lineRule="auto"/>
        <w:ind w:firstLine="210" w:firstLineChars="100"/>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（1）拟投入本项目的项目经理具有中级及以上职称的得2分，具有初级职称的得1分。满分2分</w:t>
      </w:r>
    </w:p>
    <w:p w14:paraId="3BF13148">
      <w:pPr>
        <w:pStyle w:val="13"/>
        <w:spacing w:line="360" w:lineRule="auto"/>
        <w:ind w:firstLine="210" w:firstLineChars="100"/>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（2）投标人拟投入本项目的项目实施人员（项目经理除外）具有中级及以上职称的，每提供一个，得1分，具有初级职称的，每提供一个得0.5分。满分</w:t>
      </w:r>
      <w:r>
        <w:rPr>
          <w:rFonts w:hint="eastAsia" w:hAnsi="宋体" w:cs="宋体"/>
          <w:b w:val="0"/>
          <w:bCs w:val="0"/>
          <w:color w:val="auto"/>
          <w:szCs w:val="21"/>
          <w:highlight w:val="none"/>
          <w:lang w:val="en-US" w:eastAsia="zh-CN"/>
        </w:rPr>
        <w:t>5</w:t>
      </w:r>
      <w:r>
        <w:rPr>
          <w:rFonts w:hint="eastAsia" w:ascii="宋体" w:hAnsi="宋体" w:eastAsia="宋体" w:cs="宋体"/>
          <w:b w:val="0"/>
          <w:bCs w:val="0"/>
          <w:color w:val="auto"/>
          <w:szCs w:val="21"/>
          <w:highlight w:val="none"/>
          <w:lang w:val="en-US" w:eastAsia="zh-CN"/>
        </w:rPr>
        <w:t>分</w:t>
      </w:r>
    </w:p>
    <w:p w14:paraId="11AE7905">
      <w:pPr>
        <w:pStyle w:val="13"/>
        <w:spacing w:line="360" w:lineRule="auto"/>
        <w:ind w:firstLine="210" w:firstLineChars="100"/>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（3）投标人拟投入项目实施人员具有林业有害生物防治员职业资格证书或具有林业有害生物防治员资格培训合格证书的，每提供一个，得1分。满分</w:t>
      </w:r>
      <w:r>
        <w:rPr>
          <w:rFonts w:hint="eastAsia" w:hAnsi="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lang w:val="en-US" w:eastAsia="zh-CN"/>
        </w:rPr>
        <w:t>分</w:t>
      </w:r>
    </w:p>
    <w:p w14:paraId="16704810">
      <w:pPr>
        <w:pStyle w:val="13"/>
        <w:spacing w:line="360" w:lineRule="auto"/>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【备注：人员职称专业须为农、林、牧业相关专业，须提供以上实施人员的相关职称证书、职业资格证书或培训合格证书、身份证</w:t>
      </w:r>
      <w:r>
        <w:rPr>
          <w:rFonts w:hint="eastAsia" w:hAnsi="宋体" w:cs="宋体"/>
          <w:b w:val="0"/>
          <w:bCs w:val="0"/>
          <w:color w:val="auto"/>
          <w:szCs w:val="21"/>
          <w:highlight w:val="none"/>
          <w:lang w:val="en-US" w:eastAsia="zh-CN"/>
        </w:rPr>
        <w:t>等证明材料</w:t>
      </w:r>
      <w:r>
        <w:rPr>
          <w:rFonts w:hint="eastAsia" w:ascii="宋体" w:hAnsi="宋体" w:eastAsia="宋体" w:cs="宋体"/>
          <w:b w:val="0"/>
          <w:bCs w:val="0"/>
          <w:color w:val="auto"/>
          <w:szCs w:val="21"/>
          <w:highlight w:val="none"/>
          <w:lang w:val="en-US" w:eastAsia="zh-CN"/>
        </w:rPr>
        <w:t>】</w:t>
      </w:r>
    </w:p>
    <w:p w14:paraId="6017CAB3">
      <w:pPr>
        <w:pStyle w:val="13"/>
        <w:spacing w:line="360" w:lineRule="auto"/>
        <w:ind w:firstLine="210" w:firstLineChars="100"/>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4）投标人具有相关运输车辆【运输清理枯死松树（含濒死木）的面包车或皮卡车或小型货车】并提供车辆机动车行驶证（或机动车登记证）及车辆实物图片（或照片）的，每提供一辆得1分。满分1分（注：本车辆须为登记在本供应商企业的，否则，不得分。）</w:t>
      </w:r>
    </w:p>
    <w:p w14:paraId="0D5399D3">
      <w:pPr>
        <w:pStyle w:val="13"/>
        <w:spacing w:line="360" w:lineRule="auto"/>
        <w:ind w:firstLine="210" w:firstLineChars="100"/>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（5）投标人具有相关作业设备（含</w:t>
      </w:r>
      <w:r>
        <w:rPr>
          <w:rFonts w:hint="eastAsia" w:hAnsi="宋体" w:cs="宋体"/>
          <w:b w:val="0"/>
          <w:bCs w:val="0"/>
          <w:color w:val="auto"/>
          <w:szCs w:val="21"/>
          <w:highlight w:val="none"/>
          <w:lang w:val="en-US" w:eastAsia="zh-CN"/>
        </w:rPr>
        <w:t>风力灭火机、手工锯、机油锯</w:t>
      </w:r>
      <w:r>
        <w:rPr>
          <w:rFonts w:hint="eastAsia" w:ascii="宋体" w:hAnsi="宋体" w:eastAsia="宋体" w:cs="宋体"/>
          <w:b w:val="0"/>
          <w:bCs w:val="0"/>
          <w:color w:val="auto"/>
          <w:szCs w:val="21"/>
          <w:highlight w:val="none"/>
          <w:lang w:val="en-US" w:eastAsia="zh-CN"/>
        </w:rPr>
        <w:t>等作业工具）并提供设备实物图片（或照片）的，每提供一种设备，得1分。满分</w:t>
      </w:r>
      <w:r>
        <w:rPr>
          <w:rFonts w:hint="eastAsia" w:hAnsi="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lang w:val="en-US" w:eastAsia="zh-CN"/>
        </w:rPr>
        <w:t>分</w:t>
      </w:r>
    </w:p>
    <w:p w14:paraId="752A7F08">
      <w:pPr>
        <w:pStyle w:val="13"/>
        <w:spacing w:line="360" w:lineRule="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 xml:space="preserve">   （6）投标人自202</w:t>
      </w:r>
      <w:r>
        <w:rPr>
          <w:rFonts w:hint="eastAsia" w:hAnsi="宋体" w:cs="宋体"/>
          <w:b w:val="0"/>
          <w:bCs w:val="0"/>
          <w:color w:val="auto"/>
          <w:szCs w:val="21"/>
          <w:highlight w:val="none"/>
          <w:lang w:val="en-US" w:eastAsia="zh-CN"/>
        </w:rPr>
        <w:t>1</w:t>
      </w:r>
      <w:r>
        <w:rPr>
          <w:rFonts w:hint="eastAsia" w:ascii="宋体" w:hAnsi="宋体" w:eastAsia="宋体" w:cs="宋体"/>
          <w:b w:val="0"/>
          <w:bCs w:val="0"/>
          <w:color w:val="auto"/>
          <w:szCs w:val="21"/>
          <w:highlight w:val="none"/>
          <w:lang w:val="en-US" w:eastAsia="zh-CN"/>
        </w:rPr>
        <w:t>年1月1日以来具有同类服务项目业绩【无不良记录，以中标（成交）通知书或采购合同（协议）复印件为准（能清晰反映所服务名称、内容），否则将不予计分；同一个编号的项目有两个或两个以上的分标中标的中算一次】（须加盖投标人公章），每提供一个得1分，满分</w:t>
      </w:r>
      <w:r>
        <w:rPr>
          <w:rFonts w:hint="eastAsia" w:hAnsi="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lang w:val="en-US" w:eastAsia="zh-CN"/>
        </w:rPr>
        <w:t>分。</w:t>
      </w:r>
    </w:p>
    <w:p w14:paraId="6662EBDD">
      <w:pPr>
        <w:pStyle w:val="13"/>
        <w:spacing w:line="360" w:lineRule="auto"/>
        <w:rPr>
          <w:rFonts w:hint="eastAsia" w:ascii="宋体" w:hAnsi="宋体" w:eastAsia="宋体" w:cs="宋体"/>
          <w:b w:val="0"/>
          <w:bCs w:val="0"/>
          <w:color w:val="auto"/>
          <w:szCs w:val="21"/>
          <w:lang w:val="en-US" w:eastAsia="zh-CN"/>
        </w:rPr>
      </w:pPr>
      <w:r>
        <w:rPr>
          <w:rFonts w:hint="eastAsia" w:ascii="宋体" w:hAnsi="宋体" w:eastAsia="宋体" w:cs="宋体"/>
          <w:b w:val="0"/>
          <w:bCs w:val="0"/>
          <w:color w:val="auto"/>
          <w:szCs w:val="21"/>
          <w:lang w:val="en-US" w:eastAsia="zh-CN"/>
        </w:rPr>
        <w:t>注：以上相关证明材料须清晰完整，否则，不得分。项目自签订后5个工作日内，中标人须提供以上相关作业车辆或设备证明材料的复印件及原件到采购单位进行登记备案，否则按照相关法律法规执行。</w:t>
      </w:r>
    </w:p>
    <w:p w14:paraId="6D72BBBB">
      <w:pPr>
        <w:pStyle w:val="11"/>
        <w:spacing w:line="360" w:lineRule="auto"/>
        <w:ind w:left="0" w:leftChars="0" w:firstLine="422" w:firstLineChars="200"/>
        <w:rPr>
          <w:rFonts w:hint="default" w:ascii="宋体" w:hAnsi="宋体" w:eastAsia="宋体" w:cs="宋体"/>
          <w:b/>
          <w:bCs/>
          <w:color w:val="auto"/>
          <w:szCs w:val="21"/>
          <w:lang w:val="en-US" w:eastAsia="zh-CN"/>
        </w:rPr>
      </w:pPr>
      <w:r>
        <w:rPr>
          <w:rStyle w:val="26"/>
          <w:rFonts w:hint="eastAsia" w:ascii="宋体" w:hAnsi="宋体" w:cs="宋体"/>
          <w:b/>
          <w:color w:val="auto"/>
          <w:position w:val="-2"/>
          <w:sz w:val="21"/>
          <w:szCs w:val="21"/>
          <w:lang w:val="en-US"/>
        </w:rPr>
        <w:t>4</w:t>
      </w:r>
      <w:r>
        <w:rPr>
          <w:rStyle w:val="26"/>
          <w:rFonts w:hint="eastAsia" w:ascii="宋体" w:hAnsi="宋体" w:eastAsia="宋体" w:cs="宋体"/>
          <w:b/>
          <w:color w:val="auto"/>
          <w:position w:val="-2"/>
          <w:sz w:val="21"/>
          <w:szCs w:val="21"/>
          <w:lang w:val="en-US"/>
        </w:rPr>
        <w:t>、</w:t>
      </w:r>
      <w:r>
        <w:rPr>
          <w:rFonts w:hint="eastAsia" w:ascii="宋体" w:hAnsi="宋体" w:eastAsia="宋体" w:cs="宋体"/>
          <w:b/>
          <w:bCs/>
          <w:color w:val="auto"/>
          <w:szCs w:val="21"/>
        </w:rPr>
        <w:t>总得分＝1+2+3</w:t>
      </w:r>
    </w:p>
    <w:p w14:paraId="7F6BE1D8">
      <w:pPr>
        <w:widowControl w:val="0"/>
        <w:spacing w:after="0" w:line="360" w:lineRule="auto"/>
        <w:ind w:firstLine="422" w:firstLineChars="200"/>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三、推荐中标候选人的原则</w:t>
      </w:r>
    </w:p>
    <w:p w14:paraId="45EBBB9D">
      <w:pPr>
        <w:widowControl w:val="0"/>
        <w:tabs>
          <w:tab w:val="left" w:pos="4214"/>
        </w:tabs>
        <w:spacing w:after="0" w:line="360"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（1）评标委员会根据综合得分由高到低排列次序；若得分相同时</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按投标报价由低到高顺序排列；若相同的，则依次按投标报价、项目实施方案、履约能力</w:t>
      </w:r>
      <w:r>
        <w:rPr>
          <w:rFonts w:hint="eastAsia" w:ascii="宋体" w:hAnsi="宋体" w:eastAsia="宋体" w:cs="宋体"/>
          <w:color w:val="auto"/>
          <w:kern w:val="2"/>
          <w:sz w:val="21"/>
          <w:szCs w:val="21"/>
          <w:highlight w:val="none"/>
          <w:lang w:val="en-US" w:eastAsia="zh-CN"/>
        </w:rPr>
        <w:t>分</w:t>
      </w:r>
      <w:r>
        <w:rPr>
          <w:rFonts w:hint="eastAsia" w:ascii="宋体" w:hAnsi="宋体" w:eastAsia="宋体" w:cs="宋体"/>
          <w:color w:val="auto"/>
          <w:kern w:val="2"/>
          <w:sz w:val="21"/>
          <w:szCs w:val="21"/>
          <w:highlight w:val="none"/>
        </w:rPr>
        <w:t>得分由高到低的顺序排列并推荐中标候选供应商</w:t>
      </w:r>
      <w:r>
        <w:rPr>
          <w:rFonts w:hint="eastAsia" w:ascii="宋体" w:hAnsi="宋体" w:eastAsia="宋体" w:cs="宋体"/>
          <w:color w:val="auto"/>
          <w:kern w:val="2"/>
          <w:highlight w:val="none"/>
        </w:rPr>
        <w:t>。</w:t>
      </w:r>
    </w:p>
    <w:p w14:paraId="4AF2AF72">
      <w:pPr>
        <w:widowControl w:val="0"/>
        <w:tabs>
          <w:tab w:val="left" w:pos="4214"/>
        </w:tabs>
        <w:spacing w:after="0" w:line="360" w:lineRule="auto"/>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（2）评标委员会可推荐前三名为中标候选人，采购人应当确定评标委员会推荐排名第一的中标候选人为中标人。</w:t>
      </w:r>
    </w:p>
    <w:p w14:paraId="52956C4E">
      <w:pPr>
        <w:widowControl w:val="0"/>
        <w:spacing w:after="0" w:line="360" w:lineRule="auto"/>
        <w:ind w:firstLine="420" w:firstLineChars="200"/>
        <w:jc w:val="both"/>
        <w:rPr>
          <w:rFonts w:hint="eastAsia" w:ascii="宋体" w:hAnsi="宋体" w:eastAsia="宋体" w:cs="宋体"/>
          <w:b/>
          <w:bCs/>
          <w:color w:val="auto"/>
          <w:kern w:val="2"/>
          <w:sz w:val="24"/>
          <w:szCs w:val="20"/>
          <w:highlight w:val="none"/>
        </w:rPr>
      </w:pPr>
      <w:r>
        <w:rPr>
          <w:rFonts w:hint="eastAsia" w:ascii="宋体" w:hAnsi="宋体" w:eastAsia="宋体" w:cs="宋体"/>
          <w:color w:val="auto"/>
          <w:kern w:val="2"/>
          <w:sz w:val="21"/>
          <w:szCs w:val="21"/>
          <w:highlight w:val="none"/>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或重新招标，并依此类推。</w:t>
      </w:r>
    </w:p>
    <w:p w14:paraId="22C0E931">
      <w:pPr>
        <w:rPr>
          <w:rFonts w:hint="eastAsia" w:ascii="宋体" w:hAnsi="宋体" w:eastAsia="宋体" w:cs="宋体"/>
          <w:color w:val="auto"/>
          <w:highlight w:val="none"/>
        </w:rPr>
      </w:pPr>
    </w:p>
    <w:p w14:paraId="103C59DB">
      <w:pPr>
        <w:pStyle w:val="2"/>
        <w:rPr>
          <w:rFonts w:hint="eastAsia" w:ascii="宋体" w:hAnsi="宋体" w:eastAsia="宋体" w:cs="宋体"/>
          <w:color w:val="auto"/>
          <w:highlight w:val="none"/>
        </w:rPr>
      </w:pPr>
    </w:p>
    <w:p w14:paraId="60A791A8">
      <w:pPr>
        <w:rPr>
          <w:rFonts w:hint="eastAsia" w:ascii="宋体" w:hAnsi="宋体" w:eastAsia="宋体" w:cs="宋体"/>
          <w:color w:val="auto"/>
          <w:highlight w:val="none"/>
        </w:rPr>
      </w:pPr>
    </w:p>
    <w:p w14:paraId="26E571F2">
      <w:pPr>
        <w:pStyle w:val="2"/>
        <w:rPr>
          <w:rFonts w:hint="eastAsia" w:ascii="宋体" w:hAnsi="宋体" w:eastAsia="宋体" w:cs="宋体"/>
          <w:color w:val="auto"/>
          <w:highlight w:val="none"/>
        </w:rPr>
      </w:pPr>
    </w:p>
    <w:p w14:paraId="6F4F65AC">
      <w:pPr>
        <w:rPr>
          <w:rFonts w:hint="eastAsia" w:ascii="宋体" w:hAnsi="宋体" w:eastAsia="宋体" w:cs="宋体"/>
          <w:color w:val="auto"/>
          <w:highlight w:val="none"/>
        </w:rPr>
      </w:pPr>
    </w:p>
    <w:p w14:paraId="3D831274">
      <w:pPr>
        <w:pStyle w:val="2"/>
        <w:rPr>
          <w:rFonts w:hint="eastAsia" w:ascii="宋体" w:hAnsi="宋体" w:eastAsia="宋体" w:cs="宋体"/>
          <w:color w:val="auto"/>
          <w:highlight w:val="none"/>
        </w:rPr>
      </w:pPr>
    </w:p>
    <w:p w14:paraId="309EB981">
      <w:pPr>
        <w:rPr>
          <w:rFonts w:hint="eastAsia" w:ascii="宋体" w:hAnsi="宋体" w:eastAsia="宋体" w:cs="宋体"/>
          <w:color w:val="auto"/>
          <w:highlight w:val="none"/>
        </w:rPr>
      </w:pPr>
    </w:p>
    <w:p w14:paraId="6F2EFB01">
      <w:pPr>
        <w:pStyle w:val="2"/>
        <w:rPr>
          <w:rFonts w:hint="eastAsia" w:ascii="宋体" w:hAnsi="宋体" w:eastAsia="宋体" w:cs="宋体"/>
          <w:color w:val="auto"/>
          <w:highlight w:val="none"/>
        </w:rPr>
      </w:pPr>
    </w:p>
    <w:p w14:paraId="5EF42EF5">
      <w:pPr>
        <w:rPr>
          <w:rFonts w:hint="eastAsia" w:ascii="宋体" w:hAnsi="宋体" w:eastAsia="宋体" w:cs="宋体"/>
          <w:color w:val="auto"/>
          <w:highlight w:val="none"/>
        </w:rPr>
      </w:pPr>
    </w:p>
    <w:p w14:paraId="435EBC74">
      <w:pPr>
        <w:pStyle w:val="2"/>
        <w:rPr>
          <w:rFonts w:hint="eastAsia" w:ascii="宋体" w:hAnsi="宋体" w:eastAsia="宋体" w:cs="宋体"/>
          <w:color w:val="auto"/>
          <w:highlight w:val="none"/>
        </w:rPr>
      </w:pPr>
    </w:p>
    <w:p w14:paraId="7CD98F8C">
      <w:pPr>
        <w:rPr>
          <w:rFonts w:hint="eastAsia" w:ascii="宋体" w:hAnsi="宋体" w:eastAsia="宋体" w:cs="宋体"/>
          <w:color w:val="auto"/>
          <w:highlight w:val="none"/>
        </w:rPr>
      </w:pPr>
    </w:p>
    <w:p w14:paraId="5A4732D9">
      <w:pPr>
        <w:pStyle w:val="2"/>
        <w:rPr>
          <w:rFonts w:hint="eastAsia" w:ascii="宋体" w:hAnsi="宋体" w:eastAsia="宋体" w:cs="宋体"/>
          <w:color w:val="auto"/>
          <w:highlight w:val="none"/>
        </w:rPr>
      </w:pPr>
    </w:p>
    <w:p w14:paraId="12EFBEB0">
      <w:pPr>
        <w:rPr>
          <w:rFonts w:hint="eastAsia" w:ascii="宋体" w:hAnsi="宋体" w:eastAsia="宋体" w:cs="宋体"/>
          <w:color w:val="auto"/>
          <w:highlight w:val="none"/>
        </w:rPr>
      </w:pPr>
    </w:p>
    <w:p w14:paraId="3BF1535F">
      <w:pPr>
        <w:pStyle w:val="2"/>
        <w:rPr>
          <w:rFonts w:hint="eastAsia"/>
          <w:color w:val="auto"/>
        </w:rPr>
      </w:pPr>
    </w:p>
    <w:p w14:paraId="37599D85">
      <w:pPr>
        <w:rPr>
          <w:rFonts w:hint="eastAsia"/>
          <w:color w:val="auto"/>
        </w:rPr>
      </w:pPr>
    </w:p>
    <w:p w14:paraId="57C422F4">
      <w:pPr>
        <w:pStyle w:val="2"/>
        <w:rPr>
          <w:rFonts w:hint="eastAsia"/>
          <w:color w:val="auto"/>
        </w:rPr>
      </w:pPr>
    </w:p>
    <w:p w14:paraId="1CD9D05B">
      <w:pPr>
        <w:rPr>
          <w:rFonts w:hint="eastAsia" w:ascii="宋体" w:hAnsi="宋体" w:eastAsia="宋体" w:cs="宋体"/>
          <w:color w:val="auto"/>
          <w:highlight w:val="none"/>
        </w:rPr>
      </w:pPr>
    </w:p>
    <w:p w14:paraId="262746D2">
      <w:pPr>
        <w:pStyle w:val="2"/>
        <w:rPr>
          <w:rFonts w:hint="eastAsia" w:ascii="宋体" w:hAnsi="宋体" w:eastAsia="宋体" w:cs="宋体"/>
          <w:color w:val="auto"/>
          <w:highlight w:val="none"/>
        </w:rPr>
      </w:pPr>
    </w:p>
    <w:p w14:paraId="41845F33">
      <w:pPr>
        <w:rPr>
          <w:rFonts w:hint="eastAsia" w:ascii="宋体" w:hAnsi="宋体" w:eastAsia="宋体" w:cs="宋体"/>
          <w:color w:val="auto"/>
          <w:highlight w:val="none"/>
        </w:rPr>
      </w:pPr>
    </w:p>
    <w:p w14:paraId="2F3DC158">
      <w:pPr>
        <w:pStyle w:val="2"/>
        <w:rPr>
          <w:rFonts w:hint="eastAsia" w:ascii="宋体" w:hAnsi="宋体" w:eastAsia="宋体" w:cs="宋体"/>
          <w:color w:val="auto"/>
          <w:highlight w:val="none"/>
        </w:rPr>
      </w:pPr>
    </w:p>
    <w:p w14:paraId="304D228A">
      <w:pPr>
        <w:rPr>
          <w:rFonts w:hint="eastAsia" w:ascii="宋体" w:hAnsi="宋体" w:eastAsia="宋体" w:cs="宋体"/>
          <w:color w:val="auto"/>
          <w:highlight w:val="none"/>
        </w:rPr>
      </w:pPr>
    </w:p>
    <w:p w14:paraId="75E27BFF">
      <w:pPr>
        <w:pStyle w:val="2"/>
        <w:rPr>
          <w:rFonts w:hint="eastAsia" w:ascii="宋体" w:hAnsi="宋体" w:eastAsia="宋体" w:cs="宋体"/>
          <w:color w:val="auto"/>
          <w:highlight w:val="none"/>
        </w:rPr>
      </w:pPr>
    </w:p>
    <w:p w14:paraId="36BD8BDF">
      <w:pPr>
        <w:rPr>
          <w:rFonts w:hint="eastAsia" w:ascii="宋体" w:hAnsi="宋体" w:eastAsia="宋体" w:cs="宋体"/>
          <w:color w:val="auto"/>
          <w:highlight w:val="none"/>
        </w:rPr>
      </w:pPr>
    </w:p>
    <w:p w14:paraId="606832EA">
      <w:pPr>
        <w:pStyle w:val="2"/>
        <w:rPr>
          <w:rFonts w:hint="eastAsia" w:ascii="宋体" w:hAnsi="宋体" w:eastAsia="宋体" w:cs="宋体"/>
          <w:color w:val="auto"/>
          <w:highlight w:val="none"/>
        </w:rPr>
      </w:pPr>
    </w:p>
    <w:p w14:paraId="73A94DD4">
      <w:pPr>
        <w:rPr>
          <w:rFonts w:hint="eastAsia"/>
          <w:color w:val="auto"/>
        </w:rPr>
      </w:pPr>
    </w:p>
    <w:p w14:paraId="1E9FEAC9">
      <w:pPr>
        <w:rPr>
          <w:rFonts w:hint="eastAsia" w:ascii="宋体" w:hAnsi="宋体" w:eastAsia="宋体" w:cs="宋体"/>
          <w:color w:val="auto"/>
          <w:highlight w:val="none"/>
        </w:rPr>
      </w:pPr>
    </w:p>
    <w:p w14:paraId="0C1AF8A9">
      <w:pPr>
        <w:pStyle w:val="2"/>
        <w:rPr>
          <w:rFonts w:hint="eastAsia"/>
          <w:color w:val="auto"/>
        </w:rPr>
      </w:pPr>
    </w:p>
    <w:p w14:paraId="7D6BD478">
      <w:pPr>
        <w:pStyle w:val="13"/>
        <w:spacing w:line="400" w:lineRule="exact"/>
        <w:jc w:val="center"/>
        <w:outlineLvl w:val="0"/>
        <w:rPr>
          <w:rFonts w:hint="eastAsia" w:ascii="宋体" w:hAnsi="宋体" w:eastAsia="宋体" w:cs="宋体"/>
          <w:b/>
          <w:color w:val="auto"/>
          <w:sz w:val="32"/>
          <w:szCs w:val="32"/>
          <w:highlight w:val="none"/>
          <w:lang w:eastAsia="zh-CN"/>
        </w:rPr>
      </w:pPr>
      <w:bookmarkStart w:id="49" w:name="_Toc4466"/>
      <w:r>
        <w:rPr>
          <w:rFonts w:hint="eastAsia" w:ascii="宋体" w:hAnsi="宋体" w:eastAsia="宋体" w:cs="宋体"/>
          <w:b/>
          <w:color w:val="auto"/>
          <w:sz w:val="32"/>
          <w:szCs w:val="32"/>
          <w:highlight w:val="none"/>
        </w:rPr>
        <w:t xml:space="preserve">第五章  </w:t>
      </w:r>
      <w:r>
        <w:rPr>
          <w:rFonts w:hint="eastAsia" w:ascii="宋体" w:hAnsi="宋体" w:eastAsia="宋体" w:cs="宋体"/>
          <w:b/>
          <w:color w:val="auto"/>
          <w:sz w:val="32"/>
          <w:szCs w:val="32"/>
          <w:highlight w:val="none"/>
          <w:lang w:val="en-US" w:eastAsia="zh-CN"/>
        </w:rPr>
        <w:t>采购合同（</w:t>
      </w:r>
      <w:r>
        <w:rPr>
          <w:rFonts w:hint="eastAsia" w:ascii="宋体" w:hAnsi="宋体" w:eastAsia="宋体" w:cs="宋体"/>
          <w:b/>
          <w:color w:val="auto"/>
          <w:sz w:val="32"/>
          <w:szCs w:val="32"/>
          <w:highlight w:val="none"/>
        </w:rPr>
        <w:t>合同主要条款及格式</w:t>
      </w:r>
      <w:bookmarkEnd w:id="49"/>
      <w:r>
        <w:rPr>
          <w:rFonts w:hint="eastAsia" w:ascii="宋体" w:hAnsi="宋体" w:eastAsia="宋体" w:cs="宋体"/>
          <w:b/>
          <w:color w:val="auto"/>
          <w:sz w:val="32"/>
          <w:szCs w:val="32"/>
          <w:highlight w:val="none"/>
          <w:lang w:eastAsia="zh-CN"/>
        </w:rPr>
        <w:t>）</w:t>
      </w:r>
    </w:p>
    <w:p w14:paraId="651F8A0E">
      <w:pPr>
        <w:spacing w:line="400" w:lineRule="exact"/>
        <w:rPr>
          <w:rFonts w:hint="eastAsia" w:ascii="宋体" w:hAnsi="宋体" w:eastAsia="宋体" w:cs="宋体"/>
          <w:color w:val="auto"/>
          <w:highlight w:val="none"/>
        </w:rPr>
      </w:pPr>
    </w:p>
    <w:p w14:paraId="175279E7">
      <w:pPr>
        <w:rPr>
          <w:rFonts w:hint="eastAsia" w:ascii="宋体" w:hAnsi="宋体" w:eastAsia="宋体" w:cs="宋体"/>
          <w:color w:val="auto"/>
          <w:highlight w:val="none"/>
        </w:rPr>
      </w:pPr>
      <w:r>
        <w:rPr>
          <w:rFonts w:hint="eastAsia" w:ascii="宋体" w:hAnsi="宋体" w:eastAsia="宋体" w:cs="宋体"/>
          <w:color w:val="auto"/>
          <w:highlight w:val="none"/>
        </w:rPr>
        <w:t xml:space="preserve">项目名称：      </w:t>
      </w:r>
    </w:p>
    <w:p w14:paraId="5E81CA26">
      <w:pPr>
        <w:rPr>
          <w:rFonts w:hint="eastAsia" w:ascii="宋体" w:hAnsi="宋体" w:eastAsia="宋体" w:cs="宋体"/>
          <w:color w:val="auto"/>
          <w:highlight w:val="none"/>
        </w:rPr>
      </w:pPr>
      <w:r>
        <w:rPr>
          <w:rFonts w:hint="eastAsia" w:ascii="宋体" w:hAnsi="宋体" w:eastAsia="宋体" w:cs="宋体"/>
          <w:color w:val="auto"/>
          <w:highlight w:val="none"/>
        </w:rPr>
        <w:t xml:space="preserve">项目编号： </w:t>
      </w:r>
    </w:p>
    <w:p w14:paraId="6E77B20A">
      <w:pPr>
        <w:rPr>
          <w:rFonts w:hint="eastAsia" w:ascii="宋体" w:hAnsi="宋体" w:eastAsia="宋体" w:cs="宋体"/>
          <w:color w:val="auto"/>
          <w:highlight w:val="none"/>
        </w:rPr>
      </w:pPr>
      <w:r>
        <w:rPr>
          <w:rFonts w:hint="eastAsia" w:ascii="宋体" w:hAnsi="宋体" w:eastAsia="宋体" w:cs="宋体"/>
          <w:color w:val="auto"/>
          <w:highlight w:val="none"/>
        </w:rPr>
        <w:t>甲方：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（采购人）</w:t>
      </w:r>
    </w:p>
    <w:p w14:paraId="45AFD173">
      <w:pPr>
        <w:rPr>
          <w:rFonts w:hint="eastAsia" w:ascii="宋体" w:hAnsi="宋体" w:eastAsia="宋体" w:cs="宋体"/>
          <w:color w:val="auto"/>
          <w:highlight w:val="none"/>
        </w:rPr>
      </w:pPr>
      <w:r>
        <w:rPr>
          <w:rFonts w:hint="eastAsia" w:ascii="宋体" w:hAnsi="宋体" w:eastAsia="宋体" w:cs="宋体"/>
          <w:color w:val="auto"/>
          <w:highlight w:val="none"/>
        </w:rPr>
        <w:t>乙方：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（中标供应商）</w:t>
      </w:r>
    </w:p>
    <w:p w14:paraId="5F5286CD">
      <w:pPr>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根据《中华人民共和国政府采购法》、《中华人民共和国民法典》等法律、法规规定，按照采购、投标响应文件规定条款和中标供应商承诺、甲乙双方签订本采购合同。</w:t>
      </w:r>
    </w:p>
    <w:p w14:paraId="66141A25">
      <w:pPr>
        <w:rPr>
          <w:rFonts w:hint="eastAsia" w:ascii="宋体" w:hAnsi="宋体" w:eastAsia="宋体" w:cs="宋体"/>
          <w:b/>
          <w:bCs/>
          <w:color w:val="auto"/>
          <w:highlight w:val="none"/>
        </w:rPr>
      </w:pPr>
      <w:r>
        <w:rPr>
          <w:rFonts w:hint="eastAsia" w:ascii="宋体" w:hAnsi="宋体" w:eastAsia="宋体" w:cs="宋体"/>
          <w:b/>
          <w:bCs/>
          <w:color w:val="auto"/>
          <w:highlight w:val="none"/>
        </w:rPr>
        <w:t>第一条</w:t>
      </w: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rPr>
        <w:t>合同标的及合同金额</w:t>
      </w:r>
    </w:p>
    <w:p w14:paraId="43A9D46F">
      <w:pPr>
        <w:keepNext w:val="0"/>
        <w:keepLines w:val="0"/>
        <w:pageBreakBefore w:val="0"/>
        <w:widowControl w:val="0"/>
        <w:kinsoku/>
        <w:wordWrap/>
        <w:overflowPunct/>
        <w:topLinePunct w:val="0"/>
        <w:autoSpaceDE/>
        <w:autoSpaceDN/>
        <w:bidi w:val="0"/>
        <w:adjustRightInd/>
        <w:spacing w:line="380" w:lineRule="exac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根据《中标通知书》的中标内容，合同的总金额为：</w:t>
      </w:r>
      <w:r>
        <w:rPr>
          <w:rFonts w:hint="eastAsia" w:ascii="宋体" w:hAnsi="宋体" w:eastAsia="宋体" w:cs="宋体"/>
          <w:color w:val="auto"/>
          <w:sz w:val="21"/>
          <w:szCs w:val="21"/>
          <w:highlight w:val="none"/>
          <w:u w:val="single"/>
        </w:rPr>
        <w:t>人民币    （大写）    元</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（小写）     </w:t>
      </w:r>
      <w:r>
        <w:rPr>
          <w:rFonts w:hint="eastAsia" w:ascii="宋体" w:hAnsi="宋体" w:eastAsia="宋体" w:cs="宋体"/>
          <w:color w:val="auto"/>
          <w:sz w:val="21"/>
          <w:szCs w:val="21"/>
          <w:highlight w:val="none"/>
        </w:rPr>
        <w:t>）</w:t>
      </w:r>
    </w:p>
    <w:p w14:paraId="26693856">
      <w:pPr>
        <w:rPr>
          <w:rFonts w:hint="eastAsia" w:ascii="宋体" w:hAnsi="宋体" w:eastAsia="宋体" w:cs="宋体"/>
          <w:b/>
          <w:bCs/>
          <w:color w:val="auto"/>
          <w:highlight w:val="none"/>
        </w:rPr>
      </w:pPr>
      <w:r>
        <w:rPr>
          <w:rFonts w:hint="eastAsia" w:ascii="宋体" w:hAnsi="宋体" w:eastAsia="宋体" w:cs="宋体"/>
          <w:b/>
          <w:bCs/>
          <w:color w:val="auto"/>
          <w:highlight w:val="none"/>
        </w:rPr>
        <w:t>第二条 服务保证及权利保证</w:t>
      </w:r>
    </w:p>
    <w:p w14:paraId="32B70B82">
      <w:pPr>
        <w:ind w:firstLine="220" w:firstLineChars="1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1.乙方应按</w:t>
      </w:r>
      <w:r>
        <w:rPr>
          <w:rFonts w:hint="eastAsia" w:ascii="宋体" w:hAnsi="宋体" w:eastAsia="宋体" w:cs="宋体"/>
          <w:b w:val="0"/>
          <w:bCs w:val="0"/>
          <w:color w:val="auto"/>
          <w:highlight w:val="none"/>
          <w:lang w:val="en-US" w:eastAsia="zh-CN"/>
        </w:rPr>
        <w:t>招标</w:t>
      </w:r>
      <w:r>
        <w:rPr>
          <w:rFonts w:hint="eastAsia" w:ascii="宋体" w:hAnsi="宋体" w:eastAsia="宋体" w:cs="宋体"/>
          <w:b w:val="0"/>
          <w:bCs w:val="0"/>
          <w:color w:val="auto"/>
          <w:highlight w:val="none"/>
        </w:rPr>
        <w:t>文件要求及</w:t>
      </w:r>
      <w:r>
        <w:rPr>
          <w:rFonts w:hint="eastAsia" w:ascii="宋体" w:hAnsi="宋体" w:eastAsia="宋体" w:cs="宋体"/>
          <w:b w:val="0"/>
          <w:bCs w:val="0"/>
          <w:color w:val="auto"/>
          <w:highlight w:val="none"/>
          <w:lang w:val="en-US" w:eastAsia="zh-CN"/>
        </w:rPr>
        <w:t>投标</w:t>
      </w:r>
      <w:r>
        <w:rPr>
          <w:rFonts w:hint="eastAsia" w:ascii="宋体" w:hAnsi="宋体" w:eastAsia="宋体" w:cs="宋体"/>
          <w:b w:val="0"/>
          <w:bCs w:val="0"/>
          <w:color w:val="auto"/>
          <w:highlight w:val="none"/>
        </w:rPr>
        <w:t>文件承诺的服务技术标准、质量标准等向甲方提供服务。</w:t>
      </w:r>
    </w:p>
    <w:p w14:paraId="3E75CBF3">
      <w:pPr>
        <w:keepNext w:val="0"/>
        <w:keepLines w:val="0"/>
        <w:pageBreakBefore w:val="0"/>
        <w:widowControl/>
        <w:kinsoku/>
        <w:wordWrap/>
        <w:overflowPunct/>
        <w:topLinePunct w:val="0"/>
        <w:autoSpaceDE/>
        <w:autoSpaceDN/>
        <w:bidi w:val="0"/>
        <w:adjustRightInd w:val="0"/>
        <w:snapToGrid w:val="0"/>
        <w:spacing w:line="360" w:lineRule="auto"/>
        <w:ind w:firstLine="220" w:firstLineChars="100"/>
        <w:textAlignment w:val="auto"/>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2.乙方必须保证所提供的服务涉及到的知识产权和相关技术资料是合法取得的，不会侵犯任何第三方的专利权、商标权、工业设计权或其他权利，不会因为甲方的使用服务成果遭受第三方侵权指控，包括被责令致歉、停止使用、追偿或要求赔偿损失等,本项目技术成果的最终所有权归甲方所有。否则，乙方负责解决由此引起的一切纠纷，甲方有权追究乙方的法律责任，其不利后果由乙方全部承担。</w:t>
      </w:r>
    </w:p>
    <w:p w14:paraId="64D36DEA">
      <w:pPr>
        <w:rPr>
          <w:rFonts w:hint="eastAsia" w:ascii="宋体" w:hAnsi="宋体" w:eastAsia="宋体" w:cs="宋体"/>
          <w:b/>
          <w:bCs/>
          <w:color w:val="auto"/>
          <w:highlight w:val="none"/>
        </w:rPr>
      </w:pPr>
      <w:r>
        <w:rPr>
          <w:rFonts w:hint="eastAsia" w:ascii="宋体" w:hAnsi="宋体" w:eastAsia="宋体" w:cs="宋体"/>
          <w:b/>
          <w:bCs/>
          <w:color w:val="auto"/>
          <w:highlight w:val="none"/>
        </w:rPr>
        <w:t>第三条 服务内容及要求</w:t>
      </w:r>
    </w:p>
    <w:p w14:paraId="006C67FC">
      <w:pPr>
        <w:keepNext w:val="0"/>
        <w:keepLines w:val="0"/>
        <w:pageBreakBefore w:val="0"/>
        <w:widowControl/>
        <w:kinsoku/>
        <w:wordWrap/>
        <w:overflowPunct/>
        <w:topLinePunct w:val="0"/>
        <w:autoSpaceDE/>
        <w:autoSpaceDN/>
        <w:bidi w:val="0"/>
        <w:adjustRightInd w:val="0"/>
        <w:snapToGrid w:val="0"/>
        <w:spacing w:line="360" w:lineRule="auto"/>
        <w:ind w:firstLine="220" w:firstLineChars="100"/>
        <w:textAlignment w:val="auto"/>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乙方必须按照</w:t>
      </w:r>
      <w:r>
        <w:rPr>
          <w:rFonts w:hint="eastAsia" w:ascii="宋体" w:hAnsi="宋体" w:eastAsia="宋体" w:cs="宋体"/>
          <w:b w:val="0"/>
          <w:bCs w:val="0"/>
          <w:color w:val="auto"/>
          <w:highlight w:val="none"/>
          <w:lang w:val="en-US" w:eastAsia="zh-CN"/>
        </w:rPr>
        <w:t>招标</w:t>
      </w:r>
      <w:r>
        <w:rPr>
          <w:rFonts w:hint="eastAsia" w:ascii="宋体" w:hAnsi="宋体" w:eastAsia="宋体" w:cs="宋体"/>
          <w:b w:val="0"/>
          <w:bCs w:val="0"/>
          <w:color w:val="auto"/>
          <w:highlight w:val="none"/>
        </w:rPr>
        <w:t>文件“服务采购需求”中的所有要求向甲方提供服务。</w:t>
      </w:r>
      <w:r>
        <w:rPr>
          <w:rFonts w:hint="eastAsia" w:ascii="宋体" w:hAnsi="宋体" w:eastAsia="宋体" w:cs="宋体"/>
          <w:b w:val="0"/>
          <w:bCs w:val="0"/>
          <w:color w:val="auto"/>
          <w:highlight w:val="none"/>
          <w:lang w:val="en-US" w:eastAsia="zh-CN"/>
        </w:rPr>
        <w:t>甲方</w:t>
      </w:r>
      <w:r>
        <w:rPr>
          <w:rFonts w:hint="eastAsia" w:ascii="宋体" w:hAnsi="宋体" w:eastAsia="宋体" w:cs="宋体"/>
          <w:b w:val="0"/>
          <w:bCs w:val="0"/>
          <w:color w:val="auto"/>
          <w:highlight w:val="none"/>
        </w:rPr>
        <w:t>可根据自身的资金计划，</w:t>
      </w:r>
      <w:r>
        <w:rPr>
          <w:rFonts w:hint="eastAsia" w:ascii="宋体" w:hAnsi="宋体" w:eastAsia="宋体" w:cs="宋体"/>
          <w:b w:val="0"/>
          <w:bCs w:val="0"/>
          <w:color w:val="auto"/>
          <w:highlight w:val="none"/>
          <w:lang w:val="en-US" w:eastAsia="zh-CN"/>
        </w:rPr>
        <w:t>书面调整</w:t>
      </w:r>
      <w:r>
        <w:rPr>
          <w:rFonts w:hint="eastAsia" w:ascii="宋体" w:hAnsi="宋体" w:eastAsia="宋体" w:cs="宋体"/>
          <w:b w:val="0"/>
          <w:bCs w:val="0"/>
          <w:color w:val="auto"/>
          <w:highlight w:val="none"/>
        </w:rPr>
        <w:t>具体的实施片区及实施内容，</w:t>
      </w:r>
      <w:r>
        <w:rPr>
          <w:rFonts w:hint="eastAsia" w:ascii="宋体" w:hAnsi="宋体" w:eastAsia="宋体" w:cs="宋体"/>
          <w:b w:val="0"/>
          <w:bCs w:val="0"/>
          <w:color w:val="auto"/>
          <w:highlight w:val="none"/>
          <w:lang w:val="en-US" w:eastAsia="zh-CN"/>
        </w:rPr>
        <w:t>乙方</w:t>
      </w:r>
      <w:r>
        <w:rPr>
          <w:rFonts w:hint="eastAsia" w:ascii="宋体" w:hAnsi="宋体" w:eastAsia="宋体" w:cs="宋体"/>
          <w:b w:val="0"/>
          <w:bCs w:val="0"/>
          <w:color w:val="auto"/>
          <w:highlight w:val="none"/>
        </w:rPr>
        <w:t>严格执行</w:t>
      </w:r>
      <w:r>
        <w:rPr>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highlight w:val="none"/>
        </w:rPr>
        <w:t>合同最终实际结算价控制在发包人的资金计划范围内，如有超出部分，由</w:t>
      </w:r>
      <w:r>
        <w:rPr>
          <w:rFonts w:hint="eastAsia" w:ascii="宋体" w:hAnsi="宋体" w:eastAsia="宋体" w:cs="宋体"/>
          <w:b w:val="0"/>
          <w:bCs w:val="0"/>
          <w:color w:val="auto"/>
          <w:highlight w:val="none"/>
          <w:lang w:val="en-US" w:eastAsia="zh-CN"/>
        </w:rPr>
        <w:t>乙方</w:t>
      </w:r>
      <w:r>
        <w:rPr>
          <w:rFonts w:hint="eastAsia" w:ascii="宋体" w:hAnsi="宋体" w:eastAsia="宋体" w:cs="宋体"/>
          <w:b w:val="0"/>
          <w:bCs w:val="0"/>
          <w:color w:val="auto"/>
          <w:highlight w:val="none"/>
        </w:rPr>
        <w:t>自行承担，</w:t>
      </w:r>
      <w:r>
        <w:rPr>
          <w:rFonts w:hint="eastAsia" w:ascii="宋体" w:hAnsi="宋体" w:eastAsia="宋体" w:cs="宋体"/>
          <w:b w:val="0"/>
          <w:bCs w:val="0"/>
          <w:color w:val="auto"/>
          <w:highlight w:val="none"/>
          <w:lang w:val="en-US" w:eastAsia="zh-CN"/>
        </w:rPr>
        <w:t>甲方</w:t>
      </w:r>
      <w:r>
        <w:rPr>
          <w:rFonts w:hint="eastAsia" w:ascii="宋体" w:hAnsi="宋体" w:eastAsia="宋体" w:cs="宋体"/>
          <w:b w:val="0"/>
          <w:bCs w:val="0"/>
          <w:color w:val="auto"/>
          <w:highlight w:val="none"/>
        </w:rPr>
        <w:t>不承担支付责任。</w:t>
      </w:r>
    </w:p>
    <w:p w14:paraId="70A19BC9">
      <w:pPr>
        <w:rPr>
          <w:rFonts w:hint="eastAsia" w:ascii="宋体" w:hAnsi="宋体" w:eastAsia="宋体" w:cs="宋体"/>
          <w:b/>
          <w:bCs/>
          <w:color w:val="auto"/>
          <w:highlight w:val="none"/>
        </w:rPr>
      </w:pPr>
      <w:r>
        <w:rPr>
          <w:rFonts w:hint="eastAsia" w:ascii="宋体" w:hAnsi="宋体" w:eastAsia="宋体" w:cs="宋体"/>
          <w:b/>
          <w:bCs/>
          <w:color w:val="auto"/>
          <w:highlight w:val="none"/>
        </w:rPr>
        <w:t>第四条 合同履行期限</w:t>
      </w:r>
    </w:p>
    <w:p w14:paraId="74DDB4FA">
      <w:pPr>
        <w:ind w:firstLine="220" w:firstLineChars="1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1.合同履行期限：合同签订之日起至 2026年10月止。</w:t>
      </w:r>
    </w:p>
    <w:p w14:paraId="4B1D6CDC">
      <w:pPr>
        <w:ind w:firstLine="220" w:firstLineChars="100"/>
        <w:rPr>
          <w:rFonts w:hint="eastAsia" w:ascii="宋体" w:hAnsi="宋体" w:eastAsia="宋体" w:cs="宋体"/>
          <w:b/>
          <w:bCs/>
          <w:color w:val="auto"/>
          <w:highlight w:val="none"/>
        </w:rPr>
      </w:pPr>
      <w:r>
        <w:rPr>
          <w:rFonts w:hint="eastAsia" w:ascii="宋体" w:hAnsi="宋体" w:eastAsia="宋体" w:cs="宋体"/>
          <w:b w:val="0"/>
          <w:bCs w:val="0"/>
          <w:color w:val="auto"/>
          <w:highlight w:val="none"/>
        </w:rPr>
        <w:t>2. 服务成果交付地点：采购人指定地点。</w:t>
      </w:r>
    </w:p>
    <w:p w14:paraId="17A56004">
      <w:pPr>
        <w:rPr>
          <w:rFonts w:hint="eastAsia" w:ascii="宋体" w:hAnsi="宋体" w:eastAsia="宋体" w:cs="宋体"/>
          <w:b/>
          <w:bCs/>
          <w:color w:val="auto"/>
          <w:highlight w:val="none"/>
        </w:rPr>
      </w:pPr>
      <w:r>
        <w:rPr>
          <w:rFonts w:hint="eastAsia" w:ascii="宋体" w:hAnsi="宋体" w:eastAsia="宋体" w:cs="宋体"/>
          <w:b/>
          <w:bCs/>
          <w:color w:val="auto"/>
          <w:highlight w:val="none"/>
        </w:rPr>
        <w:t>第五条 税费</w:t>
      </w:r>
    </w:p>
    <w:p w14:paraId="7CB667DD">
      <w:pPr>
        <w:ind w:firstLine="220" w:firstLineChars="100"/>
        <w:rPr>
          <w:rFonts w:hint="eastAsia" w:ascii="宋体" w:hAnsi="宋体" w:eastAsia="宋体" w:cs="宋体"/>
          <w:b/>
          <w:bCs/>
          <w:color w:val="auto"/>
          <w:highlight w:val="none"/>
        </w:rPr>
      </w:pPr>
      <w:r>
        <w:rPr>
          <w:rFonts w:hint="eastAsia" w:ascii="宋体" w:hAnsi="宋体" w:eastAsia="宋体" w:cs="宋体"/>
          <w:b w:val="0"/>
          <w:bCs w:val="0"/>
          <w:color w:val="auto"/>
          <w:highlight w:val="none"/>
        </w:rPr>
        <w:t>本合同执行中相关的一切税费均由乙方负担。</w:t>
      </w:r>
    </w:p>
    <w:p w14:paraId="64CD20A7">
      <w:pPr>
        <w:rPr>
          <w:rFonts w:hint="eastAsia" w:ascii="宋体" w:hAnsi="宋体" w:eastAsia="宋体" w:cs="宋体"/>
          <w:b/>
          <w:bCs/>
          <w:color w:val="auto"/>
          <w:highlight w:val="none"/>
        </w:rPr>
      </w:pPr>
      <w:r>
        <w:rPr>
          <w:rFonts w:hint="eastAsia" w:ascii="宋体" w:hAnsi="宋体" w:eastAsia="宋体" w:cs="宋体"/>
          <w:b/>
          <w:bCs/>
          <w:color w:val="auto"/>
          <w:highlight w:val="none"/>
        </w:rPr>
        <w:t>第六条 付款方式</w:t>
      </w:r>
    </w:p>
    <w:p w14:paraId="03C99A22">
      <w:pPr>
        <w:ind w:firstLine="220" w:firstLineChars="1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val="en-US" w:eastAsia="zh-CN"/>
        </w:rPr>
        <w:t>1、</w:t>
      </w:r>
      <w:r>
        <w:rPr>
          <w:rFonts w:hint="eastAsia" w:ascii="宋体" w:hAnsi="宋体" w:eastAsia="宋体" w:cs="宋体"/>
          <w:b w:val="0"/>
          <w:bCs w:val="0"/>
          <w:color w:val="auto"/>
          <w:highlight w:val="none"/>
        </w:rPr>
        <w:t>结算采取“30%、25%、25%、20%”的比例方式对松材线虫病专项资金分批次进行拨付。</w:t>
      </w:r>
    </w:p>
    <w:p w14:paraId="73CDCB18">
      <w:pPr>
        <w:ind w:firstLine="220" w:firstLineChars="1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val="en-US" w:eastAsia="zh-CN"/>
        </w:rPr>
        <w:t>2、</w:t>
      </w:r>
      <w:r>
        <w:rPr>
          <w:rFonts w:hint="eastAsia" w:ascii="宋体" w:hAnsi="宋体" w:eastAsia="宋体" w:cs="宋体"/>
          <w:b w:val="0"/>
          <w:bCs w:val="0"/>
          <w:color w:val="auto"/>
          <w:highlight w:val="none"/>
        </w:rPr>
        <w:t>分批支付计算公式：项目经费=当期应支付经费－扣罚金额。</w:t>
      </w:r>
    </w:p>
    <w:p w14:paraId="14BBFFE1">
      <w:pPr>
        <w:spacing w:line="360" w:lineRule="auto"/>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（1）2024 年  月前经验收合格后支付项目总资金的 30%，并扣除罚款金额，罚款金额是指在此付款时间点之前各级各类检查发现问题所扣的金额，下同。</w:t>
      </w:r>
    </w:p>
    <w:p w14:paraId="1F5E95BB">
      <w:pPr>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xml:space="preserve">（2）2025 年 </w:t>
      </w:r>
      <w:r>
        <w:rPr>
          <w:rFonts w:hint="eastAsia" w:ascii="宋体" w:hAnsi="宋体" w:eastAsia="宋体" w:cs="宋体"/>
          <w:b w:val="0"/>
          <w:bCs w:val="0"/>
          <w:color w:val="auto"/>
          <w:highlight w:val="none"/>
          <w:lang w:val="en-US" w:eastAsia="zh-CN"/>
        </w:rPr>
        <w:t xml:space="preserve"> </w:t>
      </w:r>
      <w:r>
        <w:rPr>
          <w:rFonts w:hint="eastAsia" w:ascii="宋体" w:hAnsi="宋体" w:eastAsia="宋体" w:cs="宋体"/>
          <w:b w:val="0"/>
          <w:bCs w:val="0"/>
          <w:color w:val="auto"/>
          <w:highlight w:val="none"/>
        </w:rPr>
        <w:t xml:space="preserve"> 月底前经验收合格后支付项目总资金的 25 %，并扣除罚款金额；</w:t>
      </w:r>
    </w:p>
    <w:p w14:paraId="2B3ED806">
      <w:pPr>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xml:space="preserve">（3）2026 年 </w:t>
      </w:r>
      <w:r>
        <w:rPr>
          <w:rFonts w:hint="eastAsia" w:ascii="宋体" w:hAnsi="宋体" w:eastAsia="宋体" w:cs="宋体"/>
          <w:b w:val="0"/>
          <w:bCs w:val="0"/>
          <w:color w:val="auto"/>
          <w:highlight w:val="none"/>
          <w:lang w:val="en-US" w:eastAsia="zh-CN"/>
        </w:rPr>
        <w:t xml:space="preserve"> </w:t>
      </w:r>
      <w:r>
        <w:rPr>
          <w:rFonts w:hint="eastAsia" w:ascii="宋体" w:hAnsi="宋体" w:eastAsia="宋体" w:cs="宋体"/>
          <w:b w:val="0"/>
          <w:bCs w:val="0"/>
          <w:color w:val="auto"/>
          <w:highlight w:val="none"/>
        </w:rPr>
        <w:t xml:space="preserve"> 月底前经验收合格后支付项目总资金的 25%，并扣除罚款金额；</w:t>
      </w:r>
    </w:p>
    <w:p w14:paraId="39A4C9E2">
      <w:pPr>
        <w:rPr>
          <w:rFonts w:hint="eastAsia" w:ascii="宋体" w:hAnsi="宋体" w:eastAsia="宋体" w:cs="宋体"/>
          <w:b/>
          <w:bCs/>
          <w:color w:val="auto"/>
          <w:highlight w:val="none"/>
        </w:rPr>
      </w:pPr>
      <w:r>
        <w:rPr>
          <w:rFonts w:hint="eastAsia" w:ascii="宋体" w:hAnsi="宋体" w:eastAsia="宋体" w:cs="宋体"/>
          <w:b w:val="0"/>
          <w:bCs w:val="0"/>
          <w:color w:val="auto"/>
          <w:highlight w:val="none"/>
        </w:rPr>
        <w:t xml:space="preserve">（4）2027 年 </w:t>
      </w:r>
      <w:r>
        <w:rPr>
          <w:rFonts w:hint="eastAsia" w:ascii="宋体" w:hAnsi="宋体" w:eastAsia="宋体" w:cs="宋体"/>
          <w:b w:val="0"/>
          <w:bCs w:val="0"/>
          <w:color w:val="auto"/>
          <w:highlight w:val="none"/>
          <w:lang w:val="en-US" w:eastAsia="zh-CN"/>
        </w:rPr>
        <w:t xml:space="preserve"> </w:t>
      </w:r>
      <w:r>
        <w:rPr>
          <w:rFonts w:hint="eastAsia" w:ascii="宋体" w:hAnsi="宋体" w:eastAsia="宋体" w:cs="宋体"/>
          <w:b w:val="0"/>
          <w:bCs w:val="0"/>
          <w:color w:val="auto"/>
          <w:highlight w:val="none"/>
        </w:rPr>
        <w:t xml:space="preserve"> 月全部检查验收后支付项目总资金的 20%，扣除罚款金额。</w:t>
      </w:r>
    </w:p>
    <w:p w14:paraId="47DFB122">
      <w:pPr>
        <w:rPr>
          <w:rFonts w:hint="eastAsia" w:ascii="宋体" w:hAnsi="宋体" w:eastAsia="宋体" w:cs="宋体"/>
          <w:b/>
          <w:bCs/>
          <w:color w:val="auto"/>
          <w:highlight w:val="none"/>
        </w:rPr>
      </w:pPr>
      <w:r>
        <w:rPr>
          <w:rFonts w:hint="eastAsia" w:ascii="宋体" w:hAnsi="宋体" w:eastAsia="宋体" w:cs="宋体"/>
          <w:b/>
          <w:bCs/>
          <w:color w:val="auto"/>
          <w:highlight w:val="none"/>
        </w:rPr>
        <w:t>第七条 履约保证金</w:t>
      </w:r>
    </w:p>
    <w:p w14:paraId="0A0C34D3">
      <w:pPr>
        <w:rPr>
          <w:rFonts w:hint="eastAsia" w:ascii="宋体" w:hAnsi="宋体" w:eastAsia="宋体" w:cs="宋体"/>
          <w:b/>
          <w:bCs/>
          <w:color w:val="auto"/>
          <w:highlight w:val="none"/>
        </w:rPr>
      </w:pPr>
      <w:r>
        <w:rPr>
          <w:rFonts w:hint="eastAsia" w:ascii="宋体" w:hAnsi="宋体" w:eastAsia="宋体" w:cs="宋体"/>
          <w:b w:val="0"/>
          <w:bCs w:val="0"/>
          <w:color w:val="auto"/>
          <w:highlight w:val="none"/>
        </w:rPr>
        <w:t>免收履约保证金。</w:t>
      </w:r>
    </w:p>
    <w:p w14:paraId="0BFACBAE">
      <w:pPr>
        <w:rPr>
          <w:rFonts w:hint="eastAsia" w:ascii="宋体" w:hAnsi="宋体" w:eastAsia="宋体" w:cs="宋体"/>
          <w:b/>
          <w:bCs/>
          <w:color w:val="auto"/>
          <w:highlight w:val="none"/>
        </w:rPr>
      </w:pPr>
      <w:r>
        <w:rPr>
          <w:rFonts w:hint="eastAsia" w:ascii="宋体" w:hAnsi="宋体" w:eastAsia="宋体" w:cs="宋体"/>
          <w:b/>
          <w:bCs/>
          <w:color w:val="auto"/>
          <w:highlight w:val="none"/>
        </w:rPr>
        <w:t>第八条 验收</w:t>
      </w:r>
    </w:p>
    <w:p w14:paraId="08B68BC1">
      <w:pPr>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1、未尽事宜按照采购人规定执行。</w:t>
      </w:r>
    </w:p>
    <w:p w14:paraId="57930F12">
      <w:pPr>
        <w:spacing w:line="360" w:lineRule="auto"/>
        <w:rPr>
          <w:rFonts w:hint="eastAsia" w:ascii="宋体" w:hAnsi="宋体" w:eastAsia="宋体" w:cs="宋体"/>
          <w:b/>
          <w:bCs/>
          <w:color w:val="auto"/>
          <w:highlight w:val="none"/>
        </w:rPr>
      </w:pPr>
      <w:r>
        <w:rPr>
          <w:rFonts w:hint="eastAsia" w:ascii="宋体" w:hAnsi="宋体" w:eastAsia="宋体" w:cs="宋体"/>
          <w:b w:val="0"/>
          <w:bCs w:val="0"/>
          <w:color w:val="auto"/>
          <w:highlight w:val="none"/>
        </w:rPr>
        <w:t>2、验收方式：由自治区、国家级的有关规定的相关验收标准和合同条款进行验收，未通过的，由</w:t>
      </w:r>
      <w:r>
        <w:rPr>
          <w:rFonts w:hint="eastAsia" w:ascii="宋体" w:hAnsi="宋体" w:eastAsia="宋体" w:cs="宋体"/>
          <w:b w:val="0"/>
          <w:bCs w:val="0"/>
          <w:color w:val="auto"/>
          <w:highlight w:val="none"/>
          <w:lang w:val="en-US" w:eastAsia="zh-CN"/>
        </w:rPr>
        <w:t>投标人</w:t>
      </w:r>
      <w:r>
        <w:rPr>
          <w:rFonts w:hint="eastAsia" w:ascii="宋体" w:hAnsi="宋体" w:eastAsia="宋体" w:cs="宋体"/>
          <w:b w:val="0"/>
          <w:bCs w:val="0"/>
          <w:color w:val="auto"/>
          <w:highlight w:val="none"/>
        </w:rPr>
        <w:t>负责重新编制或修改补正。</w:t>
      </w:r>
    </w:p>
    <w:p w14:paraId="5AA32DF2">
      <w:pPr>
        <w:rPr>
          <w:rFonts w:hint="eastAsia" w:ascii="宋体" w:hAnsi="宋体" w:eastAsia="宋体" w:cs="宋体"/>
          <w:b/>
          <w:bCs/>
          <w:color w:val="auto"/>
          <w:highlight w:val="none"/>
        </w:rPr>
      </w:pPr>
      <w:r>
        <w:rPr>
          <w:rFonts w:hint="eastAsia" w:ascii="宋体" w:hAnsi="宋体" w:eastAsia="宋体" w:cs="宋体"/>
          <w:b/>
          <w:bCs/>
          <w:color w:val="auto"/>
          <w:highlight w:val="none"/>
        </w:rPr>
        <w:t>第</w:t>
      </w:r>
      <w:r>
        <w:rPr>
          <w:rFonts w:hint="eastAsia" w:ascii="宋体" w:hAnsi="宋体" w:eastAsia="宋体" w:cs="宋体"/>
          <w:b/>
          <w:bCs/>
          <w:color w:val="auto"/>
          <w:highlight w:val="none"/>
          <w:lang w:val="en-US" w:eastAsia="zh-CN"/>
        </w:rPr>
        <w:t>九</w:t>
      </w:r>
      <w:r>
        <w:rPr>
          <w:rFonts w:hint="eastAsia" w:ascii="宋体" w:hAnsi="宋体" w:eastAsia="宋体" w:cs="宋体"/>
          <w:b/>
          <w:bCs/>
          <w:color w:val="auto"/>
          <w:highlight w:val="none"/>
        </w:rPr>
        <w:t>条  违约责任</w:t>
      </w:r>
    </w:p>
    <w:p w14:paraId="61635AB7">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1、乙方所提供的服务质量不合格的，应及时调整，调整不及时的按逾期完成处罚，乙方应向甲方支付合同金额3‰违约金并赔偿甲方经济损失。</w:t>
      </w:r>
    </w:p>
    <w:p w14:paraId="2335D788">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2、乙方提供的服务成果如果侵犯了第三方合法权益而引发的任何纠纷或诉讼，均由乙方负责交涉并承担全部责任。</w:t>
      </w:r>
    </w:p>
    <w:p w14:paraId="49E1139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、乙方未按本合同和</w:t>
      </w: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文件中规定的服务承诺提供服务的，乙方应按本合同合计金额5%向甲方支付违约金。</w:t>
      </w:r>
    </w:p>
    <w:p w14:paraId="165E999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、其他违约行为按违约合同额3‰收取违约金并赔偿经济损失。</w:t>
      </w:r>
    </w:p>
    <w:p w14:paraId="16357FDE">
      <w:pPr>
        <w:rPr>
          <w:rFonts w:hint="eastAsia" w:ascii="宋体" w:hAnsi="宋体" w:eastAsia="宋体" w:cs="宋体"/>
          <w:b/>
          <w:bCs/>
          <w:color w:val="auto"/>
          <w:highlight w:val="none"/>
        </w:rPr>
      </w:pPr>
      <w:r>
        <w:rPr>
          <w:rFonts w:hint="eastAsia" w:ascii="宋体" w:hAnsi="宋体" w:eastAsia="宋体" w:cs="宋体"/>
          <w:b/>
          <w:bCs/>
          <w:color w:val="auto"/>
          <w:highlight w:val="none"/>
        </w:rPr>
        <w:t>第十条  不可抗力事件处理</w:t>
      </w:r>
    </w:p>
    <w:p w14:paraId="11379360">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 在合同有效期内，乙方因不可抗力事件导致不能履行合同，则合同履行期可延长，其延长期与不可抗力影响期相同。</w:t>
      </w:r>
    </w:p>
    <w:p w14:paraId="5AB67CEA">
      <w:pPr>
        <w:rPr>
          <w:rFonts w:hint="eastAsia" w:ascii="宋体" w:hAnsi="宋体" w:eastAsia="宋体" w:cs="宋体"/>
          <w:color w:val="auto"/>
          <w:highlight w:val="none"/>
        </w:rPr>
      </w:pPr>
      <w:r>
        <w:rPr>
          <w:rFonts w:hint="eastAsia" w:ascii="宋体" w:hAnsi="宋体" w:eastAsia="宋体" w:cs="宋体"/>
          <w:color w:val="auto"/>
          <w:highlight w:val="none"/>
        </w:rPr>
        <w:t>2. 不可抗力事件发生后，应立即通知对方，并寄送有关权威机构出具的证明。</w:t>
      </w:r>
    </w:p>
    <w:p w14:paraId="7CCEEDCF">
      <w:pPr>
        <w:rPr>
          <w:rFonts w:hint="eastAsia" w:ascii="宋体" w:hAnsi="宋体" w:eastAsia="宋体" w:cs="宋体"/>
          <w:color w:val="auto"/>
          <w:highlight w:val="none"/>
        </w:rPr>
      </w:pPr>
      <w:r>
        <w:rPr>
          <w:rFonts w:hint="eastAsia" w:ascii="宋体" w:hAnsi="宋体" w:eastAsia="宋体" w:cs="宋体"/>
          <w:color w:val="auto"/>
          <w:highlight w:val="none"/>
        </w:rPr>
        <w:t>3. 不可抗力事件延续一百二十天以上，双方应通过友好协商，确定是否继续履行合同。</w:t>
      </w:r>
    </w:p>
    <w:p w14:paraId="2AB27829">
      <w:pPr>
        <w:rPr>
          <w:rFonts w:hint="eastAsia" w:ascii="宋体" w:hAnsi="宋体" w:eastAsia="宋体" w:cs="宋体"/>
          <w:b/>
          <w:bCs/>
          <w:color w:val="auto"/>
          <w:highlight w:val="none"/>
        </w:rPr>
      </w:pPr>
      <w:r>
        <w:rPr>
          <w:rFonts w:hint="eastAsia" w:ascii="宋体" w:hAnsi="宋体" w:eastAsia="宋体" w:cs="宋体"/>
          <w:b/>
          <w:bCs/>
          <w:color w:val="auto"/>
          <w:highlight w:val="none"/>
        </w:rPr>
        <w:t>第十</w:t>
      </w:r>
      <w:r>
        <w:rPr>
          <w:rFonts w:hint="eastAsia" w:ascii="宋体" w:hAnsi="宋体" w:eastAsia="宋体" w:cs="宋体"/>
          <w:b/>
          <w:bCs/>
          <w:color w:val="auto"/>
          <w:highlight w:val="none"/>
          <w:lang w:val="en-US" w:eastAsia="zh-CN"/>
        </w:rPr>
        <w:t>一</w:t>
      </w:r>
      <w:r>
        <w:rPr>
          <w:rFonts w:hint="eastAsia" w:ascii="宋体" w:hAnsi="宋体" w:eastAsia="宋体" w:cs="宋体"/>
          <w:b/>
          <w:bCs/>
          <w:color w:val="auto"/>
          <w:highlight w:val="none"/>
        </w:rPr>
        <w:t>条  合同争议解决</w:t>
      </w:r>
    </w:p>
    <w:p w14:paraId="423CBC68">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 因服务质量问题发生争议的，应邀请国家认可的质量检测机构对服务成果进行鉴定。服务成果符合标准的，鉴定费由甲方承担；服务成果文件不符合标准的，鉴定费由乙方承担。</w:t>
      </w:r>
    </w:p>
    <w:p w14:paraId="599CCE9D">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 因履行本合同引起的或与本合同有关的争议，甲乙双方应首先通过友好协商解决，如果协商不能解决，可向甲方住所地人民法院提起诉讼。</w:t>
      </w:r>
    </w:p>
    <w:p w14:paraId="39929407">
      <w:pPr>
        <w:rPr>
          <w:rFonts w:hint="eastAsia" w:ascii="宋体" w:hAnsi="宋体" w:eastAsia="宋体" w:cs="宋体"/>
          <w:b/>
          <w:bCs/>
          <w:color w:val="auto"/>
          <w:highlight w:val="none"/>
        </w:rPr>
      </w:pPr>
      <w:r>
        <w:rPr>
          <w:rFonts w:hint="eastAsia" w:ascii="宋体" w:hAnsi="宋体" w:eastAsia="宋体" w:cs="宋体"/>
          <w:b/>
          <w:bCs/>
          <w:color w:val="auto"/>
          <w:highlight w:val="none"/>
        </w:rPr>
        <w:t>第十</w:t>
      </w:r>
      <w:r>
        <w:rPr>
          <w:rFonts w:hint="eastAsia" w:ascii="宋体" w:hAnsi="宋体" w:eastAsia="宋体" w:cs="宋体"/>
          <w:b/>
          <w:bCs/>
          <w:color w:val="auto"/>
          <w:highlight w:val="none"/>
          <w:lang w:val="en-US" w:eastAsia="zh-CN"/>
        </w:rPr>
        <w:t>二</w:t>
      </w:r>
      <w:r>
        <w:rPr>
          <w:rFonts w:hint="eastAsia" w:ascii="宋体" w:hAnsi="宋体" w:eastAsia="宋体" w:cs="宋体"/>
          <w:b/>
          <w:bCs/>
          <w:color w:val="auto"/>
          <w:highlight w:val="none"/>
        </w:rPr>
        <w:t>条  合同生效及其它</w:t>
      </w:r>
    </w:p>
    <w:p w14:paraId="218045E4">
      <w:pPr>
        <w:rPr>
          <w:rFonts w:hint="eastAsia" w:ascii="宋体" w:hAnsi="宋体" w:eastAsia="宋体" w:cs="宋体"/>
          <w:color w:val="auto"/>
          <w:highlight w:val="none"/>
        </w:rPr>
      </w:pPr>
      <w:r>
        <w:rPr>
          <w:rFonts w:hint="eastAsia" w:ascii="宋体" w:hAnsi="宋体" w:eastAsia="宋体" w:cs="宋体"/>
          <w:color w:val="auto"/>
          <w:highlight w:val="none"/>
        </w:rPr>
        <w:t>1、合同经甲乙双方法定代表人（负责人）或授权代表签字并加盖供应商公章后生效。</w:t>
      </w:r>
    </w:p>
    <w:p w14:paraId="552589A4">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2、合同执行中涉及采购资金和采购内容修改或补充的，需签订书面补充协议报全州县政府采购管理办公室备案，方可作为主合同不可分割的一部分。</w:t>
      </w:r>
    </w:p>
    <w:p w14:paraId="73C2D1DF">
      <w:pPr>
        <w:rPr>
          <w:rFonts w:hint="eastAsia" w:ascii="宋体" w:hAnsi="宋体" w:eastAsia="宋体" w:cs="宋体"/>
          <w:color w:val="auto"/>
          <w:highlight w:val="none"/>
        </w:rPr>
      </w:pPr>
      <w:r>
        <w:rPr>
          <w:rFonts w:hint="eastAsia" w:ascii="宋体" w:hAnsi="宋体" w:eastAsia="宋体" w:cs="宋体"/>
          <w:color w:val="auto"/>
          <w:highlight w:val="none"/>
        </w:rPr>
        <w:t>3、本合同未尽事宜，遵照《中华人民共和国民法典》有关条文执行。</w:t>
      </w:r>
    </w:p>
    <w:p w14:paraId="5A865C01">
      <w:pPr>
        <w:rPr>
          <w:rFonts w:hint="eastAsia" w:ascii="宋体" w:hAnsi="宋体" w:eastAsia="宋体" w:cs="宋体"/>
          <w:b/>
          <w:bCs/>
          <w:color w:val="auto"/>
          <w:highlight w:val="none"/>
        </w:rPr>
      </w:pPr>
      <w:r>
        <w:rPr>
          <w:rFonts w:hint="eastAsia" w:ascii="宋体" w:hAnsi="宋体" w:eastAsia="宋体" w:cs="宋体"/>
          <w:b/>
          <w:bCs/>
          <w:color w:val="auto"/>
          <w:highlight w:val="none"/>
        </w:rPr>
        <w:t>第十</w:t>
      </w:r>
      <w:r>
        <w:rPr>
          <w:rFonts w:hint="eastAsia" w:ascii="宋体" w:hAnsi="宋体" w:eastAsia="宋体" w:cs="宋体"/>
          <w:b/>
          <w:bCs/>
          <w:color w:val="auto"/>
          <w:highlight w:val="none"/>
          <w:lang w:val="en-US" w:eastAsia="zh-CN"/>
        </w:rPr>
        <w:t>三</w:t>
      </w:r>
      <w:r>
        <w:rPr>
          <w:rFonts w:hint="eastAsia" w:ascii="宋体" w:hAnsi="宋体" w:eastAsia="宋体" w:cs="宋体"/>
          <w:b/>
          <w:bCs/>
          <w:color w:val="auto"/>
          <w:highlight w:val="none"/>
        </w:rPr>
        <w:t>条  合同的变更、终止与转让</w:t>
      </w:r>
    </w:p>
    <w:p w14:paraId="48768B1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 除《中华人民共和国政府采购法》第五十条规定的情形及合同约定的解除合同情形外，本合同一经签订，甲乙双方不得擅自变更，中止或终止。</w:t>
      </w:r>
    </w:p>
    <w:p w14:paraId="65A122A9">
      <w:pPr>
        <w:rPr>
          <w:rFonts w:hint="eastAsia" w:ascii="宋体" w:hAnsi="宋体" w:eastAsia="宋体" w:cs="宋体"/>
          <w:color w:val="auto"/>
          <w:highlight w:val="none"/>
        </w:rPr>
      </w:pPr>
      <w:r>
        <w:rPr>
          <w:rFonts w:hint="eastAsia" w:ascii="宋体" w:hAnsi="宋体" w:eastAsia="宋体" w:cs="宋体"/>
          <w:color w:val="auto"/>
          <w:highlight w:val="none"/>
        </w:rPr>
        <w:t>2. 乙方不得擅自转让其应履行的合同义务。</w:t>
      </w:r>
    </w:p>
    <w:p w14:paraId="64A49DFE">
      <w:pPr>
        <w:rPr>
          <w:rFonts w:hint="eastAsia" w:ascii="宋体" w:hAnsi="宋体" w:eastAsia="宋体" w:cs="宋体"/>
          <w:b/>
          <w:bCs/>
          <w:color w:val="auto"/>
          <w:highlight w:val="none"/>
        </w:rPr>
      </w:pPr>
      <w:r>
        <w:rPr>
          <w:rFonts w:hint="eastAsia" w:ascii="宋体" w:hAnsi="宋体" w:eastAsia="宋体" w:cs="宋体"/>
          <w:b/>
          <w:bCs/>
          <w:color w:val="auto"/>
          <w:highlight w:val="none"/>
        </w:rPr>
        <w:t>第十</w:t>
      </w:r>
      <w:r>
        <w:rPr>
          <w:rFonts w:hint="eastAsia" w:ascii="宋体" w:hAnsi="宋体" w:eastAsia="宋体" w:cs="宋体"/>
          <w:b/>
          <w:bCs/>
          <w:color w:val="auto"/>
          <w:highlight w:val="none"/>
          <w:lang w:val="en-US" w:eastAsia="zh-CN"/>
        </w:rPr>
        <w:t>四</w:t>
      </w:r>
      <w:r>
        <w:rPr>
          <w:rFonts w:hint="eastAsia" w:ascii="宋体" w:hAnsi="宋体" w:eastAsia="宋体" w:cs="宋体"/>
          <w:b/>
          <w:bCs/>
          <w:color w:val="auto"/>
          <w:highlight w:val="none"/>
        </w:rPr>
        <w:t>条  签订本合同依据：</w:t>
      </w:r>
    </w:p>
    <w:p w14:paraId="7141D892">
      <w:pPr>
        <w:rPr>
          <w:rFonts w:hint="eastAsia" w:ascii="宋体" w:hAnsi="宋体" w:eastAsia="宋体" w:cs="宋体"/>
          <w:color w:val="auto"/>
          <w:highlight w:val="none"/>
        </w:rPr>
      </w:pPr>
      <w:r>
        <w:rPr>
          <w:rFonts w:hint="eastAsia" w:ascii="宋体" w:hAnsi="宋体" w:eastAsia="宋体" w:cs="宋体"/>
          <w:color w:val="auto"/>
          <w:highlight w:val="none"/>
        </w:rPr>
        <w:t>1. 招标文件；</w:t>
      </w:r>
    </w:p>
    <w:p w14:paraId="7D2C1E37">
      <w:pPr>
        <w:rPr>
          <w:rFonts w:hint="eastAsia" w:ascii="宋体" w:hAnsi="宋体" w:eastAsia="宋体" w:cs="宋体"/>
          <w:color w:val="auto"/>
          <w:highlight w:val="none"/>
        </w:rPr>
      </w:pPr>
      <w:r>
        <w:rPr>
          <w:rFonts w:hint="eastAsia" w:ascii="宋体" w:hAnsi="宋体" w:eastAsia="宋体" w:cs="宋体"/>
          <w:color w:val="auto"/>
          <w:highlight w:val="none"/>
        </w:rPr>
        <w:t>2. 乙方提供的投标（或应答）文件；</w:t>
      </w:r>
    </w:p>
    <w:p w14:paraId="1C6367D2">
      <w:pPr>
        <w:rPr>
          <w:rFonts w:hint="eastAsia" w:ascii="宋体" w:hAnsi="宋体" w:eastAsia="宋体" w:cs="宋体"/>
          <w:color w:val="auto"/>
          <w:highlight w:val="none"/>
        </w:rPr>
      </w:pPr>
      <w:r>
        <w:rPr>
          <w:rFonts w:hint="eastAsia" w:ascii="宋体" w:hAnsi="宋体" w:eastAsia="宋体" w:cs="宋体"/>
          <w:color w:val="auto"/>
          <w:highlight w:val="none"/>
        </w:rPr>
        <w:t>3. 服务承诺书；</w:t>
      </w:r>
    </w:p>
    <w:p w14:paraId="71AEDD40">
      <w:pPr>
        <w:rPr>
          <w:rFonts w:hint="eastAsia" w:ascii="宋体" w:hAnsi="宋体" w:eastAsia="宋体" w:cs="宋体"/>
          <w:color w:val="auto"/>
          <w:highlight w:val="none"/>
        </w:rPr>
      </w:pPr>
      <w:r>
        <w:rPr>
          <w:rFonts w:hint="eastAsia" w:ascii="宋体" w:hAnsi="宋体" w:eastAsia="宋体" w:cs="宋体"/>
          <w:color w:val="auto"/>
          <w:highlight w:val="none"/>
        </w:rPr>
        <w:t>4. 中标通知书。</w:t>
      </w:r>
    </w:p>
    <w:p w14:paraId="593FAF47">
      <w:pPr>
        <w:spacing w:line="360" w:lineRule="auto"/>
        <w:ind w:firstLine="440" w:firstLineChars="200"/>
        <w:rPr>
          <w:rFonts w:hint="eastAsia" w:ascii="宋体" w:hAnsi="宋体" w:eastAsia="宋体" w:cs="宋体"/>
          <w:color w:val="auto"/>
          <w:highlight w:val="none"/>
        </w:rPr>
      </w:pPr>
      <w:r>
        <w:rPr>
          <w:rFonts w:hint="eastAsia" w:ascii="宋体" w:hAnsi="宋体" w:eastAsia="宋体" w:cs="宋体"/>
          <w:color w:val="auto"/>
          <w:highlight w:val="none"/>
        </w:rPr>
        <w:t>本合同甲乙双方签字盖章后生效，一式陆份，具有同等法律效力，甲、乙双方各贰份。政府采购合同双方自签订之日起壹个工作日内将合同原件两份交采购代理机构。采购代理机构将政府采购合同在省级以上人民政府财政部门指定媒体上公告并于合同签订之日起七个工作日内将一份合同原件相关部门备案，一份由采购代理机构存档。</w:t>
      </w:r>
    </w:p>
    <w:p w14:paraId="464AEBD6">
      <w:pPr>
        <w:rPr>
          <w:rFonts w:hint="eastAsia" w:ascii="宋体" w:hAnsi="宋体" w:eastAsia="宋体" w:cs="宋体"/>
          <w:color w:val="auto"/>
          <w:highlight w:val="none"/>
        </w:rPr>
      </w:pPr>
    </w:p>
    <w:p w14:paraId="13902E46">
      <w:pPr>
        <w:rPr>
          <w:rFonts w:hint="eastAsia" w:ascii="宋体" w:hAnsi="宋体" w:eastAsia="宋体" w:cs="宋体"/>
          <w:color w:val="auto"/>
          <w:highlight w:val="none"/>
        </w:rPr>
      </w:pPr>
      <w:r>
        <w:rPr>
          <w:rFonts w:hint="eastAsia" w:ascii="宋体" w:hAnsi="宋体" w:eastAsia="宋体" w:cs="宋体"/>
          <w:color w:val="auto"/>
          <w:highlight w:val="none"/>
        </w:rPr>
        <w:t>甲方（公章）：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乙方（公章，自然人除外）：</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p>
    <w:p w14:paraId="1F319FA3">
      <w:pPr>
        <w:ind w:left="4840" w:hanging="4840" w:hangingChars="2200"/>
        <w:rPr>
          <w:rFonts w:hint="eastAsia" w:ascii="宋体" w:hAnsi="宋体" w:eastAsia="宋体" w:cs="宋体"/>
          <w:color w:val="auto"/>
          <w:highlight w:val="none"/>
        </w:rPr>
      </w:pPr>
      <w:r>
        <w:rPr>
          <w:rFonts w:hint="eastAsia" w:ascii="宋体" w:hAnsi="宋体" w:eastAsia="宋体" w:cs="宋体"/>
          <w:color w:val="auto"/>
          <w:highlight w:val="none"/>
        </w:rPr>
        <w:t>法定代表人签字：</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法定代表人（负责人、自然人）签字（属自然人的应在签名处加盖食指指印）：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p>
    <w:p w14:paraId="68FABFAC">
      <w:pPr>
        <w:rPr>
          <w:rFonts w:hint="eastAsia" w:ascii="宋体" w:hAnsi="宋体" w:eastAsia="宋体" w:cs="宋体"/>
          <w:color w:val="auto"/>
          <w:highlight w:val="none"/>
          <w:u w:val="single"/>
        </w:rPr>
      </w:pPr>
      <w:r>
        <w:rPr>
          <w:rFonts w:hint="eastAsia" w:ascii="宋体" w:hAnsi="宋体" w:eastAsia="宋体" w:cs="宋体"/>
          <w:color w:val="auto"/>
          <w:highlight w:val="none"/>
        </w:rPr>
        <w:t>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委托代理人：</w:t>
      </w:r>
      <w:r>
        <w:rPr>
          <w:rFonts w:hint="eastAsia" w:ascii="宋体" w:hAnsi="宋体" w:eastAsia="宋体" w:cs="宋体"/>
          <w:color w:val="auto"/>
          <w:highlight w:val="none"/>
          <w:u w:val="single"/>
        </w:rPr>
        <w:t xml:space="preserve">                                 </w:t>
      </w:r>
    </w:p>
    <w:p w14:paraId="7E43A56A">
      <w:pPr>
        <w:rPr>
          <w:rFonts w:hint="eastAsia" w:ascii="宋体" w:hAnsi="宋体" w:eastAsia="宋体" w:cs="宋体"/>
          <w:color w:val="auto"/>
          <w:highlight w:val="none"/>
          <w:u w:val="single"/>
        </w:rPr>
      </w:pPr>
      <w:r>
        <w:rPr>
          <w:rFonts w:hint="eastAsia" w:ascii="宋体" w:hAnsi="宋体" w:eastAsia="宋体" w:cs="宋体"/>
          <w:color w:val="auto"/>
          <w:highlight w:val="none"/>
        </w:rPr>
        <w:t>电  话：</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电   话：</w:t>
      </w:r>
      <w:r>
        <w:rPr>
          <w:rFonts w:hint="eastAsia" w:ascii="宋体" w:hAnsi="宋体" w:eastAsia="宋体" w:cs="宋体"/>
          <w:color w:val="auto"/>
          <w:highlight w:val="none"/>
          <w:u w:val="single"/>
        </w:rPr>
        <w:t xml:space="preserve">                                   </w:t>
      </w:r>
    </w:p>
    <w:p w14:paraId="5F9C5A2C">
      <w:pPr>
        <w:rPr>
          <w:rFonts w:hint="eastAsia" w:ascii="宋体" w:hAnsi="宋体" w:eastAsia="宋体" w:cs="宋体"/>
          <w:color w:val="auto"/>
          <w:highlight w:val="none"/>
        </w:rPr>
      </w:pPr>
      <w:r>
        <w:rPr>
          <w:rFonts w:hint="eastAsia" w:ascii="宋体" w:hAnsi="宋体" w:eastAsia="宋体" w:cs="宋体"/>
          <w:color w:val="auto"/>
          <w:highlight w:val="none"/>
        </w:rPr>
        <w:t>开户名称：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开户名称：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p>
    <w:p w14:paraId="1DA04D14">
      <w:pPr>
        <w:rPr>
          <w:rFonts w:hint="eastAsia" w:ascii="宋体" w:hAnsi="宋体" w:eastAsia="宋体" w:cs="宋体"/>
          <w:color w:val="auto"/>
          <w:highlight w:val="none"/>
        </w:rPr>
      </w:pPr>
      <w:r>
        <w:rPr>
          <w:rFonts w:hint="eastAsia" w:ascii="宋体" w:hAnsi="宋体" w:eastAsia="宋体" w:cs="宋体"/>
          <w:color w:val="auto"/>
          <w:highlight w:val="none"/>
        </w:rPr>
        <w:t>开户银行：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开户银行：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p>
    <w:p w14:paraId="29F8B5FD">
      <w:pPr>
        <w:rPr>
          <w:rFonts w:hint="eastAsia" w:ascii="宋体" w:hAnsi="宋体" w:eastAsia="宋体" w:cs="宋体"/>
          <w:color w:val="auto"/>
          <w:highlight w:val="none"/>
        </w:rPr>
      </w:pPr>
      <w:r>
        <w:rPr>
          <w:rFonts w:hint="eastAsia" w:ascii="宋体" w:hAnsi="宋体" w:eastAsia="宋体" w:cs="宋体"/>
          <w:color w:val="auto"/>
          <w:highlight w:val="none"/>
        </w:rPr>
        <w:t>银行账号：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银行账号：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p>
    <w:p w14:paraId="67CAAB3D">
      <w:pPr>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14:paraId="36F006A1">
      <w:pPr>
        <w:rPr>
          <w:rFonts w:hint="eastAsia" w:ascii="宋体" w:hAnsi="宋体" w:eastAsia="宋体" w:cs="宋体"/>
          <w:color w:val="auto"/>
          <w:highlight w:val="none"/>
        </w:rPr>
      </w:pPr>
    </w:p>
    <w:p w14:paraId="7DB55760">
      <w:pPr>
        <w:numPr>
          <w:ilvl w:val="0"/>
          <w:numId w:val="2"/>
        </w:numPr>
        <w:spacing w:line="360" w:lineRule="exact"/>
        <w:jc w:val="center"/>
        <w:outlineLvl w:val="0"/>
        <w:rPr>
          <w:rFonts w:hint="eastAsia" w:ascii="宋体" w:hAnsi="宋体" w:eastAsia="宋体" w:cs="宋体"/>
          <w:b/>
          <w:bCs/>
          <w:color w:val="auto"/>
          <w:sz w:val="32"/>
          <w:szCs w:val="32"/>
          <w:highlight w:val="none"/>
        </w:rPr>
      </w:pPr>
      <w:bookmarkStart w:id="50" w:name="_Toc20434"/>
      <w:r>
        <w:rPr>
          <w:rFonts w:hint="eastAsia" w:ascii="宋体" w:hAnsi="宋体" w:eastAsia="宋体" w:cs="宋体"/>
          <w:b/>
          <w:color w:val="auto"/>
          <w:sz w:val="36"/>
          <w:szCs w:val="36"/>
          <w:highlight w:val="none"/>
        </w:rPr>
        <w:t>投标文件</w:t>
      </w:r>
      <w:r>
        <w:rPr>
          <w:rFonts w:hint="eastAsia" w:ascii="宋体" w:hAnsi="宋体" w:eastAsia="宋体" w:cs="宋体"/>
          <w:b/>
          <w:color w:val="auto"/>
          <w:sz w:val="36"/>
          <w:szCs w:val="36"/>
          <w:highlight w:val="none"/>
          <w:lang w:eastAsia="zh-CN"/>
        </w:rPr>
        <w:t>（</w:t>
      </w:r>
      <w:r>
        <w:rPr>
          <w:rFonts w:hint="eastAsia" w:ascii="宋体" w:hAnsi="宋体" w:eastAsia="宋体" w:cs="宋体"/>
          <w:b/>
          <w:color w:val="auto"/>
          <w:sz w:val="36"/>
          <w:szCs w:val="36"/>
          <w:highlight w:val="none"/>
        </w:rPr>
        <w:t>格</w:t>
      </w:r>
      <w:r>
        <w:rPr>
          <w:rFonts w:hint="eastAsia" w:ascii="宋体" w:hAnsi="宋体" w:eastAsia="宋体" w:cs="宋体"/>
          <w:b/>
          <w:bCs/>
          <w:color w:val="auto"/>
          <w:sz w:val="32"/>
          <w:szCs w:val="32"/>
          <w:highlight w:val="none"/>
        </w:rPr>
        <w:t>式</w:t>
      </w:r>
      <w:bookmarkEnd w:id="50"/>
      <w:bookmarkStart w:id="51" w:name="_Toc498698226"/>
      <w:bookmarkStart w:id="52" w:name="_Toc478137727"/>
      <w:bookmarkStart w:id="53" w:name="_Toc486695806"/>
      <w:bookmarkStart w:id="54" w:name="_Toc486867150"/>
      <w:bookmarkStart w:id="55" w:name="_Toc498627082"/>
      <w:bookmarkStart w:id="56" w:name="_Toc1762"/>
      <w:bookmarkStart w:id="57" w:name="_Toc31410"/>
      <w:r>
        <w:rPr>
          <w:rFonts w:hint="eastAsia" w:ascii="宋体" w:hAnsi="宋体" w:eastAsia="宋体" w:cs="宋体"/>
          <w:b/>
          <w:bCs/>
          <w:color w:val="auto"/>
          <w:sz w:val="32"/>
          <w:szCs w:val="32"/>
          <w:highlight w:val="none"/>
          <w:lang w:eastAsia="zh-CN"/>
        </w:rPr>
        <w:t>）</w:t>
      </w:r>
    </w:p>
    <w:p w14:paraId="0FE4D9CF">
      <w:pPr>
        <w:numPr>
          <w:ilvl w:val="0"/>
          <w:numId w:val="0"/>
        </w:numPr>
        <w:spacing w:line="360" w:lineRule="exact"/>
        <w:jc w:val="left"/>
        <w:outlineLvl w:val="0"/>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投标文件封面格式</w:t>
      </w:r>
      <w:bookmarkEnd w:id="51"/>
      <w:bookmarkEnd w:id="52"/>
      <w:bookmarkEnd w:id="53"/>
      <w:bookmarkEnd w:id="54"/>
      <w:bookmarkEnd w:id="55"/>
      <w:r>
        <w:rPr>
          <w:rFonts w:hint="eastAsia" w:ascii="宋体" w:hAnsi="宋体" w:eastAsia="宋体" w:cs="宋体"/>
          <w:b/>
          <w:bCs/>
          <w:color w:val="auto"/>
          <w:sz w:val="30"/>
          <w:szCs w:val="30"/>
          <w:highlight w:val="none"/>
        </w:rPr>
        <w:t>：</w:t>
      </w:r>
      <w:bookmarkEnd w:id="56"/>
      <w:bookmarkEnd w:id="57"/>
    </w:p>
    <w:p w14:paraId="07EBA811">
      <w:pPr>
        <w:adjustRightInd w:val="0"/>
        <w:snapToGrid w:val="0"/>
        <w:rPr>
          <w:rFonts w:hint="eastAsia" w:ascii="宋体" w:hAnsi="宋体" w:eastAsia="宋体" w:cs="宋体"/>
          <w:b/>
          <w:color w:val="auto"/>
          <w:sz w:val="44"/>
          <w:szCs w:val="44"/>
          <w:highlight w:val="none"/>
        </w:rPr>
      </w:pPr>
    </w:p>
    <w:p w14:paraId="6544998A">
      <w:pPr>
        <w:rPr>
          <w:rFonts w:hint="eastAsia" w:ascii="宋体" w:hAnsi="宋体" w:eastAsia="宋体" w:cs="宋体"/>
          <w:color w:val="auto"/>
          <w:highlight w:val="none"/>
        </w:rPr>
      </w:pPr>
    </w:p>
    <w:p w14:paraId="3B6DD283">
      <w:pPr>
        <w:adjustRightInd w:val="0"/>
        <w:snapToGrid w:val="0"/>
        <w:jc w:val="center"/>
        <w:rPr>
          <w:rFonts w:hint="eastAsia" w:ascii="宋体" w:hAnsi="宋体" w:eastAsia="宋体" w:cs="宋体"/>
          <w:b/>
          <w:color w:val="auto"/>
          <w:sz w:val="44"/>
          <w:szCs w:val="44"/>
          <w:highlight w:val="none"/>
        </w:rPr>
      </w:pPr>
      <w:bookmarkStart w:id="58" w:name="_Toc13659_WPSOffice_Level1"/>
      <w:bookmarkStart w:id="59" w:name="_Toc3441_WPSOffice_Level1"/>
      <w:r>
        <w:rPr>
          <w:rFonts w:hint="eastAsia" w:ascii="宋体" w:hAnsi="宋体" w:eastAsia="宋体" w:cs="宋体"/>
          <w:bCs/>
          <w:color w:val="auto"/>
          <w:sz w:val="72"/>
          <w:szCs w:val="72"/>
          <w:highlight w:val="none"/>
        </w:rPr>
        <w:t>投标文件</w:t>
      </w:r>
      <w:bookmarkEnd w:id="58"/>
      <w:bookmarkEnd w:id="59"/>
    </w:p>
    <w:p w14:paraId="19D65791">
      <w:pPr>
        <w:adjustRightInd w:val="0"/>
        <w:snapToGrid w:val="0"/>
        <w:rPr>
          <w:rFonts w:hint="eastAsia" w:ascii="宋体" w:hAnsi="宋体" w:eastAsia="宋体" w:cs="宋体"/>
          <w:b/>
          <w:color w:val="auto"/>
          <w:sz w:val="44"/>
          <w:szCs w:val="44"/>
          <w:highlight w:val="none"/>
        </w:rPr>
      </w:pPr>
    </w:p>
    <w:p w14:paraId="066FF620">
      <w:pPr>
        <w:pStyle w:val="24"/>
        <w:ind w:firstLine="883"/>
        <w:rPr>
          <w:rFonts w:hint="eastAsia" w:ascii="宋体" w:hAnsi="宋体" w:eastAsia="宋体" w:cs="宋体"/>
          <w:b/>
          <w:color w:val="auto"/>
          <w:sz w:val="44"/>
          <w:szCs w:val="44"/>
          <w:highlight w:val="none"/>
        </w:rPr>
      </w:pPr>
    </w:p>
    <w:p w14:paraId="7CE60ED8">
      <w:pPr>
        <w:spacing w:line="600" w:lineRule="exact"/>
        <w:ind w:firstLine="750" w:firstLineChars="250"/>
        <w:rPr>
          <w:rFonts w:hint="eastAsia" w:ascii="宋体" w:hAnsi="宋体" w:eastAsia="宋体" w:cs="宋体"/>
          <w:bCs/>
          <w:color w:val="auto"/>
          <w:sz w:val="30"/>
          <w:szCs w:val="30"/>
          <w:highlight w:val="none"/>
          <w:lang w:eastAsia="zh-CN"/>
        </w:rPr>
      </w:pPr>
      <w:r>
        <w:rPr>
          <w:rFonts w:hint="eastAsia" w:ascii="宋体" w:hAnsi="宋体" w:eastAsia="宋体" w:cs="宋体"/>
          <w:bCs/>
          <w:color w:val="auto"/>
          <w:sz w:val="30"/>
          <w:szCs w:val="30"/>
          <w:highlight w:val="none"/>
        </w:rPr>
        <w:t>项目名称：</w:t>
      </w:r>
      <w:r>
        <w:rPr>
          <w:rFonts w:hint="eastAsia" w:ascii="宋体" w:hAnsi="宋体" w:eastAsia="宋体" w:cs="宋体"/>
          <w:bCs/>
          <w:color w:val="auto"/>
          <w:sz w:val="30"/>
          <w:szCs w:val="30"/>
          <w:highlight w:val="none"/>
          <w:u w:val="single"/>
          <w:lang w:eastAsia="zh-CN"/>
        </w:rPr>
        <w:t>全州县2023-2026年松材线虫病疫情防控绩效承包项目</w:t>
      </w:r>
    </w:p>
    <w:p w14:paraId="5F78C075">
      <w:pPr>
        <w:spacing w:line="600" w:lineRule="exact"/>
        <w:ind w:firstLine="750" w:firstLineChars="250"/>
        <w:rPr>
          <w:rFonts w:hint="eastAsia" w:ascii="宋体" w:hAnsi="宋体" w:eastAsia="宋体" w:cs="宋体"/>
          <w:bCs/>
          <w:color w:val="auto"/>
          <w:sz w:val="30"/>
          <w:szCs w:val="30"/>
          <w:highlight w:val="none"/>
          <w:u w:val="single"/>
          <w:lang w:val="en-US"/>
        </w:rPr>
      </w:pPr>
      <w:r>
        <w:rPr>
          <w:rFonts w:hint="eastAsia" w:ascii="宋体" w:hAnsi="宋体" w:eastAsia="宋体" w:cs="宋体"/>
          <w:bCs/>
          <w:color w:val="auto"/>
          <w:sz w:val="30"/>
          <w:szCs w:val="30"/>
          <w:highlight w:val="none"/>
        </w:rPr>
        <w:t>项目编号：</w:t>
      </w:r>
      <w:r>
        <w:rPr>
          <w:rFonts w:hint="eastAsia" w:ascii="宋体" w:hAnsi="宋体" w:eastAsia="宋体" w:cs="宋体"/>
          <w:bCs/>
          <w:color w:val="auto"/>
          <w:sz w:val="30"/>
          <w:szCs w:val="30"/>
          <w:highlight w:val="none"/>
          <w:u w:val="single"/>
          <w:lang w:val="en-US" w:eastAsia="zh-CN"/>
        </w:rPr>
        <w:t xml:space="preserve">  GLZC2024-G3-240255-GXGX        </w:t>
      </w:r>
    </w:p>
    <w:p w14:paraId="47224FF4">
      <w:pPr>
        <w:ind w:firstLine="776" w:firstLineChars="353"/>
        <w:rPr>
          <w:rFonts w:hint="eastAsia" w:ascii="宋体" w:hAnsi="宋体" w:eastAsia="宋体" w:cs="宋体"/>
          <w:color w:val="auto"/>
          <w:highlight w:val="none"/>
        </w:rPr>
      </w:pPr>
    </w:p>
    <w:p w14:paraId="7CED6ECC">
      <w:pPr>
        <w:snapToGrid w:val="0"/>
        <w:spacing w:before="120" w:beforeLines="50" w:after="50"/>
        <w:ind w:firstLine="1260" w:firstLineChars="450"/>
        <w:rPr>
          <w:rFonts w:hint="eastAsia" w:ascii="宋体" w:hAnsi="宋体" w:eastAsia="宋体" w:cs="宋体"/>
          <w:bCs/>
          <w:color w:val="auto"/>
          <w:sz w:val="28"/>
          <w:szCs w:val="28"/>
          <w:highlight w:val="none"/>
        </w:rPr>
      </w:pPr>
    </w:p>
    <w:p w14:paraId="22D8DD29">
      <w:pPr>
        <w:pStyle w:val="24"/>
        <w:ind w:firstLine="420"/>
        <w:rPr>
          <w:rFonts w:hint="eastAsia" w:ascii="宋体" w:hAnsi="宋体" w:eastAsia="宋体" w:cs="宋体"/>
          <w:color w:val="auto"/>
          <w:highlight w:val="none"/>
        </w:rPr>
      </w:pPr>
    </w:p>
    <w:p w14:paraId="4ECFEBE1">
      <w:pPr>
        <w:jc w:val="left"/>
        <w:rPr>
          <w:rFonts w:hint="eastAsia" w:ascii="宋体" w:hAnsi="宋体" w:eastAsia="宋体" w:cs="宋体"/>
          <w:b/>
          <w:color w:val="auto"/>
          <w:sz w:val="32"/>
          <w:szCs w:val="32"/>
          <w:highlight w:val="none"/>
        </w:rPr>
      </w:pPr>
    </w:p>
    <w:p w14:paraId="75306989">
      <w:pPr>
        <w:pStyle w:val="11"/>
        <w:spacing w:line="500" w:lineRule="exact"/>
        <w:ind w:firstLine="240" w:firstLineChars="1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采购代理机构：</w:t>
      </w:r>
      <w:bookmarkStart w:id="60" w:name="_Toc4932_WPSOffice_Level2"/>
      <w:bookmarkStart w:id="61" w:name="_Toc20319_WPSOffice_Level2"/>
      <w:r>
        <w:rPr>
          <w:rFonts w:hint="eastAsia" w:ascii="宋体" w:hAnsi="宋体" w:eastAsia="宋体" w:cs="宋体"/>
          <w:bCs/>
          <w:color w:val="auto"/>
          <w:sz w:val="24"/>
          <w:szCs w:val="24"/>
          <w:highlight w:val="none"/>
          <w:u w:val="single"/>
          <w:lang w:eastAsia="zh-CN"/>
        </w:rPr>
        <w:t>广西国兴项目管理有限公司</w:t>
      </w:r>
    </w:p>
    <w:p w14:paraId="71594CFF">
      <w:pPr>
        <w:pStyle w:val="11"/>
        <w:spacing w:line="500" w:lineRule="exact"/>
        <w:ind w:firstLine="240" w:firstLineChars="1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投标人名称[公章(CA签章)，自然人除外]：</w:t>
      </w:r>
      <w:bookmarkEnd w:id="60"/>
      <w:bookmarkEnd w:id="61"/>
      <w:r>
        <w:rPr>
          <w:rFonts w:hint="eastAsia" w:ascii="宋体" w:hAnsi="宋体" w:eastAsia="宋体" w:cs="宋体"/>
          <w:bCs/>
          <w:color w:val="auto"/>
          <w:sz w:val="24"/>
          <w:szCs w:val="24"/>
          <w:highlight w:val="none"/>
          <w:u w:val="single"/>
        </w:rPr>
        <w:t xml:space="preserve">                     </w:t>
      </w:r>
    </w:p>
    <w:p w14:paraId="4AFC0D2F">
      <w:pPr>
        <w:pStyle w:val="13"/>
        <w:spacing w:line="500" w:lineRule="exact"/>
        <w:ind w:firstLine="720" w:firstLineChars="300"/>
        <w:rPr>
          <w:rFonts w:hint="eastAsia" w:ascii="宋体" w:hAnsi="宋体" w:eastAsia="宋体" w:cs="宋体"/>
          <w:color w:val="auto"/>
          <w:sz w:val="24"/>
          <w:szCs w:val="24"/>
          <w:highlight w:val="none"/>
          <w:u w:val="single"/>
        </w:rPr>
      </w:pPr>
      <w:bookmarkStart w:id="62" w:name="_Toc32056_WPSOffice_Level2"/>
      <w:bookmarkStart w:id="63" w:name="_Toc9622_WPSOffice_Level2"/>
      <w:r>
        <w:rPr>
          <w:rFonts w:hint="eastAsia" w:ascii="宋体" w:hAnsi="宋体" w:eastAsia="宋体" w:cs="宋体"/>
          <w:color w:val="auto"/>
          <w:sz w:val="24"/>
          <w:szCs w:val="24"/>
          <w:highlight w:val="none"/>
        </w:rPr>
        <w:t>法定代表人、负责人、自然人或相应的委托代理人签字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或个人CA签章)：</w:t>
      </w:r>
      <w:r>
        <w:rPr>
          <w:rFonts w:hint="eastAsia" w:ascii="宋体" w:hAnsi="宋体" w:eastAsia="宋体" w:cs="宋体"/>
          <w:color w:val="auto"/>
          <w:sz w:val="24"/>
          <w:szCs w:val="24"/>
          <w:highlight w:val="none"/>
          <w:u w:val="single"/>
        </w:rPr>
        <w:t xml:space="preserve">             </w:t>
      </w:r>
    </w:p>
    <w:p w14:paraId="06A8ED55">
      <w:pPr>
        <w:pStyle w:val="11"/>
        <w:spacing w:line="500" w:lineRule="exact"/>
        <w:ind w:firstLine="240" w:firstLineChars="1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bookmarkEnd w:id="62"/>
      <w:bookmarkEnd w:id="63"/>
      <w:r>
        <w:rPr>
          <w:rFonts w:hint="eastAsia" w:ascii="宋体" w:hAnsi="宋体" w:eastAsia="宋体" w:cs="宋体"/>
          <w:bCs/>
          <w:color w:val="auto"/>
          <w:sz w:val="24"/>
          <w:szCs w:val="24"/>
          <w:highlight w:val="none"/>
          <w:u w:val="single"/>
        </w:rPr>
        <w:t xml:space="preserve">                                          </w:t>
      </w:r>
    </w:p>
    <w:p w14:paraId="0FDBEFDF">
      <w:pPr>
        <w:pStyle w:val="11"/>
        <w:spacing w:line="500" w:lineRule="exact"/>
        <w:ind w:firstLine="240" w:firstLineChars="100"/>
        <w:rPr>
          <w:rFonts w:hint="eastAsia" w:ascii="宋体" w:hAnsi="宋体" w:eastAsia="宋体" w:cs="宋体"/>
          <w:bCs/>
          <w:color w:val="auto"/>
          <w:sz w:val="24"/>
          <w:szCs w:val="24"/>
          <w:highlight w:val="none"/>
        </w:rPr>
      </w:pPr>
      <w:bookmarkStart w:id="64" w:name="_Toc26465_WPSOffice_Level2"/>
      <w:bookmarkStart w:id="65" w:name="_Toc15933_WPSOffice_Level2"/>
      <w:r>
        <w:rPr>
          <w:rFonts w:hint="eastAsia" w:ascii="宋体" w:hAnsi="宋体" w:eastAsia="宋体" w:cs="宋体"/>
          <w:bCs/>
          <w:color w:val="auto"/>
          <w:sz w:val="24"/>
          <w:szCs w:val="24"/>
          <w:highlight w:val="none"/>
        </w:rPr>
        <w:t>投标日期：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bookmarkEnd w:id="64"/>
      <w:bookmarkEnd w:id="65"/>
    </w:p>
    <w:p w14:paraId="79DFB086">
      <w:pPr>
        <w:spacing w:line="400" w:lineRule="exact"/>
        <w:jc w:val="center"/>
        <w:rPr>
          <w:rFonts w:hint="eastAsia" w:ascii="宋体" w:hAnsi="宋体" w:eastAsia="宋体" w:cs="宋体"/>
          <w:b/>
          <w:color w:val="auto"/>
          <w:sz w:val="32"/>
          <w:szCs w:val="32"/>
          <w:highlight w:val="none"/>
        </w:rPr>
      </w:pPr>
    </w:p>
    <w:p w14:paraId="3079EC87">
      <w:pPr>
        <w:rPr>
          <w:rFonts w:hint="eastAsia" w:ascii="宋体" w:hAnsi="宋体" w:eastAsia="宋体" w:cs="宋体"/>
          <w:color w:val="auto"/>
          <w:highlight w:val="none"/>
        </w:rPr>
      </w:pPr>
    </w:p>
    <w:p w14:paraId="00242BD0">
      <w:pPr>
        <w:pStyle w:val="24"/>
        <w:rPr>
          <w:rFonts w:hint="eastAsia" w:ascii="宋体" w:hAnsi="宋体" w:eastAsia="宋体" w:cs="宋体"/>
          <w:color w:val="auto"/>
          <w:sz w:val="32"/>
          <w:highlight w:val="none"/>
        </w:rPr>
      </w:pPr>
    </w:p>
    <w:p w14:paraId="2F799D65">
      <w:pPr>
        <w:rPr>
          <w:rFonts w:hint="eastAsia" w:ascii="宋体" w:hAnsi="宋体" w:eastAsia="宋体" w:cs="宋体"/>
          <w:color w:val="auto"/>
          <w:sz w:val="32"/>
          <w:highlight w:val="none"/>
        </w:rPr>
      </w:pPr>
      <w:r>
        <w:rPr>
          <w:rFonts w:hint="eastAsia" w:ascii="宋体" w:hAnsi="宋体" w:eastAsia="宋体" w:cs="宋体"/>
          <w:color w:val="auto"/>
          <w:sz w:val="32"/>
          <w:highlight w:val="none"/>
        </w:rPr>
        <w:br w:type="page"/>
      </w:r>
    </w:p>
    <w:p w14:paraId="465E344B">
      <w:pPr>
        <w:tabs>
          <w:tab w:val="left" w:pos="1305"/>
        </w:tabs>
        <w:spacing w:line="520" w:lineRule="exact"/>
        <w:jc w:val="center"/>
        <w:outlineLvl w:val="9"/>
        <w:rPr>
          <w:rFonts w:hint="eastAsia" w:ascii="宋体" w:hAnsi="宋体" w:eastAsia="宋体" w:cs="宋体"/>
          <w:b/>
          <w:bCs/>
          <w:color w:val="auto"/>
          <w:sz w:val="24"/>
          <w:szCs w:val="20"/>
          <w:highlight w:val="none"/>
          <w:lang w:val="en-US" w:eastAsia="zh-CN"/>
        </w:rPr>
      </w:pPr>
      <w:r>
        <w:rPr>
          <w:rFonts w:hint="eastAsia" w:ascii="宋体" w:hAnsi="宋体" w:eastAsia="宋体" w:cs="宋体"/>
          <w:b/>
          <w:bCs/>
          <w:color w:val="auto"/>
          <w:sz w:val="24"/>
          <w:szCs w:val="20"/>
          <w:highlight w:val="none"/>
          <w:lang w:val="en-US" w:eastAsia="zh-CN"/>
        </w:rPr>
        <w:t>投标文件目录</w:t>
      </w:r>
    </w:p>
    <w:p w14:paraId="08BFB06F">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rPr>
        <w:t>一、</w:t>
      </w:r>
      <w:r>
        <w:rPr>
          <w:rFonts w:hint="eastAsia" w:ascii="宋体" w:hAnsi="宋体" w:eastAsia="宋体" w:cs="宋体"/>
          <w:b/>
          <w:bCs/>
          <w:color w:val="auto"/>
          <w:kern w:val="2"/>
          <w:sz w:val="21"/>
          <w:szCs w:val="21"/>
          <w:highlight w:val="none"/>
        </w:rPr>
        <w:t>资格性响应证明材料：</w:t>
      </w:r>
    </w:p>
    <w:p w14:paraId="5A90536E">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）投标人相应的法定代表人或负责人或自然人身份证正反面扫描件</w:t>
      </w:r>
      <w:r>
        <w:rPr>
          <w:rFonts w:hint="eastAsia" w:ascii="宋体" w:hAnsi="宋体" w:eastAsia="宋体" w:cs="宋体"/>
          <w:b/>
          <w:bCs/>
          <w:color w:val="auto"/>
          <w:kern w:val="2"/>
          <w:sz w:val="21"/>
          <w:szCs w:val="21"/>
          <w:highlight w:val="none"/>
        </w:rPr>
        <w:t>（必须提供）；</w:t>
      </w:r>
    </w:p>
    <w:p w14:paraId="24A393D5">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）投标人的授权委托书原件（格式见附件）、委托代理人身份证正反面扫描件以及由县级以上（含县级）社会养老保险经办机构出具的投标人为委托代理人交纳</w:t>
      </w:r>
      <w:r>
        <w:rPr>
          <w:rFonts w:hint="eastAsia" w:ascii="宋体" w:hAnsi="宋体" w:eastAsia="宋体" w:cs="宋体"/>
          <w:color w:val="auto"/>
          <w:kern w:val="2"/>
          <w:sz w:val="21"/>
          <w:szCs w:val="21"/>
          <w:highlight w:val="none"/>
          <w:lang w:eastAsia="zh-CN"/>
        </w:rPr>
        <w:t>的</w:t>
      </w:r>
      <w:r>
        <w:rPr>
          <w:rFonts w:hint="eastAsia" w:ascii="宋体" w:hAnsi="宋体" w:eastAsia="宋体" w:cs="宋体"/>
          <w:color w:val="auto"/>
          <w:kern w:val="2"/>
          <w:sz w:val="21"/>
          <w:szCs w:val="21"/>
          <w:highlight w:val="none"/>
        </w:rPr>
        <w:t>202</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年以来任意一个月社保证明扫描件【自然人投标的应提供由县级以上（含县级）社会养老保险经办机构出具的自然人本人及委托代理人所交纳的202</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年以来任意一个月社保证明扫描件】</w:t>
      </w:r>
      <w:r>
        <w:rPr>
          <w:rFonts w:hint="eastAsia" w:ascii="宋体" w:hAnsi="宋体" w:eastAsia="宋体" w:cs="宋体"/>
          <w:b/>
          <w:bCs/>
          <w:color w:val="auto"/>
          <w:kern w:val="2"/>
          <w:sz w:val="21"/>
          <w:szCs w:val="21"/>
          <w:highlight w:val="none"/>
        </w:rPr>
        <w:t xml:space="preserve">（委托代理时必须提供；若为新成立的企业，请根据实际情况提供）； </w:t>
      </w:r>
    </w:p>
    <w:p w14:paraId="79BAC9D7">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）投标人的法人或者其他组织营业执照等证明文件扫描件</w:t>
      </w:r>
      <w:r>
        <w:rPr>
          <w:rFonts w:hint="eastAsia" w:ascii="宋体" w:hAnsi="宋体" w:eastAsia="宋体" w:cs="宋体"/>
          <w:b/>
          <w:bCs/>
          <w:color w:val="auto"/>
          <w:kern w:val="2"/>
          <w:sz w:val="21"/>
          <w:szCs w:val="21"/>
          <w:highlight w:val="none"/>
        </w:rPr>
        <w:t>（必须提供，自然人除外）；</w:t>
      </w:r>
    </w:p>
    <w:p w14:paraId="58507836">
      <w:pPr>
        <w:widowControl w:val="0"/>
        <w:adjustRightInd/>
        <w:snapToGrid/>
        <w:spacing w:after="0" w:line="380" w:lineRule="exact"/>
        <w:ind w:firstLine="435"/>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4BA1458A">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w:t>
      </w:r>
      <w:r>
        <w:rPr>
          <w:rFonts w:hint="eastAsia" w:ascii="宋体" w:hAnsi="宋体" w:eastAsia="宋体" w:cs="宋体"/>
          <w:color w:val="auto"/>
          <w:kern w:val="2"/>
          <w:sz w:val="21"/>
          <w:szCs w:val="21"/>
          <w:highlight w:val="none"/>
          <w:lang w:val="en-US" w:eastAsia="zh-CN"/>
        </w:rPr>
        <w:t>投标人</w:t>
      </w:r>
      <w:r>
        <w:rPr>
          <w:rFonts w:hint="eastAsia" w:ascii="宋体" w:hAnsi="宋体" w:eastAsia="宋体" w:cs="宋体"/>
          <w:color w:val="auto"/>
          <w:kern w:val="2"/>
          <w:sz w:val="21"/>
          <w:szCs w:val="21"/>
          <w:highlight w:val="none"/>
        </w:rPr>
        <w:t>2022年度以来任意一个年度内的财务状况报告或2023年以来其基本开户银行出具的资信证明</w:t>
      </w:r>
      <w:r>
        <w:rPr>
          <w:rFonts w:hint="eastAsia" w:ascii="宋体" w:hAnsi="宋体" w:eastAsia="宋体" w:cs="宋体"/>
          <w:color w:val="auto"/>
          <w:kern w:val="2"/>
          <w:sz w:val="21"/>
          <w:szCs w:val="21"/>
          <w:highlight w:val="none"/>
          <w:lang w:val="en-US" w:eastAsia="zh-CN"/>
        </w:rPr>
        <w:t>扫描</w:t>
      </w:r>
      <w:r>
        <w:rPr>
          <w:rFonts w:hint="eastAsia" w:ascii="宋体" w:hAnsi="宋体" w:eastAsia="宋体" w:cs="宋体"/>
          <w:color w:val="auto"/>
          <w:kern w:val="2"/>
          <w:sz w:val="21"/>
          <w:szCs w:val="21"/>
          <w:highlight w:val="none"/>
        </w:rPr>
        <w:t>件</w:t>
      </w:r>
      <w:r>
        <w:rPr>
          <w:rFonts w:hint="eastAsia" w:ascii="宋体" w:hAnsi="宋体" w:eastAsia="宋体" w:cs="宋体"/>
          <w:b/>
          <w:bCs/>
          <w:color w:val="auto"/>
          <w:kern w:val="2"/>
          <w:sz w:val="21"/>
          <w:szCs w:val="21"/>
          <w:highlight w:val="none"/>
        </w:rPr>
        <w:t>（必须提供）；</w:t>
      </w:r>
    </w:p>
    <w:p w14:paraId="1974DC6D">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val="0"/>
          <w:bCs w:val="0"/>
          <w:color w:val="auto"/>
          <w:kern w:val="2"/>
          <w:sz w:val="21"/>
          <w:szCs w:val="21"/>
          <w:highlight w:val="none"/>
        </w:rPr>
        <w:t>（</w:t>
      </w:r>
      <w:r>
        <w:rPr>
          <w:rFonts w:hint="eastAsia" w:ascii="宋体" w:hAnsi="宋体" w:eastAsia="宋体" w:cs="宋体"/>
          <w:b w:val="0"/>
          <w:bCs w:val="0"/>
          <w:color w:val="auto"/>
          <w:kern w:val="2"/>
          <w:sz w:val="21"/>
          <w:szCs w:val="21"/>
          <w:highlight w:val="none"/>
          <w:lang w:val="en-US" w:eastAsia="zh-CN"/>
        </w:rPr>
        <w:t>5</w:t>
      </w:r>
      <w:r>
        <w:rPr>
          <w:rFonts w:hint="eastAsia" w:ascii="宋体" w:hAnsi="宋体" w:eastAsia="宋体" w:cs="宋体"/>
          <w:b w:val="0"/>
          <w:bCs w:val="0"/>
          <w:color w:val="auto"/>
          <w:kern w:val="2"/>
          <w:sz w:val="21"/>
          <w:szCs w:val="21"/>
          <w:highlight w:val="none"/>
        </w:rPr>
        <w:t>）投标人202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年任意一个月依法缴纳税收或依法免税的相关材料</w:t>
      </w:r>
      <w:r>
        <w:rPr>
          <w:rFonts w:hint="eastAsia" w:ascii="宋体" w:hAnsi="宋体" w:eastAsia="宋体" w:cs="宋体"/>
          <w:color w:val="auto"/>
          <w:kern w:val="2"/>
          <w:sz w:val="21"/>
          <w:szCs w:val="21"/>
          <w:highlight w:val="none"/>
        </w:rPr>
        <w:t>扫描件</w:t>
      </w:r>
      <w:r>
        <w:rPr>
          <w:rFonts w:hint="eastAsia" w:ascii="宋体" w:hAnsi="宋体" w:eastAsia="宋体" w:cs="宋体"/>
          <w:b/>
          <w:bCs/>
          <w:color w:val="auto"/>
          <w:kern w:val="2"/>
          <w:sz w:val="21"/>
          <w:szCs w:val="21"/>
          <w:highlight w:val="none"/>
        </w:rPr>
        <w:t>（必须提供）；</w:t>
      </w:r>
    </w:p>
    <w:p w14:paraId="6BDEF71D">
      <w:pPr>
        <w:widowControl w:val="0"/>
        <w:adjustRightInd/>
        <w:snapToGrid/>
        <w:spacing w:after="0" w:line="380" w:lineRule="exact"/>
        <w:ind w:firstLine="435"/>
        <w:jc w:val="both"/>
        <w:rPr>
          <w:rFonts w:hint="eastAsia" w:ascii="宋体" w:hAnsi="宋体" w:eastAsia="宋体" w:cs="宋体"/>
          <w:b w:val="0"/>
          <w:bCs w:val="0"/>
          <w:color w:val="auto"/>
          <w:kern w:val="2"/>
          <w:sz w:val="21"/>
          <w:szCs w:val="21"/>
          <w:highlight w:val="none"/>
          <w:lang w:eastAsia="zh-CN"/>
        </w:rPr>
      </w:pPr>
      <w:r>
        <w:rPr>
          <w:rFonts w:hint="eastAsia" w:ascii="宋体" w:hAnsi="宋体" w:eastAsia="宋体" w:cs="宋体"/>
          <w:b w:val="0"/>
          <w:bCs w:val="0"/>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rPr>
        <w:t>6</w:t>
      </w:r>
      <w:r>
        <w:rPr>
          <w:rFonts w:hint="eastAsia" w:ascii="宋体" w:hAnsi="宋体" w:eastAsia="宋体" w:cs="宋体"/>
          <w:b w:val="0"/>
          <w:bCs w:val="0"/>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rPr>
        <w:t>投标人</w:t>
      </w:r>
      <w:r>
        <w:rPr>
          <w:rFonts w:hint="eastAsia" w:ascii="宋体" w:hAnsi="宋体" w:eastAsia="宋体" w:cs="宋体"/>
          <w:b w:val="0"/>
          <w:bCs w:val="0"/>
          <w:color w:val="auto"/>
          <w:kern w:val="2"/>
          <w:sz w:val="21"/>
          <w:szCs w:val="21"/>
          <w:highlight w:val="none"/>
          <w:lang w:eastAsia="zh-CN"/>
        </w:rPr>
        <w:t>202</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lang w:eastAsia="zh-CN"/>
        </w:rPr>
        <w:t>年任意一个月依法缴纳社会保障资金的相关证明材料</w:t>
      </w:r>
      <w:r>
        <w:rPr>
          <w:rFonts w:hint="eastAsia" w:ascii="宋体" w:hAnsi="宋体" w:eastAsia="宋体" w:cs="宋体"/>
          <w:color w:val="auto"/>
          <w:kern w:val="2"/>
          <w:sz w:val="21"/>
          <w:szCs w:val="21"/>
          <w:highlight w:val="none"/>
        </w:rPr>
        <w:t>扫描件</w:t>
      </w:r>
      <w:r>
        <w:rPr>
          <w:rFonts w:hint="eastAsia" w:ascii="宋体" w:hAnsi="宋体" w:eastAsia="宋体" w:cs="宋体"/>
          <w:b/>
          <w:bCs/>
          <w:color w:val="auto"/>
          <w:kern w:val="2"/>
          <w:sz w:val="21"/>
          <w:szCs w:val="21"/>
          <w:highlight w:val="none"/>
          <w:lang w:eastAsia="zh-CN"/>
        </w:rPr>
        <w:t>（必须提供）</w:t>
      </w:r>
      <w:r>
        <w:rPr>
          <w:rFonts w:hint="eastAsia" w:ascii="宋体" w:hAnsi="宋体" w:eastAsia="宋体" w:cs="宋体"/>
          <w:b w:val="0"/>
          <w:bCs w:val="0"/>
          <w:color w:val="auto"/>
          <w:kern w:val="2"/>
          <w:sz w:val="21"/>
          <w:szCs w:val="21"/>
          <w:highlight w:val="none"/>
          <w:lang w:eastAsia="zh-CN"/>
        </w:rPr>
        <w:t>；</w:t>
      </w:r>
    </w:p>
    <w:p w14:paraId="25F21DCA">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eastAsia="zh-CN"/>
        </w:rPr>
        <w:t>投标人</w:t>
      </w:r>
      <w:r>
        <w:rPr>
          <w:rFonts w:hint="eastAsia" w:ascii="宋体" w:hAnsi="宋体" w:eastAsia="宋体" w:cs="宋体"/>
          <w:color w:val="auto"/>
          <w:kern w:val="2"/>
          <w:sz w:val="21"/>
          <w:szCs w:val="21"/>
          <w:highlight w:val="none"/>
        </w:rPr>
        <w:t>参加政府采购活动前三年内在经营活动中没有重大违法记录及有关信用信息的书面声明</w:t>
      </w:r>
      <w:r>
        <w:rPr>
          <w:rFonts w:hint="eastAsia" w:ascii="宋体" w:hAnsi="宋体" w:eastAsia="宋体" w:cs="宋体"/>
          <w:b/>
          <w:bCs/>
          <w:color w:val="auto"/>
          <w:kern w:val="2"/>
          <w:sz w:val="21"/>
          <w:szCs w:val="21"/>
          <w:highlight w:val="none"/>
        </w:rPr>
        <w:t>（格式见附件，必须提供）；</w:t>
      </w:r>
    </w:p>
    <w:p w14:paraId="436EB9E6">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rPr>
        <w:t>二、</w:t>
      </w:r>
      <w:r>
        <w:rPr>
          <w:rFonts w:hint="eastAsia" w:ascii="宋体" w:hAnsi="宋体" w:eastAsia="宋体" w:cs="宋体"/>
          <w:b/>
          <w:bCs/>
          <w:color w:val="auto"/>
          <w:kern w:val="2"/>
          <w:sz w:val="21"/>
          <w:szCs w:val="21"/>
          <w:highlight w:val="none"/>
        </w:rPr>
        <w:t>符合性响应证明材料：</w:t>
      </w:r>
    </w:p>
    <w:p w14:paraId="5B2FB946">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（1）投标报价表</w:t>
      </w:r>
      <w:r>
        <w:rPr>
          <w:rFonts w:hint="eastAsia" w:ascii="宋体" w:hAnsi="宋体" w:eastAsia="宋体" w:cs="宋体"/>
          <w:b/>
          <w:bCs/>
          <w:color w:val="auto"/>
          <w:kern w:val="2"/>
          <w:sz w:val="21"/>
          <w:szCs w:val="21"/>
          <w:highlight w:val="none"/>
        </w:rPr>
        <w:t>（必须提供）；</w:t>
      </w:r>
    </w:p>
    <w:p w14:paraId="25CB516A">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（2）服务采购需求</w:t>
      </w:r>
      <w:r>
        <w:rPr>
          <w:rFonts w:hint="eastAsia" w:ascii="宋体" w:hAnsi="宋体" w:eastAsia="宋体" w:cs="宋体"/>
          <w:color w:val="auto"/>
          <w:kern w:val="2"/>
          <w:sz w:val="21"/>
          <w:szCs w:val="21"/>
          <w:highlight w:val="none"/>
          <w:lang w:val="en-US" w:eastAsia="zh-CN"/>
        </w:rPr>
        <w:t>响应</w:t>
      </w:r>
      <w:r>
        <w:rPr>
          <w:rFonts w:hint="eastAsia" w:ascii="宋体" w:hAnsi="宋体" w:eastAsia="宋体" w:cs="宋体"/>
          <w:color w:val="auto"/>
          <w:kern w:val="2"/>
          <w:sz w:val="21"/>
          <w:szCs w:val="21"/>
          <w:highlight w:val="none"/>
        </w:rPr>
        <w:t>表</w:t>
      </w:r>
      <w:r>
        <w:rPr>
          <w:rFonts w:hint="eastAsia" w:ascii="宋体" w:hAnsi="宋体" w:eastAsia="宋体" w:cs="宋体"/>
          <w:b/>
          <w:bCs/>
          <w:color w:val="auto"/>
          <w:kern w:val="2"/>
          <w:sz w:val="21"/>
          <w:szCs w:val="21"/>
          <w:highlight w:val="none"/>
        </w:rPr>
        <w:t>（必须提供）；</w:t>
      </w:r>
    </w:p>
    <w:p w14:paraId="4A52C723">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项目实施</w:t>
      </w:r>
      <w:r>
        <w:rPr>
          <w:rFonts w:hint="eastAsia" w:ascii="宋体" w:hAnsi="宋体" w:eastAsia="宋体" w:cs="宋体"/>
          <w:color w:val="auto"/>
          <w:kern w:val="2"/>
          <w:sz w:val="21"/>
          <w:szCs w:val="21"/>
          <w:highlight w:val="none"/>
        </w:rPr>
        <w:t>方案</w:t>
      </w:r>
      <w:r>
        <w:rPr>
          <w:rFonts w:hint="eastAsia" w:ascii="宋体" w:hAnsi="宋体" w:eastAsia="宋体" w:cs="宋体"/>
          <w:b/>
          <w:bCs/>
          <w:color w:val="auto"/>
          <w:kern w:val="2"/>
          <w:sz w:val="21"/>
          <w:szCs w:val="21"/>
          <w:highlight w:val="none"/>
        </w:rPr>
        <w:t>（必须提供，根据本项目采购需求及评标办法自行编写）</w:t>
      </w:r>
    </w:p>
    <w:p w14:paraId="680429C4">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服务</w:t>
      </w:r>
      <w:r>
        <w:rPr>
          <w:rFonts w:hint="eastAsia" w:ascii="宋体" w:hAnsi="宋体" w:eastAsia="宋体" w:cs="宋体"/>
          <w:color w:val="auto"/>
          <w:kern w:val="2"/>
          <w:sz w:val="21"/>
          <w:szCs w:val="21"/>
          <w:highlight w:val="none"/>
          <w:lang w:eastAsia="zh-CN"/>
        </w:rPr>
        <w:t>采购需求</w:t>
      </w:r>
      <w:r>
        <w:rPr>
          <w:rFonts w:hint="eastAsia" w:ascii="宋体" w:hAnsi="宋体" w:eastAsia="宋体" w:cs="宋体"/>
          <w:color w:val="auto"/>
          <w:kern w:val="2"/>
          <w:sz w:val="21"/>
          <w:szCs w:val="21"/>
          <w:highlight w:val="none"/>
        </w:rPr>
        <w:t>”中要求必须提供的有效证明文件</w:t>
      </w:r>
      <w:r>
        <w:rPr>
          <w:rFonts w:hint="eastAsia" w:ascii="宋体" w:hAnsi="宋体" w:eastAsia="宋体" w:cs="宋体"/>
          <w:b/>
          <w:bCs/>
          <w:color w:val="auto"/>
          <w:kern w:val="2"/>
          <w:sz w:val="21"/>
          <w:szCs w:val="21"/>
          <w:highlight w:val="none"/>
        </w:rPr>
        <w:t>（按其要求提供）；</w:t>
      </w:r>
    </w:p>
    <w:p w14:paraId="345D81CE">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）投标人202</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年1月1日以来具有同类服务项目业绩【无不良记录，以中标（成交）通知书或采购合同（协议）复印件为准（能清晰反映所服务名称、内容）】</w:t>
      </w:r>
      <w:r>
        <w:rPr>
          <w:rFonts w:hint="eastAsia" w:ascii="宋体" w:hAnsi="宋体" w:eastAsia="宋体" w:cs="宋体"/>
          <w:b/>
          <w:bCs/>
          <w:color w:val="auto"/>
          <w:kern w:val="2"/>
          <w:sz w:val="21"/>
          <w:szCs w:val="21"/>
          <w:highlight w:val="none"/>
        </w:rPr>
        <w:t>（如有，请提供）；</w:t>
      </w:r>
    </w:p>
    <w:p w14:paraId="39807005">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）项目拟投入人员一览表</w:t>
      </w:r>
      <w:r>
        <w:rPr>
          <w:rFonts w:hint="eastAsia" w:ascii="宋体" w:hAnsi="宋体" w:eastAsia="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rPr>
        <w:t>如有，请提供</w:t>
      </w:r>
      <w:r>
        <w:rPr>
          <w:rFonts w:hint="eastAsia" w:ascii="宋体" w:hAnsi="宋体" w:eastAsia="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rPr>
        <w:t>；</w:t>
      </w:r>
    </w:p>
    <w:p w14:paraId="484B04A6">
      <w:pPr>
        <w:widowControl w:val="0"/>
        <w:adjustRightInd/>
        <w:snapToGrid/>
        <w:spacing w:after="0" w:line="380" w:lineRule="exact"/>
        <w:ind w:firstLine="435"/>
        <w:jc w:val="both"/>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）投标人相关获奖证书、认证证书等复印件</w:t>
      </w:r>
      <w:r>
        <w:rPr>
          <w:rFonts w:hint="eastAsia" w:ascii="宋体" w:hAnsi="宋体" w:eastAsia="宋体" w:cs="宋体"/>
          <w:b/>
          <w:bCs/>
          <w:color w:val="auto"/>
          <w:kern w:val="2"/>
          <w:sz w:val="21"/>
          <w:szCs w:val="21"/>
          <w:highlight w:val="none"/>
        </w:rPr>
        <w:t>（如有，请提供）；</w:t>
      </w:r>
    </w:p>
    <w:p w14:paraId="0B1E6219">
      <w:pPr>
        <w:widowControl w:val="0"/>
        <w:adjustRightInd/>
        <w:snapToGrid/>
        <w:spacing w:after="0" w:line="380" w:lineRule="exact"/>
        <w:ind w:firstLine="435"/>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8</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投标人承接本项目全部服务且投标人为符合政策要求的中小企业的，提供《中小企业声明函》；属于监狱企业的，提供由省级以上监狱管理局、戒毒管理局(含新疆生产建设兵团)出具的属于监狱企业的证明文件</w:t>
      </w:r>
      <w:r>
        <w:rPr>
          <w:rFonts w:hint="eastAsia" w:ascii="宋体" w:hAnsi="宋体" w:eastAsia="宋体" w:cs="宋体"/>
          <w:b/>
          <w:bCs/>
          <w:color w:val="auto"/>
          <w:kern w:val="2"/>
          <w:sz w:val="21"/>
          <w:szCs w:val="21"/>
          <w:highlight w:val="none"/>
        </w:rPr>
        <w:t>（如有，请提供）；</w:t>
      </w:r>
    </w:p>
    <w:p w14:paraId="34C2BDC9">
      <w:pPr>
        <w:widowControl w:val="0"/>
        <w:adjustRightInd/>
        <w:snapToGrid/>
        <w:spacing w:after="0" w:line="380" w:lineRule="exact"/>
        <w:ind w:firstLine="435"/>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9</w:t>
      </w:r>
      <w:r>
        <w:rPr>
          <w:rFonts w:hint="eastAsia" w:ascii="宋体" w:hAnsi="宋体" w:eastAsia="宋体" w:cs="宋体"/>
          <w:color w:val="auto"/>
          <w:kern w:val="2"/>
          <w:sz w:val="21"/>
          <w:szCs w:val="21"/>
          <w:highlight w:val="none"/>
        </w:rPr>
        <w:t>）符合条件的残疾人福利性单位在参加政府采购活动时，提供《残疾人福利性单位声明函》，并对声明的真实性负责</w:t>
      </w:r>
      <w:r>
        <w:rPr>
          <w:rFonts w:hint="eastAsia" w:ascii="宋体" w:hAnsi="宋体" w:eastAsia="宋体" w:cs="宋体"/>
          <w:b/>
          <w:bCs/>
          <w:color w:val="auto"/>
          <w:kern w:val="2"/>
          <w:sz w:val="21"/>
          <w:szCs w:val="21"/>
          <w:highlight w:val="none"/>
        </w:rPr>
        <w:t>（如有，请提供）；</w:t>
      </w:r>
    </w:p>
    <w:p w14:paraId="37E74666">
      <w:pPr>
        <w:tabs>
          <w:tab w:val="left" w:pos="1305"/>
        </w:tabs>
        <w:spacing w:line="520" w:lineRule="exact"/>
        <w:ind w:firstLine="420" w:firstLineChars="200"/>
        <w:outlineLvl w:val="9"/>
        <w:rPr>
          <w:rFonts w:hint="eastAsia"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）投标人可结合本项目的评标办法视自身情况自行提交相关证明材料</w:t>
      </w:r>
      <w:r>
        <w:rPr>
          <w:rFonts w:hint="eastAsia" w:ascii="宋体" w:hAnsi="宋体" w:eastAsia="宋体" w:cs="宋体"/>
          <w:b/>
          <w:bCs/>
          <w:color w:val="auto"/>
          <w:kern w:val="2"/>
          <w:sz w:val="21"/>
          <w:szCs w:val="21"/>
          <w:highlight w:val="none"/>
        </w:rPr>
        <w:t>（如有，请提供）。</w:t>
      </w:r>
    </w:p>
    <w:p w14:paraId="667655A2">
      <w:pPr>
        <w:tabs>
          <w:tab w:val="left" w:pos="1305"/>
        </w:tabs>
        <w:spacing w:line="520" w:lineRule="exact"/>
        <w:outlineLvl w:val="9"/>
        <w:rPr>
          <w:rFonts w:hint="eastAsia" w:ascii="宋体" w:hAnsi="宋体" w:eastAsia="宋体" w:cs="宋体"/>
          <w:b/>
          <w:color w:val="auto"/>
          <w:sz w:val="32"/>
          <w:szCs w:val="32"/>
          <w:highlight w:val="none"/>
        </w:rPr>
      </w:pPr>
    </w:p>
    <w:p w14:paraId="035A8BC1">
      <w:pPr>
        <w:tabs>
          <w:tab w:val="left" w:pos="1305"/>
        </w:tabs>
        <w:spacing w:line="520" w:lineRule="exact"/>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一、资格性响应证明材料（格式）</w:t>
      </w:r>
    </w:p>
    <w:p w14:paraId="61849180">
      <w:pPr>
        <w:tabs>
          <w:tab w:val="left" w:pos="1305"/>
        </w:tabs>
        <w:spacing w:line="400" w:lineRule="exact"/>
        <w:ind w:firstLine="643" w:firstLineChars="20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1</w:t>
      </w:r>
      <w:r>
        <w:rPr>
          <w:rFonts w:hint="eastAsia" w:ascii="宋体" w:hAnsi="宋体" w:eastAsia="宋体" w:cs="宋体"/>
          <w:b/>
          <w:color w:val="auto"/>
          <w:sz w:val="32"/>
          <w:szCs w:val="32"/>
          <w:highlight w:val="none"/>
        </w:rPr>
        <w:t>.投标人相应的法定代表人或负责人或自然人身份证正反面扫描件（必须提供）；</w:t>
      </w:r>
    </w:p>
    <w:p w14:paraId="0DA6B6E3">
      <w:pPr>
        <w:pStyle w:val="13"/>
        <w:spacing w:line="400" w:lineRule="exact"/>
        <w:rPr>
          <w:rFonts w:hint="eastAsia" w:ascii="宋体" w:hAnsi="宋体" w:eastAsia="宋体" w:cs="宋体"/>
          <w:b/>
          <w:color w:val="auto"/>
          <w:sz w:val="32"/>
          <w:szCs w:val="32"/>
          <w:highlight w:val="none"/>
        </w:rPr>
      </w:pPr>
    </w:p>
    <w:p w14:paraId="5263CE41">
      <w:pPr>
        <w:pStyle w:val="13"/>
        <w:spacing w:line="400" w:lineRule="exact"/>
        <w:ind w:firstLine="643" w:firstLineChars="20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2</w:t>
      </w:r>
      <w:r>
        <w:rPr>
          <w:rFonts w:hint="eastAsia" w:ascii="宋体" w:hAnsi="宋体" w:eastAsia="宋体" w:cs="宋体"/>
          <w:b/>
          <w:bCs w:val="0"/>
          <w:color w:val="auto"/>
          <w:sz w:val="32"/>
          <w:szCs w:val="32"/>
          <w:highlight w:val="none"/>
        </w:rPr>
        <w:t xml:space="preserve">. 投标人的授权委托书原件（格式见附件）、委托代理人身份证正反面扫描件以及由县级以上（含县级）社会养老保险经办机构出具的投标人为委托代理人交纳的2024年以来任意一个月社保证明扫描件【自然人投标的应提供由县级以上（含县级）社会养老保险经办机构出具的自然人本人及委托代理人所交纳的2024年以来任意一个月社保证明扫描件】（委托代理时必须提供；若为新成立的企业，请根据实际情况提供）； </w:t>
      </w:r>
    </w:p>
    <w:p w14:paraId="18ECB991">
      <w:pPr>
        <w:pStyle w:val="13"/>
        <w:spacing w:line="400" w:lineRule="exact"/>
        <w:ind w:left="440" w:leftChars="200" w:firstLine="157" w:firstLineChars="4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附件：</w:t>
      </w:r>
    </w:p>
    <w:p w14:paraId="61FA5717">
      <w:pPr>
        <w:pStyle w:val="13"/>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 xml:space="preserve">  授权委托书（格式一）</w:t>
      </w:r>
    </w:p>
    <w:p w14:paraId="17CF1EA9">
      <w:pPr>
        <w:pStyle w:val="13"/>
        <w:spacing w:line="400" w:lineRule="exact"/>
        <w:ind w:firstLine="527" w:firstLineChars="250"/>
        <w:rPr>
          <w:rFonts w:hint="eastAsia" w:ascii="宋体" w:hAnsi="宋体" w:eastAsia="宋体" w:cs="宋体"/>
          <w:color w:val="auto"/>
          <w:highlight w:val="none"/>
          <w:u w:val="single"/>
          <w:lang w:eastAsia="zh-CN"/>
        </w:rPr>
      </w:pPr>
      <w:r>
        <w:rPr>
          <w:rFonts w:hint="eastAsia" w:ascii="宋体" w:hAnsi="宋体" w:eastAsia="宋体" w:cs="宋体"/>
          <w:b/>
          <w:color w:val="auto"/>
          <w:szCs w:val="21"/>
          <w:highlight w:val="none"/>
        </w:rPr>
        <w:t>致</w:t>
      </w:r>
      <w:r>
        <w:rPr>
          <w:rFonts w:hint="eastAsia" w:ascii="宋体" w:hAnsi="宋体" w:eastAsia="宋体" w:cs="宋体"/>
          <w:color w:val="auto"/>
          <w:szCs w:val="21"/>
          <w:highlight w:val="none"/>
        </w:rPr>
        <w:t>：</w:t>
      </w:r>
      <w:r>
        <w:rPr>
          <w:rFonts w:hint="eastAsia" w:ascii="宋体" w:hAnsi="宋体" w:eastAsia="宋体" w:cs="宋体"/>
          <w:color w:val="auto"/>
          <w:highlight w:val="none"/>
          <w:u w:val="single"/>
          <w:lang w:eastAsia="zh-CN"/>
        </w:rPr>
        <w:t>广西国兴项目管理有限公司</w:t>
      </w:r>
    </w:p>
    <w:p w14:paraId="2961110E">
      <w:pPr>
        <w:pStyle w:val="13"/>
        <w:spacing w:line="400" w:lineRule="exact"/>
        <w:ind w:firstLine="945" w:firstLineChars="450"/>
        <w:rPr>
          <w:rFonts w:hint="eastAsia" w:ascii="宋体" w:hAnsi="宋体" w:eastAsia="宋体" w:cs="宋体"/>
          <w:color w:val="auto"/>
          <w:highlight w:val="none"/>
        </w:rPr>
      </w:pPr>
      <w:r>
        <w:rPr>
          <w:rFonts w:hint="eastAsia" w:ascii="宋体" w:hAnsi="宋体" w:eastAsia="宋体" w:cs="宋体"/>
          <w:color w:val="auto"/>
          <w:kern w:val="0"/>
          <w:highlight w:val="none"/>
        </w:rPr>
        <w:t>我</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（姓名）系</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（投标人名称）的法定代表人（负责人），现授权委托本单位在职职工</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（姓名）以我公司名义参加</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highlight w:val="none"/>
          <w:u w:val="single"/>
        </w:rPr>
        <w:t xml:space="preserve">（项目名称及项目编号）        </w:t>
      </w:r>
      <w:r>
        <w:rPr>
          <w:rFonts w:hint="eastAsia" w:ascii="宋体" w:hAnsi="宋体" w:eastAsia="宋体" w:cs="宋体"/>
          <w:color w:val="auto"/>
          <w:highlight w:val="none"/>
        </w:rPr>
        <w:t>项目的投标活动，并代表我方全权办理针对上述项目的投标、开标、评标、签约等具体事务和签署相关文件。</w:t>
      </w:r>
    </w:p>
    <w:p w14:paraId="7DC8FD6D">
      <w:pPr>
        <w:pStyle w:val="13"/>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我方对被授权人的签字事项负全部责任。</w:t>
      </w:r>
    </w:p>
    <w:p w14:paraId="2BB8A5FB">
      <w:pPr>
        <w:pStyle w:val="13"/>
        <w:spacing w:line="40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授权委托代理期限：自即日起至该项目政府采购活动结束。</w:t>
      </w:r>
    </w:p>
    <w:p w14:paraId="677EC8DB">
      <w:pPr>
        <w:pStyle w:val="13"/>
        <w:spacing w:line="400" w:lineRule="exact"/>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w:t>
      </w:r>
    </w:p>
    <w:p w14:paraId="27B5B963">
      <w:pPr>
        <w:spacing w:line="400" w:lineRule="exact"/>
        <w:ind w:firstLine="440" w:firstLineChars="200"/>
        <w:rPr>
          <w:rFonts w:hint="eastAsia" w:ascii="宋体" w:hAnsi="宋体" w:eastAsia="宋体" w:cs="宋体"/>
          <w:color w:val="auto"/>
          <w:szCs w:val="21"/>
          <w:highlight w:val="none"/>
        </w:rPr>
      </w:pPr>
      <w:r>
        <w:rPr>
          <w:rFonts w:hint="eastAsia" w:ascii="宋体" w:hAnsi="宋体" w:eastAsia="宋体" w:cs="宋体"/>
          <w:color w:val="auto"/>
          <w:kern w:val="0"/>
          <w:highlight w:val="none"/>
        </w:rPr>
        <w:t xml:space="preserve">代理人无转委托权,特此委托。 </w:t>
      </w:r>
    </w:p>
    <w:p w14:paraId="50E5E34B">
      <w:pPr>
        <w:snapToGrid w:val="0"/>
        <w:spacing w:line="40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我已在下面签字，以资证明。</w:t>
      </w:r>
    </w:p>
    <w:p w14:paraId="76232303">
      <w:pPr>
        <w:snapToGrid w:val="0"/>
        <w:spacing w:line="400" w:lineRule="exact"/>
        <w:outlineLvl w:val="9"/>
        <w:rPr>
          <w:rFonts w:hint="eastAsia" w:ascii="宋体" w:hAnsi="宋体" w:eastAsia="宋体" w:cs="宋体"/>
          <w:color w:val="auto"/>
          <w:szCs w:val="21"/>
          <w:highlight w:val="none"/>
        </w:rPr>
      </w:pPr>
    </w:p>
    <w:p w14:paraId="79AC0A54">
      <w:pPr>
        <w:snapToGrid w:val="0"/>
        <w:spacing w:line="40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投标人【公章（CA签章）】：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p>
    <w:p w14:paraId="521A757D">
      <w:pPr>
        <w:snapToGrid w:val="0"/>
        <w:spacing w:line="400" w:lineRule="exact"/>
        <w:ind w:firstLine="440" w:firstLineChars="20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法定代表人（负责人）签字（或个人CA签章）：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1FDC0DD0">
      <w:pPr>
        <w:snapToGrid w:val="0"/>
        <w:spacing w:line="400" w:lineRule="exact"/>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157133BD">
      <w:pPr>
        <w:snapToGrid w:val="0"/>
        <w:spacing w:line="400" w:lineRule="exact"/>
        <w:ind w:firstLine="420"/>
        <w:outlineLvl w:val="9"/>
        <w:rPr>
          <w:rFonts w:hint="eastAsia" w:ascii="宋体" w:hAnsi="宋体" w:eastAsia="宋体" w:cs="宋体"/>
          <w:color w:val="auto"/>
          <w:szCs w:val="21"/>
          <w:highlight w:val="none"/>
        </w:rPr>
      </w:pPr>
    </w:p>
    <w:p w14:paraId="3C51EC52">
      <w:pPr>
        <w:pStyle w:val="13"/>
        <w:spacing w:line="400" w:lineRule="exact"/>
        <w:ind w:firstLine="602" w:firstLineChars="25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附：委托代理人身份证正反面复印件以及由县级以上（含县级）社会养老保险经办机构出具的投标人为委托代理人交纳社保证明扫描件（委托代理时必须提供）。</w:t>
      </w:r>
    </w:p>
    <w:p w14:paraId="284A1BFC">
      <w:pPr>
        <w:pStyle w:val="13"/>
        <w:jc w:val="both"/>
        <w:rPr>
          <w:rFonts w:hint="eastAsia" w:ascii="宋体" w:hAnsi="宋体" w:eastAsia="宋体" w:cs="宋体"/>
          <w:b/>
          <w:color w:val="auto"/>
          <w:sz w:val="32"/>
          <w:highlight w:val="none"/>
        </w:rPr>
      </w:pPr>
    </w:p>
    <w:p w14:paraId="62777AB4">
      <w:pPr>
        <w:pStyle w:val="13"/>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授权委托书（格式二）（适用于自然人投标）</w:t>
      </w:r>
    </w:p>
    <w:p w14:paraId="253C7BDB">
      <w:pPr>
        <w:snapToGrid w:val="0"/>
        <w:spacing w:line="400" w:lineRule="exact"/>
        <w:outlineLvl w:val="9"/>
        <w:rPr>
          <w:rFonts w:hint="eastAsia" w:ascii="宋体" w:hAnsi="宋体" w:eastAsia="宋体" w:cs="宋体"/>
          <w:b/>
          <w:color w:val="auto"/>
          <w:szCs w:val="21"/>
          <w:highlight w:val="none"/>
        </w:rPr>
      </w:pPr>
    </w:p>
    <w:p w14:paraId="5E7B4DF6">
      <w:pPr>
        <w:pStyle w:val="13"/>
        <w:spacing w:line="480" w:lineRule="auto"/>
        <w:ind w:firstLine="422" w:firstLineChars="200"/>
        <w:rPr>
          <w:rFonts w:hint="eastAsia" w:ascii="宋体" w:hAnsi="宋体" w:eastAsia="宋体" w:cs="宋体"/>
          <w:color w:val="auto"/>
          <w:highlight w:val="none"/>
          <w:u w:val="single"/>
          <w:lang w:eastAsia="zh-CN"/>
        </w:rPr>
      </w:pPr>
      <w:r>
        <w:rPr>
          <w:rFonts w:hint="eastAsia" w:ascii="宋体" w:hAnsi="宋体" w:eastAsia="宋体" w:cs="宋体"/>
          <w:b/>
          <w:color w:val="auto"/>
          <w:szCs w:val="21"/>
          <w:highlight w:val="none"/>
        </w:rPr>
        <w:t>致</w:t>
      </w:r>
      <w:r>
        <w:rPr>
          <w:rFonts w:hint="eastAsia" w:ascii="宋体" w:hAnsi="宋体" w:eastAsia="宋体" w:cs="宋体"/>
          <w:color w:val="auto"/>
          <w:szCs w:val="21"/>
          <w:highlight w:val="none"/>
        </w:rPr>
        <w:t>：</w:t>
      </w:r>
      <w:r>
        <w:rPr>
          <w:rFonts w:hint="eastAsia" w:ascii="宋体" w:hAnsi="宋体" w:eastAsia="宋体" w:cs="宋体"/>
          <w:color w:val="auto"/>
          <w:highlight w:val="none"/>
          <w:u w:val="single"/>
          <w:lang w:eastAsia="zh-CN"/>
        </w:rPr>
        <w:t>广西国兴项目管理有限公司</w:t>
      </w:r>
    </w:p>
    <w:p w14:paraId="4436EA36">
      <w:pPr>
        <w:pStyle w:val="13"/>
        <w:spacing w:line="480" w:lineRule="auto"/>
        <w:ind w:firstLine="840" w:firstLineChars="400"/>
        <w:rPr>
          <w:rFonts w:hint="eastAsia" w:ascii="宋体" w:hAnsi="宋体" w:eastAsia="宋体" w:cs="宋体"/>
          <w:color w:val="auto"/>
          <w:highlight w:val="none"/>
        </w:rPr>
      </w:pPr>
      <w:r>
        <w:rPr>
          <w:rFonts w:hint="eastAsia" w:ascii="宋体" w:hAnsi="宋体" w:eastAsia="宋体" w:cs="宋体"/>
          <w:color w:val="auto"/>
          <w:kern w:val="0"/>
          <w:highlight w:val="none"/>
        </w:rPr>
        <w:t>我</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（姓名）系自然人，现授权委托</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（姓 名）以本人名义参加</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highlight w:val="none"/>
          <w:u w:val="single"/>
        </w:rPr>
        <w:t xml:space="preserve">（项目名称及项目编号）        </w:t>
      </w:r>
      <w:r>
        <w:rPr>
          <w:rFonts w:hint="eastAsia" w:ascii="宋体" w:hAnsi="宋体" w:eastAsia="宋体" w:cs="宋体"/>
          <w:color w:val="auto"/>
          <w:highlight w:val="none"/>
        </w:rPr>
        <w:t>项目的投标活动，并代表本人全权办理针对上述项目的投标、开标、评标、签约等具体事务和签署相关文件。</w:t>
      </w:r>
    </w:p>
    <w:p w14:paraId="0912F48D">
      <w:pPr>
        <w:pStyle w:val="13"/>
        <w:spacing w:line="48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本人对被授权人的签字事项负全部责任。</w:t>
      </w:r>
    </w:p>
    <w:p w14:paraId="3839DEC5">
      <w:pPr>
        <w:pStyle w:val="13"/>
        <w:spacing w:line="480" w:lineRule="auto"/>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授权委托代理期限：自即日起至该项目政府采购活动结束。</w:t>
      </w:r>
    </w:p>
    <w:p w14:paraId="61EF306A">
      <w:pPr>
        <w:pStyle w:val="13"/>
        <w:spacing w:line="340" w:lineRule="exact"/>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w:t>
      </w:r>
    </w:p>
    <w:p w14:paraId="2D7D74CA">
      <w:pPr>
        <w:spacing w:line="340" w:lineRule="exact"/>
        <w:ind w:firstLine="44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代理人无转委托权,特此委托。 </w:t>
      </w:r>
    </w:p>
    <w:p w14:paraId="1312F25F">
      <w:pPr>
        <w:snapToGrid w:val="0"/>
        <w:spacing w:line="340" w:lineRule="exact"/>
        <w:ind w:firstLine="525"/>
        <w:outlineLvl w:val="9"/>
        <w:rPr>
          <w:rFonts w:hint="eastAsia" w:ascii="宋体" w:hAnsi="宋体" w:eastAsia="宋体" w:cs="宋体"/>
          <w:color w:val="auto"/>
          <w:szCs w:val="21"/>
          <w:highlight w:val="none"/>
        </w:rPr>
      </w:pPr>
    </w:p>
    <w:p w14:paraId="3ED59539">
      <w:pPr>
        <w:snapToGrid w:val="0"/>
        <w:spacing w:line="34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我已在下面签字，以资证明。</w:t>
      </w:r>
    </w:p>
    <w:p w14:paraId="22DE0B8F">
      <w:pPr>
        <w:snapToGrid w:val="0"/>
        <w:spacing w:line="340" w:lineRule="exact"/>
        <w:ind w:firstLine="420"/>
        <w:outlineLvl w:val="9"/>
        <w:rPr>
          <w:rFonts w:hint="eastAsia" w:ascii="宋体" w:hAnsi="宋体" w:eastAsia="宋体" w:cs="宋体"/>
          <w:color w:val="auto"/>
          <w:szCs w:val="21"/>
          <w:highlight w:val="none"/>
        </w:rPr>
      </w:pPr>
    </w:p>
    <w:p w14:paraId="470A73D4">
      <w:pPr>
        <w:snapToGrid w:val="0"/>
        <w:spacing w:line="34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自然人签字并在签名处加盖食指指印或个人CA签章：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349A68D9">
      <w:pPr>
        <w:snapToGrid w:val="0"/>
        <w:spacing w:line="34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042CEC3B">
      <w:pPr>
        <w:snapToGrid w:val="0"/>
        <w:spacing w:line="340" w:lineRule="exact"/>
        <w:ind w:firstLine="420"/>
        <w:outlineLvl w:val="9"/>
        <w:rPr>
          <w:rFonts w:hint="eastAsia" w:ascii="宋体" w:hAnsi="宋体" w:eastAsia="宋体" w:cs="宋体"/>
          <w:color w:val="auto"/>
          <w:szCs w:val="21"/>
          <w:highlight w:val="none"/>
        </w:rPr>
      </w:pPr>
    </w:p>
    <w:p w14:paraId="41C3C34C">
      <w:pPr>
        <w:pStyle w:val="13"/>
        <w:spacing w:line="400" w:lineRule="exact"/>
        <w:ind w:firstLine="602" w:firstLineChars="25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附：委托代理人身份证正反面复印件以及由县级以上（含县级）社会养老保险经办机构出具的自然人本人及委托代理人所交纳的社保证明扫描件（委托代理时必须提供）。</w:t>
      </w:r>
    </w:p>
    <w:p w14:paraId="472DC3E2">
      <w:pPr>
        <w:pStyle w:val="13"/>
        <w:spacing w:line="400" w:lineRule="exact"/>
        <w:rPr>
          <w:rFonts w:hint="eastAsia" w:ascii="宋体" w:hAnsi="宋体" w:eastAsia="宋体" w:cs="宋体"/>
          <w:color w:val="auto"/>
          <w:highlight w:val="none"/>
        </w:rPr>
      </w:pPr>
    </w:p>
    <w:p w14:paraId="7628DBC7">
      <w:pPr>
        <w:pStyle w:val="13"/>
        <w:spacing w:line="400" w:lineRule="exact"/>
        <w:rPr>
          <w:rFonts w:hint="eastAsia" w:ascii="宋体" w:hAnsi="宋体" w:eastAsia="宋体" w:cs="宋体"/>
          <w:b/>
          <w:color w:val="auto"/>
          <w:sz w:val="32"/>
          <w:szCs w:val="32"/>
          <w:highlight w:val="none"/>
        </w:rPr>
      </w:pPr>
    </w:p>
    <w:p w14:paraId="25EF66FB">
      <w:pPr>
        <w:pStyle w:val="13"/>
        <w:spacing w:line="400" w:lineRule="exact"/>
        <w:rPr>
          <w:rFonts w:hint="eastAsia" w:ascii="宋体" w:hAnsi="宋体" w:eastAsia="宋体" w:cs="宋体"/>
          <w:b/>
          <w:color w:val="auto"/>
          <w:sz w:val="32"/>
          <w:szCs w:val="32"/>
          <w:highlight w:val="none"/>
        </w:rPr>
      </w:pPr>
    </w:p>
    <w:p w14:paraId="027C5664">
      <w:pPr>
        <w:pStyle w:val="13"/>
        <w:spacing w:line="400" w:lineRule="exact"/>
        <w:rPr>
          <w:rFonts w:hint="eastAsia" w:ascii="宋体" w:hAnsi="宋体" w:eastAsia="宋体" w:cs="宋体"/>
          <w:b/>
          <w:color w:val="auto"/>
          <w:sz w:val="32"/>
          <w:szCs w:val="32"/>
          <w:highlight w:val="none"/>
        </w:rPr>
      </w:pPr>
    </w:p>
    <w:p w14:paraId="5D70E901">
      <w:pPr>
        <w:pStyle w:val="13"/>
        <w:spacing w:line="400" w:lineRule="exact"/>
        <w:rPr>
          <w:rFonts w:hint="eastAsia" w:ascii="宋体" w:hAnsi="宋体" w:eastAsia="宋体" w:cs="宋体"/>
          <w:b/>
          <w:color w:val="auto"/>
          <w:sz w:val="32"/>
          <w:szCs w:val="32"/>
          <w:highlight w:val="none"/>
        </w:rPr>
      </w:pPr>
    </w:p>
    <w:p w14:paraId="35C7A2CA">
      <w:pPr>
        <w:pStyle w:val="13"/>
        <w:spacing w:line="400" w:lineRule="exact"/>
        <w:rPr>
          <w:rFonts w:hint="eastAsia" w:ascii="宋体" w:hAnsi="宋体" w:eastAsia="宋体" w:cs="宋体"/>
          <w:b/>
          <w:color w:val="auto"/>
          <w:sz w:val="32"/>
          <w:szCs w:val="32"/>
          <w:highlight w:val="none"/>
        </w:rPr>
      </w:pPr>
    </w:p>
    <w:p w14:paraId="16B892EB">
      <w:pPr>
        <w:pStyle w:val="13"/>
        <w:spacing w:line="400" w:lineRule="exact"/>
        <w:rPr>
          <w:rFonts w:hint="eastAsia" w:ascii="宋体" w:hAnsi="宋体" w:eastAsia="宋体" w:cs="宋体"/>
          <w:b/>
          <w:color w:val="auto"/>
          <w:sz w:val="32"/>
          <w:szCs w:val="32"/>
          <w:highlight w:val="none"/>
        </w:rPr>
      </w:pPr>
    </w:p>
    <w:p w14:paraId="5D4B26D1">
      <w:pPr>
        <w:pStyle w:val="13"/>
        <w:spacing w:line="400" w:lineRule="exact"/>
        <w:rPr>
          <w:rFonts w:hint="eastAsia" w:ascii="宋体" w:hAnsi="宋体" w:eastAsia="宋体" w:cs="宋体"/>
          <w:b/>
          <w:color w:val="auto"/>
          <w:sz w:val="32"/>
          <w:szCs w:val="32"/>
          <w:highlight w:val="none"/>
        </w:rPr>
      </w:pPr>
    </w:p>
    <w:p w14:paraId="25C3E288">
      <w:pPr>
        <w:pStyle w:val="13"/>
        <w:spacing w:line="400" w:lineRule="exact"/>
        <w:rPr>
          <w:rFonts w:hint="eastAsia" w:ascii="宋体" w:hAnsi="宋体" w:eastAsia="宋体" w:cs="宋体"/>
          <w:b/>
          <w:color w:val="auto"/>
          <w:sz w:val="32"/>
          <w:szCs w:val="32"/>
          <w:highlight w:val="none"/>
        </w:rPr>
      </w:pPr>
    </w:p>
    <w:p w14:paraId="24493ED6">
      <w:pPr>
        <w:pStyle w:val="7"/>
        <w:rPr>
          <w:rFonts w:hint="eastAsia"/>
          <w:color w:val="auto"/>
        </w:rPr>
      </w:pPr>
    </w:p>
    <w:p w14:paraId="729F006B">
      <w:pPr>
        <w:pStyle w:val="13"/>
        <w:spacing w:line="400" w:lineRule="exact"/>
        <w:rPr>
          <w:rFonts w:hint="eastAsia" w:ascii="宋体" w:hAnsi="宋体" w:eastAsia="宋体" w:cs="宋体"/>
          <w:b/>
          <w:color w:val="auto"/>
          <w:sz w:val="32"/>
          <w:szCs w:val="32"/>
          <w:highlight w:val="none"/>
        </w:rPr>
      </w:pPr>
    </w:p>
    <w:p w14:paraId="088C3FC9">
      <w:pPr>
        <w:pStyle w:val="13"/>
        <w:spacing w:line="400" w:lineRule="exact"/>
        <w:rPr>
          <w:rFonts w:hint="eastAsia" w:ascii="宋体" w:hAnsi="宋体" w:eastAsia="宋体" w:cs="宋体"/>
          <w:b/>
          <w:color w:val="auto"/>
          <w:sz w:val="32"/>
          <w:szCs w:val="32"/>
          <w:highlight w:val="none"/>
        </w:rPr>
      </w:pPr>
    </w:p>
    <w:p w14:paraId="641ADC48">
      <w:pPr>
        <w:pStyle w:val="13"/>
        <w:spacing w:line="400" w:lineRule="exact"/>
        <w:ind w:firstLine="472" w:firstLineChars="147"/>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.投标人的法人或者其他组织营业执照等证明文件扫描件（必须提供，自然人除外）；</w:t>
      </w:r>
    </w:p>
    <w:p w14:paraId="40450C20">
      <w:pPr>
        <w:tabs>
          <w:tab w:val="left" w:pos="1305"/>
        </w:tabs>
        <w:spacing w:line="380" w:lineRule="exact"/>
        <w:ind w:firstLine="44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22D99A4C">
      <w:pPr>
        <w:pStyle w:val="13"/>
        <w:spacing w:line="400" w:lineRule="exact"/>
        <w:rPr>
          <w:rFonts w:hint="eastAsia" w:ascii="宋体" w:hAnsi="宋体" w:eastAsia="宋体" w:cs="宋体"/>
          <w:b/>
          <w:color w:val="auto"/>
          <w:sz w:val="32"/>
          <w:szCs w:val="32"/>
          <w:highlight w:val="none"/>
        </w:rPr>
      </w:pPr>
    </w:p>
    <w:p w14:paraId="00600A7C">
      <w:pPr>
        <w:pStyle w:val="13"/>
        <w:spacing w:line="400" w:lineRule="exact"/>
        <w:rPr>
          <w:rFonts w:hint="eastAsia" w:ascii="宋体" w:hAnsi="宋体" w:eastAsia="宋体" w:cs="宋体"/>
          <w:b/>
          <w:color w:val="auto"/>
          <w:sz w:val="32"/>
          <w:szCs w:val="32"/>
          <w:highlight w:val="none"/>
        </w:rPr>
      </w:pPr>
    </w:p>
    <w:p w14:paraId="1A0BFC22">
      <w:pPr>
        <w:pStyle w:val="13"/>
        <w:spacing w:line="400" w:lineRule="exact"/>
        <w:rPr>
          <w:rFonts w:hint="eastAsia" w:ascii="宋体" w:hAnsi="宋体" w:eastAsia="宋体" w:cs="宋体"/>
          <w:b/>
          <w:color w:val="auto"/>
          <w:sz w:val="32"/>
          <w:szCs w:val="32"/>
          <w:highlight w:val="none"/>
        </w:rPr>
      </w:pPr>
    </w:p>
    <w:p w14:paraId="5A84EBCF">
      <w:pPr>
        <w:pStyle w:val="13"/>
        <w:spacing w:line="400" w:lineRule="exact"/>
        <w:ind w:firstLine="482" w:firstLineChars="150"/>
        <w:rPr>
          <w:rFonts w:hint="eastAsia" w:ascii="宋体" w:hAnsi="宋体" w:eastAsia="宋体" w:cs="宋体"/>
          <w:b/>
          <w:color w:val="auto"/>
          <w:sz w:val="32"/>
          <w:szCs w:val="32"/>
          <w:highlight w:val="none"/>
          <w:lang w:val="en-US" w:eastAsia="zh-CN"/>
        </w:rPr>
      </w:pPr>
    </w:p>
    <w:p w14:paraId="5F4123D7">
      <w:pPr>
        <w:rPr>
          <w:rFonts w:hint="eastAsia"/>
          <w:color w:val="auto"/>
          <w:lang w:val="en-US" w:eastAsia="zh-CN"/>
        </w:rPr>
      </w:pPr>
    </w:p>
    <w:p w14:paraId="007BB969">
      <w:pPr>
        <w:pStyle w:val="13"/>
        <w:spacing w:line="400" w:lineRule="exact"/>
        <w:ind w:firstLine="482" w:firstLineChars="150"/>
        <w:rPr>
          <w:rFonts w:hint="eastAsia" w:ascii="宋体" w:hAnsi="宋体" w:eastAsia="宋体" w:cs="宋体"/>
          <w:b/>
          <w:color w:val="auto"/>
          <w:sz w:val="32"/>
          <w:szCs w:val="32"/>
          <w:highlight w:val="none"/>
          <w:lang w:val="en-US" w:eastAsia="zh-CN"/>
        </w:rPr>
      </w:pPr>
    </w:p>
    <w:p w14:paraId="43A13958">
      <w:pPr>
        <w:pStyle w:val="13"/>
        <w:spacing w:line="400" w:lineRule="exact"/>
        <w:ind w:firstLine="482" w:firstLineChars="15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rPr>
        <w:t>.投标人2022年度以来任意一个年度内的财务状况报告或2023年以来其基本开户银行出具的资信证明扫描件（必须提供）；</w:t>
      </w:r>
    </w:p>
    <w:p w14:paraId="75A9B580">
      <w:pPr>
        <w:pStyle w:val="13"/>
        <w:spacing w:line="400" w:lineRule="exact"/>
        <w:ind w:firstLine="482" w:firstLineChars="150"/>
        <w:rPr>
          <w:rFonts w:hint="eastAsia" w:ascii="宋体" w:hAnsi="宋体" w:eastAsia="宋体" w:cs="宋体"/>
          <w:b/>
          <w:color w:val="auto"/>
          <w:sz w:val="32"/>
          <w:szCs w:val="32"/>
          <w:highlight w:val="none"/>
        </w:rPr>
      </w:pPr>
    </w:p>
    <w:p w14:paraId="08BE32DE">
      <w:pPr>
        <w:pStyle w:val="5"/>
        <w:rPr>
          <w:rFonts w:hint="eastAsia" w:ascii="宋体" w:hAnsi="宋体" w:eastAsia="宋体" w:cs="宋体"/>
          <w:color w:val="auto"/>
        </w:rPr>
      </w:pPr>
    </w:p>
    <w:p w14:paraId="0394E296">
      <w:pPr>
        <w:rPr>
          <w:rFonts w:hint="eastAsia" w:ascii="宋体" w:hAnsi="宋体" w:eastAsia="宋体" w:cs="宋体"/>
          <w:color w:val="auto"/>
        </w:rPr>
      </w:pPr>
    </w:p>
    <w:p w14:paraId="4C2E3BD8">
      <w:pPr>
        <w:pStyle w:val="23"/>
        <w:rPr>
          <w:rFonts w:hint="eastAsia"/>
          <w:color w:val="auto"/>
        </w:rPr>
      </w:pPr>
    </w:p>
    <w:p w14:paraId="5F5E6365">
      <w:pPr>
        <w:pStyle w:val="13"/>
        <w:spacing w:line="400" w:lineRule="exact"/>
        <w:ind w:firstLine="482" w:firstLineChars="15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val="en-US" w:eastAsia="zh-CN"/>
        </w:rPr>
        <w:t>5.</w:t>
      </w:r>
      <w:r>
        <w:rPr>
          <w:rFonts w:hint="eastAsia" w:ascii="宋体" w:hAnsi="宋体" w:eastAsia="宋体" w:cs="宋体"/>
          <w:color w:val="auto"/>
          <w:highlight w:val="none"/>
        </w:rPr>
        <w:t xml:space="preserve"> </w:t>
      </w:r>
      <w:r>
        <w:rPr>
          <w:rFonts w:hint="eastAsia" w:ascii="宋体" w:hAnsi="宋体" w:eastAsia="宋体" w:cs="宋体"/>
          <w:b/>
          <w:bCs/>
          <w:color w:val="auto"/>
          <w:sz w:val="32"/>
          <w:szCs w:val="28"/>
          <w:highlight w:val="none"/>
        </w:rPr>
        <w:t>投标人2024年任意一个月依法缴纳税收或依法免税的相关材料扫描件（必须提供）；</w:t>
      </w:r>
    </w:p>
    <w:p w14:paraId="0A19682F">
      <w:pPr>
        <w:pStyle w:val="5"/>
        <w:rPr>
          <w:rFonts w:hint="eastAsia" w:ascii="宋体" w:hAnsi="宋体" w:eastAsia="宋体" w:cs="宋体"/>
          <w:color w:val="auto"/>
          <w:lang w:eastAsia="zh-CN"/>
        </w:rPr>
      </w:pPr>
    </w:p>
    <w:p w14:paraId="5160E5E4">
      <w:pPr>
        <w:rPr>
          <w:rFonts w:hint="eastAsia" w:ascii="宋体" w:hAnsi="宋体" w:eastAsia="宋体" w:cs="宋体"/>
          <w:color w:val="auto"/>
          <w:lang w:eastAsia="zh-CN"/>
        </w:rPr>
      </w:pPr>
    </w:p>
    <w:p w14:paraId="00CDA8C4">
      <w:pPr>
        <w:rPr>
          <w:rFonts w:hint="eastAsia" w:ascii="宋体" w:hAnsi="宋体" w:eastAsia="宋体" w:cs="宋体"/>
          <w:color w:val="auto"/>
          <w:lang w:eastAsia="zh-CN"/>
        </w:rPr>
      </w:pPr>
    </w:p>
    <w:p w14:paraId="7E951897">
      <w:pPr>
        <w:pStyle w:val="5"/>
        <w:jc w:val="left"/>
        <w:rPr>
          <w:rFonts w:hint="eastAsia" w:ascii="宋体" w:hAnsi="宋体" w:eastAsia="宋体" w:cs="宋体"/>
          <w:b/>
          <w:color w:val="auto"/>
          <w:sz w:val="32"/>
          <w:szCs w:val="32"/>
          <w:highlight w:val="none"/>
        </w:rPr>
      </w:pPr>
      <w:r>
        <w:rPr>
          <w:rFonts w:hint="eastAsia" w:ascii="宋体" w:hAnsi="宋体" w:eastAsia="宋体" w:cs="宋体"/>
          <w:color w:val="auto"/>
          <w:lang w:val="en-US" w:eastAsia="zh-CN"/>
        </w:rPr>
        <w:t xml:space="preserve"> </w:t>
      </w:r>
      <w:r>
        <w:rPr>
          <w:rFonts w:hint="eastAsia" w:ascii="宋体" w:hAnsi="宋体" w:eastAsia="宋体" w:cs="宋体"/>
          <w:b/>
          <w:bCs/>
          <w:color w:val="auto"/>
          <w:lang w:val="en-US" w:eastAsia="zh-CN"/>
        </w:rPr>
        <w:t xml:space="preserve"> 6</w:t>
      </w:r>
      <w:r>
        <w:rPr>
          <w:rFonts w:hint="eastAsia" w:ascii="宋体" w:hAnsi="宋体" w:eastAsia="宋体" w:cs="宋体"/>
          <w:b/>
          <w:bCs/>
          <w:color w:val="auto"/>
          <w:kern w:val="2"/>
          <w:sz w:val="32"/>
          <w:szCs w:val="32"/>
          <w:highlight w:val="none"/>
          <w:lang w:val="en-US" w:eastAsia="zh-CN" w:bidi="ar-SA"/>
        </w:rPr>
        <w:t>.投标人2024年任意一个月依法缴纳社会保障资金的相关证明材料扫描件（必须提供）；</w:t>
      </w:r>
      <w:r>
        <w:rPr>
          <w:rFonts w:hint="eastAsia" w:ascii="宋体" w:hAnsi="宋体" w:eastAsia="宋体" w:cs="宋体"/>
          <w:b/>
          <w:color w:val="auto"/>
          <w:sz w:val="32"/>
          <w:szCs w:val="32"/>
          <w:highlight w:val="none"/>
          <w:lang w:val="en-US" w:eastAsia="zh-CN"/>
        </w:rPr>
        <w:br w:type="page"/>
      </w:r>
      <w:r>
        <w:rPr>
          <w:rFonts w:hint="eastAsia" w:ascii="宋体" w:hAnsi="宋体" w:eastAsia="宋体" w:cs="宋体"/>
          <w:b/>
          <w:color w:val="auto"/>
          <w:sz w:val="32"/>
          <w:szCs w:val="32"/>
          <w:highlight w:val="none"/>
          <w:lang w:val="en-US" w:eastAsia="zh-CN"/>
        </w:rPr>
        <w:t>7.</w:t>
      </w:r>
      <w:r>
        <w:rPr>
          <w:rFonts w:hint="eastAsia" w:ascii="宋体" w:hAnsi="宋体" w:eastAsia="宋体" w:cs="宋体"/>
          <w:b/>
          <w:color w:val="auto"/>
          <w:sz w:val="32"/>
          <w:szCs w:val="32"/>
          <w:highlight w:val="none"/>
        </w:rPr>
        <w:t>投标人参加政府采购活动前三年内在经营活动中没有重大违法记录及有关信用信息的书面声明（必须提供）</w:t>
      </w:r>
    </w:p>
    <w:p w14:paraId="124AF7ED">
      <w:pPr>
        <w:pStyle w:val="13"/>
        <w:spacing w:line="400" w:lineRule="exact"/>
        <w:ind w:left="440" w:leftChars="200" w:firstLine="157" w:firstLineChars="4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                       </w:t>
      </w:r>
    </w:p>
    <w:p w14:paraId="435CE213">
      <w:pPr>
        <w:pStyle w:val="13"/>
        <w:spacing w:line="400" w:lineRule="exact"/>
        <w:jc w:val="left"/>
        <w:rPr>
          <w:rFonts w:hint="eastAsia" w:ascii="宋体" w:hAnsi="宋体" w:eastAsia="宋体" w:cs="宋体"/>
          <w:b/>
          <w:color w:val="auto"/>
          <w:sz w:val="32"/>
          <w:szCs w:val="32"/>
          <w:highlight w:val="none"/>
        </w:rPr>
      </w:pPr>
      <w:r>
        <w:rPr>
          <w:rFonts w:hint="eastAsia" w:ascii="宋体" w:hAnsi="宋体" w:eastAsia="宋体" w:cs="宋体"/>
          <w:b/>
          <w:color w:val="auto"/>
          <w:sz w:val="24"/>
          <w:szCs w:val="24"/>
          <w:highlight w:val="none"/>
        </w:rPr>
        <w:t xml:space="preserve">附件：                            </w:t>
      </w:r>
      <w:r>
        <w:rPr>
          <w:rFonts w:hint="eastAsia" w:ascii="宋体" w:hAnsi="宋体" w:eastAsia="宋体" w:cs="宋体"/>
          <w:b/>
          <w:color w:val="auto"/>
          <w:sz w:val="32"/>
          <w:szCs w:val="32"/>
          <w:highlight w:val="none"/>
        </w:rPr>
        <w:t>声   明（格式）</w:t>
      </w:r>
    </w:p>
    <w:p w14:paraId="46BEAB84">
      <w:pPr>
        <w:snapToGrid w:val="0"/>
        <w:spacing w:line="400" w:lineRule="exact"/>
        <w:outlineLvl w:val="4"/>
        <w:rPr>
          <w:rFonts w:hint="eastAsia" w:ascii="宋体" w:hAnsi="宋体" w:eastAsia="宋体" w:cs="宋体"/>
          <w:b/>
          <w:color w:val="auto"/>
          <w:sz w:val="24"/>
          <w:szCs w:val="24"/>
          <w:highlight w:val="none"/>
        </w:rPr>
      </w:pPr>
    </w:p>
    <w:p w14:paraId="6816AB33">
      <w:pPr>
        <w:snapToGrid w:val="0"/>
        <w:spacing w:line="400" w:lineRule="exact"/>
        <w:outlineLvl w:val="9"/>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致</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eastAsia="zh-CN"/>
        </w:rPr>
        <w:t>广西国兴项目管理有限公司</w:t>
      </w:r>
    </w:p>
    <w:p w14:paraId="7506BE48">
      <w:pPr>
        <w:pStyle w:val="13"/>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我（公司）郑重声明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在参加本项目政府采购活动前</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年内在经营活动中没有重大违法记录（重大违法记录是指供应商因违法经营受到刑事处罚或者责令停产停业、吊销许可证或者执照、较大数额罚款等行政处罚），未被列入失信被执行人、</w:t>
      </w:r>
      <w:r>
        <w:rPr>
          <w:rFonts w:hint="eastAsia" w:ascii="宋体" w:hAnsi="宋体" w:eastAsia="宋体" w:cs="宋体"/>
          <w:color w:val="auto"/>
          <w:sz w:val="24"/>
          <w:szCs w:val="24"/>
          <w:highlight w:val="none"/>
          <w:lang w:eastAsia="zh-CN"/>
        </w:rPr>
        <w:t>重大税收违法失信主体</w:t>
      </w:r>
      <w:r>
        <w:rPr>
          <w:rFonts w:hint="eastAsia" w:ascii="宋体" w:hAnsi="宋体" w:eastAsia="宋体" w:cs="宋体"/>
          <w:color w:val="auto"/>
          <w:sz w:val="24"/>
          <w:szCs w:val="24"/>
          <w:highlight w:val="none"/>
        </w:rPr>
        <w:t>、政府采购严重违法失信行为记录名单，完全符合《中华人民共和国政府采购法》第二十二条规定的供应商资格条件，我方对此声明负全部法律责任。</w:t>
      </w:r>
    </w:p>
    <w:p w14:paraId="79351313">
      <w:pPr>
        <w:pStyle w:val="13"/>
        <w:spacing w:line="380" w:lineRule="exact"/>
        <w:rPr>
          <w:rFonts w:hint="eastAsia" w:ascii="宋体" w:hAnsi="宋体" w:eastAsia="宋体" w:cs="宋体"/>
          <w:color w:val="auto"/>
          <w:sz w:val="24"/>
          <w:szCs w:val="24"/>
          <w:highlight w:val="none"/>
          <w:lang w:val="en-US" w:eastAsia="zh-CN"/>
        </w:rPr>
      </w:pPr>
    </w:p>
    <w:p w14:paraId="740B5E0F">
      <w:pPr>
        <w:snapToGrid w:val="0"/>
        <w:spacing w:line="400" w:lineRule="exact"/>
        <w:ind w:firstLine="5160" w:firstLineChars="2150"/>
        <w:outlineLvl w:val="9"/>
        <w:rPr>
          <w:rFonts w:hint="eastAsia" w:ascii="宋体" w:hAnsi="宋体" w:eastAsia="宋体" w:cs="宋体"/>
          <w:color w:val="auto"/>
          <w:sz w:val="24"/>
          <w:szCs w:val="24"/>
          <w:highlight w:val="none"/>
        </w:rPr>
      </w:pPr>
    </w:p>
    <w:p w14:paraId="5C05A2BC">
      <w:pPr>
        <w:pStyle w:val="2"/>
        <w:ind w:firstLine="480"/>
        <w:rPr>
          <w:rFonts w:hint="eastAsia" w:ascii="宋体" w:hAnsi="宋体" w:eastAsia="宋体" w:cs="宋体"/>
          <w:color w:val="auto"/>
          <w:sz w:val="24"/>
          <w:szCs w:val="24"/>
          <w:highlight w:val="none"/>
        </w:rPr>
      </w:pPr>
    </w:p>
    <w:p w14:paraId="004B5538">
      <w:pPr>
        <w:rPr>
          <w:rFonts w:hint="eastAsia" w:ascii="宋体" w:hAnsi="宋体" w:eastAsia="宋体" w:cs="宋体"/>
          <w:color w:val="auto"/>
          <w:sz w:val="24"/>
          <w:szCs w:val="24"/>
          <w:highlight w:val="none"/>
        </w:rPr>
      </w:pPr>
    </w:p>
    <w:p w14:paraId="6F2CB7D2">
      <w:pPr>
        <w:pStyle w:val="13"/>
        <w:ind w:firstLine="2400" w:firstLineChars="10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投标人公章（CA签章，自然人签字或个人CA签章）：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p>
    <w:p w14:paraId="6B6CBD29">
      <w:pPr>
        <w:pStyle w:val="13"/>
        <w:spacing w:line="32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14:paraId="3105C16C">
      <w:pPr>
        <w:pStyle w:val="13"/>
        <w:spacing w:line="320" w:lineRule="exact"/>
        <w:ind w:firstLine="480" w:firstLineChars="200"/>
        <w:rPr>
          <w:rFonts w:hint="eastAsia" w:ascii="宋体" w:hAnsi="宋体" w:eastAsia="宋体" w:cs="宋体"/>
          <w:bCs/>
          <w:color w:val="auto"/>
          <w:sz w:val="24"/>
          <w:szCs w:val="24"/>
          <w:highlight w:val="none"/>
        </w:rPr>
      </w:pPr>
    </w:p>
    <w:p w14:paraId="4A5D285B">
      <w:pPr>
        <w:spacing w:line="340" w:lineRule="exact"/>
        <w:ind w:firstLine="2160" w:firstLineChars="900"/>
        <w:rPr>
          <w:rFonts w:hint="eastAsia" w:ascii="宋体" w:hAnsi="宋体" w:eastAsia="宋体" w:cs="宋体"/>
          <w:color w:val="auto"/>
          <w:sz w:val="24"/>
          <w:szCs w:val="24"/>
          <w:highlight w:val="none"/>
          <w:u w:val="single"/>
        </w:rPr>
      </w:pPr>
      <w:r>
        <w:rPr>
          <w:rFonts w:hint="eastAsia" w:ascii="宋体" w:hAnsi="宋体" w:eastAsia="宋体" w:cs="宋体"/>
          <w:bCs/>
          <w:color w:val="auto"/>
          <w:sz w:val="24"/>
          <w:szCs w:val="24"/>
          <w:highlight w:val="none"/>
        </w:rPr>
        <w:t xml:space="preserve"> 日期：</w:t>
      </w:r>
      <w:r>
        <w:rPr>
          <w:rFonts w:hint="eastAsia" w:ascii="宋体" w:hAnsi="宋体" w:eastAsia="宋体" w:cs="宋体"/>
          <w:bCs/>
          <w:color w:val="auto"/>
          <w:sz w:val="24"/>
          <w:szCs w:val="24"/>
          <w:highlight w:val="none"/>
          <w:u w:val="single"/>
        </w:rPr>
        <w:t xml:space="preserve">                     </w:t>
      </w:r>
    </w:p>
    <w:p w14:paraId="7A43BD61">
      <w:pPr>
        <w:spacing w:line="340" w:lineRule="exact"/>
        <w:ind w:firstLine="2160" w:firstLineChars="900"/>
        <w:rPr>
          <w:rFonts w:hint="eastAsia" w:ascii="宋体" w:hAnsi="宋体" w:eastAsia="宋体" w:cs="宋体"/>
          <w:color w:val="auto"/>
          <w:sz w:val="24"/>
          <w:szCs w:val="24"/>
          <w:highlight w:val="none"/>
          <w:u w:val="single"/>
        </w:rPr>
      </w:pPr>
    </w:p>
    <w:p w14:paraId="54995DA5">
      <w:pPr>
        <w:rPr>
          <w:rFonts w:hint="eastAsia" w:ascii="宋体" w:hAnsi="宋体" w:eastAsia="宋体" w:cs="宋体"/>
          <w:b/>
          <w:bCs/>
          <w:color w:val="auto"/>
          <w:sz w:val="32"/>
          <w:szCs w:val="20"/>
          <w:highlight w:val="none"/>
          <w:lang w:val="en-US" w:eastAsia="zh-CN"/>
        </w:rPr>
      </w:pPr>
      <w:r>
        <w:rPr>
          <w:rFonts w:hint="eastAsia" w:ascii="宋体" w:hAnsi="宋体" w:eastAsia="宋体" w:cs="宋体"/>
          <w:b/>
          <w:bCs/>
          <w:color w:val="auto"/>
          <w:sz w:val="32"/>
          <w:szCs w:val="20"/>
          <w:highlight w:val="none"/>
          <w:lang w:val="en-US" w:eastAsia="zh-CN"/>
        </w:rPr>
        <w:br w:type="page"/>
      </w:r>
    </w:p>
    <w:p w14:paraId="7DE39704">
      <w:pPr>
        <w:keepNext w:val="0"/>
        <w:keepLines w:val="0"/>
        <w:pageBreakBefore w:val="0"/>
        <w:kinsoku/>
        <w:overflowPunct/>
        <w:topLinePunct w:val="0"/>
        <w:autoSpaceDE/>
        <w:autoSpaceDN/>
        <w:bidi w:val="0"/>
        <w:spacing w:line="320" w:lineRule="exact"/>
        <w:textAlignment w:val="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二、商务、技术性响应及其他有效证明材料（格式）</w:t>
      </w:r>
    </w:p>
    <w:p w14:paraId="5E42C11B">
      <w:pPr>
        <w:keepNext w:val="0"/>
        <w:keepLines w:val="0"/>
        <w:pageBreakBefore w:val="0"/>
        <w:kinsoku/>
        <w:overflowPunct/>
        <w:topLinePunct w:val="0"/>
        <w:autoSpaceDE/>
        <w:autoSpaceDN/>
        <w:bidi w:val="0"/>
        <w:spacing w:line="320" w:lineRule="exact"/>
        <w:textAlignment w:val="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1.投标报价表</w:t>
      </w:r>
    </w:p>
    <w:p w14:paraId="64A95230">
      <w:pPr>
        <w:keepNext w:val="0"/>
        <w:keepLines w:val="0"/>
        <w:pageBreakBefore w:val="0"/>
        <w:kinsoku/>
        <w:overflowPunct/>
        <w:topLinePunct w:val="0"/>
        <w:autoSpaceDE/>
        <w:autoSpaceDN/>
        <w:bidi w:val="0"/>
        <w:spacing w:line="3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附件：</w:t>
      </w:r>
    </w:p>
    <w:p w14:paraId="7595DD7E">
      <w:pPr>
        <w:keepNext w:val="0"/>
        <w:keepLines w:val="0"/>
        <w:pageBreakBefore w:val="0"/>
        <w:kinsoku/>
        <w:overflowPunct/>
        <w:topLinePunct w:val="0"/>
        <w:autoSpaceDE/>
        <w:autoSpaceDN/>
        <w:bidi w:val="0"/>
        <w:spacing w:line="320" w:lineRule="exact"/>
        <w:jc w:val="center"/>
        <w:textAlignment w:val="auto"/>
        <w:rPr>
          <w:rFonts w:hint="eastAsia" w:ascii="宋体" w:hAnsi="宋体" w:eastAsia="宋体" w:cs="宋体"/>
          <w:color w:val="auto"/>
          <w:sz w:val="32"/>
          <w:highlight w:val="none"/>
        </w:rPr>
      </w:pPr>
      <w:r>
        <w:rPr>
          <w:rFonts w:hint="eastAsia" w:ascii="宋体" w:hAnsi="宋体" w:eastAsia="宋体" w:cs="宋体"/>
          <w:b/>
          <w:color w:val="auto"/>
          <w:sz w:val="32"/>
          <w:szCs w:val="32"/>
          <w:highlight w:val="none"/>
        </w:rPr>
        <w:t>投标报价表（格式）</w:t>
      </w:r>
    </w:p>
    <w:tbl>
      <w:tblPr>
        <w:tblStyle w:val="1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6"/>
        <w:gridCol w:w="1499"/>
        <w:gridCol w:w="1515"/>
        <w:gridCol w:w="1920"/>
        <w:gridCol w:w="1658"/>
        <w:gridCol w:w="2800"/>
      </w:tblGrid>
      <w:tr w14:paraId="2216A8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5" w:hRule="atLeast"/>
        </w:trPr>
        <w:tc>
          <w:tcPr>
            <w:tcW w:w="426" w:type="dxa"/>
            <w:tcBorders>
              <w:top w:val="single" w:color="auto" w:sz="4" w:space="0"/>
              <w:left w:val="single" w:color="auto" w:sz="4" w:space="0"/>
              <w:bottom w:val="single" w:color="auto" w:sz="4" w:space="0"/>
              <w:right w:val="single" w:color="auto" w:sz="4" w:space="0"/>
            </w:tcBorders>
            <w:noWrap w:val="0"/>
            <w:vAlign w:val="center"/>
          </w:tcPr>
          <w:p w14:paraId="243244FF">
            <w:pPr>
              <w:spacing w:line="300" w:lineRule="exact"/>
              <w:jc w:val="center"/>
              <w:rPr>
                <w:rFonts w:hint="eastAsia" w:ascii="宋体" w:hAnsi="宋体" w:eastAsia="宋体" w:cs="宋体"/>
                <w:color w:val="auto"/>
                <w:sz w:val="22"/>
                <w:szCs w:val="22"/>
              </w:rPr>
            </w:pPr>
            <w:r>
              <w:rPr>
                <w:rFonts w:hint="eastAsia" w:ascii="宋体" w:hAnsi="宋体" w:eastAsia="宋体" w:cs="宋体"/>
                <w:color w:val="auto"/>
                <w:sz w:val="22"/>
                <w:szCs w:val="22"/>
              </w:rPr>
              <w:t>序号</w:t>
            </w:r>
          </w:p>
        </w:tc>
        <w:tc>
          <w:tcPr>
            <w:tcW w:w="1499" w:type="dxa"/>
            <w:tcBorders>
              <w:top w:val="single" w:color="auto" w:sz="4" w:space="0"/>
              <w:left w:val="single" w:color="auto" w:sz="4" w:space="0"/>
              <w:bottom w:val="single" w:color="auto" w:sz="4" w:space="0"/>
              <w:right w:val="single" w:color="auto" w:sz="4" w:space="0"/>
            </w:tcBorders>
            <w:noWrap w:val="0"/>
            <w:vAlign w:val="center"/>
          </w:tcPr>
          <w:p w14:paraId="584066B8">
            <w:pPr>
              <w:spacing w:line="280" w:lineRule="exact"/>
              <w:jc w:val="center"/>
              <w:rPr>
                <w:rFonts w:hint="eastAsia" w:ascii="宋体" w:hAnsi="宋体" w:eastAsia="宋体" w:cs="宋体"/>
                <w:color w:val="auto"/>
                <w:sz w:val="22"/>
                <w:szCs w:val="22"/>
              </w:rPr>
            </w:pPr>
            <w:r>
              <w:rPr>
                <w:rFonts w:hint="eastAsia" w:ascii="宋体" w:hAnsi="宋体" w:eastAsia="宋体" w:cs="宋体"/>
                <w:color w:val="auto"/>
                <w:sz w:val="22"/>
                <w:szCs w:val="22"/>
              </w:rPr>
              <w:t>项目名称</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5E4E6F5E">
            <w:pPr>
              <w:spacing w:line="280" w:lineRule="exact"/>
              <w:jc w:val="center"/>
              <w:rPr>
                <w:rFonts w:hint="eastAsia" w:ascii="宋体" w:hAnsi="宋体" w:eastAsia="宋体" w:cs="宋体"/>
                <w:color w:val="auto"/>
                <w:sz w:val="22"/>
                <w:szCs w:val="22"/>
                <w:lang w:val="en-US"/>
              </w:rPr>
            </w:pPr>
            <w:r>
              <w:rPr>
                <w:rFonts w:hint="eastAsia" w:ascii="宋体" w:hAnsi="宋体" w:eastAsia="宋体" w:cs="宋体"/>
                <w:color w:val="auto"/>
                <w:sz w:val="22"/>
                <w:szCs w:val="22"/>
                <w:lang w:val="en-US" w:eastAsia="zh-CN"/>
              </w:rPr>
              <w:t>服务内容</w:t>
            </w:r>
          </w:p>
        </w:tc>
        <w:tc>
          <w:tcPr>
            <w:tcW w:w="1920" w:type="dxa"/>
            <w:tcBorders>
              <w:top w:val="single" w:color="auto" w:sz="4" w:space="0"/>
              <w:left w:val="single" w:color="auto" w:sz="4" w:space="0"/>
              <w:bottom w:val="single" w:color="auto" w:sz="4" w:space="0"/>
              <w:right w:val="single" w:color="auto" w:sz="4" w:space="0"/>
            </w:tcBorders>
            <w:noWrap w:val="0"/>
            <w:vAlign w:val="center"/>
          </w:tcPr>
          <w:p w14:paraId="1E48D36C">
            <w:pPr>
              <w:spacing w:line="280" w:lineRule="exact"/>
              <w:jc w:val="center"/>
              <w:rPr>
                <w:rFonts w:hint="eastAsia" w:ascii="宋体" w:hAnsi="宋体" w:eastAsia="宋体" w:cs="宋体"/>
                <w:color w:val="auto"/>
                <w:sz w:val="22"/>
                <w:szCs w:val="22"/>
              </w:rPr>
            </w:pPr>
            <w:r>
              <w:rPr>
                <w:rFonts w:hint="eastAsia" w:ascii="宋体" w:hAnsi="宋体" w:eastAsia="宋体" w:cs="宋体"/>
                <w:color w:val="auto"/>
                <w:sz w:val="22"/>
                <w:szCs w:val="22"/>
              </w:rPr>
              <w:t>数量</w:t>
            </w:r>
          </w:p>
        </w:tc>
        <w:tc>
          <w:tcPr>
            <w:tcW w:w="1658" w:type="dxa"/>
            <w:tcBorders>
              <w:top w:val="single" w:color="auto" w:sz="4" w:space="0"/>
              <w:left w:val="single" w:color="auto" w:sz="4" w:space="0"/>
              <w:bottom w:val="single" w:color="auto" w:sz="4" w:space="0"/>
              <w:right w:val="single" w:color="auto" w:sz="4" w:space="0"/>
            </w:tcBorders>
            <w:noWrap w:val="0"/>
            <w:vAlign w:val="center"/>
          </w:tcPr>
          <w:p w14:paraId="7BC4345D">
            <w:pPr>
              <w:spacing w:line="280" w:lineRule="exact"/>
              <w:jc w:val="center"/>
              <w:rPr>
                <w:rFonts w:hint="eastAsia" w:ascii="宋体" w:hAnsi="宋体" w:eastAsia="宋体" w:cs="宋体"/>
                <w:color w:val="auto"/>
                <w:sz w:val="22"/>
                <w:szCs w:val="22"/>
              </w:rPr>
            </w:pPr>
            <w:r>
              <w:rPr>
                <w:rFonts w:hint="eastAsia" w:ascii="宋体" w:hAnsi="宋体" w:eastAsia="宋体" w:cs="宋体"/>
                <w:color w:val="auto"/>
                <w:sz w:val="22"/>
                <w:szCs w:val="22"/>
                <w:highlight w:val="none"/>
                <w:lang w:val="en-US" w:eastAsia="zh-CN"/>
              </w:rPr>
              <w:t>报价上限</w:t>
            </w:r>
          </w:p>
        </w:tc>
        <w:tc>
          <w:tcPr>
            <w:tcW w:w="2800" w:type="dxa"/>
            <w:tcBorders>
              <w:top w:val="single" w:color="auto" w:sz="4" w:space="0"/>
              <w:left w:val="single" w:color="auto" w:sz="4" w:space="0"/>
              <w:bottom w:val="single" w:color="auto" w:sz="4" w:space="0"/>
            </w:tcBorders>
            <w:noWrap w:val="0"/>
            <w:vAlign w:val="center"/>
          </w:tcPr>
          <w:p w14:paraId="69313534">
            <w:pPr>
              <w:spacing w:line="300" w:lineRule="exact"/>
              <w:jc w:val="center"/>
              <w:rPr>
                <w:rFonts w:hint="eastAsia" w:ascii="宋体" w:hAnsi="宋体" w:eastAsia="宋体" w:cs="宋体"/>
                <w:color w:val="auto"/>
                <w:sz w:val="22"/>
                <w:szCs w:val="22"/>
                <w:lang w:eastAsia="zh-CN"/>
              </w:rPr>
            </w:pPr>
            <w:r>
              <w:rPr>
                <w:rFonts w:hint="eastAsia" w:ascii="宋体" w:hAnsi="宋体" w:eastAsia="宋体" w:cs="宋体"/>
                <w:color w:val="auto"/>
                <w:sz w:val="22"/>
                <w:szCs w:val="22"/>
              </w:rPr>
              <w:t>投标报价</w:t>
            </w:r>
          </w:p>
        </w:tc>
      </w:tr>
      <w:tr w14:paraId="7F8442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64" w:hRule="atLeast"/>
        </w:trPr>
        <w:tc>
          <w:tcPr>
            <w:tcW w:w="426" w:type="dxa"/>
            <w:vMerge w:val="restart"/>
            <w:tcBorders>
              <w:top w:val="single" w:color="auto" w:sz="4" w:space="0"/>
              <w:left w:val="single" w:color="auto" w:sz="4" w:space="0"/>
              <w:right w:val="single" w:color="auto" w:sz="4" w:space="0"/>
            </w:tcBorders>
            <w:noWrap w:val="0"/>
            <w:vAlign w:val="center"/>
          </w:tcPr>
          <w:p w14:paraId="69CD6B17">
            <w:pPr>
              <w:jc w:val="center"/>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1499" w:type="dxa"/>
            <w:vMerge w:val="restart"/>
            <w:tcBorders>
              <w:top w:val="single" w:color="auto" w:sz="4" w:space="0"/>
              <w:left w:val="single" w:color="auto" w:sz="4" w:space="0"/>
              <w:right w:val="single" w:color="auto" w:sz="4" w:space="0"/>
            </w:tcBorders>
            <w:noWrap w:val="0"/>
            <w:vAlign w:val="center"/>
          </w:tcPr>
          <w:p w14:paraId="7C34C115">
            <w:pPr>
              <w:spacing w:line="300" w:lineRule="exact"/>
              <w:jc w:val="center"/>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 xml:space="preserve">全州县2023-2026年松材线虫病疫情防控绩效承包项目 </w:t>
            </w:r>
          </w:p>
        </w:tc>
        <w:tc>
          <w:tcPr>
            <w:tcW w:w="1515" w:type="dxa"/>
            <w:vMerge w:val="restart"/>
            <w:tcBorders>
              <w:top w:val="single" w:color="auto" w:sz="4" w:space="0"/>
              <w:left w:val="single" w:color="auto" w:sz="4" w:space="0"/>
              <w:right w:val="single" w:color="auto" w:sz="4" w:space="0"/>
            </w:tcBorders>
            <w:noWrap w:val="0"/>
            <w:vAlign w:val="center"/>
          </w:tcPr>
          <w:p w14:paraId="5C690E8A">
            <w:pPr>
              <w:spacing w:line="300" w:lineRule="exact"/>
              <w:jc w:val="center"/>
              <w:rPr>
                <w:rFonts w:hint="eastAsia" w:ascii="宋体" w:hAnsi="宋体" w:eastAsia="宋体" w:cs="宋体"/>
                <w:color w:val="auto"/>
                <w:sz w:val="22"/>
                <w:szCs w:val="22"/>
              </w:rPr>
            </w:pPr>
            <w:r>
              <w:rPr>
                <w:rFonts w:hint="eastAsia" w:ascii="宋体" w:hAnsi="宋体" w:eastAsia="宋体" w:cs="宋体"/>
                <w:color w:val="auto"/>
                <w:sz w:val="22"/>
                <w:szCs w:val="22"/>
              </w:rPr>
              <w:t>完全响应招标文件中第三章《</w:t>
            </w:r>
            <w:r>
              <w:rPr>
                <w:rFonts w:hint="eastAsia" w:ascii="宋体" w:hAnsi="宋体" w:eastAsia="宋体" w:cs="宋体"/>
                <w:color w:val="auto"/>
                <w:sz w:val="22"/>
                <w:szCs w:val="22"/>
                <w:lang w:val="en-US" w:eastAsia="zh-CN"/>
              </w:rPr>
              <w:t>服务采购需求</w:t>
            </w:r>
            <w:r>
              <w:rPr>
                <w:rFonts w:hint="eastAsia" w:ascii="宋体" w:hAnsi="宋体" w:eastAsia="宋体" w:cs="宋体"/>
                <w:color w:val="auto"/>
                <w:sz w:val="22"/>
                <w:szCs w:val="22"/>
              </w:rPr>
              <w:t>》并严格按照执行</w:t>
            </w:r>
          </w:p>
        </w:tc>
        <w:tc>
          <w:tcPr>
            <w:tcW w:w="1920" w:type="dxa"/>
            <w:tcBorders>
              <w:top w:val="single" w:color="auto" w:sz="4" w:space="0"/>
              <w:left w:val="single" w:color="auto" w:sz="4" w:space="0"/>
              <w:bottom w:val="single" w:color="auto" w:sz="4" w:space="0"/>
              <w:right w:val="single" w:color="auto" w:sz="4" w:space="0"/>
            </w:tcBorders>
            <w:noWrap w:val="0"/>
            <w:vAlign w:val="center"/>
          </w:tcPr>
          <w:p w14:paraId="1E76CE6A">
            <w:pPr>
              <w:pStyle w:val="13"/>
              <w:ind w:firstLine="0" w:firstLineChars="0"/>
              <w:jc w:val="center"/>
              <w:rPr>
                <w:rFonts w:hint="eastAsia" w:ascii="宋体" w:hAnsi="宋体" w:eastAsia="宋体" w:cs="宋体"/>
                <w:color w:val="auto"/>
                <w:sz w:val="22"/>
                <w:szCs w:val="22"/>
              </w:rPr>
            </w:pPr>
            <w:r>
              <w:rPr>
                <w:rFonts w:hint="eastAsia" w:ascii="宋体" w:hAnsi="宋体" w:eastAsia="宋体" w:cs="宋体"/>
                <w:color w:val="auto"/>
                <w:spacing w:val="8"/>
                <w:sz w:val="22"/>
                <w:szCs w:val="22"/>
              </w:rPr>
              <w:t>预计</w:t>
            </w:r>
            <w:r>
              <w:rPr>
                <w:rFonts w:hint="eastAsia" w:ascii="宋体" w:hAnsi="宋体" w:eastAsia="宋体" w:cs="宋体"/>
                <w:color w:val="auto"/>
                <w:spacing w:val="8"/>
                <w:sz w:val="22"/>
                <w:szCs w:val="22"/>
                <w:lang w:val="en-US" w:eastAsia="zh-CN"/>
              </w:rPr>
              <w:t>3年</w:t>
            </w:r>
            <w:r>
              <w:rPr>
                <w:rFonts w:hint="eastAsia" w:ascii="宋体" w:hAnsi="宋体" w:eastAsia="宋体" w:cs="宋体"/>
                <w:color w:val="auto"/>
                <w:spacing w:val="8"/>
                <w:sz w:val="22"/>
                <w:szCs w:val="22"/>
              </w:rPr>
              <w:t>枯死松树总数</w:t>
            </w:r>
            <w:r>
              <w:rPr>
                <w:rFonts w:hint="eastAsia" w:ascii="宋体" w:hAnsi="宋体" w:eastAsia="宋体" w:cs="宋体"/>
                <w:bCs/>
                <w:color w:val="auto"/>
                <w:sz w:val="22"/>
                <w:szCs w:val="22"/>
                <w:highlight w:val="none"/>
                <w:lang w:val="en-US" w:eastAsia="zh-CN"/>
              </w:rPr>
              <w:t>235006株</w:t>
            </w:r>
          </w:p>
        </w:tc>
        <w:tc>
          <w:tcPr>
            <w:tcW w:w="1658" w:type="dxa"/>
            <w:tcBorders>
              <w:top w:val="single" w:color="auto" w:sz="4" w:space="0"/>
              <w:left w:val="single" w:color="auto" w:sz="4" w:space="0"/>
              <w:bottom w:val="single" w:color="auto" w:sz="4" w:space="0"/>
              <w:right w:val="single" w:color="auto" w:sz="4" w:space="0"/>
            </w:tcBorders>
            <w:noWrap w:val="0"/>
            <w:vAlign w:val="center"/>
          </w:tcPr>
          <w:p w14:paraId="07B1628C">
            <w:pPr>
              <w:pStyle w:val="13"/>
              <w:ind w:firstLine="0" w:firstLineChars="0"/>
              <w:jc w:val="center"/>
              <w:rPr>
                <w:rFonts w:hint="eastAsia" w:ascii="宋体" w:hAnsi="宋体" w:eastAsia="宋体" w:cs="宋体"/>
                <w:color w:val="auto"/>
                <w:sz w:val="22"/>
                <w:szCs w:val="22"/>
              </w:rPr>
            </w:pPr>
            <w:r>
              <w:rPr>
                <w:rFonts w:hint="eastAsia" w:ascii="宋体" w:hAnsi="宋体" w:eastAsia="宋体" w:cs="宋体"/>
                <w:color w:val="auto"/>
                <w:spacing w:val="7"/>
                <w:sz w:val="22"/>
                <w:szCs w:val="22"/>
              </w:rPr>
              <w:t>择伐除治费用</w:t>
            </w:r>
            <w:r>
              <w:rPr>
                <w:rFonts w:hint="eastAsia" w:ascii="宋体" w:hAnsi="宋体" w:eastAsia="宋体" w:cs="宋体"/>
                <w:bCs/>
                <w:color w:val="auto"/>
                <w:sz w:val="22"/>
                <w:szCs w:val="22"/>
                <w:highlight w:val="none"/>
                <w:lang w:val="en-US" w:eastAsia="zh-CN"/>
              </w:rPr>
              <w:t>190元/株</w:t>
            </w:r>
          </w:p>
        </w:tc>
        <w:tc>
          <w:tcPr>
            <w:tcW w:w="2800" w:type="dxa"/>
            <w:tcBorders>
              <w:top w:val="single" w:color="auto" w:sz="4" w:space="0"/>
              <w:left w:val="single" w:color="auto" w:sz="4" w:space="0"/>
              <w:bottom w:val="single" w:color="auto" w:sz="4" w:space="0"/>
            </w:tcBorders>
            <w:noWrap w:val="0"/>
            <w:vAlign w:val="center"/>
          </w:tcPr>
          <w:p w14:paraId="200705E2">
            <w:pPr>
              <w:spacing w:line="400" w:lineRule="exact"/>
              <w:jc w:val="center"/>
              <w:rPr>
                <w:rFonts w:hint="eastAsia" w:ascii="宋体" w:hAnsi="宋体" w:eastAsia="宋体" w:cs="宋体"/>
                <w:b/>
                <w:bCs/>
                <w:color w:val="auto"/>
                <w:sz w:val="22"/>
                <w:szCs w:val="22"/>
              </w:rPr>
            </w:pPr>
            <w:r>
              <w:rPr>
                <w:rFonts w:hint="eastAsia" w:ascii="宋体" w:hAnsi="宋体" w:eastAsia="宋体" w:cs="宋体"/>
                <w:color w:val="auto"/>
                <w:sz w:val="22"/>
                <w:szCs w:val="22"/>
                <w:highlight w:val="none"/>
                <w:u w:val="none"/>
              </w:rPr>
              <w:t>择伐除治费用</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元/</w:t>
            </w:r>
            <w:r>
              <w:rPr>
                <w:rFonts w:hint="eastAsia" w:ascii="宋体" w:hAnsi="宋体" w:eastAsia="宋体" w:cs="宋体"/>
                <w:color w:val="auto"/>
                <w:sz w:val="22"/>
                <w:szCs w:val="22"/>
                <w:highlight w:val="none"/>
                <w:lang w:eastAsia="zh-CN"/>
              </w:rPr>
              <w:t>株</w:t>
            </w:r>
          </w:p>
        </w:tc>
      </w:tr>
      <w:tr w14:paraId="332E9E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49" w:hRule="atLeast"/>
        </w:trPr>
        <w:tc>
          <w:tcPr>
            <w:tcW w:w="426" w:type="dxa"/>
            <w:vMerge w:val="continue"/>
            <w:tcBorders>
              <w:left w:val="single" w:color="auto" w:sz="4" w:space="0"/>
              <w:bottom w:val="single" w:color="auto" w:sz="4" w:space="0"/>
              <w:right w:val="single" w:color="auto" w:sz="4" w:space="0"/>
            </w:tcBorders>
            <w:noWrap w:val="0"/>
            <w:vAlign w:val="center"/>
          </w:tcPr>
          <w:p w14:paraId="694F80F5">
            <w:pPr>
              <w:jc w:val="center"/>
              <w:rPr>
                <w:rFonts w:hint="eastAsia" w:ascii="宋体" w:hAnsi="宋体" w:eastAsia="宋体" w:cs="宋体"/>
                <w:color w:val="auto"/>
                <w:sz w:val="22"/>
                <w:szCs w:val="22"/>
              </w:rPr>
            </w:pPr>
          </w:p>
        </w:tc>
        <w:tc>
          <w:tcPr>
            <w:tcW w:w="1499" w:type="dxa"/>
            <w:vMerge w:val="continue"/>
            <w:tcBorders>
              <w:left w:val="single" w:color="auto" w:sz="4" w:space="0"/>
              <w:bottom w:val="single" w:color="auto" w:sz="4" w:space="0"/>
              <w:right w:val="single" w:color="auto" w:sz="4" w:space="0"/>
            </w:tcBorders>
            <w:noWrap w:val="0"/>
            <w:vAlign w:val="center"/>
          </w:tcPr>
          <w:p w14:paraId="67056433">
            <w:pPr>
              <w:spacing w:line="300" w:lineRule="exact"/>
              <w:jc w:val="center"/>
              <w:rPr>
                <w:rFonts w:hint="eastAsia" w:ascii="宋体" w:hAnsi="宋体" w:eastAsia="宋体" w:cs="宋体"/>
                <w:color w:val="auto"/>
                <w:sz w:val="22"/>
                <w:szCs w:val="22"/>
                <w:lang w:eastAsia="zh-CN"/>
              </w:rPr>
            </w:pPr>
          </w:p>
        </w:tc>
        <w:tc>
          <w:tcPr>
            <w:tcW w:w="1515" w:type="dxa"/>
            <w:vMerge w:val="continue"/>
            <w:tcBorders>
              <w:left w:val="single" w:color="auto" w:sz="4" w:space="0"/>
              <w:bottom w:val="single" w:color="auto" w:sz="4" w:space="0"/>
              <w:right w:val="single" w:color="auto" w:sz="4" w:space="0"/>
            </w:tcBorders>
            <w:noWrap w:val="0"/>
            <w:vAlign w:val="center"/>
          </w:tcPr>
          <w:p w14:paraId="03ADB876">
            <w:pPr>
              <w:spacing w:line="300" w:lineRule="exact"/>
              <w:jc w:val="center"/>
              <w:rPr>
                <w:rFonts w:hint="eastAsia" w:ascii="宋体" w:hAnsi="宋体" w:eastAsia="宋体" w:cs="宋体"/>
                <w:color w:val="auto"/>
                <w:sz w:val="22"/>
                <w:szCs w:val="22"/>
              </w:rPr>
            </w:pPr>
          </w:p>
        </w:tc>
        <w:tc>
          <w:tcPr>
            <w:tcW w:w="1920" w:type="dxa"/>
            <w:tcBorders>
              <w:top w:val="single" w:color="auto" w:sz="4" w:space="0"/>
              <w:left w:val="single" w:color="auto" w:sz="4" w:space="0"/>
              <w:bottom w:val="single" w:color="auto" w:sz="4" w:space="0"/>
              <w:right w:val="single" w:color="auto" w:sz="4" w:space="0"/>
            </w:tcBorders>
            <w:noWrap w:val="0"/>
            <w:vAlign w:val="center"/>
          </w:tcPr>
          <w:p w14:paraId="3D8905D5">
            <w:pPr>
              <w:pStyle w:val="13"/>
              <w:ind w:firstLine="0" w:firstLineChars="0"/>
              <w:jc w:val="center"/>
              <w:rPr>
                <w:rFonts w:hint="default" w:ascii="宋体" w:hAnsi="宋体" w:eastAsia="宋体" w:cs="宋体"/>
                <w:color w:val="auto"/>
                <w:sz w:val="22"/>
                <w:szCs w:val="22"/>
                <w:lang w:val="en-US"/>
              </w:rPr>
            </w:pPr>
            <w:r>
              <w:rPr>
                <w:rFonts w:hint="eastAsia" w:ascii="宋体" w:hAnsi="宋体" w:eastAsia="宋体" w:cs="宋体"/>
                <w:bCs/>
                <w:color w:val="auto"/>
                <w:sz w:val="22"/>
                <w:szCs w:val="22"/>
                <w:highlight w:val="none"/>
                <w:lang w:val="en-US" w:eastAsia="zh-CN"/>
              </w:rPr>
              <w:t>3年（2024年-2026年)</w:t>
            </w:r>
          </w:p>
        </w:tc>
        <w:tc>
          <w:tcPr>
            <w:tcW w:w="1658" w:type="dxa"/>
            <w:tcBorders>
              <w:top w:val="single" w:color="auto" w:sz="4" w:space="0"/>
              <w:left w:val="single" w:color="auto" w:sz="4" w:space="0"/>
              <w:bottom w:val="single" w:color="auto" w:sz="4" w:space="0"/>
              <w:right w:val="single" w:color="auto" w:sz="4" w:space="0"/>
            </w:tcBorders>
            <w:noWrap w:val="0"/>
            <w:vAlign w:val="center"/>
          </w:tcPr>
          <w:p w14:paraId="0FFA076C">
            <w:pPr>
              <w:pStyle w:val="13"/>
              <w:ind w:firstLine="0" w:firstLineChars="0"/>
              <w:jc w:val="center"/>
              <w:rPr>
                <w:rFonts w:hint="eastAsia" w:ascii="宋体" w:hAnsi="宋体" w:eastAsia="宋体" w:cs="宋体"/>
                <w:color w:val="auto"/>
                <w:sz w:val="22"/>
                <w:szCs w:val="22"/>
              </w:rPr>
            </w:pPr>
            <w:r>
              <w:rPr>
                <w:rFonts w:hint="eastAsia" w:ascii="宋体" w:hAnsi="宋体" w:eastAsia="宋体" w:cs="宋体"/>
                <w:color w:val="auto"/>
                <w:spacing w:val="7"/>
                <w:sz w:val="22"/>
                <w:szCs w:val="22"/>
              </w:rPr>
              <w:t>非立木清理费</w:t>
            </w:r>
            <w:r>
              <w:rPr>
                <w:rFonts w:hint="eastAsia" w:ascii="宋体" w:hAnsi="宋体" w:eastAsia="宋体" w:cs="宋体"/>
                <w:color w:val="auto"/>
                <w:spacing w:val="5"/>
                <w:sz w:val="22"/>
                <w:szCs w:val="22"/>
              </w:rPr>
              <w:t>用</w:t>
            </w:r>
            <w:r>
              <w:rPr>
                <w:rFonts w:hint="eastAsia" w:ascii="宋体" w:hAnsi="宋体" w:eastAsia="宋体" w:cs="宋体"/>
                <w:color w:val="auto"/>
                <w:spacing w:val="5"/>
                <w:sz w:val="22"/>
                <w:szCs w:val="22"/>
                <w:lang w:val="en-US" w:eastAsia="zh-CN"/>
              </w:rPr>
              <w:t>2万/年</w:t>
            </w:r>
          </w:p>
        </w:tc>
        <w:tc>
          <w:tcPr>
            <w:tcW w:w="2800" w:type="dxa"/>
            <w:tcBorders>
              <w:top w:val="single" w:color="auto" w:sz="4" w:space="0"/>
              <w:left w:val="single" w:color="auto" w:sz="4" w:space="0"/>
              <w:bottom w:val="single" w:color="auto" w:sz="4" w:space="0"/>
            </w:tcBorders>
            <w:noWrap w:val="0"/>
            <w:vAlign w:val="center"/>
          </w:tcPr>
          <w:p w14:paraId="0FE9B234">
            <w:pPr>
              <w:spacing w:line="400" w:lineRule="exact"/>
              <w:jc w:val="center"/>
              <w:rPr>
                <w:rFonts w:hint="eastAsia" w:ascii="宋体" w:hAnsi="宋体" w:eastAsia="宋体" w:cs="宋体"/>
                <w:b w:val="0"/>
                <w:bCs w:val="0"/>
                <w:color w:val="auto"/>
                <w:sz w:val="22"/>
                <w:szCs w:val="22"/>
              </w:rPr>
            </w:pPr>
            <w:r>
              <w:rPr>
                <w:rFonts w:hint="eastAsia" w:ascii="宋体" w:hAnsi="宋体" w:eastAsia="宋体" w:cs="宋体"/>
                <w:color w:val="auto"/>
                <w:spacing w:val="7"/>
                <w:sz w:val="22"/>
                <w:szCs w:val="22"/>
              </w:rPr>
              <w:t>非立木清理费</w:t>
            </w:r>
            <w:r>
              <w:rPr>
                <w:rFonts w:hint="eastAsia" w:ascii="宋体" w:hAnsi="宋体" w:eastAsia="宋体" w:cs="宋体"/>
                <w:color w:val="auto"/>
                <w:spacing w:val="5"/>
                <w:sz w:val="22"/>
                <w:szCs w:val="22"/>
              </w:rPr>
              <w:t>用</w:t>
            </w:r>
            <w:r>
              <w:rPr>
                <w:rFonts w:hint="eastAsia" w:ascii="宋体" w:hAnsi="宋体" w:eastAsia="宋体" w:cs="宋体"/>
                <w:color w:val="auto"/>
                <w:spacing w:val="5"/>
                <w:sz w:val="22"/>
                <w:szCs w:val="22"/>
                <w:u w:val="single"/>
                <w:lang w:val="en-US" w:eastAsia="zh-CN"/>
              </w:rPr>
              <w:t xml:space="preserve">  </w:t>
            </w:r>
            <w:r>
              <w:rPr>
                <w:rFonts w:hint="eastAsia" w:ascii="宋体" w:hAnsi="宋体" w:eastAsia="宋体" w:cs="宋体"/>
                <w:color w:val="auto"/>
                <w:spacing w:val="5"/>
                <w:sz w:val="22"/>
                <w:szCs w:val="22"/>
                <w:lang w:val="en-US" w:eastAsia="zh-CN"/>
              </w:rPr>
              <w:t>万/年</w:t>
            </w:r>
          </w:p>
        </w:tc>
      </w:tr>
      <w:tr w14:paraId="70530C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2" w:hRule="atLeast"/>
        </w:trPr>
        <w:tc>
          <w:tcPr>
            <w:tcW w:w="9818" w:type="dxa"/>
            <w:gridSpan w:val="6"/>
            <w:tcBorders>
              <w:top w:val="single" w:color="auto" w:sz="4" w:space="0"/>
              <w:left w:val="single" w:color="auto" w:sz="4" w:space="0"/>
              <w:bottom w:val="single" w:color="auto" w:sz="4" w:space="0"/>
            </w:tcBorders>
            <w:noWrap w:val="0"/>
            <w:vAlign w:val="center"/>
          </w:tcPr>
          <w:p w14:paraId="15F42D81">
            <w:pPr>
              <w:spacing w:line="360" w:lineRule="auto"/>
              <w:jc w:val="both"/>
              <w:rPr>
                <w:rFonts w:hint="eastAsia" w:ascii="宋体" w:hAnsi="宋体" w:eastAsia="宋体" w:cs="宋体"/>
                <w:color w:val="auto"/>
                <w:sz w:val="22"/>
                <w:szCs w:val="22"/>
                <w:u w:val="single"/>
              </w:rPr>
            </w:pPr>
            <w:r>
              <w:rPr>
                <w:rFonts w:hint="eastAsia" w:ascii="宋体" w:hAnsi="宋体" w:eastAsia="宋体" w:cs="宋体"/>
                <w:b/>
                <w:bCs/>
                <w:color w:val="auto"/>
                <w:sz w:val="22"/>
                <w:szCs w:val="22"/>
                <w:highlight w:val="none"/>
                <w:lang w:val="en-US" w:eastAsia="zh-CN"/>
              </w:rPr>
              <w:t>投标总报价：</w:t>
            </w:r>
            <w:r>
              <w:rPr>
                <w:rFonts w:hint="eastAsia" w:ascii="宋体" w:hAnsi="宋体" w:eastAsia="宋体" w:cs="宋体"/>
                <w:b/>
                <w:bCs/>
                <w:color w:val="auto"/>
                <w:sz w:val="22"/>
                <w:szCs w:val="22"/>
                <w:highlight w:val="none"/>
              </w:rPr>
              <w:t>大写</w:t>
            </w:r>
            <w:r>
              <w:rPr>
                <w:rFonts w:hint="eastAsia" w:ascii="宋体" w:hAnsi="宋体" w:eastAsia="宋体" w:cs="宋体"/>
                <w:b/>
                <w:bCs/>
                <w:color w:val="auto"/>
                <w:sz w:val="22"/>
                <w:szCs w:val="22"/>
                <w:highlight w:val="non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b/>
                <w:bCs/>
                <w:color w:val="auto"/>
                <w:sz w:val="22"/>
                <w:szCs w:val="22"/>
                <w:highlight w:val="none"/>
                <w:lang w:val="en-US" w:eastAsia="zh-CN"/>
              </w:rPr>
              <w:t>（</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b/>
                <w:bCs/>
                <w:color w:val="auto"/>
                <w:sz w:val="22"/>
                <w:szCs w:val="22"/>
                <w:highlight w:val="none"/>
                <w:lang w:val="en-US" w:eastAsia="zh-CN"/>
              </w:rPr>
              <w:t>）</w:t>
            </w:r>
          </w:p>
        </w:tc>
      </w:tr>
      <w:tr w14:paraId="5938DC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6" w:hRule="atLeast"/>
        </w:trPr>
        <w:tc>
          <w:tcPr>
            <w:tcW w:w="9818" w:type="dxa"/>
            <w:gridSpan w:val="6"/>
            <w:tcBorders>
              <w:top w:val="single" w:color="auto" w:sz="4" w:space="0"/>
              <w:left w:val="single" w:color="auto" w:sz="4" w:space="0"/>
              <w:bottom w:val="single" w:color="auto" w:sz="4" w:space="0"/>
            </w:tcBorders>
            <w:noWrap w:val="0"/>
            <w:vAlign w:val="center"/>
          </w:tcPr>
          <w:p w14:paraId="12F7A910">
            <w:pPr>
              <w:pStyle w:val="28"/>
              <w:spacing w:line="36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rPr>
              <w:t>说明：</w:t>
            </w:r>
            <w:r>
              <w:rPr>
                <w:rFonts w:hint="eastAsia" w:ascii="宋体" w:hAnsi="宋体" w:eastAsia="宋体" w:cs="宋体"/>
                <w:color w:val="auto"/>
                <w:sz w:val="22"/>
                <w:szCs w:val="22"/>
                <w:lang w:val="en-US" w:eastAsia="zh-CN"/>
              </w:rPr>
              <w:t>投标报价包含本次采购范围内的服务价款、管理费、服务人员的工资（含工资、按规定提取的保险和福利费及国家地方规定必须缴纳的费、加班费、各项福利等）、不可预见费、法定税费、中标人合理利润及其它成本费等全部费用；投标人应综合考虑投标报价。</w:t>
            </w:r>
          </w:p>
        </w:tc>
      </w:tr>
    </w:tbl>
    <w:p w14:paraId="5C3D8E02">
      <w:pPr>
        <w:pStyle w:val="13"/>
        <w:keepNext w:val="0"/>
        <w:keepLines w:val="0"/>
        <w:pageBreakBefore w:val="0"/>
        <w:kinsoku/>
        <w:overflowPunct/>
        <w:topLinePunct w:val="0"/>
        <w:autoSpaceDE/>
        <w:autoSpaceDN/>
        <w:bidi w:val="0"/>
        <w:spacing w:line="320" w:lineRule="exact"/>
        <w:ind w:firstLine="210" w:firstLineChars="100"/>
        <w:textAlignment w:val="auto"/>
        <w:rPr>
          <w:rFonts w:hint="eastAsia" w:ascii="宋体" w:hAnsi="宋体" w:eastAsia="宋体" w:cs="宋体"/>
          <w:color w:val="auto"/>
          <w:highlight w:val="none"/>
        </w:rPr>
      </w:pPr>
    </w:p>
    <w:p w14:paraId="7CCA91E4">
      <w:pPr>
        <w:pStyle w:val="13"/>
        <w:spacing w:line="400" w:lineRule="exact"/>
        <w:ind w:firstLine="210" w:firstLineChars="100"/>
        <w:rPr>
          <w:rFonts w:hint="eastAsia" w:ascii="宋体" w:hAnsi="宋体" w:eastAsia="宋体" w:cs="宋体"/>
          <w:color w:val="auto"/>
        </w:rPr>
      </w:pPr>
      <w:r>
        <w:rPr>
          <w:rFonts w:hint="eastAsia" w:ascii="宋体" w:hAnsi="宋体" w:eastAsia="宋体" w:cs="宋体"/>
          <w:color w:val="auto"/>
        </w:rPr>
        <w:t>与本投标有关的正式通讯地址为：</w:t>
      </w:r>
    </w:p>
    <w:p w14:paraId="030880CE">
      <w:pPr>
        <w:pStyle w:val="13"/>
        <w:spacing w:line="400" w:lineRule="exact"/>
        <w:ind w:firstLine="200"/>
        <w:rPr>
          <w:rFonts w:hint="eastAsia" w:ascii="宋体" w:hAnsi="宋体" w:eastAsia="宋体" w:cs="宋体"/>
          <w:color w:val="auto"/>
          <w:u w:val="single"/>
        </w:rPr>
      </w:pPr>
      <w:r>
        <w:rPr>
          <w:rFonts w:hint="eastAsia" w:ascii="宋体" w:hAnsi="宋体" w:eastAsia="宋体" w:cs="宋体"/>
          <w:color w:val="auto"/>
        </w:rPr>
        <w:t>地址：</w:t>
      </w:r>
      <w:r>
        <w:rPr>
          <w:rFonts w:hint="eastAsia" w:ascii="宋体" w:hAnsi="宋体" w:eastAsia="宋体" w:cs="宋体"/>
          <w:color w:val="auto"/>
          <w:u w:val="single"/>
        </w:rPr>
        <w:t xml:space="preserve">                                   </w:t>
      </w:r>
      <w:r>
        <w:rPr>
          <w:rFonts w:hint="eastAsia" w:ascii="宋体" w:hAnsi="宋体" w:eastAsia="宋体" w:cs="宋体"/>
          <w:color w:val="auto"/>
        </w:rPr>
        <w:t xml:space="preserve"> 邮编：</w:t>
      </w:r>
      <w:r>
        <w:rPr>
          <w:rFonts w:hint="eastAsia" w:ascii="宋体" w:hAnsi="宋体" w:eastAsia="宋体" w:cs="宋体"/>
          <w:color w:val="auto"/>
          <w:u w:val="single"/>
        </w:rPr>
        <w:t xml:space="preserve">          </w:t>
      </w:r>
      <w:r>
        <w:rPr>
          <w:rFonts w:hint="eastAsia" w:ascii="宋体" w:hAnsi="宋体" w:eastAsia="宋体" w:cs="宋体"/>
          <w:color w:val="auto"/>
        </w:rPr>
        <w:t xml:space="preserve">  电话、传真：</w:t>
      </w:r>
      <w:r>
        <w:rPr>
          <w:rFonts w:hint="eastAsia" w:ascii="宋体" w:hAnsi="宋体" w:eastAsia="宋体" w:cs="宋体"/>
          <w:color w:val="auto"/>
          <w:u w:val="single"/>
        </w:rPr>
        <w:t xml:space="preserve">            .</w:t>
      </w:r>
    </w:p>
    <w:p w14:paraId="1894F2AB">
      <w:pPr>
        <w:pStyle w:val="13"/>
        <w:spacing w:line="400" w:lineRule="exact"/>
        <w:ind w:firstLine="200"/>
        <w:rPr>
          <w:rFonts w:hint="eastAsia" w:ascii="宋体" w:hAnsi="宋体" w:eastAsia="宋体" w:cs="宋体"/>
          <w:color w:val="auto"/>
        </w:rPr>
      </w:pPr>
      <w:r>
        <w:rPr>
          <w:rFonts w:hint="eastAsia" w:ascii="宋体" w:hAnsi="宋体" w:eastAsia="宋体" w:cs="宋体"/>
          <w:color w:val="auto"/>
        </w:rPr>
        <w:t>开户名称：</w:t>
      </w:r>
      <w:r>
        <w:rPr>
          <w:rFonts w:hint="eastAsia" w:ascii="宋体" w:hAnsi="宋体" w:eastAsia="宋体" w:cs="宋体"/>
          <w:color w:val="auto"/>
          <w:u w:val="single"/>
        </w:rPr>
        <w:t xml:space="preserve">                               .         </w:t>
      </w:r>
    </w:p>
    <w:p w14:paraId="40115BED">
      <w:pPr>
        <w:pStyle w:val="13"/>
        <w:spacing w:line="400" w:lineRule="exact"/>
        <w:ind w:firstLine="200"/>
        <w:rPr>
          <w:rFonts w:hint="eastAsia" w:ascii="宋体" w:hAnsi="宋体" w:eastAsia="宋体" w:cs="宋体"/>
          <w:color w:val="auto"/>
        </w:rPr>
      </w:pPr>
      <w:r>
        <w:rPr>
          <w:rFonts w:hint="eastAsia" w:ascii="宋体" w:hAnsi="宋体" w:eastAsia="宋体" w:cs="宋体"/>
          <w:color w:val="auto"/>
        </w:rPr>
        <w:t>开户银行：</w:t>
      </w:r>
      <w:r>
        <w:rPr>
          <w:rFonts w:hint="eastAsia" w:ascii="宋体" w:hAnsi="宋体" w:eastAsia="宋体" w:cs="宋体"/>
          <w:color w:val="auto"/>
          <w:u w:val="single"/>
        </w:rPr>
        <w:t xml:space="preserve">                               .　       </w:t>
      </w:r>
    </w:p>
    <w:p w14:paraId="14087E30">
      <w:pPr>
        <w:pStyle w:val="13"/>
        <w:spacing w:line="400" w:lineRule="exact"/>
        <w:ind w:firstLine="200"/>
        <w:rPr>
          <w:rFonts w:hint="eastAsia" w:ascii="宋体" w:hAnsi="宋体" w:eastAsia="宋体" w:cs="宋体"/>
          <w:color w:val="auto"/>
        </w:rPr>
      </w:pPr>
      <w:r>
        <w:rPr>
          <w:rFonts w:hint="eastAsia" w:ascii="宋体" w:hAnsi="宋体" w:eastAsia="宋体" w:cs="宋体"/>
          <w:color w:val="auto"/>
        </w:rPr>
        <w:t>账号：</w:t>
      </w:r>
      <w:r>
        <w:rPr>
          <w:rFonts w:hint="eastAsia" w:ascii="宋体" w:hAnsi="宋体" w:eastAsia="宋体" w:cs="宋体"/>
          <w:color w:val="auto"/>
          <w:u w:val="single"/>
        </w:rPr>
        <w:t xml:space="preserve">                                   .　　　   </w:t>
      </w:r>
    </w:p>
    <w:p w14:paraId="4F208207">
      <w:pPr>
        <w:pStyle w:val="13"/>
        <w:spacing w:line="400" w:lineRule="exact"/>
        <w:ind w:firstLine="200"/>
        <w:rPr>
          <w:rFonts w:hint="eastAsia" w:ascii="宋体" w:hAnsi="宋体" w:eastAsia="宋体" w:cs="宋体"/>
          <w:color w:val="auto"/>
        </w:rPr>
      </w:pPr>
      <w:r>
        <w:rPr>
          <w:rFonts w:hint="eastAsia" w:ascii="宋体" w:hAnsi="宋体" w:eastAsia="宋体" w:cs="宋体"/>
          <w:color w:val="auto"/>
        </w:rPr>
        <w:t>投标人名称（加盖CA证书签章，自然人除外）：</w:t>
      </w:r>
      <w:r>
        <w:rPr>
          <w:rFonts w:hint="eastAsia" w:ascii="宋体" w:hAnsi="宋体" w:eastAsia="宋体" w:cs="宋体"/>
          <w:color w:val="auto"/>
          <w:u w:val="single"/>
        </w:rPr>
        <w:t xml:space="preserve">                     .                         </w:t>
      </w:r>
    </w:p>
    <w:p w14:paraId="53383EFC">
      <w:pPr>
        <w:pStyle w:val="13"/>
        <w:spacing w:line="400" w:lineRule="exact"/>
        <w:ind w:firstLine="200"/>
        <w:rPr>
          <w:rFonts w:hint="eastAsia" w:ascii="宋体" w:hAnsi="宋体" w:eastAsia="宋体" w:cs="宋体"/>
          <w:color w:val="auto"/>
        </w:rPr>
      </w:pPr>
      <w:r>
        <w:rPr>
          <w:rFonts w:hint="eastAsia" w:ascii="宋体" w:hAnsi="宋体" w:eastAsia="宋体" w:cs="宋体"/>
          <w:color w:val="auto"/>
        </w:rPr>
        <w:t>法定代表人或负责人或自然人或相应的委托代理人签字（或加盖个人CA证书签章）：</w:t>
      </w:r>
      <w:r>
        <w:rPr>
          <w:rFonts w:hint="eastAsia" w:ascii="宋体" w:hAnsi="宋体" w:eastAsia="宋体" w:cs="宋体"/>
          <w:color w:val="auto"/>
          <w:u w:val="single"/>
        </w:rPr>
        <w:t xml:space="preserve">       。</w:t>
      </w:r>
    </w:p>
    <w:p w14:paraId="52FDFFC4">
      <w:pPr>
        <w:pStyle w:val="13"/>
        <w:spacing w:line="400" w:lineRule="exact"/>
        <w:ind w:firstLine="200"/>
        <w:rPr>
          <w:rFonts w:hint="eastAsia" w:ascii="宋体" w:hAnsi="宋体" w:eastAsia="宋体" w:cs="宋体"/>
          <w:color w:val="auto"/>
        </w:rPr>
      </w:pPr>
      <w:r>
        <w:rPr>
          <w:rFonts w:hint="eastAsia" w:ascii="宋体" w:hAnsi="宋体" w:eastAsia="宋体" w:cs="宋体"/>
          <w:color w:val="auto"/>
        </w:rPr>
        <w:t>投标日期：</w:t>
      </w:r>
      <w:r>
        <w:rPr>
          <w:rFonts w:hint="eastAsia" w:ascii="宋体" w:hAnsi="宋体" w:eastAsia="宋体" w:cs="宋体"/>
          <w:color w:val="auto"/>
          <w:u w:val="single"/>
        </w:rPr>
        <w:t xml:space="preserve">              。                </w:t>
      </w:r>
    </w:p>
    <w:p w14:paraId="7A4D4EB5">
      <w:pPr>
        <w:tabs>
          <w:tab w:val="left" w:pos="1305"/>
        </w:tabs>
        <w:spacing w:line="320" w:lineRule="exact"/>
        <w:ind w:firstLine="215" w:firstLineChars="98"/>
        <w:rPr>
          <w:rFonts w:hint="eastAsia" w:ascii="宋体" w:hAnsi="宋体" w:eastAsia="宋体" w:cs="宋体"/>
          <w:bCs/>
          <w:color w:val="auto"/>
          <w:szCs w:val="21"/>
        </w:rPr>
      </w:pPr>
    </w:p>
    <w:p w14:paraId="221D956F">
      <w:pPr>
        <w:tabs>
          <w:tab w:val="left" w:pos="1305"/>
        </w:tabs>
        <w:spacing w:line="320" w:lineRule="exact"/>
        <w:ind w:firstLine="215" w:firstLineChars="98"/>
        <w:rPr>
          <w:rFonts w:hint="eastAsia" w:ascii="宋体" w:hAnsi="宋体" w:eastAsia="宋体" w:cs="宋体"/>
          <w:color w:val="auto"/>
          <w:szCs w:val="21"/>
        </w:rPr>
      </w:pPr>
      <w:r>
        <w:rPr>
          <w:rFonts w:hint="eastAsia" w:ascii="宋体" w:hAnsi="宋体" w:eastAsia="宋体" w:cs="宋体"/>
          <w:bCs/>
          <w:color w:val="auto"/>
          <w:szCs w:val="21"/>
        </w:rPr>
        <w:t>注</w:t>
      </w:r>
      <w:r>
        <w:rPr>
          <w:rFonts w:hint="eastAsia" w:ascii="宋体" w:hAnsi="宋体" w:eastAsia="宋体" w:cs="宋体"/>
          <w:b/>
          <w:bCs/>
          <w:color w:val="auto"/>
          <w:szCs w:val="21"/>
        </w:rPr>
        <w:t>：</w:t>
      </w:r>
      <w:r>
        <w:rPr>
          <w:rFonts w:hint="eastAsia" w:ascii="宋体" w:hAnsi="宋体" w:eastAsia="宋体" w:cs="宋体"/>
          <w:bCs/>
          <w:color w:val="auto"/>
          <w:szCs w:val="21"/>
        </w:rPr>
        <w:t>（1）各投标人</w:t>
      </w:r>
      <w:r>
        <w:rPr>
          <w:rFonts w:hint="eastAsia" w:ascii="宋体" w:hAnsi="宋体" w:eastAsia="宋体" w:cs="宋体"/>
          <w:color w:val="auto"/>
          <w:szCs w:val="21"/>
        </w:rPr>
        <w:t>必须就“</w:t>
      </w:r>
      <w:r>
        <w:rPr>
          <w:rFonts w:hint="eastAsia" w:ascii="宋体" w:hAnsi="宋体" w:eastAsia="宋体" w:cs="宋体"/>
          <w:color w:val="auto"/>
          <w:szCs w:val="21"/>
          <w:lang w:val="en-US" w:eastAsia="zh-CN"/>
        </w:rPr>
        <w:t>服务</w:t>
      </w:r>
      <w:r>
        <w:rPr>
          <w:rFonts w:hint="eastAsia" w:ascii="宋体" w:hAnsi="宋体" w:eastAsia="宋体" w:cs="宋体"/>
          <w:color w:val="auto"/>
          <w:szCs w:val="21"/>
          <w:lang w:eastAsia="zh-CN"/>
        </w:rPr>
        <w:t>采购需求</w:t>
      </w:r>
      <w:r>
        <w:rPr>
          <w:rFonts w:hint="eastAsia" w:ascii="宋体" w:hAnsi="宋体" w:eastAsia="宋体" w:cs="宋体"/>
          <w:color w:val="auto"/>
          <w:szCs w:val="21"/>
        </w:rPr>
        <w:t>”中所有服务内容作完整唯一报价，否则，其投标将被拒绝。投标文件只允许有一个报价。</w:t>
      </w:r>
    </w:p>
    <w:p w14:paraId="6BEAC421">
      <w:pPr>
        <w:tabs>
          <w:tab w:val="left" w:pos="1305"/>
        </w:tabs>
        <w:spacing w:line="320" w:lineRule="exact"/>
        <w:ind w:firstLine="215" w:firstLineChars="98"/>
        <w:rPr>
          <w:rFonts w:hint="eastAsia" w:ascii="宋体" w:hAnsi="宋体" w:eastAsia="宋体" w:cs="宋体"/>
          <w:color w:val="auto"/>
        </w:rPr>
      </w:pPr>
      <w:r>
        <w:rPr>
          <w:rFonts w:hint="eastAsia" w:ascii="宋体" w:hAnsi="宋体" w:eastAsia="宋体" w:cs="宋体"/>
          <w:color w:val="auto"/>
        </w:rPr>
        <w:t>（2）投标人应根据所投</w:t>
      </w:r>
      <w:r>
        <w:rPr>
          <w:rFonts w:hint="eastAsia" w:ascii="宋体" w:hAnsi="宋体" w:eastAsia="宋体" w:cs="宋体"/>
          <w:color w:val="auto"/>
          <w:lang w:val="en-US" w:eastAsia="zh-CN"/>
        </w:rPr>
        <w:t>项目</w:t>
      </w:r>
      <w:r>
        <w:rPr>
          <w:rFonts w:hint="eastAsia" w:ascii="宋体" w:hAnsi="宋体" w:eastAsia="宋体" w:cs="宋体"/>
          <w:color w:val="auto"/>
        </w:rPr>
        <w:t>如实填写投标报价表内容。</w:t>
      </w:r>
    </w:p>
    <w:p w14:paraId="3D0A1AF5">
      <w:pPr>
        <w:pStyle w:val="2"/>
        <w:rPr>
          <w:rFonts w:hint="eastAsia" w:ascii="宋体" w:hAnsi="宋体" w:eastAsia="宋体" w:cs="宋体"/>
          <w:color w:val="auto"/>
          <w:highlight w:val="none"/>
        </w:rPr>
      </w:pPr>
    </w:p>
    <w:p w14:paraId="6F831806">
      <w:pPr>
        <w:pStyle w:val="13"/>
        <w:spacing w:line="400" w:lineRule="exact"/>
        <w:ind w:left="420" w:firstLine="643"/>
        <w:rPr>
          <w:rFonts w:hint="eastAsia" w:ascii="宋体" w:hAnsi="宋体" w:eastAsia="宋体" w:cs="宋体"/>
          <w:b/>
          <w:color w:val="auto"/>
          <w:sz w:val="32"/>
          <w:szCs w:val="32"/>
          <w:highlight w:val="none"/>
        </w:rPr>
      </w:pPr>
    </w:p>
    <w:p w14:paraId="3361C2E6">
      <w:pPr>
        <w:pStyle w:val="7"/>
        <w:rPr>
          <w:rFonts w:hint="eastAsia"/>
          <w:color w:val="auto"/>
        </w:rPr>
      </w:pPr>
    </w:p>
    <w:p w14:paraId="636B93B3">
      <w:pPr>
        <w:rPr>
          <w:rFonts w:hint="eastAsia"/>
          <w:color w:val="auto"/>
        </w:rPr>
      </w:pPr>
    </w:p>
    <w:p w14:paraId="234AA48B">
      <w:pPr>
        <w:pStyle w:val="7"/>
        <w:rPr>
          <w:rFonts w:hint="eastAsia" w:ascii="宋体" w:hAnsi="宋体" w:eastAsia="宋体" w:cs="宋体"/>
          <w:b/>
          <w:color w:val="auto"/>
          <w:sz w:val="32"/>
          <w:szCs w:val="32"/>
          <w:highlight w:val="none"/>
        </w:rPr>
      </w:pPr>
    </w:p>
    <w:p w14:paraId="642BB127">
      <w:pPr>
        <w:pStyle w:val="13"/>
        <w:spacing w:line="400" w:lineRule="exac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w:t>
      </w:r>
      <w:r>
        <w:rPr>
          <w:rFonts w:hint="eastAsia" w:ascii="宋体" w:hAnsi="宋体" w:eastAsia="宋体" w:cs="宋体"/>
          <w:color w:val="auto"/>
          <w:highlight w:val="none"/>
        </w:rPr>
        <w:t xml:space="preserve"> </w:t>
      </w:r>
      <w:r>
        <w:rPr>
          <w:rFonts w:hint="eastAsia" w:ascii="宋体" w:hAnsi="宋体" w:eastAsia="宋体" w:cs="宋体"/>
          <w:b/>
          <w:color w:val="auto"/>
          <w:sz w:val="32"/>
          <w:szCs w:val="32"/>
          <w:highlight w:val="none"/>
          <w:lang w:val="en-US" w:eastAsia="zh-CN"/>
        </w:rPr>
        <w:t>服务采购需求</w:t>
      </w:r>
      <w:r>
        <w:rPr>
          <w:rFonts w:hint="eastAsia" w:hAnsi="宋体" w:cs="宋体"/>
          <w:b/>
          <w:color w:val="auto"/>
          <w:sz w:val="32"/>
          <w:szCs w:val="32"/>
          <w:highlight w:val="none"/>
          <w:lang w:val="en-US" w:eastAsia="zh-CN"/>
        </w:rPr>
        <w:t>响应</w:t>
      </w:r>
      <w:r>
        <w:rPr>
          <w:rFonts w:hint="eastAsia" w:ascii="宋体" w:hAnsi="宋体" w:eastAsia="宋体" w:cs="宋体"/>
          <w:b/>
          <w:color w:val="auto"/>
          <w:sz w:val="32"/>
          <w:szCs w:val="32"/>
          <w:highlight w:val="none"/>
        </w:rPr>
        <w:t>表（必须提供）</w:t>
      </w:r>
    </w:p>
    <w:p w14:paraId="5AED563A">
      <w:pPr>
        <w:pStyle w:val="13"/>
        <w:ind w:firstLine="354" w:firstLineChars="147"/>
        <w:rPr>
          <w:rFonts w:hint="eastAsia" w:ascii="宋体" w:hAnsi="宋体" w:eastAsia="宋体" w:cs="宋体"/>
          <w:b/>
          <w:color w:val="auto"/>
          <w:sz w:val="24"/>
          <w:szCs w:val="24"/>
          <w:highlight w:val="none"/>
        </w:rPr>
      </w:pPr>
    </w:p>
    <w:p w14:paraId="7E8BD6DA">
      <w:pPr>
        <w:pStyle w:val="13"/>
        <w:ind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附件：            </w:t>
      </w:r>
    </w:p>
    <w:p w14:paraId="5974DAA1">
      <w:pPr>
        <w:pStyle w:val="13"/>
        <w:ind w:firstLine="472" w:firstLineChars="147"/>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lang w:val="en-US" w:eastAsia="zh-CN"/>
        </w:rPr>
        <w:t>服务采购需求</w:t>
      </w:r>
      <w:r>
        <w:rPr>
          <w:rFonts w:hint="eastAsia" w:hAnsi="宋体" w:cs="宋体"/>
          <w:b/>
          <w:bCs/>
          <w:color w:val="auto"/>
          <w:sz w:val="32"/>
          <w:highlight w:val="none"/>
          <w:lang w:val="en-US" w:eastAsia="zh-CN"/>
        </w:rPr>
        <w:t>响应</w:t>
      </w:r>
      <w:r>
        <w:rPr>
          <w:rFonts w:hint="eastAsia" w:ascii="宋体" w:hAnsi="宋体" w:eastAsia="宋体" w:cs="宋体"/>
          <w:b/>
          <w:bCs/>
          <w:color w:val="auto"/>
          <w:sz w:val="32"/>
          <w:highlight w:val="none"/>
        </w:rPr>
        <w:t>表（格式）</w:t>
      </w:r>
    </w:p>
    <w:p w14:paraId="3B00B219">
      <w:pPr>
        <w:pStyle w:val="13"/>
        <w:rPr>
          <w:rFonts w:hint="eastAsia" w:ascii="宋体" w:hAnsi="宋体" w:eastAsia="宋体" w:cs="宋体"/>
          <w:color w:val="auto"/>
          <w:highlight w:val="none"/>
        </w:rPr>
      </w:pPr>
    </w:p>
    <w:tbl>
      <w:tblPr>
        <w:tblStyle w:val="19"/>
        <w:tblpPr w:leftFromText="180" w:rightFromText="180" w:vertAnchor="text" w:horzAnchor="page" w:tblpX="1200" w:tblpY="28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2313"/>
        <w:gridCol w:w="2520"/>
        <w:gridCol w:w="2113"/>
      </w:tblGrid>
      <w:tr w14:paraId="05B2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709" w:type="dxa"/>
            <w:shd w:val="clear" w:color="auto" w:fill="FFFFFF"/>
            <w:noWrap w:val="0"/>
            <w:vAlign w:val="center"/>
          </w:tcPr>
          <w:p w14:paraId="6CF05730">
            <w:pPr>
              <w:spacing w:line="400" w:lineRule="exact"/>
              <w:jc w:val="center"/>
              <w:rPr>
                <w:rFonts w:hint="eastAsia" w:ascii="宋体" w:hAnsi="宋体" w:eastAsia="宋体" w:cs="宋体"/>
                <w:b/>
                <w:color w:val="auto"/>
              </w:rPr>
            </w:pPr>
            <w:r>
              <w:rPr>
                <w:rFonts w:hint="eastAsia" w:ascii="宋体" w:hAnsi="宋体" w:eastAsia="宋体" w:cs="宋体"/>
                <w:b/>
                <w:color w:val="auto"/>
              </w:rPr>
              <w:t>序号</w:t>
            </w:r>
          </w:p>
        </w:tc>
        <w:tc>
          <w:tcPr>
            <w:tcW w:w="2126" w:type="dxa"/>
            <w:shd w:val="clear" w:color="auto" w:fill="FFFFFF"/>
            <w:noWrap w:val="0"/>
            <w:vAlign w:val="center"/>
          </w:tcPr>
          <w:p w14:paraId="0D6D5D08">
            <w:pPr>
              <w:spacing w:line="400" w:lineRule="exact"/>
              <w:jc w:val="center"/>
              <w:rPr>
                <w:rFonts w:hint="eastAsia" w:ascii="宋体" w:hAnsi="宋体" w:eastAsia="宋体" w:cs="宋体"/>
                <w:b/>
                <w:color w:val="auto"/>
              </w:rPr>
            </w:pPr>
            <w:r>
              <w:rPr>
                <w:rFonts w:hint="eastAsia" w:ascii="宋体" w:hAnsi="宋体" w:eastAsia="宋体" w:cs="宋体"/>
                <w:b/>
                <w:color w:val="auto"/>
                <w:lang w:val="en-US" w:eastAsia="zh-CN"/>
              </w:rPr>
              <w:t>服务</w:t>
            </w:r>
            <w:r>
              <w:rPr>
                <w:rFonts w:hint="eastAsia" w:ascii="宋体" w:hAnsi="宋体" w:eastAsia="宋体" w:cs="宋体"/>
                <w:b/>
                <w:color w:val="auto"/>
              </w:rPr>
              <w:t>名称</w:t>
            </w:r>
          </w:p>
        </w:tc>
        <w:tc>
          <w:tcPr>
            <w:tcW w:w="2313" w:type="dxa"/>
            <w:shd w:val="clear" w:color="auto" w:fill="FFFFFF"/>
            <w:noWrap w:val="0"/>
            <w:vAlign w:val="center"/>
          </w:tcPr>
          <w:p w14:paraId="38577202">
            <w:pPr>
              <w:spacing w:line="400" w:lineRule="exact"/>
              <w:jc w:val="center"/>
              <w:rPr>
                <w:rFonts w:hint="eastAsia" w:ascii="宋体" w:hAnsi="宋体" w:eastAsia="宋体" w:cs="宋体"/>
                <w:b/>
                <w:color w:val="auto"/>
              </w:rPr>
            </w:pPr>
            <w:r>
              <w:rPr>
                <w:rFonts w:hint="eastAsia" w:ascii="宋体" w:hAnsi="宋体" w:eastAsia="宋体" w:cs="宋体"/>
                <w:b/>
                <w:color w:val="auto"/>
                <w:szCs w:val="21"/>
                <w:lang w:val="en-US" w:eastAsia="zh-CN"/>
              </w:rPr>
              <w:t>项目要求的服务</w:t>
            </w:r>
            <w:r>
              <w:rPr>
                <w:rFonts w:hint="eastAsia" w:ascii="宋体" w:hAnsi="宋体" w:eastAsia="宋体" w:cs="宋体"/>
                <w:b/>
                <w:color w:val="auto"/>
                <w:szCs w:val="21"/>
              </w:rPr>
              <w:t>需求</w:t>
            </w:r>
          </w:p>
        </w:tc>
        <w:tc>
          <w:tcPr>
            <w:tcW w:w="2520" w:type="dxa"/>
            <w:shd w:val="clear" w:color="auto" w:fill="FFFFFF"/>
            <w:noWrap w:val="0"/>
            <w:vAlign w:val="center"/>
          </w:tcPr>
          <w:p w14:paraId="0441683F">
            <w:pPr>
              <w:spacing w:line="400" w:lineRule="exact"/>
              <w:jc w:val="center"/>
              <w:rPr>
                <w:rFonts w:hint="eastAsia" w:ascii="宋体" w:hAnsi="宋体" w:eastAsia="宋体" w:cs="宋体"/>
                <w:b/>
                <w:color w:val="auto"/>
                <w:szCs w:val="21"/>
              </w:rPr>
            </w:pPr>
            <w:r>
              <w:rPr>
                <w:rFonts w:hint="eastAsia" w:ascii="宋体" w:hAnsi="宋体" w:eastAsia="宋体" w:cs="宋体"/>
                <w:b/>
                <w:color w:val="auto"/>
                <w:szCs w:val="21"/>
              </w:rPr>
              <w:t>投标文件的响应情况</w:t>
            </w:r>
          </w:p>
        </w:tc>
        <w:tc>
          <w:tcPr>
            <w:tcW w:w="2113" w:type="dxa"/>
            <w:shd w:val="clear" w:color="auto" w:fill="FFFFFF"/>
            <w:noWrap w:val="0"/>
            <w:vAlign w:val="center"/>
          </w:tcPr>
          <w:p w14:paraId="3F78E5C4">
            <w:pPr>
              <w:spacing w:line="400" w:lineRule="exact"/>
              <w:jc w:val="center"/>
              <w:rPr>
                <w:rFonts w:hint="eastAsia" w:ascii="宋体" w:hAnsi="宋体" w:eastAsia="宋体" w:cs="宋体"/>
                <w:b/>
                <w:color w:val="auto"/>
              </w:rPr>
            </w:pPr>
            <w:bookmarkStart w:id="66" w:name="_Toc254970560"/>
            <w:bookmarkStart w:id="67" w:name="_Toc254970701"/>
            <w:r>
              <w:rPr>
                <w:rFonts w:hint="eastAsia" w:ascii="宋体" w:hAnsi="宋体" w:eastAsia="宋体" w:cs="宋体"/>
                <w:b/>
                <w:color w:val="auto"/>
              </w:rPr>
              <w:t>偏离情况</w:t>
            </w:r>
            <w:bookmarkEnd w:id="66"/>
            <w:bookmarkEnd w:id="67"/>
            <w:r>
              <w:rPr>
                <w:rFonts w:hint="eastAsia" w:ascii="宋体" w:hAnsi="宋体" w:eastAsia="宋体" w:cs="宋体"/>
                <w:b/>
                <w:color w:val="auto"/>
              </w:rPr>
              <w:t>说明</w:t>
            </w:r>
          </w:p>
        </w:tc>
      </w:tr>
      <w:tr w14:paraId="4144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5A39287E">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126" w:type="dxa"/>
            <w:noWrap w:val="0"/>
            <w:vAlign w:val="center"/>
          </w:tcPr>
          <w:p w14:paraId="34B9D914">
            <w:pPr>
              <w:spacing w:line="400" w:lineRule="exact"/>
              <w:rPr>
                <w:rFonts w:hint="eastAsia" w:ascii="宋体" w:hAnsi="宋体" w:eastAsia="宋体" w:cs="宋体"/>
                <w:color w:val="auto"/>
                <w:kern w:val="0"/>
                <w:szCs w:val="21"/>
              </w:rPr>
            </w:pPr>
          </w:p>
        </w:tc>
        <w:tc>
          <w:tcPr>
            <w:tcW w:w="2313" w:type="dxa"/>
            <w:noWrap w:val="0"/>
            <w:vAlign w:val="center"/>
          </w:tcPr>
          <w:p w14:paraId="25A4CA57">
            <w:pPr>
              <w:spacing w:line="400" w:lineRule="exact"/>
              <w:jc w:val="left"/>
              <w:rPr>
                <w:rFonts w:hint="eastAsia" w:ascii="宋体" w:hAnsi="宋体" w:eastAsia="宋体" w:cs="宋体"/>
                <w:color w:val="auto"/>
              </w:rPr>
            </w:pPr>
          </w:p>
        </w:tc>
        <w:tc>
          <w:tcPr>
            <w:tcW w:w="2520" w:type="dxa"/>
            <w:noWrap w:val="0"/>
            <w:vAlign w:val="top"/>
          </w:tcPr>
          <w:p w14:paraId="3DCC475D">
            <w:pPr>
              <w:spacing w:line="400" w:lineRule="exact"/>
              <w:jc w:val="left"/>
              <w:rPr>
                <w:rFonts w:hint="eastAsia" w:ascii="宋体" w:hAnsi="宋体" w:eastAsia="宋体" w:cs="宋体"/>
                <w:color w:val="auto"/>
              </w:rPr>
            </w:pPr>
          </w:p>
        </w:tc>
        <w:tc>
          <w:tcPr>
            <w:tcW w:w="2113" w:type="dxa"/>
            <w:noWrap w:val="0"/>
            <w:vAlign w:val="center"/>
          </w:tcPr>
          <w:p w14:paraId="2F667BC0">
            <w:pPr>
              <w:spacing w:line="400" w:lineRule="exact"/>
              <w:jc w:val="left"/>
              <w:rPr>
                <w:rFonts w:hint="eastAsia" w:ascii="宋体" w:hAnsi="宋体" w:eastAsia="宋体" w:cs="宋体"/>
                <w:color w:val="auto"/>
              </w:rPr>
            </w:pPr>
          </w:p>
        </w:tc>
      </w:tr>
      <w:tr w14:paraId="34FA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2F96C3C4">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126" w:type="dxa"/>
            <w:noWrap w:val="0"/>
            <w:vAlign w:val="center"/>
          </w:tcPr>
          <w:p w14:paraId="0134C212">
            <w:pPr>
              <w:spacing w:line="400" w:lineRule="exact"/>
              <w:rPr>
                <w:rFonts w:hint="eastAsia" w:ascii="宋体" w:hAnsi="宋体" w:eastAsia="宋体" w:cs="宋体"/>
                <w:color w:val="auto"/>
                <w:kern w:val="0"/>
                <w:szCs w:val="21"/>
              </w:rPr>
            </w:pPr>
          </w:p>
        </w:tc>
        <w:tc>
          <w:tcPr>
            <w:tcW w:w="2313" w:type="dxa"/>
            <w:noWrap w:val="0"/>
            <w:vAlign w:val="center"/>
          </w:tcPr>
          <w:p w14:paraId="37874B5D">
            <w:pPr>
              <w:spacing w:line="400" w:lineRule="exact"/>
              <w:jc w:val="left"/>
              <w:rPr>
                <w:rFonts w:hint="eastAsia" w:ascii="宋体" w:hAnsi="宋体" w:eastAsia="宋体" w:cs="宋体"/>
                <w:color w:val="auto"/>
              </w:rPr>
            </w:pPr>
          </w:p>
        </w:tc>
        <w:tc>
          <w:tcPr>
            <w:tcW w:w="2520" w:type="dxa"/>
            <w:noWrap w:val="0"/>
            <w:vAlign w:val="top"/>
          </w:tcPr>
          <w:p w14:paraId="4A013962">
            <w:pPr>
              <w:spacing w:line="400" w:lineRule="exact"/>
              <w:jc w:val="left"/>
              <w:rPr>
                <w:rFonts w:hint="eastAsia" w:ascii="宋体" w:hAnsi="宋体" w:eastAsia="宋体" w:cs="宋体"/>
                <w:color w:val="auto"/>
              </w:rPr>
            </w:pPr>
          </w:p>
        </w:tc>
        <w:tc>
          <w:tcPr>
            <w:tcW w:w="2113" w:type="dxa"/>
            <w:noWrap w:val="0"/>
            <w:vAlign w:val="center"/>
          </w:tcPr>
          <w:p w14:paraId="5331231B">
            <w:pPr>
              <w:spacing w:line="400" w:lineRule="exact"/>
              <w:jc w:val="left"/>
              <w:rPr>
                <w:rFonts w:hint="eastAsia" w:ascii="宋体" w:hAnsi="宋体" w:eastAsia="宋体" w:cs="宋体"/>
                <w:color w:val="auto"/>
              </w:rPr>
            </w:pPr>
          </w:p>
        </w:tc>
      </w:tr>
      <w:tr w14:paraId="599A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148B2F8A">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2126" w:type="dxa"/>
            <w:noWrap w:val="0"/>
            <w:vAlign w:val="center"/>
          </w:tcPr>
          <w:p w14:paraId="156A1990">
            <w:pPr>
              <w:spacing w:line="400" w:lineRule="exact"/>
              <w:rPr>
                <w:rFonts w:hint="eastAsia" w:ascii="宋体" w:hAnsi="宋体" w:eastAsia="宋体" w:cs="宋体"/>
                <w:color w:val="auto"/>
                <w:kern w:val="0"/>
                <w:szCs w:val="21"/>
              </w:rPr>
            </w:pPr>
          </w:p>
        </w:tc>
        <w:tc>
          <w:tcPr>
            <w:tcW w:w="2313" w:type="dxa"/>
            <w:noWrap w:val="0"/>
            <w:vAlign w:val="top"/>
          </w:tcPr>
          <w:p w14:paraId="22EFCF06">
            <w:pPr>
              <w:spacing w:line="400" w:lineRule="exact"/>
              <w:jc w:val="left"/>
              <w:rPr>
                <w:rFonts w:hint="eastAsia" w:ascii="宋体" w:hAnsi="宋体" w:eastAsia="宋体" w:cs="宋体"/>
                <w:color w:val="auto"/>
              </w:rPr>
            </w:pPr>
          </w:p>
        </w:tc>
        <w:tc>
          <w:tcPr>
            <w:tcW w:w="2520" w:type="dxa"/>
            <w:noWrap w:val="0"/>
            <w:vAlign w:val="top"/>
          </w:tcPr>
          <w:p w14:paraId="1DC4B549">
            <w:pPr>
              <w:spacing w:line="400" w:lineRule="exact"/>
              <w:jc w:val="left"/>
              <w:rPr>
                <w:rFonts w:hint="eastAsia" w:ascii="宋体" w:hAnsi="宋体" w:eastAsia="宋体" w:cs="宋体"/>
                <w:color w:val="auto"/>
              </w:rPr>
            </w:pPr>
          </w:p>
        </w:tc>
        <w:tc>
          <w:tcPr>
            <w:tcW w:w="2113" w:type="dxa"/>
            <w:noWrap w:val="0"/>
            <w:vAlign w:val="top"/>
          </w:tcPr>
          <w:p w14:paraId="07F7A11B">
            <w:pPr>
              <w:spacing w:line="400" w:lineRule="exact"/>
              <w:jc w:val="left"/>
              <w:rPr>
                <w:rFonts w:hint="eastAsia" w:ascii="宋体" w:hAnsi="宋体" w:eastAsia="宋体" w:cs="宋体"/>
                <w:color w:val="auto"/>
              </w:rPr>
            </w:pPr>
          </w:p>
        </w:tc>
      </w:tr>
      <w:tr w14:paraId="7475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04EEFB3A">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2126" w:type="dxa"/>
            <w:noWrap w:val="0"/>
            <w:vAlign w:val="center"/>
          </w:tcPr>
          <w:p w14:paraId="389DF8D9">
            <w:pPr>
              <w:spacing w:line="400" w:lineRule="exact"/>
              <w:rPr>
                <w:rFonts w:hint="eastAsia" w:ascii="宋体" w:hAnsi="宋体" w:eastAsia="宋体" w:cs="宋体"/>
                <w:color w:val="auto"/>
                <w:kern w:val="0"/>
                <w:szCs w:val="21"/>
              </w:rPr>
            </w:pPr>
          </w:p>
        </w:tc>
        <w:tc>
          <w:tcPr>
            <w:tcW w:w="2313" w:type="dxa"/>
            <w:noWrap w:val="0"/>
            <w:vAlign w:val="top"/>
          </w:tcPr>
          <w:p w14:paraId="7D20FA62">
            <w:pPr>
              <w:spacing w:line="400" w:lineRule="exact"/>
              <w:jc w:val="left"/>
              <w:rPr>
                <w:rFonts w:hint="eastAsia" w:ascii="宋体" w:hAnsi="宋体" w:eastAsia="宋体" w:cs="宋体"/>
                <w:color w:val="auto"/>
              </w:rPr>
            </w:pPr>
          </w:p>
        </w:tc>
        <w:tc>
          <w:tcPr>
            <w:tcW w:w="2520" w:type="dxa"/>
            <w:noWrap w:val="0"/>
            <w:vAlign w:val="top"/>
          </w:tcPr>
          <w:p w14:paraId="2B3912A9">
            <w:pPr>
              <w:spacing w:line="400" w:lineRule="exact"/>
              <w:jc w:val="left"/>
              <w:rPr>
                <w:rFonts w:hint="eastAsia" w:ascii="宋体" w:hAnsi="宋体" w:eastAsia="宋体" w:cs="宋体"/>
                <w:color w:val="auto"/>
              </w:rPr>
            </w:pPr>
          </w:p>
        </w:tc>
        <w:tc>
          <w:tcPr>
            <w:tcW w:w="2113" w:type="dxa"/>
            <w:noWrap w:val="0"/>
            <w:vAlign w:val="top"/>
          </w:tcPr>
          <w:p w14:paraId="2D64D653">
            <w:pPr>
              <w:spacing w:line="400" w:lineRule="exact"/>
              <w:jc w:val="left"/>
              <w:rPr>
                <w:rFonts w:hint="eastAsia" w:ascii="宋体" w:hAnsi="宋体" w:eastAsia="宋体" w:cs="宋体"/>
                <w:color w:val="auto"/>
              </w:rPr>
            </w:pPr>
          </w:p>
        </w:tc>
      </w:tr>
      <w:tr w14:paraId="4A21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34235370">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2126" w:type="dxa"/>
            <w:noWrap w:val="0"/>
            <w:vAlign w:val="center"/>
          </w:tcPr>
          <w:p w14:paraId="771B98F7">
            <w:pPr>
              <w:spacing w:line="400" w:lineRule="exact"/>
              <w:rPr>
                <w:rFonts w:hint="eastAsia" w:ascii="宋体" w:hAnsi="宋体" w:eastAsia="宋体" w:cs="宋体"/>
                <w:color w:val="auto"/>
                <w:kern w:val="0"/>
                <w:szCs w:val="21"/>
              </w:rPr>
            </w:pPr>
          </w:p>
        </w:tc>
        <w:tc>
          <w:tcPr>
            <w:tcW w:w="2313" w:type="dxa"/>
            <w:noWrap w:val="0"/>
            <w:vAlign w:val="top"/>
          </w:tcPr>
          <w:p w14:paraId="5773DBC6">
            <w:pPr>
              <w:spacing w:line="400" w:lineRule="exact"/>
              <w:jc w:val="left"/>
              <w:rPr>
                <w:rFonts w:hint="eastAsia" w:ascii="宋体" w:hAnsi="宋体" w:eastAsia="宋体" w:cs="宋体"/>
                <w:color w:val="auto"/>
              </w:rPr>
            </w:pPr>
          </w:p>
        </w:tc>
        <w:tc>
          <w:tcPr>
            <w:tcW w:w="2520" w:type="dxa"/>
            <w:noWrap w:val="0"/>
            <w:vAlign w:val="top"/>
          </w:tcPr>
          <w:p w14:paraId="55E430EE">
            <w:pPr>
              <w:spacing w:line="400" w:lineRule="exact"/>
              <w:jc w:val="left"/>
              <w:rPr>
                <w:rFonts w:hint="eastAsia" w:ascii="宋体" w:hAnsi="宋体" w:eastAsia="宋体" w:cs="宋体"/>
                <w:color w:val="auto"/>
              </w:rPr>
            </w:pPr>
          </w:p>
        </w:tc>
        <w:tc>
          <w:tcPr>
            <w:tcW w:w="2113" w:type="dxa"/>
            <w:noWrap w:val="0"/>
            <w:vAlign w:val="top"/>
          </w:tcPr>
          <w:p w14:paraId="4B3B775A">
            <w:pPr>
              <w:spacing w:line="400" w:lineRule="exact"/>
              <w:jc w:val="left"/>
              <w:rPr>
                <w:rFonts w:hint="eastAsia" w:ascii="宋体" w:hAnsi="宋体" w:eastAsia="宋体" w:cs="宋体"/>
                <w:color w:val="auto"/>
              </w:rPr>
            </w:pPr>
          </w:p>
        </w:tc>
      </w:tr>
      <w:tr w14:paraId="089C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135B423F">
            <w:pPr>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N</w:t>
            </w:r>
          </w:p>
        </w:tc>
        <w:tc>
          <w:tcPr>
            <w:tcW w:w="2126" w:type="dxa"/>
            <w:noWrap w:val="0"/>
            <w:vAlign w:val="center"/>
          </w:tcPr>
          <w:p w14:paraId="2548C2BA">
            <w:pPr>
              <w:spacing w:line="400" w:lineRule="exact"/>
              <w:rPr>
                <w:rFonts w:hint="eastAsia" w:ascii="宋体" w:hAnsi="宋体" w:eastAsia="宋体" w:cs="宋体"/>
                <w:b/>
                <w:bCs/>
                <w:color w:val="auto"/>
                <w:kern w:val="0"/>
                <w:szCs w:val="21"/>
              </w:rPr>
            </w:pPr>
          </w:p>
        </w:tc>
        <w:tc>
          <w:tcPr>
            <w:tcW w:w="2313" w:type="dxa"/>
            <w:noWrap w:val="0"/>
            <w:vAlign w:val="top"/>
          </w:tcPr>
          <w:p w14:paraId="5784D9C3">
            <w:pPr>
              <w:spacing w:line="400" w:lineRule="exact"/>
              <w:jc w:val="left"/>
              <w:rPr>
                <w:rFonts w:hint="eastAsia" w:ascii="宋体" w:hAnsi="宋体" w:eastAsia="宋体" w:cs="宋体"/>
                <w:color w:val="auto"/>
              </w:rPr>
            </w:pPr>
          </w:p>
        </w:tc>
        <w:tc>
          <w:tcPr>
            <w:tcW w:w="2520" w:type="dxa"/>
            <w:noWrap w:val="0"/>
            <w:vAlign w:val="top"/>
          </w:tcPr>
          <w:p w14:paraId="129B2C63">
            <w:pPr>
              <w:spacing w:line="400" w:lineRule="exact"/>
              <w:jc w:val="left"/>
              <w:rPr>
                <w:rFonts w:hint="eastAsia" w:ascii="宋体" w:hAnsi="宋体" w:eastAsia="宋体" w:cs="宋体"/>
                <w:color w:val="auto"/>
              </w:rPr>
            </w:pPr>
          </w:p>
        </w:tc>
        <w:tc>
          <w:tcPr>
            <w:tcW w:w="2113" w:type="dxa"/>
            <w:noWrap w:val="0"/>
            <w:vAlign w:val="top"/>
          </w:tcPr>
          <w:p w14:paraId="0A6279DE">
            <w:pPr>
              <w:spacing w:line="400" w:lineRule="exact"/>
              <w:jc w:val="left"/>
              <w:rPr>
                <w:rFonts w:hint="eastAsia" w:ascii="宋体" w:hAnsi="宋体" w:eastAsia="宋体" w:cs="宋体"/>
                <w:color w:val="auto"/>
              </w:rPr>
            </w:pPr>
          </w:p>
        </w:tc>
      </w:tr>
    </w:tbl>
    <w:p w14:paraId="406199EC">
      <w:pPr>
        <w:pStyle w:val="13"/>
        <w:spacing w:line="300" w:lineRule="exact"/>
        <w:ind w:firstLine="3465" w:firstLineChars="1650"/>
        <w:rPr>
          <w:rFonts w:hint="eastAsia" w:ascii="宋体" w:hAnsi="宋体" w:eastAsia="宋体" w:cs="宋体"/>
          <w:color w:val="auto"/>
          <w:highlight w:val="none"/>
        </w:rPr>
      </w:pPr>
    </w:p>
    <w:p w14:paraId="6AF277C1">
      <w:pPr>
        <w:pStyle w:val="13"/>
        <w:spacing w:line="300" w:lineRule="exact"/>
        <w:ind w:firstLine="525" w:firstLineChars="250"/>
        <w:rPr>
          <w:rFonts w:hint="eastAsia" w:ascii="宋体" w:hAnsi="宋体" w:eastAsia="宋体" w:cs="宋体"/>
          <w:color w:val="auto"/>
          <w:highlight w:val="none"/>
        </w:rPr>
      </w:pPr>
    </w:p>
    <w:p w14:paraId="0D574656">
      <w:pPr>
        <w:pStyle w:val="13"/>
        <w:spacing w:line="300" w:lineRule="exact"/>
        <w:ind w:firstLine="525" w:firstLineChars="250"/>
        <w:rPr>
          <w:rFonts w:hint="eastAsia" w:ascii="宋体" w:hAnsi="宋体" w:eastAsia="宋体" w:cs="宋体"/>
          <w:color w:val="auto"/>
          <w:highlight w:val="none"/>
          <w:u w:val="single"/>
        </w:rPr>
      </w:pPr>
      <w:r>
        <w:rPr>
          <w:rFonts w:hint="eastAsia" w:ascii="宋体" w:hAnsi="宋体" w:eastAsia="宋体" w:cs="宋体"/>
          <w:color w:val="auto"/>
          <w:highlight w:val="none"/>
        </w:rPr>
        <w:t>投标人公章（CA签章，自然人签字或个人CA签章）：</w:t>
      </w:r>
      <w:r>
        <w:rPr>
          <w:rFonts w:hint="eastAsia" w:ascii="宋体" w:hAnsi="宋体" w:eastAsia="宋体" w:cs="宋体"/>
          <w:color w:val="auto"/>
          <w:highlight w:val="none"/>
          <w:u w:val="single"/>
        </w:rPr>
        <w:t xml:space="preserve">                                         </w:t>
      </w:r>
    </w:p>
    <w:p w14:paraId="45C8CD4A">
      <w:pPr>
        <w:pStyle w:val="13"/>
        <w:spacing w:line="300" w:lineRule="exact"/>
        <w:ind w:firstLine="3990" w:firstLineChars="1900"/>
        <w:rPr>
          <w:rFonts w:hint="eastAsia" w:ascii="宋体" w:hAnsi="宋体" w:eastAsia="宋体" w:cs="宋体"/>
          <w:bCs/>
          <w:color w:val="auto"/>
          <w:szCs w:val="21"/>
          <w:highlight w:val="none"/>
        </w:rPr>
      </w:pPr>
    </w:p>
    <w:p w14:paraId="5A2E0FD9">
      <w:pPr>
        <w:pStyle w:val="13"/>
        <w:spacing w:line="300" w:lineRule="exact"/>
        <w:ind w:firstLine="3990" w:firstLineChars="19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日期：</w:t>
      </w:r>
      <w:r>
        <w:rPr>
          <w:rFonts w:hint="eastAsia" w:ascii="宋体" w:hAnsi="宋体" w:eastAsia="宋体" w:cs="宋体"/>
          <w:bCs/>
          <w:color w:val="auto"/>
          <w:szCs w:val="21"/>
          <w:highlight w:val="none"/>
          <w:u w:val="single"/>
        </w:rPr>
        <w:t xml:space="preserve">                      </w:t>
      </w:r>
    </w:p>
    <w:p w14:paraId="46F84A23">
      <w:pPr>
        <w:pStyle w:val="13"/>
        <w:spacing w:line="300" w:lineRule="exact"/>
        <w:ind w:left="3735" w:leftChars="1650" w:hanging="105" w:hangingChars="50"/>
        <w:rPr>
          <w:rFonts w:hint="eastAsia" w:ascii="宋体" w:hAnsi="宋体" w:eastAsia="宋体" w:cs="宋体"/>
          <w:color w:val="auto"/>
          <w:szCs w:val="21"/>
          <w:highlight w:val="none"/>
          <w:u w:val="single"/>
        </w:rPr>
      </w:pPr>
    </w:p>
    <w:p w14:paraId="6299CF5A">
      <w:pPr>
        <w:pStyle w:val="13"/>
        <w:spacing w:line="300" w:lineRule="exact"/>
        <w:ind w:left="3735" w:leftChars="1650" w:hanging="105" w:hangingChars="50"/>
        <w:rPr>
          <w:rFonts w:hint="eastAsia" w:ascii="宋体" w:hAnsi="宋体" w:eastAsia="宋体" w:cs="宋体"/>
          <w:color w:val="auto"/>
          <w:szCs w:val="21"/>
          <w:highlight w:val="none"/>
          <w:u w:val="single"/>
        </w:rPr>
      </w:pPr>
    </w:p>
    <w:p w14:paraId="4B8A4A69">
      <w:pPr>
        <w:widowControl/>
        <w:spacing w:line="300" w:lineRule="exact"/>
        <w:jc w:val="left"/>
        <w:rPr>
          <w:rFonts w:hint="eastAsia" w:ascii="宋体" w:hAnsi="宋体" w:eastAsia="宋体" w:cs="宋体"/>
          <w:color w:val="auto"/>
          <w:highlight w:val="none"/>
        </w:rPr>
      </w:pPr>
    </w:p>
    <w:p w14:paraId="7B08FA4B">
      <w:pPr>
        <w:pStyle w:val="2"/>
        <w:ind w:firstLine="480"/>
        <w:rPr>
          <w:rFonts w:hint="eastAsia" w:ascii="宋体" w:hAnsi="宋体" w:eastAsia="宋体" w:cs="宋体"/>
          <w:b/>
          <w:bCs/>
          <w:color w:val="auto"/>
          <w:sz w:val="22"/>
          <w:szCs w:val="21"/>
          <w:highlight w:val="none"/>
        </w:rPr>
      </w:pPr>
      <w:r>
        <w:rPr>
          <w:rFonts w:hint="eastAsia" w:ascii="宋体" w:hAnsi="宋体" w:eastAsia="宋体" w:cs="宋体"/>
          <w:b/>
          <w:bCs/>
          <w:color w:val="auto"/>
          <w:sz w:val="22"/>
          <w:szCs w:val="21"/>
          <w:highlight w:val="none"/>
        </w:rPr>
        <w:t>注：1.“服务采购需求</w:t>
      </w:r>
      <w:r>
        <w:rPr>
          <w:rFonts w:hint="eastAsia" w:hAnsi="宋体" w:cs="宋体"/>
          <w:b/>
          <w:bCs/>
          <w:color w:val="auto"/>
          <w:sz w:val="22"/>
          <w:szCs w:val="21"/>
          <w:highlight w:val="none"/>
          <w:lang w:val="en-US" w:eastAsia="zh-CN"/>
        </w:rPr>
        <w:t>响应</w:t>
      </w:r>
      <w:r>
        <w:rPr>
          <w:rFonts w:hint="eastAsia" w:ascii="宋体" w:hAnsi="宋体" w:eastAsia="宋体" w:cs="宋体"/>
          <w:b/>
          <w:bCs/>
          <w:color w:val="auto"/>
          <w:sz w:val="22"/>
          <w:szCs w:val="21"/>
          <w:highlight w:val="none"/>
        </w:rPr>
        <w:t>表”各项内容必须如实填写。</w:t>
      </w:r>
    </w:p>
    <w:p w14:paraId="7CA4C91B">
      <w:pPr>
        <w:pStyle w:val="2"/>
        <w:ind w:firstLine="883" w:firstLineChars="400"/>
        <w:rPr>
          <w:rFonts w:hint="eastAsia" w:ascii="宋体" w:hAnsi="宋体" w:eastAsia="宋体" w:cs="宋体"/>
          <w:b/>
          <w:bCs/>
          <w:color w:val="auto"/>
          <w:sz w:val="22"/>
          <w:szCs w:val="21"/>
          <w:highlight w:val="none"/>
        </w:rPr>
      </w:pPr>
      <w:r>
        <w:rPr>
          <w:rFonts w:hint="eastAsia" w:ascii="宋体" w:hAnsi="宋体" w:eastAsia="宋体" w:cs="宋体"/>
          <w:b/>
          <w:bCs/>
          <w:color w:val="auto"/>
          <w:sz w:val="22"/>
          <w:szCs w:val="21"/>
          <w:highlight w:val="none"/>
        </w:rPr>
        <w:t xml:space="preserve"> 2.当本表由多页构成时，需逐页加盖投标人公章（CA 签章）（属自然人的须逐页签字或个人 CA 签章）。</w:t>
      </w:r>
    </w:p>
    <w:p w14:paraId="0F6F48BB">
      <w:pPr>
        <w:snapToGrid w:val="0"/>
        <w:spacing w:line="400" w:lineRule="exact"/>
        <w:ind w:firstLine="643" w:firstLineChars="200"/>
        <w:outlineLvl w:val="9"/>
        <w:rPr>
          <w:rFonts w:hint="eastAsia" w:ascii="宋体" w:hAnsi="宋体" w:eastAsia="宋体" w:cs="宋体"/>
          <w:b/>
          <w:bCs/>
          <w:color w:val="auto"/>
          <w:sz w:val="32"/>
          <w:szCs w:val="20"/>
          <w:highlight w:val="none"/>
        </w:rPr>
      </w:pPr>
    </w:p>
    <w:p w14:paraId="031D4D95">
      <w:pPr>
        <w:pStyle w:val="2"/>
        <w:rPr>
          <w:rFonts w:hint="eastAsia" w:ascii="宋体" w:hAnsi="宋体" w:eastAsia="宋体" w:cs="宋体"/>
          <w:b/>
          <w:bCs/>
          <w:color w:val="auto"/>
          <w:sz w:val="32"/>
          <w:szCs w:val="20"/>
          <w:highlight w:val="none"/>
        </w:rPr>
      </w:pPr>
    </w:p>
    <w:p w14:paraId="077065A6">
      <w:pPr>
        <w:rPr>
          <w:rFonts w:hint="eastAsia" w:ascii="宋体" w:hAnsi="宋体" w:eastAsia="宋体" w:cs="宋体"/>
          <w:b/>
          <w:bCs/>
          <w:color w:val="auto"/>
          <w:sz w:val="32"/>
          <w:szCs w:val="20"/>
          <w:highlight w:val="none"/>
        </w:rPr>
      </w:pPr>
    </w:p>
    <w:p w14:paraId="36ADA22F">
      <w:pPr>
        <w:pStyle w:val="2"/>
        <w:rPr>
          <w:rFonts w:hint="eastAsia" w:ascii="宋体" w:hAnsi="宋体" w:eastAsia="宋体" w:cs="宋体"/>
          <w:b/>
          <w:bCs/>
          <w:color w:val="auto"/>
          <w:sz w:val="32"/>
          <w:szCs w:val="20"/>
          <w:highlight w:val="none"/>
        </w:rPr>
      </w:pPr>
    </w:p>
    <w:p w14:paraId="10A55423">
      <w:pPr>
        <w:rPr>
          <w:rFonts w:hint="eastAsia" w:ascii="宋体" w:hAnsi="宋体" w:eastAsia="宋体" w:cs="宋体"/>
          <w:color w:val="auto"/>
        </w:rPr>
      </w:pPr>
    </w:p>
    <w:p w14:paraId="66FC2B39">
      <w:pPr>
        <w:snapToGrid w:val="0"/>
        <w:spacing w:line="400" w:lineRule="exact"/>
        <w:outlineLvl w:val="9"/>
        <w:rPr>
          <w:rFonts w:hint="eastAsia" w:ascii="宋体" w:hAnsi="宋体" w:eastAsia="宋体" w:cs="宋体"/>
          <w:b/>
          <w:bCs/>
          <w:color w:val="auto"/>
          <w:sz w:val="32"/>
          <w:szCs w:val="20"/>
          <w:highlight w:val="none"/>
        </w:rPr>
      </w:pPr>
    </w:p>
    <w:p w14:paraId="1C5EA2BA">
      <w:pPr>
        <w:snapToGrid w:val="0"/>
        <w:spacing w:line="400" w:lineRule="exact"/>
        <w:ind w:firstLine="643" w:firstLineChars="200"/>
        <w:outlineLvl w:val="4"/>
        <w:rPr>
          <w:rFonts w:hint="eastAsia" w:ascii="宋体" w:hAnsi="宋体" w:eastAsia="宋体" w:cs="宋体"/>
          <w:b/>
          <w:bCs/>
          <w:color w:val="auto"/>
          <w:sz w:val="32"/>
          <w:szCs w:val="20"/>
          <w:highlight w:val="none"/>
        </w:rPr>
      </w:pPr>
      <w:r>
        <w:rPr>
          <w:rFonts w:hint="eastAsia" w:ascii="宋体" w:hAnsi="宋体" w:eastAsia="宋体" w:cs="宋体"/>
          <w:b/>
          <w:bCs/>
          <w:color w:val="auto"/>
          <w:sz w:val="32"/>
          <w:szCs w:val="20"/>
          <w:highlight w:val="none"/>
          <w:lang w:val="en-US" w:eastAsia="zh-CN"/>
        </w:rPr>
        <w:t>3</w:t>
      </w:r>
      <w:r>
        <w:rPr>
          <w:rFonts w:hint="eastAsia" w:ascii="宋体" w:hAnsi="宋体" w:eastAsia="宋体" w:cs="宋体"/>
          <w:b/>
          <w:bCs/>
          <w:color w:val="auto"/>
          <w:sz w:val="32"/>
          <w:szCs w:val="20"/>
          <w:highlight w:val="none"/>
        </w:rPr>
        <w:t>.</w:t>
      </w:r>
      <w:r>
        <w:rPr>
          <w:rFonts w:hint="eastAsia" w:ascii="宋体" w:hAnsi="宋体" w:eastAsia="宋体" w:cs="宋体"/>
          <w:b/>
          <w:bCs/>
          <w:color w:val="auto"/>
          <w:sz w:val="32"/>
          <w:szCs w:val="20"/>
          <w:highlight w:val="none"/>
          <w:lang w:val="en-US" w:eastAsia="zh-CN"/>
        </w:rPr>
        <w:t>项目实施</w:t>
      </w:r>
      <w:r>
        <w:rPr>
          <w:rFonts w:hint="eastAsia" w:ascii="宋体" w:hAnsi="宋体" w:eastAsia="宋体" w:cs="宋体"/>
          <w:b/>
          <w:bCs/>
          <w:color w:val="auto"/>
          <w:sz w:val="32"/>
          <w:szCs w:val="20"/>
          <w:highlight w:val="none"/>
        </w:rPr>
        <w:t>方案（必须提供，根据本项目采购需求及评标办法自行编写）</w:t>
      </w:r>
    </w:p>
    <w:p w14:paraId="72A99A71">
      <w:pPr>
        <w:snapToGrid w:val="0"/>
        <w:spacing w:line="400" w:lineRule="exact"/>
        <w:ind w:firstLine="643" w:firstLineChars="200"/>
        <w:outlineLvl w:val="9"/>
        <w:rPr>
          <w:rFonts w:hint="eastAsia" w:ascii="宋体" w:hAnsi="宋体" w:eastAsia="宋体" w:cs="宋体"/>
          <w:b/>
          <w:bCs/>
          <w:color w:val="auto"/>
          <w:sz w:val="32"/>
          <w:szCs w:val="20"/>
          <w:highlight w:val="none"/>
        </w:rPr>
      </w:pPr>
    </w:p>
    <w:p w14:paraId="7840FFFC">
      <w:pPr>
        <w:snapToGrid w:val="0"/>
        <w:spacing w:line="400" w:lineRule="exact"/>
        <w:ind w:firstLine="643" w:firstLineChars="200"/>
        <w:outlineLvl w:val="9"/>
        <w:rPr>
          <w:rFonts w:hint="eastAsia" w:ascii="宋体" w:hAnsi="宋体" w:eastAsia="宋体" w:cs="宋体"/>
          <w:b/>
          <w:bCs/>
          <w:color w:val="auto"/>
          <w:sz w:val="32"/>
          <w:szCs w:val="20"/>
          <w:highlight w:val="none"/>
        </w:rPr>
      </w:pPr>
    </w:p>
    <w:p w14:paraId="3826AAF9">
      <w:pPr>
        <w:pStyle w:val="13"/>
        <w:spacing w:line="400" w:lineRule="exact"/>
        <w:ind w:firstLine="3855" w:firstLineChars="1200"/>
        <w:jc w:val="both"/>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（格式自拟）</w:t>
      </w:r>
    </w:p>
    <w:p w14:paraId="099D1223">
      <w:pPr>
        <w:snapToGrid w:val="0"/>
        <w:spacing w:line="400" w:lineRule="exact"/>
        <w:ind w:firstLine="643" w:firstLineChars="200"/>
        <w:jc w:val="center"/>
        <w:outlineLvl w:val="9"/>
        <w:rPr>
          <w:rFonts w:hint="eastAsia" w:ascii="宋体" w:hAnsi="宋体" w:eastAsia="宋体" w:cs="宋体"/>
          <w:b/>
          <w:bCs/>
          <w:color w:val="auto"/>
          <w:sz w:val="32"/>
          <w:szCs w:val="20"/>
          <w:highlight w:val="none"/>
          <w:lang w:eastAsia="zh-CN"/>
        </w:rPr>
      </w:pPr>
    </w:p>
    <w:p w14:paraId="0CADB4D1">
      <w:pPr>
        <w:snapToGrid w:val="0"/>
        <w:spacing w:line="400" w:lineRule="exact"/>
        <w:outlineLvl w:val="9"/>
        <w:rPr>
          <w:rFonts w:hint="eastAsia" w:ascii="宋体" w:hAnsi="宋体" w:eastAsia="宋体" w:cs="宋体"/>
          <w:b/>
          <w:bCs/>
          <w:color w:val="auto"/>
          <w:sz w:val="32"/>
          <w:szCs w:val="20"/>
          <w:highlight w:val="none"/>
        </w:rPr>
      </w:pPr>
    </w:p>
    <w:p w14:paraId="6E9376C9">
      <w:pPr>
        <w:pStyle w:val="2"/>
        <w:ind w:firstLine="480"/>
        <w:rPr>
          <w:rFonts w:hint="eastAsia" w:ascii="宋体" w:hAnsi="宋体" w:eastAsia="宋体" w:cs="宋体"/>
          <w:color w:val="auto"/>
          <w:highlight w:val="none"/>
        </w:rPr>
      </w:pPr>
    </w:p>
    <w:p w14:paraId="598E63AB">
      <w:pPr>
        <w:rPr>
          <w:rFonts w:hint="eastAsia" w:ascii="宋体" w:hAnsi="宋体" w:eastAsia="宋体" w:cs="宋体"/>
          <w:color w:val="auto"/>
          <w:highlight w:val="none"/>
        </w:rPr>
      </w:pPr>
    </w:p>
    <w:p w14:paraId="5CEEF33A">
      <w:pPr>
        <w:snapToGrid w:val="0"/>
        <w:spacing w:line="400" w:lineRule="exact"/>
        <w:outlineLvl w:val="9"/>
        <w:rPr>
          <w:rFonts w:hint="eastAsia" w:ascii="宋体" w:hAnsi="宋体" w:eastAsia="宋体" w:cs="宋体"/>
          <w:b/>
          <w:bCs/>
          <w:color w:val="auto"/>
          <w:sz w:val="32"/>
          <w:szCs w:val="20"/>
          <w:highlight w:val="none"/>
        </w:rPr>
      </w:pPr>
    </w:p>
    <w:p w14:paraId="5E52C57F">
      <w:pPr>
        <w:pStyle w:val="13"/>
        <w:ind w:firstLine="1995" w:firstLineChars="950"/>
        <w:rPr>
          <w:rFonts w:hint="eastAsia" w:ascii="宋体" w:hAnsi="宋体" w:eastAsia="宋体" w:cs="宋体"/>
          <w:color w:val="auto"/>
          <w:highlight w:val="none"/>
          <w:u w:val="single"/>
        </w:rPr>
      </w:pPr>
      <w:r>
        <w:rPr>
          <w:rFonts w:hint="eastAsia" w:ascii="宋体" w:hAnsi="宋体" w:eastAsia="宋体" w:cs="宋体"/>
          <w:color w:val="auto"/>
          <w:highlight w:val="none"/>
        </w:rPr>
        <w:t>投标人公章（CA签章，自然人签字或个人CA签章）：</w:t>
      </w:r>
      <w:r>
        <w:rPr>
          <w:rFonts w:hint="eastAsia" w:ascii="宋体" w:hAnsi="宋体" w:eastAsia="宋体" w:cs="宋体"/>
          <w:color w:val="auto"/>
          <w:highlight w:val="none"/>
          <w:u w:val="single"/>
        </w:rPr>
        <w:t xml:space="preserve">                                          </w:t>
      </w:r>
    </w:p>
    <w:p w14:paraId="67E782ED">
      <w:pPr>
        <w:pStyle w:val="13"/>
        <w:spacing w:line="32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                            </w:t>
      </w:r>
    </w:p>
    <w:p w14:paraId="1762A8FE">
      <w:pPr>
        <w:pStyle w:val="13"/>
        <w:spacing w:line="320" w:lineRule="exact"/>
        <w:ind w:firstLine="420" w:firstLineChars="200"/>
        <w:rPr>
          <w:rFonts w:hint="eastAsia" w:ascii="宋体" w:hAnsi="宋体" w:eastAsia="宋体" w:cs="宋体"/>
          <w:bCs/>
          <w:color w:val="auto"/>
          <w:szCs w:val="21"/>
          <w:highlight w:val="none"/>
        </w:rPr>
      </w:pPr>
    </w:p>
    <w:p w14:paraId="6E7E734A">
      <w:pPr>
        <w:pStyle w:val="13"/>
        <w:spacing w:line="320" w:lineRule="exact"/>
        <w:ind w:firstLine="3990" w:firstLineChars="19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 日期：</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 xml:space="preserve"> </w:t>
      </w:r>
    </w:p>
    <w:p w14:paraId="5770FD7D">
      <w:pPr>
        <w:snapToGrid w:val="0"/>
        <w:spacing w:line="400" w:lineRule="exact"/>
        <w:ind w:firstLine="643" w:firstLineChars="200"/>
        <w:outlineLvl w:val="9"/>
        <w:rPr>
          <w:rFonts w:hint="eastAsia" w:ascii="宋体" w:hAnsi="宋体" w:eastAsia="宋体" w:cs="宋体"/>
          <w:b/>
          <w:bCs/>
          <w:color w:val="auto"/>
          <w:sz w:val="32"/>
          <w:szCs w:val="20"/>
          <w:highlight w:val="none"/>
        </w:rPr>
      </w:pPr>
    </w:p>
    <w:p w14:paraId="2EC68E7A">
      <w:pPr>
        <w:widowControl/>
        <w:jc w:val="left"/>
        <w:rPr>
          <w:rFonts w:hint="eastAsia" w:ascii="宋体" w:hAnsi="宋体" w:eastAsia="宋体" w:cs="宋体"/>
          <w:color w:val="auto"/>
          <w:highlight w:val="none"/>
        </w:rPr>
      </w:pPr>
    </w:p>
    <w:p w14:paraId="7BC5463A">
      <w:pPr>
        <w:widowControl/>
        <w:jc w:val="left"/>
        <w:rPr>
          <w:rFonts w:hint="eastAsia" w:ascii="宋体" w:hAnsi="宋体" w:eastAsia="宋体" w:cs="宋体"/>
          <w:color w:val="auto"/>
          <w:highlight w:val="none"/>
        </w:rPr>
      </w:pPr>
    </w:p>
    <w:p w14:paraId="41F7663A">
      <w:pPr>
        <w:pStyle w:val="2"/>
        <w:rPr>
          <w:rFonts w:hint="eastAsia" w:ascii="宋体" w:hAnsi="宋体" w:eastAsia="宋体" w:cs="宋体"/>
          <w:color w:val="auto"/>
          <w:highlight w:val="none"/>
        </w:rPr>
      </w:pPr>
    </w:p>
    <w:p w14:paraId="303B4599">
      <w:pPr>
        <w:rPr>
          <w:rFonts w:hint="eastAsia" w:ascii="宋体" w:hAnsi="宋体" w:eastAsia="宋体" w:cs="宋体"/>
          <w:color w:val="auto"/>
          <w:highlight w:val="none"/>
        </w:rPr>
      </w:pPr>
    </w:p>
    <w:p w14:paraId="3975EF4C">
      <w:pPr>
        <w:rPr>
          <w:rFonts w:hint="eastAsia" w:ascii="宋体" w:hAnsi="宋体" w:eastAsia="宋体" w:cs="宋体"/>
          <w:b/>
          <w:bCs/>
          <w:color w:val="auto"/>
          <w:sz w:val="32"/>
          <w:szCs w:val="20"/>
          <w:highlight w:val="none"/>
        </w:rPr>
      </w:pPr>
      <w:r>
        <w:rPr>
          <w:rFonts w:hint="eastAsia" w:ascii="宋体" w:hAnsi="宋体" w:eastAsia="宋体" w:cs="宋体"/>
          <w:b/>
          <w:bCs/>
          <w:color w:val="auto"/>
          <w:sz w:val="32"/>
          <w:szCs w:val="20"/>
          <w:highlight w:val="none"/>
        </w:rPr>
        <w:br w:type="page"/>
      </w:r>
    </w:p>
    <w:p w14:paraId="433D31CE">
      <w:pPr>
        <w:snapToGrid w:val="0"/>
        <w:spacing w:line="400" w:lineRule="exact"/>
        <w:ind w:firstLine="643" w:firstLineChars="200"/>
        <w:outlineLvl w:val="4"/>
        <w:rPr>
          <w:rFonts w:hint="eastAsia" w:ascii="宋体" w:hAnsi="宋体" w:eastAsia="宋体" w:cs="宋体"/>
          <w:b/>
          <w:bCs/>
          <w:color w:val="auto"/>
          <w:sz w:val="32"/>
          <w:szCs w:val="20"/>
          <w:highlight w:val="none"/>
        </w:rPr>
      </w:pPr>
    </w:p>
    <w:p w14:paraId="1F2F775F">
      <w:pPr>
        <w:snapToGrid w:val="0"/>
        <w:spacing w:line="400" w:lineRule="exact"/>
        <w:ind w:firstLine="643" w:firstLineChars="200"/>
        <w:outlineLvl w:val="4"/>
        <w:rPr>
          <w:rFonts w:hint="eastAsia" w:ascii="宋体" w:hAnsi="宋体" w:eastAsia="宋体" w:cs="宋体"/>
          <w:b/>
          <w:bCs/>
          <w:color w:val="auto"/>
          <w:sz w:val="32"/>
          <w:szCs w:val="20"/>
          <w:highlight w:val="none"/>
        </w:rPr>
      </w:pPr>
      <w:r>
        <w:rPr>
          <w:rFonts w:hint="eastAsia" w:ascii="宋体" w:hAnsi="宋体" w:eastAsia="宋体" w:cs="宋体"/>
          <w:b/>
          <w:bCs/>
          <w:color w:val="auto"/>
          <w:sz w:val="32"/>
          <w:szCs w:val="20"/>
          <w:highlight w:val="none"/>
          <w:lang w:val="en-US" w:eastAsia="zh-CN"/>
        </w:rPr>
        <w:t>4</w:t>
      </w:r>
      <w:r>
        <w:rPr>
          <w:rFonts w:hint="eastAsia" w:ascii="宋体" w:hAnsi="宋体" w:eastAsia="宋体" w:cs="宋体"/>
          <w:b/>
          <w:bCs/>
          <w:color w:val="auto"/>
          <w:sz w:val="32"/>
          <w:szCs w:val="20"/>
          <w:highlight w:val="none"/>
        </w:rPr>
        <w:t>.“</w:t>
      </w:r>
      <w:r>
        <w:rPr>
          <w:rFonts w:hint="eastAsia" w:ascii="宋体" w:hAnsi="宋体" w:eastAsia="宋体" w:cs="宋体"/>
          <w:b/>
          <w:bCs/>
          <w:color w:val="auto"/>
          <w:sz w:val="32"/>
          <w:szCs w:val="20"/>
          <w:highlight w:val="none"/>
          <w:lang w:val="en-US" w:eastAsia="zh-CN"/>
        </w:rPr>
        <w:t>服务</w:t>
      </w:r>
      <w:r>
        <w:rPr>
          <w:rFonts w:hint="eastAsia" w:ascii="宋体" w:hAnsi="宋体" w:eastAsia="宋体" w:cs="宋体"/>
          <w:b/>
          <w:bCs/>
          <w:color w:val="auto"/>
          <w:sz w:val="32"/>
          <w:szCs w:val="20"/>
          <w:highlight w:val="none"/>
          <w:lang w:eastAsia="zh-CN"/>
        </w:rPr>
        <w:t>采购需求</w:t>
      </w:r>
      <w:r>
        <w:rPr>
          <w:rFonts w:hint="eastAsia" w:ascii="宋体" w:hAnsi="宋体" w:eastAsia="宋体" w:cs="宋体"/>
          <w:b/>
          <w:bCs/>
          <w:color w:val="auto"/>
          <w:sz w:val="32"/>
          <w:szCs w:val="20"/>
          <w:highlight w:val="none"/>
        </w:rPr>
        <w:t>”中要求必须提供的有效证明文件（按其要求提供）；</w:t>
      </w:r>
    </w:p>
    <w:p w14:paraId="26A515D8">
      <w:pPr>
        <w:snapToGrid w:val="0"/>
        <w:spacing w:line="400" w:lineRule="exact"/>
        <w:outlineLvl w:val="9"/>
        <w:rPr>
          <w:rFonts w:hint="eastAsia" w:ascii="宋体" w:hAnsi="宋体" w:eastAsia="宋体" w:cs="宋体"/>
          <w:b/>
          <w:bCs/>
          <w:color w:val="auto"/>
          <w:sz w:val="32"/>
          <w:szCs w:val="20"/>
          <w:highlight w:val="none"/>
        </w:rPr>
      </w:pPr>
    </w:p>
    <w:p w14:paraId="4F718C7C">
      <w:pPr>
        <w:snapToGrid w:val="0"/>
        <w:spacing w:line="400" w:lineRule="exact"/>
        <w:outlineLvl w:val="9"/>
        <w:rPr>
          <w:rFonts w:hint="eastAsia" w:ascii="宋体" w:hAnsi="宋体" w:eastAsia="宋体" w:cs="宋体"/>
          <w:b/>
          <w:bCs/>
          <w:color w:val="auto"/>
          <w:sz w:val="32"/>
          <w:szCs w:val="20"/>
          <w:highlight w:val="none"/>
        </w:rPr>
      </w:pPr>
    </w:p>
    <w:p w14:paraId="2324E693">
      <w:pPr>
        <w:snapToGrid w:val="0"/>
        <w:spacing w:line="400" w:lineRule="exact"/>
        <w:outlineLvl w:val="9"/>
        <w:rPr>
          <w:rFonts w:hint="eastAsia" w:ascii="宋体" w:hAnsi="宋体" w:eastAsia="宋体" w:cs="宋体"/>
          <w:b/>
          <w:bCs/>
          <w:color w:val="auto"/>
          <w:sz w:val="32"/>
          <w:szCs w:val="20"/>
          <w:highlight w:val="none"/>
        </w:rPr>
      </w:pPr>
    </w:p>
    <w:p w14:paraId="15AAF238">
      <w:pPr>
        <w:snapToGrid w:val="0"/>
        <w:spacing w:line="400" w:lineRule="exact"/>
        <w:outlineLvl w:val="9"/>
        <w:rPr>
          <w:rFonts w:hint="eastAsia" w:ascii="宋体" w:hAnsi="宋体" w:eastAsia="宋体" w:cs="宋体"/>
          <w:b/>
          <w:bCs/>
          <w:color w:val="auto"/>
          <w:sz w:val="32"/>
          <w:szCs w:val="20"/>
          <w:highlight w:val="none"/>
        </w:rPr>
      </w:pPr>
    </w:p>
    <w:p w14:paraId="034D641C">
      <w:pPr>
        <w:snapToGrid w:val="0"/>
        <w:spacing w:line="400" w:lineRule="exact"/>
        <w:outlineLvl w:val="9"/>
        <w:rPr>
          <w:rFonts w:hint="eastAsia" w:ascii="宋体" w:hAnsi="宋体" w:eastAsia="宋体" w:cs="宋体"/>
          <w:b/>
          <w:bCs/>
          <w:color w:val="auto"/>
          <w:sz w:val="32"/>
          <w:szCs w:val="20"/>
          <w:highlight w:val="none"/>
        </w:rPr>
      </w:pPr>
    </w:p>
    <w:p w14:paraId="5914AB71">
      <w:pPr>
        <w:snapToGrid w:val="0"/>
        <w:spacing w:line="400" w:lineRule="exact"/>
        <w:ind w:firstLine="643" w:firstLineChars="200"/>
        <w:outlineLvl w:val="4"/>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kern w:val="2"/>
          <w:sz w:val="32"/>
          <w:szCs w:val="32"/>
          <w:highlight w:val="none"/>
          <w:lang w:val="en-US" w:eastAsia="zh-CN"/>
        </w:rPr>
        <w:t>5.投标人2021年1月1日以来具有同类服务项目业绩【无不良记录，以中标（成交）通知书或采购合同（协议）复印件为准（能清晰反映所服务名称、内容）】（如有，请提供）；</w:t>
      </w:r>
    </w:p>
    <w:p w14:paraId="65641BCB">
      <w:pPr>
        <w:snapToGrid w:val="0"/>
        <w:spacing w:line="400" w:lineRule="exact"/>
        <w:ind w:firstLine="643" w:firstLineChars="200"/>
        <w:outlineLvl w:val="4"/>
        <w:rPr>
          <w:rFonts w:hint="eastAsia" w:ascii="宋体" w:hAnsi="宋体" w:eastAsia="宋体" w:cs="宋体"/>
          <w:b/>
          <w:bCs/>
          <w:color w:val="auto"/>
          <w:sz w:val="32"/>
          <w:szCs w:val="20"/>
          <w:highlight w:val="none"/>
          <w:lang w:val="en-US" w:eastAsia="zh-CN"/>
        </w:rPr>
      </w:pPr>
    </w:p>
    <w:p w14:paraId="3980B7D4">
      <w:pPr>
        <w:snapToGrid w:val="0"/>
        <w:spacing w:line="400" w:lineRule="exact"/>
        <w:ind w:firstLine="643" w:firstLineChars="200"/>
        <w:outlineLvl w:val="4"/>
        <w:rPr>
          <w:rFonts w:hint="eastAsia" w:ascii="宋体" w:hAnsi="宋体" w:eastAsia="宋体" w:cs="宋体"/>
          <w:b/>
          <w:bCs/>
          <w:color w:val="auto"/>
          <w:sz w:val="32"/>
          <w:szCs w:val="20"/>
          <w:highlight w:val="none"/>
          <w:lang w:val="en-US" w:eastAsia="zh-CN"/>
        </w:rPr>
      </w:pPr>
    </w:p>
    <w:p w14:paraId="449BB07D">
      <w:pPr>
        <w:snapToGrid w:val="0"/>
        <w:spacing w:line="400" w:lineRule="exact"/>
        <w:ind w:firstLine="643" w:firstLineChars="200"/>
        <w:outlineLvl w:val="4"/>
        <w:rPr>
          <w:rFonts w:hint="eastAsia" w:ascii="宋体" w:hAnsi="宋体" w:eastAsia="宋体" w:cs="宋体"/>
          <w:b/>
          <w:bCs/>
          <w:color w:val="auto"/>
          <w:sz w:val="32"/>
          <w:szCs w:val="20"/>
          <w:highlight w:val="none"/>
          <w:lang w:val="en-US" w:eastAsia="zh-CN"/>
        </w:rPr>
      </w:pPr>
    </w:p>
    <w:p w14:paraId="651F2C80">
      <w:pPr>
        <w:snapToGrid w:val="0"/>
        <w:spacing w:line="400" w:lineRule="exact"/>
        <w:ind w:firstLine="643" w:firstLineChars="200"/>
        <w:outlineLvl w:val="4"/>
        <w:rPr>
          <w:rFonts w:hint="eastAsia" w:ascii="宋体" w:hAnsi="宋体" w:eastAsia="宋体" w:cs="宋体"/>
          <w:b/>
          <w:bCs/>
          <w:color w:val="auto"/>
          <w:sz w:val="32"/>
          <w:szCs w:val="20"/>
          <w:highlight w:val="none"/>
          <w:lang w:val="en-US" w:eastAsia="zh-CN"/>
        </w:rPr>
      </w:pPr>
    </w:p>
    <w:p w14:paraId="17E38B3C">
      <w:pPr>
        <w:snapToGrid w:val="0"/>
        <w:spacing w:line="400" w:lineRule="exact"/>
        <w:outlineLvl w:val="4"/>
        <w:rPr>
          <w:rFonts w:hint="eastAsia" w:ascii="宋体" w:hAnsi="宋体" w:eastAsia="宋体" w:cs="宋体"/>
          <w:b/>
          <w:bCs/>
          <w:color w:val="auto"/>
          <w:sz w:val="32"/>
          <w:szCs w:val="20"/>
          <w:highlight w:val="none"/>
          <w:lang w:val="en-US" w:eastAsia="zh-CN"/>
        </w:rPr>
      </w:pPr>
    </w:p>
    <w:p w14:paraId="1705EE6B">
      <w:pPr>
        <w:snapToGrid w:val="0"/>
        <w:spacing w:line="400" w:lineRule="exact"/>
        <w:ind w:firstLine="643" w:firstLineChars="200"/>
        <w:outlineLvl w:val="4"/>
        <w:rPr>
          <w:rFonts w:hint="eastAsia"/>
          <w:color w:val="auto"/>
        </w:rPr>
      </w:pPr>
      <w:r>
        <w:rPr>
          <w:rFonts w:hint="eastAsia" w:ascii="宋体" w:hAnsi="宋体" w:eastAsia="宋体" w:cs="宋体"/>
          <w:b/>
          <w:bCs/>
          <w:color w:val="auto"/>
          <w:sz w:val="32"/>
          <w:szCs w:val="20"/>
          <w:highlight w:val="none"/>
          <w:lang w:val="en-US" w:eastAsia="zh-CN"/>
        </w:rPr>
        <w:t>6</w:t>
      </w:r>
      <w:r>
        <w:rPr>
          <w:rFonts w:hint="eastAsia" w:ascii="宋体" w:hAnsi="宋体" w:eastAsia="宋体" w:cs="宋体"/>
          <w:b/>
          <w:bCs/>
          <w:color w:val="auto"/>
          <w:sz w:val="32"/>
          <w:szCs w:val="20"/>
          <w:highlight w:val="none"/>
        </w:rPr>
        <w:t>.项目</w:t>
      </w:r>
      <w:r>
        <w:rPr>
          <w:rFonts w:hint="eastAsia" w:ascii="宋体" w:hAnsi="宋体" w:eastAsia="宋体" w:cs="宋体"/>
          <w:b/>
          <w:bCs/>
          <w:color w:val="auto"/>
          <w:sz w:val="32"/>
          <w:szCs w:val="20"/>
          <w:highlight w:val="none"/>
          <w:lang w:val="en-US" w:eastAsia="zh-CN"/>
        </w:rPr>
        <w:t>拟投入</w:t>
      </w:r>
      <w:r>
        <w:rPr>
          <w:rFonts w:hint="eastAsia" w:ascii="宋体" w:hAnsi="宋体" w:eastAsia="宋体" w:cs="宋体"/>
          <w:b/>
          <w:bCs/>
          <w:color w:val="auto"/>
          <w:sz w:val="32"/>
          <w:szCs w:val="20"/>
          <w:highlight w:val="none"/>
        </w:rPr>
        <w:t>人员一览表</w:t>
      </w:r>
      <w:r>
        <w:rPr>
          <w:rFonts w:hint="eastAsia" w:ascii="宋体" w:hAnsi="宋体" w:eastAsia="宋体" w:cs="宋体"/>
          <w:b/>
          <w:bCs/>
          <w:color w:val="auto"/>
          <w:sz w:val="32"/>
          <w:szCs w:val="20"/>
          <w:highlight w:val="none"/>
          <w:lang w:eastAsia="zh-CN"/>
        </w:rPr>
        <w:t>（</w:t>
      </w:r>
      <w:r>
        <w:rPr>
          <w:rFonts w:hint="eastAsia" w:ascii="宋体" w:hAnsi="宋体" w:eastAsia="宋体" w:cs="宋体"/>
          <w:b/>
          <w:bCs/>
          <w:color w:val="auto"/>
          <w:sz w:val="32"/>
          <w:szCs w:val="20"/>
          <w:highlight w:val="none"/>
        </w:rPr>
        <w:t>如有，请提供</w:t>
      </w:r>
      <w:r>
        <w:rPr>
          <w:rFonts w:hint="eastAsia" w:ascii="宋体" w:hAnsi="宋体" w:eastAsia="宋体" w:cs="宋体"/>
          <w:b/>
          <w:bCs/>
          <w:color w:val="auto"/>
          <w:sz w:val="32"/>
          <w:szCs w:val="20"/>
          <w:highlight w:val="none"/>
          <w:lang w:eastAsia="zh-CN"/>
        </w:rPr>
        <w:t>）</w:t>
      </w:r>
      <w:r>
        <w:rPr>
          <w:rFonts w:hint="eastAsia" w:ascii="宋体" w:hAnsi="宋体" w:eastAsia="宋体" w:cs="宋体"/>
          <w:b/>
          <w:bCs/>
          <w:color w:val="auto"/>
          <w:sz w:val="32"/>
          <w:szCs w:val="20"/>
          <w:highlight w:val="none"/>
        </w:rPr>
        <w:t>；</w:t>
      </w:r>
    </w:p>
    <w:p w14:paraId="3251873A">
      <w:pPr>
        <w:rPr>
          <w:rFonts w:hint="eastAsia" w:ascii="宋体" w:hAnsi="宋体" w:eastAsia="宋体" w:cs="宋体"/>
          <w:color w:val="auto"/>
          <w:highlight w:val="none"/>
        </w:rPr>
      </w:pPr>
    </w:p>
    <w:p w14:paraId="3B6C42E5">
      <w:pPr>
        <w:pStyle w:val="2"/>
        <w:rPr>
          <w:rFonts w:hint="eastAsia" w:ascii="宋体" w:hAnsi="宋体" w:eastAsia="宋体" w:cs="宋体"/>
          <w:color w:val="auto"/>
          <w:highlight w:val="none"/>
        </w:rPr>
      </w:pPr>
    </w:p>
    <w:p w14:paraId="76BCA56D">
      <w:pPr>
        <w:rPr>
          <w:rFonts w:hint="eastAsia" w:ascii="宋体" w:hAnsi="宋体" w:eastAsia="宋体" w:cs="宋体"/>
          <w:color w:val="auto"/>
          <w:highlight w:val="none"/>
        </w:rPr>
      </w:pPr>
    </w:p>
    <w:p w14:paraId="47AECCDE">
      <w:pPr>
        <w:pStyle w:val="2"/>
        <w:rPr>
          <w:rFonts w:hint="eastAsia"/>
          <w:color w:val="auto"/>
        </w:rPr>
      </w:pPr>
    </w:p>
    <w:p w14:paraId="5BA593F6">
      <w:pPr>
        <w:tabs>
          <w:tab w:val="left" w:pos="1305"/>
        </w:tabs>
        <w:spacing w:line="380" w:lineRule="exact"/>
        <w:ind w:firstLine="643" w:firstLineChars="200"/>
        <w:rPr>
          <w:rFonts w:hint="eastAsia"/>
          <w:color w:val="auto"/>
          <w:lang w:val="en-US" w:eastAsia="zh-CN"/>
        </w:rPr>
      </w:pPr>
      <w:r>
        <w:rPr>
          <w:rFonts w:hint="eastAsia" w:ascii="宋体" w:hAnsi="宋体" w:eastAsia="宋体" w:cs="宋体"/>
          <w:b/>
          <w:bCs/>
          <w:color w:val="auto"/>
          <w:sz w:val="32"/>
          <w:szCs w:val="20"/>
          <w:highlight w:val="none"/>
          <w:lang w:val="en-US" w:eastAsia="zh-CN"/>
        </w:rPr>
        <w:t>7</w:t>
      </w:r>
      <w:r>
        <w:rPr>
          <w:rFonts w:hint="eastAsia" w:ascii="宋体" w:hAnsi="宋体" w:eastAsia="宋体" w:cs="宋体"/>
          <w:b/>
          <w:bCs/>
          <w:color w:val="auto"/>
          <w:sz w:val="32"/>
          <w:szCs w:val="20"/>
          <w:highlight w:val="none"/>
        </w:rPr>
        <w:t>.投标人相关获奖证书、认证证书等复印件（如有，请提供）；</w:t>
      </w:r>
    </w:p>
    <w:p w14:paraId="62607ACC">
      <w:pPr>
        <w:tabs>
          <w:tab w:val="left" w:pos="1305"/>
        </w:tabs>
        <w:spacing w:line="360" w:lineRule="exact"/>
        <w:ind w:firstLine="643" w:firstLineChars="200"/>
        <w:rPr>
          <w:rFonts w:hint="eastAsia" w:ascii="宋体" w:hAnsi="宋体" w:eastAsia="宋体" w:cs="宋体"/>
          <w:b/>
          <w:bCs/>
          <w:color w:val="auto"/>
          <w:sz w:val="32"/>
          <w:szCs w:val="32"/>
          <w:lang w:val="en-US" w:eastAsia="zh-CN"/>
        </w:rPr>
      </w:pPr>
    </w:p>
    <w:p w14:paraId="601D1CFB">
      <w:pPr>
        <w:tabs>
          <w:tab w:val="left" w:pos="1305"/>
        </w:tabs>
        <w:spacing w:line="360" w:lineRule="exact"/>
        <w:ind w:firstLine="643" w:firstLineChars="200"/>
        <w:rPr>
          <w:rFonts w:hint="eastAsia" w:ascii="宋体" w:hAnsi="宋体" w:eastAsia="宋体" w:cs="宋体"/>
          <w:b/>
          <w:bCs/>
          <w:color w:val="auto"/>
          <w:sz w:val="32"/>
          <w:szCs w:val="32"/>
          <w:lang w:val="en-US" w:eastAsia="zh-CN"/>
        </w:rPr>
      </w:pPr>
    </w:p>
    <w:p w14:paraId="193C361B">
      <w:pPr>
        <w:tabs>
          <w:tab w:val="left" w:pos="1305"/>
        </w:tabs>
        <w:spacing w:line="360" w:lineRule="exact"/>
        <w:ind w:firstLine="643" w:firstLineChars="200"/>
        <w:rPr>
          <w:rFonts w:hint="eastAsia" w:ascii="宋体" w:hAnsi="宋体" w:eastAsia="宋体" w:cs="宋体"/>
          <w:b/>
          <w:bCs/>
          <w:color w:val="auto"/>
          <w:sz w:val="32"/>
          <w:szCs w:val="32"/>
          <w:lang w:val="en-US" w:eastAsia="zh-CN"/>
        </w:rPr>
      </w:pPr>
    </w:p>
    <w:p w14:paraId="7F6333BB">
      <w:pPr>
        <w:tabs>
          <w:tab w:val="left" w:pos="1305"/>
        </w:tabs>
        <w:spacing w:line="360" w:lineRule="exact"/>
        <w:ind w:firstLine="643" w:firstLineChars="200"/>
        <w:rPr>
          <w:rFonts w:hint="eastAsia" w:ascii="宋体" w:hAnsi="宋体" w:eastAsia="宋体" w:cs="宋体"/>
          <w:b w:val="0"/>
          <w:bCs w:val="0"/>
          <w:color w:val="auto"/>
          <w:sz w:val="44"/>
          <w:szCs w:val="24"/>
        </w:rPr>
      </w:pPr>
      <w:r>
        <w:rPr>
          <w:rFonts w:hint="eastAsia" w:ascii="宋体" w:hAnsi="宋体" w:eastAsia="宋体" w:cs="宋体"/>
          <w:b/>
          <w:bCs/>
          <w:color w:val="auto"/>
          <w:sz w:val="32"/>
          <w:szCs w:val="32"/>
          <w:lang w:val="en-US" w:eastAsia="zh-CN"/>
        </w:rPr>
        <w:t>8</w:t>
      </w:r>
      <w:r>
        <w:rPr>
          <w:rFonts w:hint="eastAsia" w:ascii="宋体" w:hAnsi="宋体" w:eastAsia="宋体" w:cs="宋体"/>
          <w:b/>
          <w:bCs/>
          <w:color w:val="auto"/>
          <w:sz w:val="32"/>
          <w:szCs w:val="32"/>
        </w:rPr>
        <w:t>.</w:t>
      </w:r>
      <w:r>
        <w:rPr>
          <w:rFonts w:hint="eastAsia" w:ascii="宋体" w:hAnsi="宋体" w:eastAsia="宋体" w:cs="宋体"/>
          <w:b/>
          <w:bCs/>
          <w:color w:val="auto"/>
          <w:kern w:val="0"/>
          <w:sz w:val="32"/>
          <w:szCs w:val="32"/>
        </w:rPr>
        <w:t>投标人承接本项目全部服务且投标人为符合政策要求的中小企业的，提供《中小企业声明函》</w:t>
      </w:r>
      <w:r>
        <w:rPr>
          <w:rFonts w:hint="eastAsia" w:ascii="宋体" w:hAnsi="宋体" w:eastAsia="宋体" w:cs="宋体"/>
          <w:b/>
          <w:bCs/>
          <w:color w:val="auto"/>
          <w:sz w:val="32"/>
          <w:szCs w:val="32"/>
        </w:rPr>
        <w:t>；属于监狱企业的，提供由省级以上监狱管理局、戒毒管理局(含新疆生产建设兵团)出具的属于监狱企业的证明文件（如有，请提供）；</w:t>
      </w:r>
    </w:p>
    <w:p w14:paraId="294FEBAC">
      <w:pPr>
        <w:snapToGrid w:val="0"/>
        <w:spacing w:line="360" w:lineRule="exact"/>
        <w:ind w:left="1131" w:leftChars="196" w:hanging="700" w:hangingChars="250"/>
        <w:jc w:val="left"/>
        <w:rPr>
          <w:rFonts w:hint="eastAsia" w:ascii="宋体" w:hAnsi="宋体" w:eastAsia="宋体" w:cs="宋体"/>
          <w:b w:val="0"/>
          <w:bCs w:val="0"/>
          <w:color w:val="auto"/>
          <w:sz w:val="28"/>
          <w:szCs w:val="36"/>
        </w:rPr>
      </w:pPr>
      <w:r>
        <w:rPr>
          <w:rFonts w:hint="eastAsia" w:ascii="宋体" w:hAnsi="宋体" w:eastAsia="宋体" w:cs="宋体"/>
          <w:b w:val="0"/>
          <w:bCs w:val="0"/>
          <w:color w:val="auto"/>
          <w:sz w:val="28"/>
          <w:szCs w:val="36"/>
        </w:rPr>
        <w:t>附件</w:t>
      </w:r>
    </w:p>
    <w:p w14:paraId="3A4E0956">
      <w:pPr>
        <w:pStyle w:val="13"/>
        <w:spacing w:line="440" w:lineRule="exact"/>
        <w:jc w:val="center"/>
        <w:outlineLvl w:val="9"/>
        <w:rPr>
          <w:rFonts w:hint="eastAsia" w:ascii="宋体" w:hAnsi="宋体" w:eastAsia="宋体" w:cs="宋体"/>
          <w:b/>
          <w:bCs/>
          <w:color w:val="auto"/>
          <w:sz w:val="28"/>
          <w:szCs w:val="28"/>
        </w:rPr>
      </w:pPr>
      <w:r>
        <w:rPr>
          <w:rFonts w:hint="eastAsia" w:ascii="宋体" w:hAnsi="宋体" w:eastAsia="宋体" w:cs="宋体"/>
          <w:b/>
          <w:bCs/>
          <w:color w:val="auto"/>
          <w:sz w:val="28"/>
          <w:szCs w:val="28"/>
        </w:rPr>
        <w:t>中小企业声明函</w:t>
      </w:r>
    </w:p>
    <w:p w14:paraId="45402962">
      <w:pPr>
        <w:pStyle w:val="13"/>
        <w:spacing w:line="440" w:lineRule="exact"/>
        <w:ind w:firstLine="504" w:firstLineChars="200"/>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本公司（联合体）郑重声明，根据《政府采购促进中小企业发展管理办法》（财库﹝2020﹞46 号）的规定，本公司（联合体）参加（</w:t>
      </w:r>
      <w:r>
        <w:rPr>
          <w:rFonts w:hint="eastAsia" w:ascii="宋体" w:hAnsi="宋体" w:eastAsia="宋体" w:cs="宋体"/>
          <w:color w:val="auto"/>
          <w:spacing w:val="6"/>
          <w:sz w:val="24"/>
          <w:szCs w:val="24"/>
          <w:u w:val="single"/>
        </w:rPr>
        <w:t>单位名称</w:t>
      </w:r>
      <w:r>
        <w:rPr>
          <w:rFonts w:hint="eastAsia" w:ascii="宋体" w:hAnsi="宋体" w:eastAsia="宋体" w:cs="宋体"/>
          <w:color w:val="auto"/>
          <w:spacing w:val="6"/>
          <w:sz w:val="24"/>
          <w:szCs w:val="24"/>
        </w:rPr>
        <w:t>）的（</w:t>
      </w:r>
      <w:r>
        <w:rPr>
          <w:rFonts w:hint="eastAsia" w:ascii="宋体" w:hAnsi="宋体" w:eastAsia="宋体" w:cs="宋体"/>
          <w:color w:val="auto"/>
          <w:spacing w:val="6"/>
          <w:sz w:val="24"/>
          <w:szCs w:val="24"/>
          <w:u w:val="single"/>
        </w:rPr>
        <w:t>项目名称</w:t>
      </w:r>
      <w:r>
        <w:rPr>
          <w:rFonts w:hint="eastAsia" w:ascii="宋体" w:hAnsi="宋体" w:eastAsia="宋体" w:cs="宋体"/>
          <w:color w:val="auto"/>
          <w:spacing w:val="6"/>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393CFC07">
      <w:pPr>
        <w:pStyle w:val="13"/>
        <w:spacing w:line="440" w:lineRule="exact"/>
        <w:ind w:firstLine="504" w:firstLineChars="200"/>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1.</w:t>
      </w:r>
      <w:r>
        <w:rPr>
          <w:rFonts w:hint="eastAsia" w:ascii="宋体" w:hAnsi="宋体" w:eastAsia="宋体" w:cs="宋体"/>
          <w:color w:val="auto"/>
          <w:spacing w:val="6"/>
          <w:sz w:val="24"/>
          <w:szCs w:val="24"/>
          <w:u w:val="single"/>
        </w:rPr>
        <w:t xml:space="preserve">（标的名称） </w:t>
      </w:r>
      <w:r>
        <w:rPr>
          <w:rFonts w:hint="eastAsia" w:ascii="宋体" w:hAnsi="宋体" w:eastAsia="宋体" w:cs="宋体"/>
          <w:color w:val="auto"/>
          <w:spacing w:val="6"/>
          <w:sz w:val="24"/>
          <w:szCs w:val="24"/>
        </w:rPr>
        <w:t>，属于</w:t>
      </w:r>
      <w:r>
        <w:rPr>
          <w:rFonts w:hint="eastAsia" w:ascii="宋体" w:hAnsi="宋体" w:eastAsia="宋体" w:cs="宋体"/>
          <w:color w:val="auto"/>
          <w:spacing w:val="6"/>
          <w:sz w:val="24"/>
          <w:szCs w:val="24"/>
          <w:u w:val="single"/>
        </w:rPr>
        <w:t>（采购文件中明确的所属行业）</w:t>
      </w:r>
      <w:r>
        <w:rPr>
          <w:rFonts w:hint="eastAsia" w:ascii="宋体" w:hAnsi="宋体" w:eastAsia="宋体" w:cs="宋体"/>
          <w:color w:val="auto"/>
          <w:spacing w:val="6"/>
          <w:sz w:val="24"/>
          <w:szCs w:val="24"/>
        </w:rPr>
        <w:t>； 承建（承接）企业为（</w:t>
      </w:r>
      <w:r>
        <w:rPr>
          <w:rFonts w:hint="eastAsia" w:ascii="宋体" w:hAnsi="宋体" w:eastAsia="宋体" w:cs="宋体"/>
          <w:color w:val="auto"/>
          <w:spacing w:val="6"/>
          <w:sz w:val="24"/>
          <w:szCs w:val="24"/>
          <w:u w:val="single"/>
        </w:rPr>
        <w:t>企业名称</w:t>
      </w:r>
      <w:r>
        <w:rPr>
          <w:rFonts w:hint="eastAsia" w:ascii="宋体" w:hAnsi="宋体" w:eastAsia="宋体" w:cs="宋体"/>
          <w:color w:val="auto"/>
          <w:spacing w:val="6"/>
          <w:sz w:val="24"/>
          <w:szCs w:val="24"/>
        </w:rPr>
        <w:t>），从业人员</w:t>
      </w:r>
      <w:r>
        <w:rPr>
          <w:rFonts w:hint="eastAsia" w:ascii="宋体" w:hAnsi="宋体" w:eastAsia="宋体" w:cs="宋体"/>
          <w:color w:val="auto"/>
          <w:spacing w:val="6"/>
          <w:sz w:val="24"/>
          <w:szCs w:val="24"/>
          <w:u w:val="single"/>
        </w:rPr>
        <w:t xml:space="preserve">   </w:t>
      </w:r>
      <w:r>
        <w:rPr>
          <w:rFonts w:hint="eastAsia" w:ascii="宋体" w:hAnsi="宋体" w:eastAsia="宋体" w:cs="宋体"/>
          <w:color w:val="auto"/>
          <w:spacing w:val="6"/>
          <w:sz w:val="24"/>
          <w:szCs w:val="24"/>
        </w:rPr>
        <w:t>人，营业收入为</w:t>
      </w:r>
      <w:r>
        <w:rPr>
          <w:rFonts w:hint="eastAsia" w:ascii="宋体" w:hAnsi="宋体" w:eastAsia="宋体" w:cs="宋体"/>
          <w:color w:val="auto"/>
          <w:spacing w:val="6"/>
          <w:sz w:val="24"/>
          <w:szCs w:val="24"/>
          <w:u w:val="single"/>
        </w:rPr>
        <w:t xml:space="preserve">  </w:t>
      </w:r>
      <w:r>
        <w:rPr>
          <w:rFonts w:hint="eastAsia" w:ascii="宋体" w:hAnsi="宋体" w:eastAsia="宋体" w:cs="宋体"/>
          <w:color w:val="auto"/>
          <w:spacing w:val="6"/>
          <w:sz w:val="24"/>
          <w:szCs w:val="24"/>
        </w:rPr>
        <w:t>万元，资产总额为</w:t>
      </w:r>
      <w:r>
        <w:rPr>
          <w:rFonts w:hint="eastAsia" w:ascii="宋体" w:hAnsi="宋体" w:eastAsia="宋体" w:cs="宋体"/>
          <w:color w:val="auto"/>
          <w:spacing w:val="6"/>
          <w:sz w:val="24"/>
          <w:szCs w:val="24"/>
          <w:u w:val="single"/>
        </w:rPr>
        <w:t xml:space="preserve">   </w:t>
      </w:r>
      <w:r>
        <w:rPr>
          <w:rFonts w:hint="eastAsia" w:ascii="宋体" w:hAnsi="宋体" w:eastAsia="宋体" w:cs="宋体"/>
          <w:color w:val="auto"/>
          <w:spacing w:val="6"/>
          <w:sz w:val="24"/>
          <w:szCs w:val="24"/>
        </w:rPr>
        <w:t>万元，属于（</w:t>
      </w:r>
      <w:r>
        <w:rPr>
          <w:rFonts w:hint="eastAsia" w:ascii="宋体" w:hAnsi="宋体" w:eastAsia="宋体" w:cs="宋体"/>
          <w:color w:val="auto"/>
          <w:spacing w:val="6"/>
          <w:sz w:val="24"/>
          <w:szCs w:val="24"/>
          <w:u w:val="single"/>
        </w:rPr>
        <w:t>中型企业、 小型企业、微型企业</w:t>
      </w:r>
      <w:r>
        <w:rPr>
          <w:rFonts w:hint="eastAsia" w:ascii="宋体" w:hAnsi="宋体" w:eastAsia="宋体" w:cs="宋体"/>
          <w:color w:val="auto"/>
          <w:spacing w:val="6"/>
          <w:sz w:val="24"/>
          <w:szCs w:val="24"/>
        </w:rPr>
        <w:t>）</w:t>
      </w:r>
    </w:p>
    <w:p w14:paraId="16E740D5">
      <w:pPr>
        <w:pStyle w:val="13"/>
        <w:spacing w:line="440" w:lineRule="exact"/>
        <w:ind w:firstLine="504" w:firstLineChars="200"/>
        <w:rPr>
          <w:rFonts w:hint="eastAsia" w:ascii="宋体" w:hAnsi="宋体" w:eastAsia="宋体" w:cs="宋体"/>
          <w:color w:val="auto"/>
        </w:rPr>
      </w:pPr>
      <w:r>
        <w:rPr>
          <w:rFonts w:hint="eastAsia" w:ascii="宋体" w:hAnsi="宋体" w:eastAsia="宋体" w:cs="宋体"/>
          <w:color w:val="auto"/>
          <w:spacing w:val="6"/>
          <w:sz w:val="24"/>
          <w:szCs w:val="24"/>
        </w:rPr>
        <w:t>2.</w:t>
      </w:r>
      <w:r>
        <w:rPr>
          <w:rFonts w:hint="eastAsia" w:ascii="宋体" w:hAnsi="宋体" w:eastAsia="宋体" w:cs="宋体"/>
          <w:color w:val="auto"/>
          <w:spacing w:val="6"/>
          <w:sz w:val="24"/>
          <w:szCs w:val="24"/>
          <w:u w:val="single"/>
        </w:rPr>
        <w:t xml:space="preserve">（标的名称） </w:t>
      </w:r>
      <w:r>
        <w:rPr>
          <w:rFonts w:hint="eastAsia" w:ascii="宋体" w:hAnsi="宋体" w:eastAsia="宋体" w:cs="宋体"/>
          <w:color w:val="auto"/>
          <w:spacing w:val="6"/>
          <w:sz w:val="24"/>
          <w:szCs w:val="24"/>
        </w:rPr>
        <w:t>，属于</w:t>
      </w:r>
      <w:r>
        <w:rPr>
          <w:rFonts w:hint="eastAsia" w:ascii="宋体" w:hAnsi="宋体" w:eastAsia="宋体" w:cs="宋体"/>
          <w:color w:val="auto"/>
          <w:spacing w:val="6"/>
          <w:sz w:val="24"/>
          <w:szCs w:val="24"/>
          <w:u w:val="single"/>
        </w:rPr>
        <w:t>（采购文件中明确的所属行业）</w:t>
      </w:r>
      <w:r>
        <w:rPr>
          <w:rFonts w:hint="eastAsia" w:ascii="宋体" w:hAnsi="宋体" w:eastAsia="宋体" w:cs="宋体"/>
          <w:color w:val="auto"/>
          <w:spacing w:val="6"/>
          <w:sz w:val="24"/>
          <w:szCs w:val="24"/>
        </w:rPr>
        <w:t>； 承建（承接）企业为（</w:t>
      </w:r>
      <w:r>
        <w:rPr>
          <w:rFonts w:hint="eastAsia" w:ascii="宋体" w:hAnsi="宋体" w:eastAsia="宋体" w:cs="宋体"/>
          <w:color w:val="auto"/>
          <w:spacing w:val="6"/>
          <w:sz w:val="24"/>
          <w:szCs w:val="24"/>
          <w:u w:val="single"/>
        </w:rPr>
        <w:t>企业名称</w:t>
      </w:r>
      <w:r>
        <w:rPr>
          <w:rFonts w:hint="eastAsia" w:ascii="宋体" w:hAnsi="宋体" w:eastAsia="宋体" w:cs="宋体"/>
          <w:color w:val="auto"/>
          <w:spacing w:val="6"/>
          <w:sz w:val="24"/>
          <w:szCs w:val="24"/>
        </w:rPr>
        <w:t>），从业人员</w:t>
      </w:r>
      <w:r>
        <w:rPr>
          <w:rFonts w:hint="eastAsia" w:ascii="宋体" w:hAnsi="宋体" w:eastAsia="宋体" w:cs="宋体"/>
          <w:color w:val="auto"/>
          <w:spacing w:val="6"/>
          <w:sz w:val="24"/>
          <w:szCs w:val="24"/>
          <w:u w:val="single"/>
        </w:rPr>
        <w:t xml:space="preserve">   </w:t>
      </w:r>
      <w:r>
        <w:rPr>
          <w:rFonts w:hint="eastAsia" w:ascii="宋体" w:hAnsi="宋体" w:eastAsia="宋体" w:cs="宋体"/>
          <w:color w:val="auto"/>
          <w:spacing w:val="6"/>
          <w:sz w:val="24"/>
          <w:szCs w:val="24"/>
        </w:rPr>
        <w:t>人，营业收入为</w:t>
      </w:r>
      <w:r>
        <w:rPr>
          <w:rFonts w:hint="eastAsia" w:ascii="宋体" w:hAnsi="宋体" w:eastAsia="宋体" w:cs="宋体"/>
          <w:color w:val="auto"/>
          <w:spacing w:val="6"/>
          <w:sz w:val="24"/>
          <w:szCs w:val="24"/>
          <w:u w:val="single"/>
        </w:rPr>
        <w:t xml:space="preserve">  </w:t>
      </w:r>
      <w:r>
        <w:rPr>
          <w:rFonts w:hint="eastAsia" w:ascii="宋体" w:hAnsi="宋体" w:eastAsia="宋体" w:cs="宋体"/>
          <w:color w:val="auto"/>
          <w:spacing w:val="6"/>
          <w:sz w:val="24"/>
          <w:szCs w:val="24"/>
        </w:rPr>
        <w:t>万元，资产总额为</w:t>
      </w:r>
      <w:r>
        <w:rPr>
          <w:rFonts w:hint="eastAsia" w:ascii="宋体" w:hAnsi="宋体" w:eastAsia="宋体" w:cs="宋体"/>
          <w:color w:val="auto"/>
          <w:spacing w:val="6"/>
          <w:sz w:val="24"/>
          <w:szCs w:val="24"/>
          <w:u w:val="single"/>
        </w:rPr>
        <w:t xml:space="preserve">   </w:t>
      </w:r>
      <w:r>
        <w:rPr>
          <w:rFonts w:hint="eastAsia" w:ascii="宋体" w:hAnsi="宋体" w:eastAsia="宋体" w:cs="宋体"/>
          <w:color w:val="auto"/>
          <w:spacing w:val="6"/>
          <w:sz w:val="24"/>
          <w:szCs w:val="24"/>
        </w:rPr>
        <w:t>万元，属于（</w:t>
      </w:r>
      <w:r>
        <w:rPr>
          <w:rFonts w:hint="eastAsia" w:ascii="宋体" w:hAnsi="宋体" w:eastAsia="宋体" w:cs="宋体"/>
          <w:color w:val="auto"/>
          <w:spacing w:val="6"/>
          <w:sz w:val="24"/>
          <w:szCs w:val="24"/>
          <w:u w:val="single"/>
        </w:rPr>
        <w:t>中型企业、 小型企业、微型企业</w:t>
      </w:r>
      <w:r>
        <w:rPr>
          <w:rFonts w:hint="eastAsia" w:ascii="宋体" w:hAnsi="宋体" w:eastAsia="宋体" w:cs="宋体"/>
          <w:color w:val="auto"/>
          <w:spacing w:val="6"/>
          <w:sz w:val="24"/>
          <w:szCs w:val="24"/>
        </w:rPr>
        <w:t>）</w:t>
      </w:r>
    </w:p>
    <w:p w14:paraId="27C3B46B">
      <w:pPr>
        <w:pStyle w:val="7"/>
        <w:ind w:left="0" w:firstLine="660" w:firstLineChars="300"/>
        <w:rPr>
          <w:rFonts w:hint="eastAsia" w:ascii="宋体" w:hAnsi="宋体" w:eastAsia="宋体" w:cs="宋体"/>
          <w:color w:val="auto"/>
        </w:rPr>
      </w:pPr>
      <w:r>
        <w:rPr>
          <w:rFonts w:hint="eastAsia" w:ascii="宋体" w:hAnsi="宋体" w:eastAsia="宋体" w:cs="宋体"/>
          <w:color w:val="auto"/>
        </w:rPr>
        <w:t>……</w:t>
      </w:r>
    </w:p>
    <w:p w14:paraId="6D5F66CF">
      <w:pPr>
        <w:widowControl/>
        <w:ind w:firstLine="504" w:firstLineChars="200"/>
        <w:jc w:val="left"/>
        <w:rPr>
          <w:rFonts w:hint="eastAsia" w:ascii="宋体" w:hAnsi="宋体" w:eastAsia="宋体" w:cs="宋体"/>
          <w:color w:val="auto"/>
          <w:spacing w:val="6"/>
          <w:sz w:val="24"/>
        </w:rPr>
      </w:pPr>
      <w:r>
        <w:rPr>
          <w:rFonts w:hint="eastAsia" w:ascii="宋体" w:hAnsi="宋体" w:eastAsia="宋体" w:cs="宋体"/>
          <w:color w:val="auto"/>
          <w:spacing w:val="6"/>
          <w:sz w:val="24"/>
        </w:rPr>
        <w:t>以上企业，不属于大企业的分支机构，不存在控股股东为大企业的情形，也不存在与大企业的负责人为同一人的情形。</w:t>
      </w:r>
    </w:p>
    <w:p w14:paraId="54916FF5">
      <w:pPr>
        <w:widowControl/>
        <w:ind w:firstLine="504" w:firstLineChars="200"/>
        <w:jc w:val="left"/>
        <w:rPr>
          <w:rFonts w:hint="eastAsia" w:ascii="宋体" w:hAnsi="宋体" w:eastAsia="宋体" w:cs="宋体"/>
          <w:color w:val="auto"/>
          <w:spacing w:val="6"/>
          <w:sz w:val="24"/>
        </w:rPr>
      </w:pPr>
      <w:r>
        <w:rPr>
          <w:rFonts w:hint="eastAsia" w:ascii="宋体" w:hAnsi="宋体" w:eastAsia="宋体" w:cs="宋体"/>
          <w:color w:val="auto"/>
          <w:spacing w:val="6"/>
          <w:sz w:val="24"/>
        </w:rPr>
        <w:t xml:space="preserve">本企业对上述声明内容的真实性负责。如有虚假，将依法承担相应责任。 </w:t>
      </w:r>
    </w:p>
    <w:p w14:paraId="74F3E79C">
      <w:pPr>
        <w:widowControl/>
        <w:ind w:firstLine="5796" w:firstLineChars="2300"/>
        <w:jc w:val="left"/>
        <w:rPr>
          <w:rFonts w:hint="eastAsia" w:ascii="宋体" w:hAnsi="宋体" w:eastAsia="宋体" w:cs="宋体"/>
          <w:color w:val="auto"/>
          <w:spacing w:val="6"/>
          <w:sz w:val="24"/>
        </w:rPr>
      </w:pPr>
    </w:p>
    <w:p w14:paraId="2165DC9F">
      <w:pPr>
        <w:widowControl/>
        <w:ind w:firstLine="5796" w:firstLineChars="2300"/>
        <w:jc w:val="left"/>
        <w:rPr>
          <w:rFonts w:hint="eastAsia" w:ascii="宋体" w:hAnsi="宋体" w:eastAsia="宋体" w:cs="宋体"/>
          <w:color w:val="auto"/>
          <w:spacing w:val="6"/>
          <w:sz w:val="24"/>
        </w:rPr>
      </w:pPr>
      <w:r>
        <w:rPr>
          <w:rFonts w:hint="eastAsia" w:ascii="宋体" w:hAnsi="宋体" w:eastAsia="宋体" w:cs="宋体"/>
          <w:color w:val="auto"/>
          <w:spacing w:val="6"/>
          <w:sz w:val="24"/>
        </w:rPr>
        <w:t xml:space="preserve">企业名称（加盖CA证书签章）： </w:t>
      </w:r>
    </w:p>
    <w:p w14:paraId="7D909BBB">
      <w:pPr>
        <w:widowControl/>
        <w:ind w:firstLine="5796" w:firstLineChars="2300"/>
        <w:jc w:val="left"/>
        <w:rPr>
          <w:rFonts w:hint="eastAsia" w:ascii="宋体" w:hAnsi="宋体" w:eastAsia="宋体" w:cs="宋体"/>
          <w:color w:val="auto"/>
        </w:rPr>
      </w:pPr>
      <w:r>
        <w:rPr>
          <w:rFonts w:hint="eastAsia" w:ascii="宋体" w:hAnsi="宋体" w:eastAsia="宋体" w:cs="宋体"/>
          <w:color w:val="auto"/>
          <w:spacing w:val="6"/>
          <w:sz w:val="24"/>
        </w:rPr>
        <w:t>日 期：</w:t>
      </w:r>
      <w:bookmarkStart w:id="68" w:name="_Toc28361_WPSOffice_Level2"/>
    </w:p>
    <w:p w14:paraId="7D9EBEE9">
      <w:pPr>
        <w:spacing w:line="500" w:lineRule="exact"/>
        <w:rPr>
          <w:rFonts w:hint="eastAsia" w:ascii="宋体" w:hAnsi="宋体" w:eastAsia="宋体" w:cs="宋体"/>
          <w:color w:val="auto"/>
          <w:sz w:val="22"/>
          <w:szCs w:val="22"/>
        </w:rPr>
      </w:pPr>
      <w:r>
        <w:rPr>
          <w:rFonts w:hint="eastAsia" w:ascii="宋体" w:hAnsi="宋体" w:eastAsia="宋体" w:cs="宋体"/>
          <w:b/>
          <w:color w:val="auto"/>
          <w:kern w:val="0"/>
          <w:sz w:val="22"/>
          <w:szCs w:val="22"/>
          <w:lang w:val="en-US" w:eastAsia="zh-CN"/>
        </w:rPr>
        <w:t>注:</w:t>
      </w:r>
      <w:r>
        <w:rPr>
          <w:rFonts w:hint="eastAsia" w:ascii="宋体" w:hAnsi="宋体" w:eastAsia="宋体" w:cs="宋体"/>
          <w:b/>
          <w:color w:val="auto"/>
          <w:kern w:val="0"/>
          <w:sz w:val="22"/>
          <w:szCs w:val="22"/>
        </w:rPr>
        <w:t>从业人员、营业收入、资产总额填报上一年度数据，无上一年度数据的新成立企业可不填报。</w:t>
      </w:r>
    </w:p>
    <w:p w14:paraId="2894799A">
      <w:pPr>
        <w:pStyle w:val="13"/>
        <w:spacing w:line="440" w:lineRule="exact"/>
        <w:jc w:val="left"/>
        <w:rPr>
          <w:rFonts w:hint="eastAsia" w:ascii="宋体" w:hAnsi="宋体" w:eastAsia="宋体" w:cs="宋体"/>
          <w:b/>
          <w:bCs/>
          <w:color w:val="auto"/>
          <w:sz w:val="24"/>
          <w:szCs w:val="24"/>
          <w:highlight w:val="none"/>
        </w:rPr>
      </w:pPr>
    </w:p>
    <w:p w14:paraId="76679573">
      <w:pPr>
        <w:pStyle w:val="13"/>
        <w:spacing w:line="440" w:lineRule="exact"/>
        <w:jc w:val="left"/>
        <w:rPr>
          <w:rFonts w:hint="eastAsia" w:ascii="宋体" w:hAnsi="宋体" w:eastAsia="宋体" w:cs="宋体"/>
          <w:b/>
          <w:bCs/>
          <w:color w:val="auto"/>
          <w:sz w:val="24"/>
          <w:szCs w:val="24"/>
          <w:highlight w:val="none"/>
        </w:rPr>
      </w:pPr>
    </w:p>
    <w:p w14:paraId="5A36B466">
      <w:pPr>
        <w:pStyle w:val="13"/>
        <w:spacing w:line="440" w:lineRule="exact"/>
        <w:jc w:val="left"/>
        <w:rPr>
          <w:rFonts w:hint="eastAsia" w:ascii="宋体" w:hAnsi="宋体" w:eastAsia="宋体" w:cs="宋体"/>
          <w:b/>
          <w:bCs/>
          <w:color w:val="auto"/>
          <w:sz w:val="24"/>
          <w:szCs w:val="24"/>
          <w:highlight w:val="none"/>
        </w:rPr>
      </w:pPr>
    </w:p>
    <w:p w14:paraId="50893A0E">
      <w:pPr>
        <w:pStyle w:val="13"/>
        <w:spacing w:line="440" w:lineRule="exact"/>
        <w:jc w:val="left"/>
        <w:rPr>
          <w:rFonts w:hint="eastAsia" w:ascii="宋体" w:hAnsi="宋体" w:eastAsia="宋体" w:cs="宋体"/>
          <w:b/>
          <w:bCs/>
          <w:color w:val="auto"/>
          <w:sz w:val="24"/>
          <w:szCs w:val="24"/>
          <w:highlight w:val="none"/>
        </w:rPr>
      </w:pPr>
    </w:p>
    <w:p w14:paraId="79F4CAA3">
      <w:pPr>
        <w:pStyle w:val="13"/>
        <w:spacing w:line="440" w:lineRule="exact"/>
        <w:jc w:val="left"/>
        <w:rPr>
          <w:rFonts w:hint="eastAsia" w:ascii="宋体" w:hAnsi="宋体" w:eastAsia="宋体" w:cs="宋体"/>
          <w:b/>
          <w:bCs/>
          <w:color w:val="auto"/>
          <w:sz w:val="24"/>
          <w:szCs w:val="24"/>
          <w:highlight w:val="none"/>
        </w:rPr>
      </w:pPr>
    </w:p>
    <w:p w14:paraId="699A6808">
      <w:pPr>
        <w:pStyle w:val="13"/>
        <w:spacing w:line="440" w:lineRule="exact"/>
        <w:jc w:val="left"/>
        <w:rPr>
          <w:rFonts w:hint="eastAsia" w:ascii="宋体" w:hAnsi="宋体" w:eastAsia="宋体" w:cs="宋体"/>
          <w:b/>
          <w:bCs/>
          <w:color w:val="auto"/>
          <w:sz w:val="24"/>
          <w:szCs w:val="24"/>
          <w:highlight w:val="none"/>
        </w:rPr>
      </w:pPr>
    </w:p>
    <w:p w14:paraId="455DA40E">
      <w:pPr>
        <w:pStyle w:val="13"/>
        <w:spacing w:line="440" w:lineRule="exact"/>
        <w:jc w:val="left"/>
        <w:rPr>
          <w:rFonts w:hint="eastAsia" w:ascii="宋体" w:hAnsi="宋体" w:eastAsia="宋体" w:cs="宋体"/>
          <w:b/>
          <w:bCs/>
          <w:color w:val="auto"/>
          <w:kern w:val="0"/>
          <w:sz w:val="30"/>
          <w:szCs w:val="30"/>
        </w:rPr>
      </w:pPr>
      <w:r>
        <w:rPr>
          <w:rFonts w:hint="eastAsia" w:ascii="宋体" w:hAnsi="宋体" w:eastAsia="宋体" w:cs="宋体"/>
          <w:b/>
          <w:bCs/>
          <w:color w:val="auto"/>
          <w:sz w:val="24"/>
          <w:szCs w:val="24"/>
          <w:highlight w:val="none"/>
        </w:rPr>
        <w:t>附表</w:t>
      </w:r>
    </w:p>
    <w:p w14:paraId="23B9F0FD">
      <w:pPr>
        <w:pStyle w:val="13"/>
        <w:spacing w:line="440" w:lineRule="exact"/>
        <w:jc w:val="center"/>
        <w:rPr>
          <w:rFonts w:hint="eastAsia" w:ascii="宋体" w:hAnsi="宋体" w:eastAsia="宋体" w:cs="宋体"/>
          <w:b/>
          <w:bCs/>
          <w:color w:val="auto"/>
          <w:kern w:val="0"/>
          <w:sz w:val="30"/>
          <w:szCs w:val="30"/>
        </w:rPr>
      </w:pPr>
      <w:r>
        <w:rPr>
          <w:rFonts w:hint="eastAsia" w:ascii="宋体" w:hAnsi="宋体" w:eastAsia="宋体" w:cs="宋体"/>
          <w:b/>
          <w:bCs/>
          <w:color w:val="auto"/>
          <w:kern w:val="0"/>
          <w:sz w:val="30"/>
          <w:szCs w:val="30"/>
        </w:rPr>
        <w:t>统计上大中小微型企业划分标准</w:t>
      </w:r>
      <w:bookmarkEnd w:id="68"/>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2E53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exact"/>
          <w:tblHeader/>
          <w:jc w:val="center"/>
        </w:trPr>
        <w:tc>
          <w:tcPr>
            <w:tcW w:w="2113" w:type="dxa"/>
            <w:shd w:val="clear" w:color="auto" w:fill="FFFFFF"/>
            <w:noWrap w:val="0"/>
            <w:vAlign w:val="center"/>
          </w:tcPr>
          <w:p w14:paraId="0B80DAF4">
            <w:pPr>
              <w:widowControl/>
              <w:spacing w:line="240" w:lineRule="auto"/>
              <w:jc w:val="center"/>
              <w:rPr>
                <w:rFonts w:hint="eastAsia" w:ascii="宋体" w:hAnsi="宋体" w:eastAsia="宋体" w:cs="宋体"/>
                <w:b/>
                <w:bCs/>
                <w:color w:val="auto"/>
                <w:kern w:val="0"/>
                <w:sz w:val="18"/>
                <w:szCs w:val="21"/>
              </w:rPr>
            </w:pPr>
            <w:r>
              <w:rPr>
                <w:rFonts w:hint="eastAsia" w:ascii="宋体" w:hAnsi="宋体" w:eastAsia="宋体" w:cs="宋体"/>
                <w:b/>
                <w:bCs/>
                <w:color w:val="auto"/>
                <w:kern w:val="0"/>
                <w:sz w:val="18"/>
                <w:szCs w:val="21"/>
              </w:rPr>
              <w:t>行业名称</w:t>
            </w:r>
          </w:p>
        </w:tc>
        <w:tc>
          <w:tcPr>
            <w:tcW w:w="1369" w:type="dxa"/>
            <w:shd w:val="clear" w:color="auto" w:fill="FFFFFF"/>
            <w:noWrap w:val="0"/>
            <w:vAlign w:val="center"/>
          </w:tcPr>
          <w:p w14:paraId="3B42BE1B">
            <w:pPr>
              <w:widowControl/>
              <w:spacing w:line="240" w:lineRule="auto"/>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指标名称</w:t>
            </w:r>
          </w:p>
        </w:tc>
        <w:tc>
          <w:tcPr>
            <w:tcW w:w="709" w:type="dxa"/>
            <w:shd w:val="clear" w:color="auto" w:fill="FFFFFF"/>
            <w:noWrap w:val="0"/>
            <w:vAlign w:val="center"/>
          </w:tcPr>
          <w:p w14:paraId="782D14C6">
            <w:pPr>
              <w:widowControl/>
              <w:spacing w:line="240" w:lineRule="auto"/>
              <w:jc w:val="center"/>
              <w:rPr>
                <w:rFonts w:hint="eastAsia"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rPr>
              <w:t>计量</w:t>
            </w:r>
          </w:p>
          <w:p w14:paraId="5BE7A351">
            <w:pPr>
              <w:widowControl/>
              <w:spacing w:line="240" w:lineRule="auto"/>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单位</w:t>
            </w:r>
          </w:p>
        </w:tc>
        <w:tc>
          <w:tcPr>
            <w:tcW w:w="1125" w:type="dxa"/>
            <w:shd w:val="clear" w:color="auto" w:fill="FFFFFF"/>
            <w:noWrap w:val="0"/>
            <w:vAlign w:val="center"/>
          </w:tcPr>
          <w:p w14:paraId="762A1655">
            <w:pPr>
              <w:widowControl/>
              <w:spacing w:line="240" w:lineRule="auto"/>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大型</w:t>
            </w:r>
          </w:p>
        </w:tc>
        <w:tc>
          <w:tcPr>
            <w:tcW w:w="1701" w:type="dxa"/>
            <w:shd w:val="clear" w:color="auto" w:fill="FFFFFF"/>
            <w:noWrap w:val="0"/>
            <w:vAlign w:val="center"/>
          </w:tcPr>
          <w:p w14:paraId="2668A3E8">
            <w:pPr>
              <w:widowControl/>
              <w:spacing w:line="240" w:lineRule="auto"/>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中型</w:t>
            </w:r>
          </w:p>
        </w:tc>
        <w:tc>
          <w:tcPr>
            <w:tcW w:w="1426" w:type="dxa"/>
            <w:shd w:val="clear" w:color="auto" w:fill="FFFFFF"/>
            <w:noWrap w:val="0"/>
            <w:vAlign w:val="center"/>
          </w:tcPr>
          <w:p w14:paraId="5E4E10DA">
            <w:pPr>
              <w:widowControl/>
              <w:spacing w:line="240" w:lineRule="auto"/>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小型</w:t>
            </w:r>
          </w:p>
        </w:tc>
        <w:tc>
          <w:tcPr>
            <w:tcW w:w="992" w:type="dxa"/>
            <w:shd w:val="clear" w:color="auto" w:fill="FFFFFF"/>
            <w:noWrap w:val="0"/>
            <w:vAlign w:val="center"/>
          </w:tcPr>
          <w:p w14:paraId="5FD0F05C">
            <w:pPr>
              <w:widowControl/>
              <w:spacing w:line="240" w:lineRule="auto"/>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微型</w:t>
            </w:r>
          </w:p>
        </w:tc>
      </w:tr>
      <w:tr w14:paraId="67D3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5BFF06A2">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农、林、牧、渔业</w:t>
            </w:r>
          </w:p>
        </w:tc>
        <w:tc>
          <w:tcPr>
            <w:tcW w:w="1369" w:type="dxa"/>
            <w:noWrap w:val="0"/>
            <w:vAlign w:val="center"/>
          </w:tcPr>
          <w:p w14:paraId="0C95C74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5CCDF07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26F68A5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Y≥20000</w:t>
            </w:r>
          </w:p>
        </w:tc>
        <w:tc>
          <w:tcPr>
            <w:tcW w:w="1701" w:type="dxa"/>
            <w:noWrap w:val="0"/>
            <w:vAlign w:val="center"/>
          </w:tcPr>
          <w:p w14:paraId="3F85926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500≤Y＜20000</w:t>
            </w:r>
          </w:p>
        </w:tc>
        <w:tc>
          <w:tcPr>
            <w:tcW w:w="1426" w:type="dxa"/>
            <w:noWrap w:val="0"/>
            <w:vAlign w:val="center"/>
          </w:tcPr>
          <w:p w14:paraId="074A0A8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50≤Y＜500</w:t>
            </w:r>
          </w:p>
        </w:tc>
        <w:tc>
          <w:tcPr>
            <w:tcW w:w="992" w:type="dxa"/>
            <w:noWrap w:val="0"/>
            <w:vAlign w:val="center"/>
          </w:tcPr>
          <w:p w14:paraId="7B22690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Y＜50</w:t>
            </w:r>
          </w:p>
        </w:tc>
      </w:tr>
      <w:tr w14:paraId="415D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DC1E4EE">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工业 *</w:t>
            </w:r>
          </w:p>
        </w:tc>
        <w:tc>
          <w:tcPr>
            <w:tcW w:w="1369" w:type="dxa"/>
            <w:noWrap w:val="0"/>
            <w:vAlign w:val="center"/>
          </w:tcPr>
          <w:p w14:paraId="6158335C">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417D07F9">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11CDEE4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701" w:type="dxa"/>
            <w:noWrap w:val="0"/>
            <w:vAlign w:val="center"/>
          </w:tcPr>
          <w:p w14:paraId="6E0D233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426" w:type="dxa"/>
            <w:noWrap w:val="0"/>
            <w:vAlign w:val="center"/>
          </w:tcPr>
          <w:p w14:paraId="0920BD6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20≤X＜300</w:t>
            </w:r>
          </w:p>
        </w:tc>
        <w:tc>
          <w:tcPr>
            <w:tcW w:w="992" w:type="dxa"/>
            <w:noWrap w:val="0"/>
            <w:vAlign w:val="center"/>
          </w:tcPr>
          <w:p w14:paraId="7A4E7D7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14:paraId="5635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33348914">
            <w:pPr>
              <w:widowControl/>
              <w:jc w:val="left"/>
              <w:rPr>
                <w:rFonts w:hint="eastAsia" w:ascii="宋体" w:hAnsi="宋体" w:eastAsia="宋体" w:cs="宋体"/>
                <w:color w:val="auto"/>
                <w:kern w:val="0"/>
                <w:sz w:val="18"/>
                <w:szCs w:val="18"/>
              </w:rPr>
            </w:pPr>
          </w:p>
        </w:tc>
        <w:tc>
          <w:tcPr>
            <w:tcW w:w="1369" w:type="dxa"/>
            <w:noWrap w:val="0"/>
            <w:vAlign w:val="center"/>
          </w:tcPr>
          <w:p w14:paraId="4005F20F">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32B6B71C">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1BDECDB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Y≥40000</w:t>
            </w:r>
          </w:p>
        </w:tc>
        <w:tc>
          <w:tcPr>
            <w:tcW w:w="1701" w:type="dxa"/>
            <w:noWrap w:val="0"/>
            <w:vAlign w:val="center"/>
          </w:tcPr>
          <w:p w14:paraId="1BDF3E5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2000≤Y＜40000</w:t>
            </w:r>
          </w:p>
        </w:tc>
        <w:tc>
          <w:tcPr>
            <w:tcW w:w="1426" w:type="dxa"/>
            <w:noWrap w:val="0"/>
            <w:vAlign w:val="center"/>
          </w:tcPr>
          <w:p w14:paraId="3EE5E06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300≤Y＜2000</w:t>
            </w:r>
          </w:p>
        </w:tc>
        <w:tc>
          <w:tcPr>
            <w:tcW w:w="992" w:type="dxa"/>
            <w:noWrap w:val="0"/>
            <w:vAlign w:val="center"/>
          </w:tcPr>
          <w:p w14:paraId="0210F98A">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w:t>
            </w:r>
          </w:p>
        </w:tc>
      </w:tr>
      <w:tr w14:paraId="7EF0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jc w:val="center"/>
        </w:trPr>
        <w:tc>
          <w:tcPr>
            <w:tcW w:w="2113" w:type="dxa"/>
            <w:vMerge w:val="restart"/>
            <w:noWrap w:val="0"/>
            <w:vAlign w:val="center"/>
          </w:tcPr>
          <w:p w14:paraId="272FB4BB">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建筑业</w:t>
            </w:r>
          </w:p>
        </w:tc>
        <w:tc>
          <w:tcPr>
            <w:tcW w:w="1369" w:type="dxa"/>
            <w:noWrap w:val="0"/>
            <w:vAlign w:val="center"/>
          </w:tcPr>
          <w:p w14:paraId="2FE05F09">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3DB23B1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4B8ED72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Y≥80000</w:t>
            </w:r>
          </w:p>
        </w:tc>
        <w:tc>
          <w:tcPr>
            <w:tcW w:w="1701" w:type="dxa"/>
            <w:noWrap w:val="0"/>
            <w:vAlign w:val="center"/>
          </w:tcPr>
          <w:p w14:paraId="0433ABD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6000≤Y＜80000</w:t>
            </w:r>
          </w:p>
        </w:tc>
        <w:tc>
          <w:tcPr>
            <w:tcW w:w="1426" w:type="dxa"/>
            <w:noWrap w:val="0"/>
            <w:vAlign w:val="center"/>
          </w:tcPr>
          <w:p w14:paraId="325A5F72">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300≤Y＜6000</w:t>
            </w:r>
          </w:p>
        </w:tc>
        <w:tc>
          <w:tcPr>
            <w:tcW w:w="992" w:type="dxa"/>
            <w:noWrap w:val="0"/>
            <w:vAlign w:val="center"/>
          </w:tcPr>
          <w:p w14:paraId="202887B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w:t>
            </w:r>
          </w:p>
        </w:tc>
      </w:tr>
      <w:tr w14:paraId="6A16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080A151E">
            <w:pPr>
              <w:widowControl/>
              <w:jc w:val="left"/>
              <w:rPr>
                <w:rFonts w:hint="eastAsia" w:ascii="宋体" w:hAnsi="宋体" w:eastAsia="宋体" w:cs="宋体"/>
                <w:color w:val="auto"/>
                <w:kern w:val="0"/>
                <w:sz w:val="18"/>
                <w:szCs w:val="18"/>
              </w:rPr>
            </w:pPr>
          </w:p>
        </w:tc>
        <w:tc>
          <w:tcPr>
            <w:tcW w:w="1369" w:type="dxa"/>
            <w:noWrap w:val="0"/>
            <w:vAlign w:val="center"/>
          </w:tcPr>
          <w:p w14:paraId="0C2D9D09">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资产总额（Z）</w:t>
            </w:r>
          </w:p>
        </w:tc>
        <w:tc>
          <w:tcPr>
            <w:tcW w:w="709" w:type="dxa"/>
            <w:noWrap w:val="0"/>
            <w:vAlign w:val="center"/>
          </w:tcPr>
          <w:p w14:paraId="561BFE64">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174977B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Z≥80000</w:t>
            </w:r>
          </w:p>
        </w:tc>
        <w:tc>
          <w:tcPr>
            <w:tcW w:w="1701" w:type="dxa"/>
            <w:noWrap w:val="0"/>
            <w:vAlign w:val="center"/>
          </w:tcPr>
          <w:p w14:paraId="2F7DD9E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5000≤Z＜80000</w:t>
            </w:r>
          </w:p>
        </w:tc>
        <w:tc>
          <w:tcPr>
            <w:tcW w:w="1426" w:type="dxa"/>
            <w:noWrap w:val="0"/>
            <w:vAlign w:val="center"/>
          </w:tcPr>
          <w:p w14:paraId="61D40DA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300≤Z＜5000</w:t>
            </w:r>
          </w:p>
        </w:tc>
        <w:tc>
          <w:tcPr>
            <w:tcW w:w="992" w:type="dxa"/>
            <w:noWrap w:val="0"/>
            <w:vAlign w:val="center"/>
          </w:tcPr>
          <w:p w14:paraId="309582BA">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Z＜300</w:t>
            </w:r>
          </w:p>
        </w:tc>
      </w:tr>
      <w:tr w14:paraId="31A9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1FF827B">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批发业</w:t>
            </w:r>
          </w:p>
        </w:tc>
        <w:tc>
          <w:tcPr>
            <w:tcW w:w="1369" w:type="dxa"/>
            <w:noWrap w:val="0"/>
            <w:vAlign w:val="center"/>
          </w:tcPr>
          <w:p w14:paraId="609EC05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4110A84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4BDB4C3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X≥200</w:t>
            </w:r>
          </w:p>
        </w:tc>
        <w:tc>
          <w:tcPr>
            <w:tcW w:w="1701" w:type="dxa"/>
            <w:noWrap w:val="0"/>
            <w:vAlign w:val="center"/>
          </w:tcPr>
          <w:p w14:paraId="0A8F468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20≤X＜200</w:t>
            </w:r>
          </w:p>
        </w:tc>
        <w:tc>
          <w:tcPr>
            <w:tcW w:w="1426" w:type="dxa"/>
            <w:noWrap w:val="0"/>
            <w:vAlign w:val="center"/>
          </w:tcPr>
          <w:p w14:paraId="2513B34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5≤X＜20</w:t>
            </w:r>
          </w:p>
        </w:tc>
        <w:tc>
          <w:tcPr>
            <w:tcW w:w="992" w:type="dxa"/>
            <w:noWrap w:val="0"/>
            <w:vAlign w:val="center"/>
          </w:tcPr>
          <w:p w14:paraId="447B4E7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X＜5</w:t>
            </w:r>
          </w:p>
        </w:tc>
      </w:tr>
      <w:tr w14:paraId="66E1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3824F346">
            <w:pPr>
              <w:widowControl/>
              <w:jc w:val="left"/>
              <w:rPr>
                <w:rFonts w:hint="eastAsia" w:ascii="宋体" w:hAnsi="宋体" w:eastAsia="宋体" w:cs="宋体"/>
                <w:color w:val="auto"/>
                <w:kern w:val="0"/>
                <w:sz w:val="18"/>
                <w:szCs w:val="18"/>
              </w:rPr>
            </w:pPr>
          </w:p>
        </w:tc>
        <w:tc>
          <w:tcPr>
            <w:tcW w:w="1369" w:type="dxa"/>
            <w:noWrap w:val="0"/>
            <w:vAlign w:val="center"/>
          </w:tcPr>
          <w:p w14:paraId="14C37B0E">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2B51ABB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2AB7F83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Y≥40000</w:t>
            </w:r>
          </w:p>
        </w:tc>
        <w:tc>
          <w:tcPr>
            <w:tcW w:w="1701" w:type="dxa"/>
            <w:noWrap w:val="0"/>
            <w:vAlign w:val="center"/>
          </w:tcPr>
          <w:p w14:paraId="4B187575">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5000≤Y＜40000</w:t>
            </w:r>
          </w:p>
        </w:tc>
        <w:tc>
          <w:tcPr>
            <w:tcW w:w="1426" w:type="dxa"/>
            <w:noWrap w:val="0"/>
            <w:vAlign w:val="center"/>
          </w:tcPr>
          <w:p w14:paraId="7B2E0C72">
            <w:pPr>
              <w:widowControl/>
              <w:ind w:left="-1" w:leftChars="-1" w:hanging="1"/>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1000≤Y＜5000</w:t>
            </w:r>
          </w:p>
        </w:tc>
        <w:tc>
          <w:tcPr>
            <w:tcW w:w="992" w:type="dxa"/>
            <w:noWrap w:val="0"/>
            <w:vAlign w:val="center"/>
          </w:tcPr>
          <w:p w14:paraId="412EEC9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w:t>
            </w:r>
          </w:p>
        </w:tc>
      </w:tr>
      <w:tr w14:paraId="1378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622B464D">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零售业</w:t>
            </w:r>
          </w:p>
        </w:tc>
        <w:tc>
          <w:tcPr>
            <w:tcW w:w="1369" w:type="dxa"/>
            <w:noWrap w:val="0"/>
            <w:vAlign w:val="center"/>
          </w:tcPr>
          <w:p w14:paraId="06182D85">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1FB679F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73A7E16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0"/>
            <w:vAlign w:val="center"/>
          </w:tcPr>
          <w:p w14:paraId="4EF44FE2">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50≤X＜300</w:t>
            </w:r>
          </w:p>
        </w:tc>
        <w:tc>
          <w:tcPr>
            <w:tcW w:w="1426" w:type="dxa"/>
            <w:noWrap w:val="0"/>
            <w:vAlign w:val="center"/>
          </w:tcPr>
          <w:p w14:paraId="2B9EF779">
            <w:pPr>
              <w:widowControl/>
              <w:ind w:left="-1" w:leftChars="-1" w:hanging="1"/>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10≤X＜50 </w:t>
            </w:r>
          </w:p>
        </w:tc>
        <w:tc>
          <w:tcPr>
            <w:tcW w:w="992" w:type="dxa"/>
            <w:noWrap w:val="0"/>
            <w:vAlign w:val="center"/>
          </w:tcPr>
          <w:p w14:paraId="7CDA51F5">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7D51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4682CEEE">
            <w:pPr>
              <w:widowControl/>
              <w:jc w:val="left"/>
              <w:rPr>
                <w:rFonts w:hint="eastAsia" w:ascii="宋体" w:hAnsi="宋体" w:eastAsia="宋体" w:cs="宋体"/>
                <w:color w:val="auto"/>
                <w:kern w:val="0"/>
                <w:sz w:val="18"/>
                <w:szCs w:val="18"/>
              </w:rPr>
            </w:pPr>
          </w:p>
        </w:tc>
        <w:tc>
          <w:tcPr>
            <w:tcW w:w="1369" w:type="dxa"/>
            <w:noWrap w:val="0"/>
            <w:vAlign w:val="center"/>
          </w:tcPr>
          <w:p w14:paraId="3721E5B9">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7A4ED00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5C1AB75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Y≥20000</w:t>
            </w:r>
          </w:p>
        </w:tc>
        <w:tc>
          <w:tcPr>
            <w:tcW w:w="1701" w:type="dxa"/>
            <w:noWrap w:val="0"/>
            <w:vAlign w:val="center"/>
          </w:tcPr>
          <w:p w14:paraId="507D6D19">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500≤Y＜20000</w:t>
            </w:r>
          </w:p>
        </w:tc>
        <w:tc>
          <w:tcPr>
            <w:tcW w:w="1426" w:type="dxa"/>
            <w:noWrap w:val="0"/>
            <w:vAlign w:val="center"/>
          </w:tcPr>
          <w:p w14:paraId="2F1E55E2">
            <w:pPr>
              <w:widowControl/>
              <w:ind w:left="-1" w:leftChars="-1" w:hanging="1"/>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100≤Y＜500</w:t>
            </w:r>
          </w:p>
        </w:tc>
        <w:tc>
          <w:tcPr>
            <w:tcW w:w="992" w:type="dxa"/>
            <w:noWrap w:val="0"/>
            <w:vAlign w:val="center"/>
          </w:tcPr>
          <w:p w14:paraId="503B2F7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6C424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1EEB0F36">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交通运输业 *</w:t>
            </w:r>
          </w:p>
        </w:tc>
        <w:tc>
          <w:tcPr>
            <w:tcW w:w="1369" w:type="dxa"/>
            <w:noWrap w:val="0"/>
            <w:vAlign w:val="center"/>
          </w:tcPr>
          <w:p w14:paraId="015B162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7CFCA5D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1A0C13C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701" w:type="dxa"/>
            <w:noWrap w:val="0"/>
            <w:vAlign w:val="center"/>
          </w:tcPr>
          <w:p w14:paraId="4048349C">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426" w:type="dxa"/>
            <w:noWrap w:val="0"/>
            <w:vAlign w:val="center"/>
          </w:tcPr>
          <w:p w14:paraId="7EDC923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20≤X＜300</w:t>
            </w:r>
          </w:p>
        </w:tc>
        <w:tc>
          <w:tcPr>
            <w:tcW w:w="992" w:type="dxa"/>
            <w:noWrap w:val="0"/>
            <w:vAlign w:val="center"/>
          </w:tcPr>
          <w:p w14:paraId="6A2A477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14:paraId="19B7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88F3FC6">
            <w:pPr>
              <w:widowControl/>
              <w:jc w:val="left"/>
              <w:rPr>
                <w:rFonts w:hint="eastAsia" w:ascii="宋体" w:hAnsi="宋体" w:eastAsia="宋体" w:cs="宋体"/>
                <w:color w:val="auto"/>
                <w:kern w:val="0"/>
                <w:sz w:val="18"/>
                <w:szCs w:val="18"/>
              </w:rPr>
            </w:pPr>
          </w:p>
        </w:tc>
        <w:tc>
          <w:tcPr>
            <w:tcW w:w="1369" w:type="dxa"/>
            <w:noWrap w:val="0"/>
            <w:vAlign w:val="center"/>
          </w:tcPr>
          <w:p w14:paraId="4133C4EB">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3EA8B772">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3581571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Y≥30000</w:t>
            </w:r>
          </w:p>
        </w:tc>
        <w:tc>
          <w:tcPr>
            <w:tcW w:w="1701" w:type="dxa"/>
            <w:noWrap w:val="0"/>
            <w:vAlign w:val="center"/>
          </w:tcPr>
          <w:p w14:paraId="7E8D04C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3000≤Y＜30000</w:t>
            </w:r>
          </w:p>
        </w:tc>
        <w:tc>
          <w:tcPr>
            <w:tcW w:w="1426" w:type="dxa"/>
            <w:noWrap w:val="0"/>
            <w:vAlign w:val="center"/>
          </w:tcPr>
          <w:p w14:paraId="630B32E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200≤Y＜3000</w:t>
            </w:r>
          </w:p>
        </w:tc>
        <w:tc>
          <w:tcPr>
            <w:tcW w:w="992" w:type="dxa"/>
            <w:noWrap w:val="0"/>
            <w:vAlign w:val="center"/>
          </w:tcPr>
          <w:p w14:paraId="7295232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Y＜200</w:t>
            </w:r>
          </w:p>
        </w:tc>
      </w:tr>
      <w:tr w14:paraId="4C30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94B88ED">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仓储业*</w:t>
            </w:r>
          </w:p>
        </w:tc>
        <w:tc>
          <w:tcPr>
            <w:tcW w:w="1369" w:type="dxa"/>
            <w:noWrap w:val="0"/>
            <w:vAlign w:val="center"/>
          </w:tcPr>
          <w:p w14:paraId="2CCDEC2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5E69E05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772E5D5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X≥200</w:t>
            </w:r>
          </w:p>
        </w:tc>
        <w:tc>
          <w:tcPr>
            <w:tcW w:w="1701" w:type="dxa"/>
            <w:noWrap w:val="0"/>
            <w:vAlign w:val="center"/>
          </w:tcPr>
          <w:p w14:paraId="22BD4E63">
            <w:pPr>
              <w:widowControl/>
              <w:ind w:left="-4"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100≤X＜200</w:t>
            </w:r>
          </w:p>
        </w:tc>
        <w:tc>
          <w:tcPr>
            <w:tcW w:w="1426" w:type="dxa"/>
            <w:noWrap w:val="0"/>
            <w:vAlign w:val="center"/>
          </w:tcPr>
          <w:p w14:paraId="03E99F89">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20≤X＜100</w:t>
            </w:r>
          </w:p>
        </w:tc>
        <w:tc>
          <w:tcPr>
            <w:tcW w:w="992" w:type="dxa"/>
            <w:noWrap w:val="0"/>
            <w:vAlign w:val="center"/>
          </w:tcPr>
          <w:p w14:paraId="5912D42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14:paraId="389E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364F8A7F">
            <w:pPr>
              <w:widowControl/>
              <w:jc w:val="left"/>
              <w:rPr>
                <w:rFonts w:hint="eastAsia" w:ascii="宋体" w:hAnsi="宋体" w:eastAsia="宋体" w:cs="宋体"/>
                <w:color w:val="auto"/>
                <w:kern w:val="0"/>
                <w:sz w:val="18"/>
                <w:szCs w:val="18"/>
              </w:rPr>
            </w:pPr>
          </w:p>
        </w:tc>
        <w:tc>
          <w:tcPr>
            <w:tcW w:w="1369" w:type="dxa"/>
            <w:noWrap w:val="0"/>
            <w:vAlign w:val="center"/>
          </w:tcPr>
          <w:p w14:paraId="7FD00A66">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4FAD1994">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1FF851B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Y≥30000</w:t>
            </w:r>
          </w:p>
        </w:tc>
        <w:tc>
          <w:tcPr>
            <w:tcW w:w="1701" w:type="dxa"/>
            <w:noWrap w:val="0"/>
            <w:vAlign w:val="center"/>
          </w:tcPr>
          <w:p w14:paraId="0B4099C5">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1000≤Y＜30000</w:t>
            </w:r>
          </w:p>
        </w:tc>
        <w:tc>
          <w:tcPr>
            <w:tcW w:w="1426" w:type="dxa"/>
            <w:noWrap w:val="0"/>
            <w:vAlign w:val="center"/>
          </w:tcPr>
          <w:p w14:paraId="7B42FCF2">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100≤Y＜1000</w:t>
            </w:r>
          </w:p>
        </w:tc>
        <w:tc>
          <w:tcPr>
            <w:tcW w:w="992" w:type="dxa"/>
            <w:noWrap w:val="0"/>
            <w:vAlign w:val="center"/>
          </w:tcPr>
          <w:p w14:paraId="37A1992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7367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4652AEB0">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邮政业</w:t>
            </w:r>
          </w:p>
        </w:tc>
        <w:tc>
          <w:tcPr>
            <w:tcW w:w="1369" w:type="dxa"/>
            <w:noWrap w:val="0"/>
            <w:vAlign w:val="center"/>
          </w:tcPr>
          <w:p w14:paraId="0B9D0C0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56AA0305">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7962C6DA">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701" w:type="dxa"/>
            <w:noWrap w:val="0"/>
            <w:vAlign w:val="center"/>
          </w:tcPr>
          <w:p w14:paraId="38E29ED9">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426" w:type="dxa"/>
            <w:noWrap w:val="0"/>
            <w:vAlign w:val="center"/>
          </w:tcPr>
          <w:p w14:paraId="2966BB0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20≤X＜300</w:t>
            </w:r>
          </w:p>
        </w:tc>
        <w:tc>
          <w:tcPr>
            <w:tcW w:w="992" w:type="dxa"/>
            <w:noWrap w:val="0"/>
            <w:vAlign w:val="center"/>
          </w:tcPr>
          <w:p w14:paraId="3D3E419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14:paraId="3B1A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C44F499">
            <w:pPr>
              <w:widowControl/>
              <w:jc w:val="left"/>
              <w:rPr>
                <w:rFonts w:hint="eastAsia" w:ascii="宋体" w:hAnsi="宋体" w:eastAsia="宋体" w:cs="宋体"/>
                <w:color w:val="auto"/>
                <w:kern w:val="0"/>
                <w:sz w:val="18"/>
                <w:szCs w:val="18"/>
              </w:rPr>
            </w:pPr>
          </w:p>
        </w:tc>
        <w:tc>
          <w:tcPr>
            <w:tcW w:w="1369" w:type="dxa"/>
            <w:noWrap w:val="0"/>
            <w:vAlign w:val="center"/>
          </w:tcPr>
          <w:p w14:paraId="61EE78F1">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61F5F21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4CEBDF2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Y≥30000</w:t>
            </w:r>
          </w:p>
        </w:tc>
        <w:tc>
          <w:tcPr>
            <w:tcW w:w="1701" w:type="dxa"/>
            <w:noWrap w:val="0"/>
            <w:vAlign w:val="center"/>
          </w:tcPr>
          <w:p w14:paraId="0551A61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2000≤Y＜30000</w:t>
            </w:r>
          </w:p>
        </w:tc>
        <w:tc>
          <w:tcPr>
            <w:tcW w:w="1426" w:type="dxa"/>
            <w:noWrap w:val="0"/>
            <w:vAlign w:val="center"/>
          </w:tcPr>
          <w:p w14:paraId="73F063E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100≤Y＜2000</w:t>
            </w:r>
          </w:p>
        </w:tc>
        <w:tc>
          <w:tcPr>
            <w:tcW w:w="992" w:type="dxa"/>
            <w:noWrap w:val="0"/>
            <w:vAlign w:val="center"/>
          </w:tcPr>
          <w:p w14:paraId="23D23EE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7154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3D4DC844">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住宿业</w:t>
            </w:r>
          </w:p>
        </w:tc>
        <w:tc>
          <w:tcPr>
            <w:tcW w:w="1369" w:type="dxa"/>
            <w:noWrap w:val="0"/>
            <w:vAlign w:val="center"/>
          </w:tcPr>
          <w:p w14:paraId="6434A16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3D462A2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7C3BABD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0"/>
            <w:vAlign w:val="center"/>
          </w:tcPr>
          <w:p w14:paraId="07C7C13A">
            <w:pPr>
              <w:widowControl/>
              <w:ind w:left="-4"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100≤X＜300</w:t>
            </w:r>
          </w:p>
        </w:tc>
        <w:tc>
          <w:tcPr>
            <w:tcW w:w="1426" w:type="dxa"/>
            <w:noWrap w:val="0"/>
            <w:vAlign w:val="center"/>
          </w:tcPr>
          <w:p w14:paraId="54A705C9">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0"/>
            <w:vAlign w:val="center"/>
          </w:tcPr>
          <w:p w14:paraId="12A1C4C4">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7719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7AA0AC8">
            <w:pPr>
              <w:widowControl/>
              <w:jc w:val="left"/>
              <w:rPr>
                <w:rFonts w:hint="eastAsia" w:ascii="宋体" w:hAnsi="宋体" w:eastAsia="宋体" w:cs="宋体"/>
                <w:color w:val="auto"/>
                <w:kern w:val="0"/>
                <w:sz w:val="18"/>
                <w:szCs w:val="18"/>
              </w:rPr>
            </w:pPr>
          </w:p>
        </w:tc>
        <w:tc>
          <w:tcPr>
            <w:tcW w:w="1369" w:type="dxa"/>
            <w:noWrap w:val="0"/>
            <w:vAlign w:val="center"/>
          </w:tcPr>
          <w:p w14:paraId="77A27810">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5F3A399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2737DAE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Y≥10000</w:t>
            </w:r>
          </w:p>
        </w:tc>
        <w:tc>
          <w:tcPr>
            <w:tcW w:w="1701" w:type="dxa"/>
            <w:noWrap w:val="0"/>
            <w:vAlign w:val="center"/>
          </w:tcPr>
          <w:p w14:paraId="39B47E8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2000≤Y＜10000</w:t>
            </w:r>
          </w:p>
        </w:tc>
        <w:tc>
          <w:tcPr>
            <w:tcW w:w="1426" w:type="dxa"/>
            <w:noWrap w:val="0"/>
            <w:vAlign w:val="center"/>
          </w:tcPr>
          <w:p w14:paraId="0A18C2A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100≤Y＜2000</w:t>
            </w:r>
          </w:p>
        </w:tc>
        <w:tc>
          <w:tcPr>
            <w:tcW w:w="992" w:type="dxa"/>
            <w:noWrap w:val="0"/>
            <w:vAlign w:val="center"/>
          </w:tcPr>
          <w:p w14:paraId="41CE4F0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5C58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274A46C6">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餐饮业</w:t>
            </w:r>
          </w:p>
        </w:tc>
        <w:tc>
          <w:tcPr>
            <w:tcW w:w="1369" w:type="dxa"/>
            <w:noWrap w:val="0"/>
            <w:vAlign w:val="center"/>
          </w:tcPr>
          <w:p w14:paraId="2735821C">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1C998E94">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5DF4E54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0"/>
            <w:vAlign w:val="center"/>
          </w:tcPr>
          <w:p w14:paraId="3956AE9F">
            <w:pPr>
              <w:widowControl/>
              <w:ind w:left="-4"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100≤X＜300 </w:t>
            </w:r>
          </w:p>
        </w:tc>
        <w:tc>
          <w:tcPr>
            <w:tcW w:w="1426" w:type="dxa"/>
            <w:noWrap w:val="0"/>
            <w:vAlign w:val="center"/>
          </w:tcPr>
          <w:p w14:paraId="3B59025C">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0"/>
            <w:vAlign w:val="center"/>
          </w:tcPr>
          <w:p w14:paraId="0AB8A3F2">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120F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0A39C509">
            <w:pPr>
              <w:widowControl/>
              <w:jc w:val="left"/>
              <w:rPr>
                <w:rFonts w:hint="eastAsia" w:ascii="宋体" w:hAnsi="宋体" w:eastAsia="宋体" w:cs="宋体"/>
                <w:color w:val="auto"/>
                <w:kern w:val="0"/>
                <w:sz w:val="18"/>
                <w:szCs w:val="18"/>
              </w:rPr>
            </w:pPr>
          </w:p>
        </w:tc>
        <w:tc>
          <w:tcPr>
            <w:tcW w:w="1369" w:type="dxa"/>
            <w:noWrap w:val="0"/>
            <w:vAlign w:val="center"/>
          </w:tcPr>
          <w:p w14:paraId="6F3EC102">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459B258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65F9D91C">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Y≥10000</w:t>
            </w:r>
          </w:p>
        </w:tc>
        <w:tc>
          <w:tcPr>
            <w:tcW w:w="1701" w:type="dxa"/>
            <w:noWrap w:val="0"/>
            <w:vAlign w:val="center"/>
          </w:tcPr>
          <w:p w14:paraId="26EE2AE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2000≤Y＜10000</w:t>
            </w:r>
          </w:p>
        </w:tc>
        <w:tc>
          <w:tcPr>
            <w:tcW w:w="1426" w:type="dxa"/>
            <w:noWrap w:val="0"/>
            <w:vAlign w:val="center"/>
          </w:tcPr>
          <w:p w14:paraId="6DC2D9F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100≤Y＜2000</w:t>
            </w:r>
          </w:p>
        </w:tc>
        <w:tc>
          <w:tcPr>
            <w:tcW w:w="992" w:type="dxa"/>
            <w:noWrap w:val="0"/>
            <w:vAlign w:val="center"/>
          </w:tcPr>
          <w:p w14:paraId="62DBA89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5A9AC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72BAAD1">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信息传输业 *</w:t>
            </w:r>
          </w:p>
        </w:tc>
        <w:tc>
          <w:tcPr>
            <w:tcW w:w="1369" w:type="dxa"/>
            <w:noWrap w:val="0"/>
            <w:vAlign w:val="center"/>
          </w:tcPr>
          <w:p w14:paraId="3A70CF6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3108EDD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167C619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X≥2000</w:t>
            </w:r>
          </w:p>
        </w:tc>
        <w:tc>
          <w:tcPr>
            <w:tcW w:w="1701" w:type="dxa"/>
            <w:noWrap w:val="0"/>
            <w:vAlign w:val="center"/>
          </w:tcPr>
          <w:p w14:paraId="749A175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100≤X＜2000</w:t>
            </w:r>
          </w:p>
        </w:tc>
        <w:tc>
          <w:tcPr>
            <w:tcW w:w="1426" w:type="dxa"/>
            <w:noWrap w:val="0"/>
            <w:vAlign w:val="center"/>
          </w:tcPr>
          <w:p w14:paraId="298436D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0"/>
            <w:vAlign w:val="center"/>
          </w:tcPr>
          <w:p w14:paraId="2115EE1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2550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46C5234">
            <w:pPr>
              <w:widowControl/>
              <w:jc w:val="left"/>
              <w:rPr>
                <w:rFonts w:hint="eastAsia" w:ascii="宋体" w:hAnsi="宋体" w:eastAsia="宋体" w:cs="宋体"/>
                <w:color w:val="auto"/>
                <w:kern w:val="0"/>
                <w:sz w:val="18"/>
                <w:szCs w:val="18"/>
              </w:rPr>
            </w:pPr>
          </w:p>
        </w:tc>
        <w:tc>
          <w:tcPr>
            <w:tcW w:w="1369" w:type="dxa"/>
            <w:noWrap w:val="0"/>
            <w:vAlign w:val="center"/>
          </w:tcPr>
          <w:p w14:paraId="5E0A7D85">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7C5978EA">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692160DA">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Y≥100000</w:t>
            </w:r>
          </w:p>
        </w:tc>
        <w:tc>
          <w:tcPr>
            <w:tcW w:w="1701" w:type="dxa"/>
            <w:noWrap w:val="0"/>
            <w:vAlign w:val="center"/>
          </w:tcPr>
          <w:p w14:paraId="7A60690C">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1000≤Y＜100000</w:t>
            </w:r>
          </w:p>
        </w:tc>
        <w:tc>
          <w:tcPr>
            <w:tcW w:w="1426" w:type="dxa"/>
            <w:noWrap w:val="0"/>
            <w:vAlign w:val="center"/>
          </w:tcPr>
          <w:p w14:paraId="33DBF75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100≤Y＜1000</w:t>
            </w:r>
          </w:p>
        </w:tc>
        <w:tc>
          <w:tcPr>
            <w:tcW w:w="992" w:type="dxa"/>
            <w:noWrap w:val="0"/>
            <w:vAlign w:val="center"/>
          </w:tcPr>
          <w:p w14:paraId="511982A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15B7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6616F64C">
            <w:pPr>
              <w:widowControl/>
              <w:spacing w:line="240" w:lineRule="exact"/>
              <w:jc w:val="left"/>
              <w:rPr>
                <w:rFonts w:hint="eastAsia" w:ascii="宋体" w:hAnsi="宋体" w:eastAsia="宋体" w:cs="宋体"/>
                <w:color w:val="auto"/>
                <w:spacing w:val="-12"/>
                <w:kern w:val="0"/>
                <w:sz w:val="18"/>
                <w:szCs w:val="18"/>
              </w:rPr>
            </w:pPr>
            <w:r>
              <w:rPr>
                <w:rFonts w:hint="eastAsia" w:ascii="宋体" w:hAnsi="宋体" w:eastAsia="宋体" w:cs="宋体"/>
                <w:color w:val="auto"/>
                <w:spacing w:val="-12"/>
                <w:kern w:val="0"/>
                <w:sz w:val="18"/>
                <w:szCs w:val="18"/>
              </w:rPr>
              <w:t>软件和信息技术服</w:t>
            </w:r>
            <w:r>
              <w:rPr>
                <w:rFonts w:hint="eastAsia" w:ascii="宋体" w:hAnsi="宋体" w:eastAsia="宋体" w:cs="宋体"/>
                <w:color w:val="auto"/>
                <w:kern w:val="0"/>
                <w:sz w:val="18"/>
                <w:szCs w:val="18"/>
              </w:rPr>
              <w:t>务业</w:t>
            </w:r>
          </w:p>
        </w:tc>
        <w:tc>
          <w:tcPr>
            <w:tcW w:w="1369" w:type="dxa"/>
            <w:noWrap w:val="0"/>
            <w:vAlign w:val="center"/>
          </w:tcPr>
          <w:p w14:paraId="192C047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5833C89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4AAC63A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0"/>
            <w:vAlign w:val="center"/>
          </w:tcPr>
          <w:p w14:paraId="65C9A598">
            <w:pPr>
              <w:widowControl/>
              <w:ind w:left="-4"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100≤X＜300 </w:t>
            </w:r>
          </w:p>
        </w:tc>
        <w:tc>
          <w:tcPr>
            <w:tcW w:w="1426" w:type="dxa"/>
            <w:noWrap w:val="0"/>
            <w:vAlign w:val="center"/>
          </w:tcPr>
          <w:p w14:paraId="78CBCD7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0"/>
            <w:vAlign w:val="center"/>
          </w:tcPr>
          <w:p w14:paraId="3830DCF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6837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24CE0EB5">
            <w:pPr>
              <w:widowControl/>
              <w:jc w:val="left"/>
              <w:rPr>
                <w:rFonts w:hint="eastAsia" w:ascii="宋体" w:hAnsi="宋体" w:eastAsia="宋体" w:cs="宋体"/>
                <w:color w:val="auto"/>
                <w:spacing w:val="-12"/>
                <w:kern w:val="0"/>
                <w:sz w:val="18"/>
                <w:szCs w:val="18"/>
              </w:rPr>
            </w:pPr>
          </w:p>
        </w:tc>
        <w:tc>
          <w:tcPr>
            <w:tcW w:w="1369" w:type="dxa"/>
            <w:noWrap w:val="0"/>
            <w:vAlign w:val="center"/>
          </w:tcPr>
          <w:p w14:paraId="0785EB6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18A1F59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3B9D9CB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Y≥10000</w:t>
            </w:r>
          </w:p>
        </w:tc>
        <w:tc>
          <w:tcPr>
            <w:tcW w:w="1701" w:type="dxa"/>
            <w:noWrap w:val="0"/>
            <w:vAlign w:val="center"/>
          </w:tcPr>
          <w:p w14:paraId="2A5B971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1000≤Y＜10000</w:t>
            </w:r>
          </w:p>
        </w:tc>
        <w:tc>
          <w:tcPr>
            <w:tcW w:w="1426" w:type="dxa"/>
            <w:noWrap w:val="0"/>
            <w:vAlign w:val="center"/>
          </w:tcPr>
          <w:p w14:paraId="07D2E53A">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50≤Y＜1000</w:t>
            </w:r>
          </w:p>
        </w:tc>
        <w:tc>
          <w:tcPr>
            <w:tcW w:w="992" w:type="dxa"/>
            <w:noWrap w:val="0"/>
            <w:vAlign w:val="center"/>
          </w:tcPr>
          <w:p w14:paraId="5E0EB265">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Y＜50</w:t>
            </w:r>
          </w:p>
        </w:tc>
      </w:tr>
      <w:tr w14:paraId="44CC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1C328615">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房地产开发经营</w:t>
            </w:r>
          </w:p>
        </w:tc>
        <w:tc>
          <w:tcPr>
            <w:tcW w:w="1369" w:type="dxa"/>
            <w:noWrap w:val="0"/>
            <w:vAlign w:val="center"/>
          </w:tcPr>
          <w:p w14:paraId="24A2CEE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7DC95165">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3D32179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Y≥200000</w:t>
            </w:r>
          </w:p>
        </w:tc>
        <w:tc>
          <w:tcPr>
            <w:tcW w:w="1701" w:type="dxa"/>
            <w:noWrap w:val="0"/>
            <w:vAlign w:val="center"/>
          </w:tcPr>
          <w:p w14:paraId="0A718FB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1000≤Y＜200000</w:t>
            </w:r>
          </w:p>
        </w:tc>
        <w:tc>
          <w:tcPr>
            <w:tcW w:w="1426" w:type="dxa"/>
            <w:noWrap w:val="0"/>
            <w:vAlign w:val="center"/>
          </w:tcPr>
          <w:p w14:paraId="0E1BF00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100≤Y＜1000</w:t>
            </w:r>
          </w:p>
        </w:tc>
        <w:tc>
          <w:tcPr>
            <w:tcW w:w="992" w:type="dxa"/>
            <w:noWrap w:val="0"/>
            <w:vAlign w:val="center"/>
          </w:tcPr>
          <w:p w14:paraId="2A7AFF7C">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4F1C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15F2DD72">
            <w:pPr>
              <w:widowControl/>
              <w:jc w:val="left"/>
              <w:rPr>
                <w:rFonts w:hint="eastAsia" w:ascii="宋体" w:hAnsi="宋体" w:eastAsia="宋体" w:cs="宋体"/>
                <w:color w:val="auto"/>
                <w:kern w:val="0"/>
                <w:sz w:val="18"/>
                <w:szCs w:val="18"/>
              </w:rPr>
            </w:pPr>
          </w:p>
        </w:tc>
        <w:tc>
          <w:tcPr>
            <w:tcW w:w="1369" w:type="dxa"/>
            <w:noWrap w:val="0"/>
            <w:vAlign w:val="center"/>
          </w:tcPr>
          <w:p w14:paraId="0C53BF24">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资产总额（Z）</w:t>
            </w:r>
          </w:p>
        </w:tc>
        <w:tc>
          <w:tcPr>
            <w:tcW w:w="709" w:type="dxa"/>
            <w:noWrap w:val="0"/>
            <w:vAlign w:val="center"/>
          </w:tcPr>
          <w:p w14:paraId="60A0C48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3D5CA69C">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Z≥10000</w:t>
            </w:r>
          </w:p>
        </w:tc>
        <w:tc>
          <w:tcPr>
            <w:tcW w:w="1701" w:type="dxa"/>
            <w:noWrap w:val="0"/>
            <w:vAlign w:val="center"/>
          </w:tcPr>
          <w:p w14:paraId="5AB058FC">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5000≤Z＜10000</w:t>
            </w:r>
          </w:p>
        </w:tc>
        <w:tc>
          <w:tcPr>
            <w:tcW w:w="1426" w:type="dxa"/>
            <w:noWrap w:val="0"/>
            <w:vAlign w:val="center"/>
          </w:tcPr>
          <w:p w14:paraId="299205E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2000≤Z＜5000</w:t>
            </w:r>
          </w:p>
        </w:tc>
        <w:tc>
          <w:tcPr>
            <w:tcW w:w="992" w:type="dxa"/>
            <w:noWrap w:val="0"/>
            <w:vAlign w:val="center"/>
          </w:tcPr>
          <w:p w14:paraId="177672F4">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Z＜2000</w:t>
            </w:r>
          </w:p>
        </w:tc>
      </w:tr>
      <w:tr w14:paraId="37A1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3F2087E7">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物业管理</w:t>
            </w:r>
          </w:p>
        </w:tc>
        <w:tc>
          <w:tcPr>
            <w:tcW w:w="1369" w:type="dxa"/>
            <w:noWrap w:val="0"/>
            <w:vAlign w:val="center"/>
          </w:tcPr>
          <w:p w14:paraId="3D056609">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485390FA">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20CEEE5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701" w:type="dxa"/>
            <w:noWrap w:val="0"/>
            <w:vAlign w:val="center"/>
          </w:tcPr>
          <w:p w14:paraId="1A5E77DC">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426" w:type="dxa"/>
            <w:noWrap w:val="0"/>
            <w:vAlign w:val="center"/>
          </w:tcPr>
          <w:p w14:paraId="13D0A9A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100≤X＜300</w:t>
            </w:r>
          </w:p>
        </w:tc>
        <w:tc>
          <w:tcPr>
            <w:tcW w:w="992" w:type="dxa"/>
            <w:noWrap w:val="0"/>
            <w:vAlign w:val="center"/>
          </w:tcPr>
          <w:p w14:paraId="40BF5D62">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w:t>
            </w:r>
          </w:p>
        </w:tc>
      </w:tr>
      <w:tr w14:paraId="0A80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7513276E">
            <w:pPr>
              <w:widowControl/>
              <w:jc w:val="left"/>
              <w:rPr>
                <w:rFonts w:hint="eastAsia" w:ascii="宋体" w:hAnsi="宋体" w:eastAsia="宋体" w:cs="宋体"/>
                <w:color w:val="auto"/>
                <w:kern w:val="0"/>
                <w:sz w:val="18"/>
                <w:szCs w:val="18"/>
              </w:rPr>
            </w:pPr>
          </w:p>
        </w:tc>
        <w:tc>
          <w:tcPr>
            <w:tcW w:w="1369" w:type="dxa"/>
            <w:noWrap w:val="0"/>
            <w:vAlign w:val="center"/>
          </w:tcPr>
          <w:p w14:paraId="569ADE4F">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noWrap w:val="0"/>
            <w:vAlign w:val="center"/>
          </w:tcPr>
          <w:p w14:paraId="0FF49B0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023E7B0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Y≥5000</w:t>
            </w:r>
          </w:p>
        </w:tc>
        <w:tc>
          <w:tcPr>
            <w:tcW w:w="1701" w:type="dxa"/>
            <w:noWrap w:val="0"/>
            <w:vAlign w:val="center"/>
          </w:tcPr>
          <w:p w14:paraId="60D7C82D">
            <w:pPr>
              <w:widowControl/>
              <w:ind w:left="-4"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1000≤Y＜5000</w:t>
            </w:r>
          </w:p>
        </w:tc>
        <w:tc>
          <w:tcPr>
            <w:tcW w:w="1426" w:type="dxa"/>
            <w:noWrap w:val="0"/>
            <w:vAlign w:val="center"/>
          </w:tcPr>
          <w:p w14:paraId="3496B77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500≤Y＜1000</w:t>
            </w:r>
          </w:p>
        </w:tc>
        <w:tc>
          <w:tcPr>
            <w:tcW w:w="992" w:type="dxa"/>
            <w:noWrap w:val="0"/>
            <w:vAlign w:val="center"/>
          </w:tcPr>
          <w:p w14:paraId="51606B7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Y＜500</w:t>
            </w:r>
          </w:p>
        </w:tc>
      </w:tr>
      <w:tr w14:paraId="180E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23F03F1B">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租赁和商务服务业</w:t>
            </w:r>
          </w:p>
        </w:tc>
        <w:tc>
          <w:tcPr>
            <w:tcW w:w="1369" w:type="dxa"/>
            <w:noWrap w:val="0"/>
            <w:vAlign w:val="center"/>
          </w:tcPr>
          <w:p w14:paraId="613DFEC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4791FBD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280D3F4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0"/>
            <w:vAlign w:val="center"/>
          </w:tcPr>
          <w:p w14:paraId="096112A5">
            <w:pPr>
              <w:widowControl/>
              <w:ind w:left="-4"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100≤X＜300</w:t>
            </w:r>
          </w:p>
        </w:tc>
        <w:tc>
          <w:tcPr>
            <w:tcW w:w="1426" w:type="dxa"/>
            <w:noWrap w:val="0"/>
            <w:vAlign w:val="center"/>
          </w:tcPr>
          <w:p w14:paraId="1CDE670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0"/>
            <w:vAlign w:val="center"/>
          </w:tcPr>
          <w:p w14:paraId="22A874B9">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6603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07E6463F">
            <w:pPr>
              <w:widowControl/>
              <w:jc w:val="left"/>
              <w:rPr>
                <w:rFonts w:hint="eastAsia" w:ascii="宋体" w:hAnsi="宋体" w:eastAsia="宋体" w:cs="宋体"/>
                <w:color w:val="auto"/>
                <w:kern w:val="0"/>
                <w:sz w:val="18"/>
                <w:szCs w:val="18"/>
              </w:rPr>
            </w:pPr>
          </w:p>
        </w:tc>
        <w:tc>
          <w:tcPr>
            <w:tcW w:w="1369" w:type="dxa"/>
            <w:noWrap w:val="0"/>
            <w:vAlign w:val="center"/>
          </w:tcPr>
          <w:p w14:paraId="549550EC">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资产总额（Z）</w:t>
            </w:r>
          </w:p>
        </w:tc>
        <w:tc>
          <w:tcPr>
            <w:tcW w:w="709" w:type="dxa"/>
            <w:noWrap w:val="0"/>
            <w:vAlign w:val="center"/>
          </w:tcPr>
          <w:p w14:paraId="135D5DB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noWrap w:val="0"/>
            <w:vAlign w:val="center"/>
          </w:tcPr>
          <w:p w14:paraId="10CF95A4">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Z≥120000</w:t>
            </w:r>
          </w:p>
        </w:tc>
        <w:tc>
          <w:tcPr>
            <w:tcW w:w="1701" w:type="dxa"/>
            <w:noWrap w:val="0"/>
            <w:vAlign w:val="center"/>
          </w:tcPr>
          <w:p w14:paraId="1796B0DA">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8000≤Z＜120000</w:t>
            </w:r>
          </w:p>
        </w:tc>
        <w:tc>
          <w:tcPr>
            <w:tcW w:w="1426" w:type="dxa"/>
            <w:noWrap w:val="0"/>
            <w:vAlign w:val="center"/>
          </w:tcPr>
          <w:p w14:paraId="53CD4EE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100≤Z＜8000</w:t>
            </w:r>
          </w:p>
        </w:tc>
        <w:tc>
          <w:tcPr>
            <w:tcW w:w="992" w:type="dxa"/>
            <w:noWrap w:val="0"/>
            <w:vAlign w:val="center"/>
          </w:tcPr>
          <w:p w14:paraId="77F77609">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Z＜100</w:t>
            </w:r>
          </w:p>
        </w:tc>
      </w:tr>
      <w:tr w14:paraId="6DF2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041074C0">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其他未列明行业 *</w:t>
            </w:r>
          </w:p>
        </w:tc>
        <w:tc>
          <w:tcPr>
            <w:tcW w:w="1369" w:type="dxa"/>
            <w:noWrap w:val="0"/>
            <w:vAlign w:val="center"/>
          </w:tcPr>
          <w:p w14:paraId="123AE1E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noWrap w:val="0"/>
            <w:vAlign w:val="center"/>
          </w:tcPr>
          <w:p w14:paraId="3A4CA4F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noWrap w:val="0"/>
            <w:vAlign w:val="center"/>
          </w:tcPr>
          <w:p w14:paraId="6DCF97D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noWrap w:val="0"/>
            <w:vAlign w:val="center"/>
          </w:tcPr>
          <w:p w14:paraId="7C22BC1A">
            <w:pPr>
              <w:widowControl/>
              <w:ind w:left="-4"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100≤X＜300</w:t>
            </w:r>
          </w:p>
        </w:tc>
        <w:tc>
          <w:tcPr>
            <w:tcW w:w="1426" w:type="dxa"/>
            <w:noWrap w:val="0"/>
            <w:vAlign w:val="center"/>
          </w:tcPr>
          <w:p w14:paraId="2A79987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992" w:type="dxa"/>
            <w:noWrap w:val="0"/>
            <w:vAlign w:val="center"/>
          </w:tcPr>
          <w:p w14:paraId="70FA9CE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bl>
    <w:p w14:paraId="7608E722">
      <w:pPr>
        <w:pStyle w:val="13"/>
        <w:adjustRightInd w:val="0"/>
        <w:spacing w:line="380" w:lineRule="exact"/>
        <w:ind w:firstLine="452" w:firstLineChars="200"/>
        <w:contextualSpacing/>
        <w:rPr>
          <w:rFonts w:hint="eastAsia" w:ascii="宋体" w:hAnsi="宋体" w:eastAsia="宋体" w:cs="宋体"/>
          <w:color w:val="auto"/>
          <w:spacing w:val="8"/>
          <w:szCs w:val="21"/>
        </w:rPr>
      </w:pPr>
    </w:p>
    <w:p w14:paraId="3F59E6FC">
      <w:pPr>
        <w:pStyle w:val="13"/>
        <w:adjustRightInd w:val="0"/>
        <w:spacing w:line="380" w:lineRule="exact"/>
        <w:contextualSpacing/>
        <w:rPr>
          <w:rFonts w:hint="eastAsia" w:ascii="宋体" w:hAnsi="宋体" w:eastAsia="宋体" w:cs="宋体"/>
          <w:color w:val="auto"/>
          <w:spacing w:val="8"/>
          <w:szCs w:val="21"/>
        </w:rPr>
      </w:pPr>
    </w:p>
    <w:p w14:paraId="303ED04D">
      <w:pPr>
        <w:pStyle w:val="13"/>
        <w:adjustRightInd w:val="0"/>
        <w:spacing w:line="380" w:lineRule="exact"/>
        <w:contextualSpacing/>
        <w:rPr>
          <w:rFonts w:hint="eastAsia" w:ascii="宋体" w:hAnsi="宋体" w:eastAsia="宋体" w:cs="宋体"/>
          <w:color w:val="auto"/>
          <w:spacing w:val="8"/>
          <w:szCs w:val="21"/>
        </w:rPr>
      </w:pPr>
    </w:p>
    <w:p w14:paraId="4880A61D">
      <w:pPr>
        <w:pStyle w:val="13"/>
        <w:adjustRightInd w:val="0"/>
        <w:spacing w:line="380" w:lineRule="exact"/>
        <w:ind w:firstLine="452" w:firstLineChars="200"/>
        <w:contextualSpacing/>
        <w:rPr>
          <w:rFonts w:hint="eastAsia" w:ascii="宋体" w:hAnsi="宋体" w:eastAsia="宋体" w:cs="宋体"/>
          <w:color w:val="auto"/>
          <w:spacing w:val="8"/>
          <w:szCs w:val="21"/>
        </w:rPr>
      </w:pPr>
      <w:r>
        <w:rPr>
          <w:rFonts w:hint="eastAsia" w:ascii="宋体" w:hAnsi="宋体" w:eastAsia="宋体" w:cs="宋体"/>
          <w:color w:val="auto"/>
          <w:spacing w:val="8"/>
          <w:szCs w:val="21"/>
        </w:rPr>
        <w:t>1.大型、中型和小型企业须同时满足所列指标的下限，否则下划一档；微型企业只须满足所列指标中的一项即可。</w:t>
      </w:r>
    </w:p>
    <w:p w14:paraId="509502AE">
      <w:pPr>
        <w:pStyle w:val="13"/>
        <w:adjustRightInd w:val="0"/>
        <w:spacing w:line="380" w:lineRule="exact"/>
        <w:ind w:firstLine="452" w:firstLineChars="200"/>
        <w:contextualSpacing/>
        <w:rPr>
          <w:rFonts w:hint="eastAsia" w:ascii="宋体" w:hAnsi="宋体" w:eastAsia="宋体" w:cs="宋体"/>
          <w:color w:val="auto"/>
          <w:spacing w:val="8"/>
          <w:szCs w:val="21"/>
        </w:rPr>
      </w:pPr>
      <w:r>
        <w:rPr>
          <w:rFonts w:hint="eastAsia" w:ascii="宋体" w:hAnsi="宋体" w:eastAsia="宋体" w:cs="宋体"/>
          <w:color w:val="auto"/>
          <w:spacing w:val="8"/>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CCBC7F8">
      <w:pPr>
        <w:pStyle w:val="13"/>
        <w:spacing w:line="380" w:lineRule="exact"/>
        <w:ind w:firstLine="452" w:firstLineChars="200"/>
        <w:rPr>
          <w:rFonts w:hint="eastAsia" w:ascii="宋体" w:hAnsi="宋体" w:eastAsia="宋体" w:cs="宋体"/>
          <w:color w:val="auto"/>
          <w:szCs w:val="21"/>
        </w:rPr>
      </w:pPr>
      <w:r>
        <w:rPr>
          <w:rFonts w:hint="eastAsia" w:ascii="宋体" w:hAnsi="宋体" w:eastAsia="宋体" w:cs="宋体"/>
          <w:color w:val="auto"/>
          <w:spacing w:val="8"/>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23FC6EEF">
      <w:pPr>
        <w:pStyle w:val="13"/>
        <w:spacing w:line="500" w:lineRule="exact"/>
        <w:rPr>
          <w:rFonts w:hint="eastAsia" w:ascii="宋体" w:hAnsi="宋体" w:eastAsia="宋体" w:cs="宋体"/>
          <w:b/>
          <w:color w:val="auto"/>
          <w:sz w:val="28"/>
          <w:szCs w:val="28"/>
        </w:rPr>
      </w:pPr>
    </w:p>
    <w:p w14:paraId="232250EF">
      <w:pPr>
        <w:snapToGrid w:val="0"/>
        <w:spacing w:line="400" w:lineRule="exact"/>
        <w:ind w:firstLine="552" w:firstLineChars="250"/>
        <w:outlineLvl w:val="9"/>
        <w:rPr>
          <w:rFonts w:hint="eastAsia" w:ascii="宋体" w:hAnsi="宋体" w:eastAsia="宋体" w:cs="宋体"/>
          <w:b/>
          <w:color w:val="auto"/>
          <w:kern w:val="0"/>
          <w:szCs w:val="21"/>
        </w:rPr>
      </w:pPr>
    </w:p>
    <w:p w14:paraId="464C6248">
      <w:pPr>
        <w:pStyle w:val="23"/>
        <w:rPr>
          <w:rFonts w:hint="eastAsia" w:ascii="宋体" w:hAnsi="宋体" w:eastAsia="宋体" w:cs="宋体"/>
          <w:b/>
          <w:color w:val="auto"/>
          <w:kern w:val="0"/>
          <w:szCs w:val="21"/>
        </w:rPr>
      </w:pPr>
    </w:p>
    <w:p w14:paraId="2AE2124D">
      <w:pPr>
        <w:rPr>
          <w:rFonts w:hint="eastAsia" w:ascii="宋体" w:hAnsi="宋体" w:eastAsia="宋体" w:cs="宋体"/>
          <w:b/>
          <w:color w:val="auto"/>
          <w:kern w:val="0"/>
          <w:szCs w:val="21"/>
        </w:rPr>
      </w:pPr>
    </w:p>
    <w:p w14:paraId="2F4EEA17">
      <w:pPr>
        <w:pStyle w:val="23"/>
        <w:rPr>
          <w:rFonts w:hint="eastAsia" w:ascii="宋体" w:hAnsi="宋体" w:eastAsia="宋体" w:cs="宋体"/>
          <w:b/>
          <w:color w:val="auto"/>
          <w:kern w:val="0"/>
          <w:szCs w:val="21"/>
        </w:rPr>
      </w:pPr>
    </w:p>
    <w:p w14:paraId="5D6E7BCB">
      <w:pPr>
        <w:rPr>
          <w:rFonts w:hint="eastAsia" w:ascii="宋体" w:hAnsi="宋体" w:eastAsia="宋体" w:cs="宋体"/>
          <w:b/>
          <w:color w:val="auto"/>
          <w:kern w:val="0"/>
          <w:szCs w:val="21"/>
        </w:rPr>
      </w:pPr>
    </w:p>
    <w:p w14:paraId="1C096D85">
      <w:pPr>
        <w:pStyle w:val="23"/>
        <w:rPr>
          <w:rFonts w:hint="eastAsia" w:ascii="宋体" w:hAnsi="宋体" w:eastAsia="宋体" w:cs="宋体"/>
          <w:b/>
          <w:color w:val="auto"/>
          <w:kern w:val="0"/>
          <w:szCs w:val="21"/>
        </w:rPr>
      </w:pPr>
    </w:p>
    <w:p w14:paraId="67907CBF">
      <w:pPr>
        <w:rPr>
          <w:rFonts w:hint="eastAsia" w:ascii="宋体" w:hAnsi="宋体" w:eastAsia="宋体" w:cs="宋体"/>
          <w:b/>
          <w:color w:val="auto"/>
          <w:kern w:val="0"/>
          <w:szCs w:val="21"/>
        </w:rPr>
      </w:pPr>
    </w:p>
    <w:p w14:paraId="7E1F6C2E">
      <w:pPr>
        <w:pStyle w:val="23"/>
        <w:rPr>
          <w:rFonts w:hint="eastAsia" w:ascii="宋体" w:hAnsi="宋体" w:eastAsia="宋体" w:cs="宋体"/>
          <w:b/>
          <w:color w:val="auto"/>
          <w:kern w:val="0"/>
          <w:szCs w:val="21"/>
        </w:rPr>
      </w:pPr>
    </w:p>
    <w:p w14:paraId="7264D945">
      <w:pPr>
        <w:rPr>
          <w:rFonts w:hint="eastAsia"/>
          <w:color w:val="auto"/>
        </w:rPr>
      </w:pPr>
    </w:p>
    <w:p w14:paraId="216B2501">
      <w:pPr>
        <w:rPr>
          <w:rFonts w:hint="eastAsia"/>
          <w:color w:val="auto"/>
        </w:rPr>
      </w:pPr>
    </w:p>
    <w:p w14:paraId="14EE6244">
      <w:pPr>
        <w:snapToGrid w:val="0"/>
        <w:spacing w:line="400" w:lineRule="exact"/>
        <w:outlineLvl w:val="4"/>
        <w:rPr>
          <w:rFonts w:hint="eastAsia" w:ascii="宋体" w:hAnsi="宋体" w:eastAsia="宋体" w:cs="宋体"/>
          <w:color w:val="auto"/>
          <w:spacing w:val="6"/>
          <w:sz w:val="30"/>
          <w:szCs w:val="30"/>
        </w:rPr>
      </w:pPr>
      <w:r>
        <w:rPr>
          <w:rFonts w:hint="eastAsia" w:ascii="宋体" w:hAnsi="宋体" w:eastAsia="宋体" w:cs="宋体"/>
          <w:b/>
          <w:bCs/>
          <w:color w:val="auto"/>
          <w:sz w:val="32"/>
          <w:szCs w:val="32"/>
          <w:lang w:val="en-US" w:eastAsia="zh-CN"/>
        </w:rPr>
        <w:t>9</w:t>
      </w:r>
      <w:r>
        <w:rPr>
          <w:rFonts w:hint="eastAsia" w:ascii="宋体" w:hAnsi="宋体" w:eastAsia="宋体" w:cs="宋体"/>
          <w:b/>
          <w:bCs/>
          <w:color w:val="auto"/>
          <w:sz w:val="32"/>
          <w:szCs w:val="32"/>
        </w:rPr>
        <w:t>.</w:t>
      </w:r>
      <w:bookmarkStart w:id="69" w:name="OLE_LINK13"/>
      <w:bookmarkStart w:id="70" w:name="OLE_LINK14"/>
      <w:r>
        <w:rPr>
          <w:rFonts w:hint="eastAsia" w:ascii="宋体" w:hAnsi="宋体" w:eastAsia="宋体" w:cs="宋体"/>
          <w:color w:val="auto"/>
        </w:rPr>
        <w:t xml:space="preserve"> </w:t>
      </w:r>
      <w:r>
        <w:rPr>
          <w:rFonts w:hint="eastAsia" w:ascii="宋体" w:hAnsi="宋体" w:eastAsia="宋体" w:cs="宋体"/>
          <w:b/>
          <w:bCs/>
          <w:color w:val="auto"/>
          <w:sz w:val="32"/>
          <w:szCs w:val="32"/>
        </w:rPr>
        <w:t>符合条件的残疾人福利性单位在参加政府采购活动时，提供《残疾人福利性单位声明函》，并对声明的真实性负责（如有，请提供）；</w:t>
      </w:r>
      <w:r>
        <w:rPr>
          <w:rFonts w:hint="eastAsia" w:ascii="宋体" w:hAnsi="宋体" w:eastAsia="宋体" w:cs="宋体"/>
          <w:color w:val="auto"/>
          <w:spacing w:val="6"/>
          <w:sz w:val="30"/>
          <w:szCs w:val="30"/>
        </w:rPr>
        <w:t xml:space="preserve">   </w:t>
      </w:r>
    </w:p>
    <w:p w14:paraId="44C383AB">
      <w:pPr>
        <w:spacing w:line="588" w:lineRule="exact"/>
        <w:jc w:val="left"/>
        <w:outlineLvl w:val="9"/>
        <w:rPr>
          <w:rFonts w:hint="eastAsia" w:ascii="宋体" w:hAnsi="宋体" w:eastAsia="宋体" w:cs="宋体"/>
          <w:b/>
          <w:color w:val="auto"/>
          <w:spacing w:val="6"/>
          <w:sz w:val="30"/>
          <w:szCs w:val="30"/>
        </w:rPr>
      </w:pPr>
      <w:r>
        <w:rPr>
          <w:rFonts w:hint="eastAsia" w:ascii="宋体" w:hAnsi="宋体" w:eastAsia="宋体" w:cs="宋体"/>
          <w:color w:val="auto"/>
          <w:spacing w:val="6"/>
          <w:sz w:val="30"/>
          <w:szCs w:val="30"/>
        </w:rPr>
        <w:t xml:space="preserve"> </w:t>
      </w:r>
      <w:r>
        <w:rPr>
          <w:rFonts w:hint="eastAsia" w:ascii="宋体" w:hAnsi="宋体" w:eastAsia="宋体" w:cs="宋体"/>
          <w:b/>
          <w:color w:val="auto"/>
          <w:spacing w:val="6"/>
          <w:sz w:val="30"/>
          <w:szCs w:val="30"/>
        </w:rPr>
        <w:t>附件</w:t>
      </w:r>
    </w:p>
    <w:p w14:paraId="020B7E91">
      <w:pPr>
        <w:spacing w:line="588" w:lineRule="exact"/>
        <w:jc w:val="center"/>
        <w:rPr>
          <w:rFonts w:hint="eastAsia" w:ascii="宋体" w:hAnsi="宋体" w:eastAsia="宋体" w:cs="宋体"/>
          <w:b/>
          <w:color w:val="auto"/>
          <w:spacing w:val="6"/>
          <w:sz w:val="32"/>
          <w:szCs w:val="32"/>
        </w:rPr>
      </w:pPr>
      <w:r>
        <w:rPr>
          <w:rFonts w:hint="eastAsia" w:ascii="宋体" w:hAnsi="宋体" w:eastAsia="宋体" w:cs="宋体"/>
          <w:b/>
          <w:color w:val="auto"/>
          <w:spacing w:val="6"/>
          <w:sz w:val="32"/>
          <w:szCs w:val="32"/>
        </w:rPr>
        <w:t>残疾人福利性单位声明函</w:t>
      </w:r>
      <w:bookmarkEnd w:id="69"/>
      <w:bookmarkEnd w:id="70"/>
    </w:p>
    <w:p w14:paraId="489B6EB4">
      <w:pPr>
        <w:spacing w:line="588" w:lineRule="exact"/>
        <w:ind w:firstLine="464" w:firstLineChars="200"/>
        <w:rPr>
          <w:rFonts w:hint="eastAsia" w:ascii="宋体" w:hAnsi="宋体" w:eastAsia="宋体" w:cs="宋体"/>
          <w:color w:val="auto"/>
          <w:spacing w:val="6"/>
          <w:szCs w:val="21"/>
        </w:rPr>
      </w:pPr>
      <w:r>
        <w:rPr>
          <w:rFonts w:hint="eastAsia" w:ascii="宋体" w:hAnsi="宋体" w:eastAsia="宋体" w:cs="宋体"/>
          <w:color w:val="auto"/>
          <w:spacing w:val="6"/>
          <w:szCs w:val="21"/>
        </w:rPr>
        <w:t>本单位郑重声明，根据《财政部 民政部 中国残疾人联合会关于促进残疾人就业政府采购政策的通知》（财库</w:t>
      </w:r>
      <w:r>
        <w:rPr>
          <w:rFonts w:hint="eastAsia" w:ascii="宋体" w:hAnsi="宋体" w:eastAsia="宋体" w:cs="宋体"/>
          <w:color w:val="auto"/>
          <w:szCs w:val="21"/>
        </w:rPr>
        <w:t>〔2017〕 141</w:t>
      </w:r>
      <w:r>
        <w:rPr>
          <w:rFonts w:hint="eastAsia" w:ascii="宋体" w:hAnsi="宋体" w:eastAsia="宋体" w:cs="宋体"/>
          <w:color w:val="auto"/>
          <w:spacing w:val="6"/>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C695057">
      <w:pPr>
        <w:spacing w:line="588" w:lineRule="exact"/>
        <w:ind w:firstLine="464" w:firstLineChars="200"/>
        <w:rPr>
          <w:rFonts w:hint="eastAsia" w:ascii="宋体" w:hAnsi="宋体" w:eastAsia="宋体" w:cs="宋体"/>
          <w:color w:val="auto"/>
          <w:spacing w:val="6"/>
          <w:szCs w:val="21"/>
        </w:rPr>
      </w:pPr>
      <w:r>
        <w:rPr>
          <w:rFonts w:hint="eastAsia" w:ascii="宋体" w:hAnsi="宋体" w:eastAsia="宋体" w:cs="宋体"/>
          <w:color w:val="auto"/>
          <w:spacing w:val="6"/>
          <w:szCs w:val="21"/>
        </w:rPr>
        <w:t>本单位对上述声明的真实性负责。如有虚假，将依法承担相应责任。</w:t>
      </w:r>
    </w:p>
    <w:p w14:paraId="2EE2EEF2">
      <w:pPr>
        <w:spacing w:line="588" w:lineRule="exact"/>
        <w:ind w:firstLine="464" w:firstLineChars="200"/>
        <w:rPr>
          <w:rFonts w:hint="eastAsia" w:ascii="宋体" w:hAnsi="宋体" w:eastAsia="宋体" w:cs="宋体"/>
          <w:color w:val="auto"/>
          <w:spacing w:val="6"/>
          <w:szCs w:val="21"/>
        </w:rPr>
      </w:pPr>
    </w:p>
    <w:p w14:paraId="0EA6F781">
      <w:pPr>
        <w:spacing w:line="588" w:lineRule="exact"/>
        <w:ind w:firstLine="464" w:firstLineChars="200"/>
        <w:rPr>
          <w:rFonts w:hint="eastAsia" w:ascii="宋体" w:hAnsi="宋体" w:eastAsia="宋体" w:cs="宋体"/>
          <w:color w:val="auto"/>
          <w:spacing w:val="6"/>
          <w:szCs w:val="21"/>
        </w:rPr>
      </w:pPr>
    </w:p>
    <w:p w14:paraId="6555BFC8">
      <w:pPr>
        <w:tabs>
          <w:tab w:val="left" w:pos="4860"/>
        </w:tabs>
        <w:spacing w:line="588" w:lineRule="exact"/>
        <w:ind w:right="1560" w:firstLine="464" w:firstLineChars="200"/>
        <w:jc w:val="center"/>
        <w:outlineLvl w:val="9"/>
        <w:rPr>
          <w:rFonts w:hint="eastAsia" w:ascii="宋体" w:hAnsi="宋体" w:eastAsia="宋体" w:cs="宋体"/>
          <w:color w:val="auto"/>
          <w:spacing w:val="6"/>
          <w:szCs w:val="21"/>
        </w:rPr>
      </w:pPr>
      <w:r>
        <w:rPr>
          <w:rFonts w:hint="eastAsia" w:ascii="宋体" w:hAnsi="宋体" w:eastAsia="宋体" w:cs="宋体"/>
          <w:color w:val="auto"/>
          <w:spacing w:val="6"/>
          <w:szCs w:val="21"/>
        </w:rPr>
        <w:t>单位名称【盖公章（CA签章）】：</w:t>
      </w:r>
    </w:p>
    <w:p w14:paraId="5F944110">
      <w:pPr>
        <w:tabs>
          <w:tab w:val="left" w:pos="4860"/>
        </w:tabs>
        <w:spacing w:line="588" w:lineRule="exact"/>
        <w:ind w:right="1560" w:firstLine="464" w:firstLineChars="200"/>
        <w:jc w:val="center"/>
        <w:outlineLvl w:val="9"/>
        <w:rPr>
          <w:rFonts w:hint="eastAsia" w:ascii="宋体" w:hAnsi="宋体" w:eastAsia="宋体" w:cs="宋体"/>
          <w:color w:val="auto"/>
          <w:spacing w:val="6"/>
          <w:szCs w:val="21"/>
        </w:rPr>
      </w:pPr>
      <w:r>
        <w:rPr>
          <w:rFonts w:hint="eastAsia" w:ascii="宋体" w:hAnsi="宋体" w:eastAsia="宋体" w:cs="宋体"/>
          <w:color w:val="auto"/>
          <w:spacing w:val="6"/>
          <w:szCs w:val="21"/>
        </w:rPr>
        <w:t>日  期：</w:t>
      </w:r>
    </w:p>
    <w:p w14:paraId="27BF7545">
      <w:pPr>
        <w:pStyle w:val="23"/>
        <w:rPr>
          <w:rFonts w:hint="eastAsia"/>
          <w:color w:val="auto"/>
        </w:rPr>
      </w:pPr>
    </w:p>
    <w:p w14:paraId="3F475FEA">
      <w:pPr>
        <w:rPr>
          <w:rFonts w:hint="eastAsia"/>
          <w:color w:val="auto"/>
        </w:rPr>
      </w:pPr>
    </w:p>
    <w:p w14:paraId="344E7E67">
      <w:pPr>
        <w:tabs>
          <w:tab w:val="left" w:pos="1305"/>
        </w:tabs>
        <w:spacing w:line="380" w:lineRule="exact"/>
        <w:ind w:firstLine="643" w:firstLineChars="200"/>
        <w:rPr>
          <w:rFonts w:hint="eastAsia" w:ascii="宋体" w:hAnsi="宋体" w:eastAsia="宋体" w:cs="宋体"/>
          <w:b/>
          <w:bCs/>
          <w:color w:val="auto"/>
          <w:sz w:val="32"/>
          <w:szCs w:val="20"/>
          <w:highlight w:val="none"/>
        </w:rPr>
      </w:pPr>
      <w:r>
        <w:rPr>
          <w:rFonts w:hint="eastAsia" w:ascii="宋体" w:hAnsi="宋体" w:eastAsia="宋体" w:cs="宋体"/>
          <w:b/>
          <w:bCs/>
          <w:color w:val="auto"/>
          <w:sz w:val="32"/>
          <w:szCs w:val="20"/>
          <w:highlight w:val="none"/>
          <w:lang w:val="en-US" w:eastAsia="zh-CN"/>
        </w:rPr>
        <w:t>10</w:t>
      </w:r>
      <w:r>
        <w:rPr>
          <w:rFonts w:hint="eastAsia" w:ascii="宋体" w:hAnsi="宋体" w:eastAsia="宋体" w:cs="宋体"/>
          <w:b/>
          <w:bCs/>
          <w:color w:val="auto"/>
          <w:sz w:val="32"/>
          <w:szCs w:val="20"/>
          <w:highlight w:val="none"/>
        </w:rPr>
        <w:t>.投标人可结合本项目的评标办法视自身情况自行提交相关证明材料（如有，请提供）。</w:t>
      </w:r>
    </w:p>
    <w:p w14:paraId="643B2933">
      <w:pPr>
        <w:pStyle w:val="2"/>
        <w:ind w:left="0" w:leftChars="0" w:firstLine="0" w:firstLineChars="0"/>
        <w:rPr>
          <w:rFonts w:hint="eastAsia" w:ascii="宋体" w:hAnsi="宋体" w:eastAsia="宋体" w:cs="宋体"/>
          <w:color w:val="auto"/>
          <w:highlight w:val="none"/>
        </w:rPr>
      </w:pPr>
    </w:p>
    <w:p w14:paraId="29ADC9E6">
      <w:pPr>
        <w:rPr>
          <w:rFonts w:hint="eastAsia" w:ascii="宋体" w:hAnsi="宋体" w:eastAsia="宋体" w:cs="宋体"/>
          <w:color w:val="auto"/>
          <w:highlight w:val="none"/>
        </w:rPr>
      </w:pPr>
    </w:p>
    <w:p w14:paraId="3A75F25C">
      <w:pPr>
        <w:pStyle w:val="13"/>
        <w:rPr>
          <w:rFonts w:hint="eastAsia" w:ascii="宋体" w:hAnsi="宋体" w:eastAsia="宋体" w:cs="宋体"/>
          <w:b/>
          <w:color w:val="auto"/>
          <w:sz w:val="32"/>
          <w:szCs w:val="32"/>
          <w:highlight w:val="none"/>
        </w:rPr>
      </w:pPr>
    </w:p>
    <w:p w14:paraId="342AA084">
      <w:pPr>
        <w:pStyle w:val="13"/>
        <w:rPr>
          <w:rFonts w:hint="eastAsia" w:ascii="宋体" w:hAnsi="宋体" w:eastAsia="宋体" w:cs="宋体"/>
          <w:b/>
          <w:color w:val="auto"/>
          <w:sz w:val="32"/>
          <w:szCs w:val="32"/>
          <w:highlight w:val="none"/>
        </w:rPr>
      </w:pPr>
    </w:p>
    <w:p w14:paraId="453EE813">
      <w:pPr>
        <w:pStyle w:val="7"/>
        <w:rPr>
          <w:rFonts w:hint="eastAsia" w:ascii="宋体" w:hAnsi="宋体" w:eastAsia="宋体" w:cs="宋体"/>
          <w:b/>
          <w:color w:val="auto"/>
          <w:sz w:val="32"/>
          <w:szCs w:val="32"/>
          <w:highlight w:val="none"/>
        </w:rPr>
      </w:pPr>
    </w:p>
    <w:p w14:paraId="7264772B">
      <w:pPr>
        <w:rPr>
          <w:rFonts w:hint="eastAsia"/>
          <w:color w:val="auto"/>
        </w:rPr>
      </w:pPr>
    </w:p>
    <w:p w14:paraId="20B5A5D1">
      <w:pPr>
        <w:pStyle w:val="13"/>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附件1：</w:t>
      </w:r>
    </w:p>
    <w:p w14:paraId="4603A1C8">
      <w:pPr>
        <w:jc w:val="center"/>
        <w:rPr>
          <w:rFonts w:hint="eastAsia" w:ascii="宋体" w:hAnsi="宋体" w:eastAsia="宋体" w:cs="宋体"/>
          <w:b/>
          <w:bCs/>
          <w:color w:val="auto"/>
          <w:sz w:val="24"/>
          <w:highlight w:val="none"/>
        </w:rPr>
      </w:pPr>
    </w:p>
    <w:p w14:paraId="07F95FFE">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质疑函范本</w:t>
      </w:r>
    </w:p>
    <w:p w14:paraId="496BD816">
      <w:pPr>
        <w:adjustRightInd w:val="0"/>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332AAB3D">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14:paraId="18B16FFF">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64665E90">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400571CC">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14:paraId="498FFCD4">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3F77F785">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603990FB">
      <w:pPr>
        <w:adjustRightInd w:val="0"/>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54A8D6DF">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14:paraId="0518E817">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31E3C0EB">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14:paraId="7629C812">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14:paraId="59663335">
      <w:pPr>
        <w:adjustRightInd w:val="0"/>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7D8A6B8C">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14:paraId="2C39F2CF">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5CDA48F0">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14:paraId="58415A89">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0747593E">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365D682B">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3552205C">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5FAC5564">
      <w:pPr>
        <w:adjustRightInd w:val="0"/>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18D36647">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14:paraId="02199F47">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5D23E971">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75D87AD2">
      <w:pPr>
        <w:rPr>
          <w:rFonts w:hint="eastAsia" w:ascii="宋体" w:hAnsi="宋体" w:eastAsia="宋体" w:cs="宋体"/>
          <w:b/>
          <w:color w:val="auto"/>
          <w:sz w:val="32"/>
          <w:szCs w:val="32"/>
          <w:highlight w:val="none"/>
        </w:rPr>
      </w:pPr>
    </w:p>
    <w:p w14:paraId="6128534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质疑函制作说明：</w:t>
      </w:r>
    </w:p>
    <w:p w14:paraId="67B82729">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1.供应商提出质疑时，应提交质疑函和必要的证明材料。</w:t>
      </w:r>
    </w:p>
    <w:p w14:paraId="70321F82">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szCs w:val="24"/>
          <w:highlight w:val="none"/>
        </w:rPr>
        <w:t>供应商签署的授权委托书。授权委托书应载明代理人的姓名或者名称、代理事项、具体权限、期限和相关事项。</w:t>
      </w:r>
    </w:p>
    <w:p w14:paraId="1387448E">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3.质疑供应商若对项目的某一分包进行质疑，质疑函中应列明具体分包号。</w:t>
      </w:r>
    </w:p>
    <w:p w14:paraId="74CDC527">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14:paraId="23AEE234">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14:paraId="23843BA0">
      <w:pPr>
        <w:pStyle w:val="13"/>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14:paraId="43DCB9DC">
      <w:pPr>
        <w:spacing w:line="380" w:lineRule="exact"/>
        <w:rPr>
          <w:rFonts w:hint="eastAsia" w:ascii="宋体" w:hAnsi="宋体" w:eastAsia="宋体" w:cs="宋体"/>
          <w:color w:val="auto"/>
          <w:sz w:val="24"/>
          <w:szCs w:val="24"/>
          <w:highlight w:val="none"/>
        </w:rPr>
      </w:pPr>
    </w:p>
    <w:p w14:paraId="170B17CF">
      <w:pPr>
        <w:pStyle w:val="2"/>
        <w:ind w:firstLine="480"/>
        <w:rPr>
          <w:rFonts w:hint="eastAsia" w:ascii="宋体" w:hAnsi="宋体" w:eastAsia="宋体" w:cs="宋体"/>
          <w:color w:val="auto"/>
          <w:sz w:val="24"/>
          <w:szCs w:val="24"/>
          <w:highlight w:val="none"/>
        </w:rPr>
      </w:pPr>
    </w:p>
    <w:p w14:paraId="77E2D269">
      <w:pPr>
        <w:rPr>
          <w:rFonts w:hint="eastAsia" w:ascii="宋体" w:hAnsi="宋体" w:eastAsia="宋体" w:cs="宋体"/>
          <w:color w:val="auto"/>
          <w:sz w:val="24"/>
          <w:szCs w:val="24"/>
          <w:highlight w:val="none"/>
        </w:rPr>
      </w:pPr>
    </w:p>
    <w:p w14:paraId="7DAABE74">
      <w:pPr>
        <w:rPr>
          <w:rFonts w:hint="eastAsia" w:ascii="宋体" w:hAnsi="宋体" w:eastAsia="宋体" w:cs="宋体"/>
          <w:color w:val="auto"/>
          <w:sz w:val="24"/>
          <w:szCs w:val="24"/>
          <w:highlight w:val="none"/>
        </w:rPr>
      </w:pPr>
    </w:p>
    <w:p w14:paraId="22BABD11">
      <w:pPr>
        <w:rPr>
          <w:rFonts w:hint="eastAsia" w:ascii="宋体" w:hAnsi="宋体" w:eastAsia="宋体" w:cs="宋体"/>
          <w:color w:val="auto"/>
        </w:rPr>
      </w:pPr>
    </w:p>
    <w:p w14:paraId="45C74C52">
      <w:pPr>
        <w:rPr>
          <w:rFonts w:hint="eastAsia" w:ascii="宋体" w:hAnsi="宋体" w:eastAsia="宋体" w:cs="宋体"/>
          <w:color w:val="auto"/>
        </w:rPr>
      </w:pPr>
    </w:p>
    <w:sectPr>
      <w:footerReference r:id="rId14" w:type="default"/>
      <w:pgSz w:w="11906" w:h="16838"/>
      <w:pgMar w:top="1000" w:right="1080" w:bottom="1440" w:left="1080" w:header="708" w:footer="709" w:gutter="0"/>
      <w:pgNumType w:fmt="decimal"/>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A82FD">
    <w:pPr>
      <w:pStyle w:val="10"/>
      <w:spacing w:line="14" w:lineRule="auto"/>
      <w:ind w:left="0"/>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3C0C6">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63C0C6">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ADE25">
    <w:pPr>
      <w:pStyle w:val="10"/>
      <w:spacing w:line="14" w:lineRule="auto"/>
      <w:ind w:left="0"/>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C45FF">
                          <w:pPr>
                            <w:pStyle w:val="14"/>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A7C45FF">
                    <w:pPr>
                      <w:pStyle w:val="14"/>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FA277">
    <w:pPr>
      <w:pStyle w:val="10"/>
      <w:spacing w:line="14" w:lineRule="auto"/>
      <w:ind w:left="0"/>
      <w:rPr>
        <w:sz w:val="2"/>
      </w:rPr>
    </w:pPr>
    <w:r>
      <w:rPr>
        <w:sz w:val="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297CCD">
                          <w:pPr>
                            <w:pStyle w:val="1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1297CCD">
                    <w:pPr>
                      <w:pStyle w:val="1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D9D12">
    <w:pPr>
      <w:pStyle w:val="10"/>
      <w:spacing w:line="14" w:lineRule="auto"/>
      <w:ind w:left="0"/>
      <w:rPr>
        <w:sz w:val="2"/>
      </w:rPr>
    </w:pPr>
    <w:r>
      <w:rPr>
        <w:sz w:val="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A03A58">
                          <w:pPr>
                            <w:pStyle w:val="14"/>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2A03A58">
                    <w:pPr>
                      <w:pStyle w:val="1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EBADD">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B6A3B1">
                          <w:pPr>
                            <w:pStyle w:val="1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1B6A3B1">
                    <w:pPr>
                      <w:pStyle w:val="1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05FD1">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2B2FD">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EDEE5">
    <w:pPr>
      <w:pStyle w:val="1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DE2A1">
    <w:pPr>
      <w:pStyle w:val="10"/>
      <w:spacing w:line="14" w:lineRule="auto"/>
      <w:ind w:left="0"/>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42B96">
    <w:pPr>
      <w:pStyle w:val="10"/>
      <w:spacing w:line="14" w:lineRule="auto"/>
      <w:ind w:left="0"/>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086F7">
    <w:pPr>
      <w:pStyle w:val="10"/>
      <w:spacing w:line="14" w:lineRule="auto"/>
      <w:ind w:left="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8485CE"/>
    <w:multiLevelType w:val="singleLevel"/>
    <w:tmpl w:val="338485CE"/>
    <w:lvl w:ilvl="0" w:tentative="0">
      <w:start w:val="3"/>
      <w:numFmt w:val="chineseCounting"/>
      <w:suff w:val="space"/>
      <w:lvlText w:val="第%1章"/>
      <w:lvlJc w:val="left"/>
      <w:rPr>
        <w:rFonts w:hint="eastAsia"/>
      </w:rPr>
    </w:lvl>
  </w:abstractNum>
  <w:abstractNum w:abstractNumId="1">
    <w:nsid w:val="619FF5C5"/>
    <w:multiLevelType w:val="singleLevel"/>
    <w:tmpl w:val="619FF5C5"/>
    <w:lvl w:ilvl="0" w:tentative="0">
      <w:start w:val="6"/>
      <w:numFmt w:val="chineseCounting"/>
      <w:suff w:val="space"/>
      <w:lvlText w:val="第%1章"/>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1ZTQ4MDQ1NThjZGExNDNkNTk3YmQ4ZjMzM2NkMDYifQ=="/>
    <w:docVar w:name="KSO_WPS_MARK_KEY" w:val="5c6f6ff8-10ae-4f6b-9fdf-8a434335a550"/>
  </w:docVars>
  <w:rsids>
    <w:rsidRoot w:val="043A57FC"/>
    <w:rsid w:val="043A57FC"/>
    <w:rsid w:val="05993948"/>
    <w:rsid w:val="06BA6A78"/>
    <w:rsid w:val="09422C9A"/>
    <w:rsid w:val="0A6B3014"/>
    <w:rsid w:val="10F07B1A"/>
    <w:rsid w:val="12211C91"/>
    <w:rsid w:val="129C607E"/>
    <w:rsid w:val="157C7033"/>
    <w:rsid w:val="162D33AF"/>
    <w:rsid w:val="19682ABE"/>
    <w:rsid w:val="1AA25773"/>
    <w:rsid w:val="1AFA57CD"/>
    <w:rsid w:val="1B642331"/>
    <w:rsid w:val="1E1E0CCB"/>
    <w:rsid w:val="23066A07"/>
    <w:rsid w:val="230C2EE3"/>
    <w:rsid w:val="28417514"/>
    <w:rsid w:val="2D2910A6"/>
    <w:rsid w:val="30D53BBD"/>
    <w:rsid w:val="360E0391"/>
    <w:rsid w:val="38C202F3"/>
    <w:rsid w:val="3BFC0B7A"/>
    <w:rsid w:val="3C2B0542"/>
    <w:rsid w:val="3C316F9B"/>
    <w:rsid w:val="3D167297"/>
    <w:rsid w:val="401F4AC2"/>
    <w:rsid w:val="4479729C"/>
    <w:rsid w:val="45AD14CA"/>
    <w:rsid w:val="49E8254F"/>
    <w:rsid w:val="4BF278C5"/>
    <w:rsid w:val="531B76FE"/>
    <w:rsid w:val="56275623"/>
    <w:rsid w:val="574E07FB"/>
    <w:rsid w:val="588D3432"/>
    <w:rsid w:val="5EF80748"/>
    <w:rsid w:val="5F370914"/>
    <w:rsid w:val="615F3B20"/>
    <w:rsid w:val="616306E2"/>
    <w:rsid w:val="64373C6C"/>
    <w:rsid w:val="650E16FE"/>
    <w:rsid w:val="65484E3D"/>
    <w:rsid w:val="68AD3A38"/>
    <w:rsid w:val="6BDB4B91"/>
    <w:rsid w:val="6E827D13"/>
    <w:rsid w:val="72943709"/>
    <w:rsid w:val="75690D42"/>
    <w:rsid w:val="7E121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3">
    <w:name w:val="heading 1"/>
    <w:basedOn w:val="1"/>
    <w:next w:val="1"/>
    <w:link w:val="25"/>
    <w:qFormat/>
    <w:uiPriority w:val="0"/>
    <w:pPr>
      <w:keepNext/>
      <w:keepLines/>
      <w:spacing w:before="340" w:after="330" w:line="578" w:lineRule="auto"/>
      <w:outlineLvl w:val="0"/>
    </w:pPr>
    <w:rPr>
      <w:rFonts w:ascii="Tahoma" w:hAnsi="Tahoma"/>
      <w:b/>
      <w:bCs/>
      <w:kern w:val="44"/>
      <w:sz w:val="44"/>
      <w:szCs w:val="44"/>
    </w:rPr>
  </w:style>
  <w:style w:type="paragraph" w:styleId="4">
    <w:name w:val="heading 2"/>
    <w:basedOn w:val="1"/>
    <w:next w:val="1"/>
    <w:qFormat/>
    <w:uiPriority w:val="1"/>
    <w:pPr>
      <w:ind w:left="1480" w:hanging="800"/>
      <w:outlineLvl w:val="2"/>
    </w:pPr>
    <w:rPr>
      <w:rFonts w:ascii="宋体" w:hAnsi="宋体" w:eastAsia="宋体" w:cs="宋体"/>
      <w:b/>
      <w:bCs/>
      <w:sz w:val="32"/>
      <w:szCs w:val="32"/>
      <w:lang w:val="zh-CN" w:eastAsia="zh-CN" w:bidi="zh-CN"/>
    </w:rPr>
  </w:style>
  <w:style w:type="paragraph" w:styleId="5">
    <w:name w:val="heading 4"/>
    <w:basedOn w:val="1"/>
    <w:next w:val="1"/>
    <w:qFormat/>
    <w:uiPriority w:val="0"/>
    <w:pPr>
      <w:keepNext/>
      <w:keepLines/>
      <w:widowControl/>
      <w:spacing w:before="120" w:after="120" w:line="360" w:lineRule="auto"/>
      <w:jc w:val="center"/>
      <w:outlineLvl w:val="3"/>
    </w:pPr>
    <w:rPr>
      <w:rFonts w:ascii="Arial" w:hAnsi="Arial" w:eastAsia="黑体"/>
      <w:kern w:val="0"/>
      <w:sz w:val="28"/>
      <w:szCs w:val="20"/>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styleId="6">
    <w:name w:val="Note Heading"/>
    <w:basedOn w:val="1"/>
    <w:next w:val="1"/>
    <w:qFormat/>
    <w:uiPriority w:val="0"/>
    <w:pPr>
      <w:jc w:val="center"/>
    </w:pPr>
  </w:style>
  <w:style w:type="paragraph" w:styleId="7">
    <w:name w:val="index 8"/>
    <w:basedOn w:val="1"/>
    <w:next w:val="1"/>
    <w:qFormat/>
    <w:uiPriority w:val="0"/>
    <w:pPr>
      <w:ind w:left="2940"/>
    </w:pPr>
  </w:style>
  <w:style w:type="paragraph" w:styleId="8">
    <w:name w:val="Normal Indent"/>
    <w:basedOn w:val="1"/>
    <w:next w:val="1"/>
    <w:qFormat/>
    <w:uiPriority w:val="0"/>
    <w:pPr>
      <w:ind w:firstLine="420"/>
    </w:pPr>
    <w:rPr>
      <w:szCs w:val="20"/>
    </w:rPr>
  </w:style>
  <w:style w:type="paragraph" w:styleId="9">
    <w:name w:val="annotation text"/>
    <w:basedOn w:val="1"/>
    <w:qFormat/>
    <w:uiPriority w:val="0"/>
    <w:pPr>
      <w:jc w:val="left"/>
    </w:pPr>
  </w:style>
  <w:style w:type="paragraph" w:styleId="10">
    <w:name w:val="Body Text"/>
    <w:basedOn w:val="1"/>
    <w:qFormat/>
    <w:uiPriority w:val="1"/>
    <w:pPr>
      <w:ind w:left="681"/>
    </w:pPr>
    <w:rPr>
      <w:rFonts w:ascii="仿宋" w:hAnsi="仿宋" w:eastAsia="仿宋" w:cs="仿宋"/>
      <w:sz w:val="28"/>
      <w:szCs w:val="28"/>
      <w:lang w:val="zh-CN" w:eastAsia="zh-CN" w:bidi="zh-CN"/>
    </w:rPr>
  </w:style>
  <w:style w:type="paragraph" w:styleId="11">
    <w:name w:val="Body Text Indent"/>
    <w:basedOn w:val="1"/>
    <w:next w:val="12"/>
    <w:qFormat/>
    <w:uiPriority w:val="0"/>
    <w:pPr>
      <w:widowControl w:val="0"/>
      <w:spacing w:before="0" w:after="120"/>
      <w:ind w:left="420" w:leftChars="200" w:right="0"/>
      <w:jc w:val="both"/>
    </w:pPr>
    <w:rPr>
      <w:rFonts w:ascii="Times New Roman" w:hAnsi="Times New Roman" w:eastAsia="宋体" w:cs="Times New Roman"/>
      <w:kern w:val="2"/>
      <w:sz w:val="21"/>
      <w:szCs w:val="24"/>
      <w:lang w:bidi="ar-SA"/>
    </w:rPr>
  </w:style>
  <w:style w:type="paragraph" w:styleId="12">
    <w:name w:val="envelope return"/>
    <w:basedOn w:val="1"/>
    <w:qFormat/>
    <w:uiPriority w:val="0"/>
    <w:pPr>
      <w:snapToGrid w:val="0"/>
    </w:pPr>
    <w:rPr>
      <w:rFonts w:ascii="Arial" w:hAnsi="Arial" w:eastAsia="宋体" w:cs="Times New Roman"/>
    </w:rPr>
  </w:style>
  <w:style w:type="paragraph" w:styleId="13">
    <w:name w:val="Plain Text"/>
    <w:basedOn w:val="1"/>
    <w:next w:val="7"/>
    <w:qFormat/>
    <w:uiPriority w:val="0"/>
    <w:pPr>
      <w:widowControl w:val="0"/>
      <w:spacing w:after="0"/>
      <w:jc w:val="both"/>
    </w:pPr>
    <w:rPr>
      <w:rFonts w:ascii="宋体" w:hAnsi="Courier New" w:eastAsia="宋体" w:cs="Times New Roman"/>
      <w:kern w:val="2"/>
      <w:sz w:val="21"/>
      <w:szCs w:val="20"/>
    </w:rPr>
  </w:style>
  <w:style w:type="paragraph" w:styleId="14">
    <w:name w:val="footer"/>
    <w:basedOn w:val="1"/>
    <w:qFormat/>
    <w:uiPriority w:val="99"/>
    <w:pPr>
      <w:widowControl w:val="0"/>
      <w:tabs>
        <w:tab w:val="center" w:pos="4140"/>
        <w:tab w:val="right" w:pos="8300"/>
      </w:tabs>
      <w:spacing w:after="0"/>
    </w:pPr>
    <w:rPr>
      <w:rFonts w:ascii="Times New Roman" w:hAnsi="Times New Roman" w:eastAsia="宋体" w:cs="Times New Roman"/>
      <w:kern w:val="2"/>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Normal (Web)"/>
    <w:basedOn w:val="1"/>
    <w:qFormat/>
    <w:uiPriority w:val="0"/>
    <w:pPr>
      <w:widowControl/>
      <w:spacing w:before="100" w:beforeAutospacing="1" w:after="100" w:afterAutospacing="1"/>
      <w:ind w:left="0" w:right="0"/>
      <w:jc w:val="left"/>
    </w:pPr>
    <w:rPr>
      <w:rFonts w:ascii="宋体" w:hAnsi="宋体" w:eastAsia="宋体" w:cs="Times New Roman"/>
      <w:kern w:val="0"/>
      <w:sz w:val="24"/>
      <w:szCs w:val="20"/>
      <w:lang w:val="en-US" w:eastAsia="zh-CN" w:bidi="ar-SA"/>
    </w:rPr>
  </w:style>
  <w:style w:type="paragraph" w:styleId="18">
    <w:name w:val="Body Text First Indent 2"/>
    <w:basedOn w:val="11"/>
    <w:next w:val="6"/>
    <w:unhideWhenUsed/>
    <w:qFormat/>
    <w:uiPriority w:val="99"/>
    <w:pPr>
      <w:ind w:firstLine="420" w:firstLineChars="200"/>
    </w:pPr>
  </w:style>
  <w:style w:type="character" w:styleId="21">
    <w:name w:val="Strong"/>
    <w:qFormat/>
    <w:uiPriority w:val="0"/>
    <w:rPr>
      <w:rFonts w:ascii="Times New Roman" w:hAnsi="Times New Roman" w:eastAsia="宋体" w:cs="Times New Roman"/>
      <w:b/>
      <w:bCs/>
    </w:rPr>
  </w:style>
  <w:style w:type="character" w:styleId="22">
    <w:name w:val="Hyperlink"/>
    <w:qFormat/>
    <w:uiPriority w:val="99"/>
    <w:rPr>
      <w:rFonts w:ascii="Times New Roman" w:hAnsi="Times New Roman" w:eastAsia="宋体" w:cs="Times New Roman"/>
      <w:color w:val="0000FF"/>
      <w:u w:val="single"/>
    </w:rPr>
  </w:style>
  <w:style w:type="paragraph" w:customStyle="1" w:styleId="23">
    <w:name w:val="Heading2"/>
    <w:basedOn w:val="1"/>
    <w:next w:val="1"/>
    <w:qFormat/>
    <w:uiPriority w:val="0"/>
    <w:pPr>
      <w:keepNext/>
      <w:keepLines/>
      <w:spacing w:before="260" w:after="260" w:line="416" w:lineRule="auto"/>
    </w:pPr>
    <w:rPr>
      <w:rFonts w:ascii="Arial" w:hAnsi="Arial" w:eastAsia="黑体"/>
      <w:b/>
      <w:bCs/>
      <w:kern w:val="0"/>
      <w:sz w:val="32"/>
      <w:szCs w:val="32"/>
    </w:rPr>
  </w:style>
  <w:style w:type="paragraph" w:customStyle="1" w:styleId="24">
    <w:name w:val="首行缩进"/>
    <w:basedOn w:val="1"/>
    <w:qFormat/>
    <w:uiPriority w:val="0"/>
    <w:pPr>
      <w:ind w:firstLine="480" w:firstLineChars="200"/>
    </w:pPr>
    <w:rPr>
      <w:rFonts w:ascii="Times New Roman" w:hAnsi="Times New Roman" w:eastAsia="宋体" w:cs="Times New Roman"/>
    </w:rPr>
  </w:style>
  <w:style w:type="character" w:customStyle="1" w:styleId="25">
    <w:name w:val="标题 1 Char"/>
    <w:link w:val="3"/>
    <w:qFormat/>
    <w:uiPriority w:val="0"/>
    <w:rPr>
      <w:rFonts w:ascii="Tahoma" w:hAnsi="Tahoma"/>
      <w:b/>
      <w:bCs/>
      <w:kern w:val="44"/>
      <w:sz w:val="44"/>
      <w:szCs w:val="44"/>
    </w:rPr>
  </w:style>
  <w:style w:type="character" w:customStyle="1" w:styleId="26">
    <w:name w:val="NormalCharacter"/>
    <w:qFormat/>
    <w:uiPriority w:val="0"/>
    <w:rPr>
      <w:rFonts w:ascii="宋体" w:hAnsi="宋体" w:eastAsia="宋体" w:cs="宋体"/>
      <w:sz w:val="22"/>
      <w:szCs w:val="22"/>
      <w:lang w:val="zh-CN" w:eastAsia="zh-CN" w:bidi="zh-CN"/>
    </w:rPr>
  </w:style>
  <w:style w:type="paragraph" w:customStyle="1" w:styleId="27">
    <w:name w:val="Body text|1"/>
    <w:basedOn w:val="1"/>
    <w:qFormat/>
    <w:uiPriority w:val="0"/>
    <w:pPr>
      <w:spacing w:line="350" w:lineRule="auto"/>
      <w:ind w:firstLine="400"/>
      <w:jc w:val="left"/>
    </w:pPr>
    <w:rPr>
      <w:rFonts w:ascii="宋体" w:hAnsi="宋体" w:eastAsia="宋体" w:cs="宋体"/>
      <w:kern w:val="0"/>
      <w:sz w:val="30"/>
      <w:szCs w:val="30"/>
    </w:rPr>
  </w:style>
  <w:style w:type="paragraph" w:customStyle="1" w:styleId="28">
    <w:name w:val="1"/>
    <w:basedOn w:val="1"/>
    <w:next w:val="13"/>
    <w:qFormat/>
    <w:uiPriority w:val="0"/>
    <w:rPr>
      <w:rFonts w:ascii="宋体" w:hAnsi="Courier New"/>
      <w:szCs w:val="20"/>
    </w:rPr>
  </w:style>
  <w:style w:type="paragraph" w:customStyle="1" w:styleId="29">
    <w:name w:val="**正文"/>
    <w:basedOn w:val="1"/>
    <w:qFormat/>
    <w:uiPriority w:val="0"/>
    <w:pPr>
      <w:ind w:firstLine="482"/>
    </w:pPr>
    <w:rPr>
      <w:rFonts w:ascii="宋体" w:hAnsi="宋体"/>
      <w:sz w:val="24"/>
    </w:rPr>
  </w:style>
  <w:style w:type="paragraph" w:customStyle="1" w:styleId="30">
    <w:name w:val="Table Paragraph"/>
    <w:basedOn w:val="1"/>
    <w:qFormat/>
    <w:uiPriority w:val="1"/>
    <w:pPr>
      <w:ind w:left="154"/>
      <w:jc w:val="center"/>
    </w:pPr>
    <w:rPr>
      <w:rFonts w:ascii="Times New Roman" w:hAnsi="Times New Roman" w:eastAsia="Times New Roman" w:cs="Times New Roman"/>
      <w:lang w:val="zh-CN" w:eastAsia="zh-CN" w:bidi="zh-CN"/>
    </w:rPr>
  </w:style>
  <w:style w:type="paragraph" w:styleId="31">
    <w:name w:val="List Paragraph"/>
    <w:basedOn w:val="1"/>
    <w:qFormat/>
    <w:uiPriority w:val="1"/>
    <w:pPr>
      <w:ind w:left="1942" w:hanging="703"/>
    </w:pPr>
    <w:rPr>
      <w:rFonts w:ascii="仿宋" w:hAnsi="仿宋" w:eastAsia="仿宋" w:cs="仿宋"/>
      <w:lang w:val="zh-CN" w:eastAsia="zh-CN" w:bidi="zh-CN"/>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emf"/><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6.xml"/><Relationship Id="rId11" Type="http://schemas.openxmlformats.org/officeDocument/2006/relationships/footer" Target="footer3.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23276</Words>
  <Characters>25867</Characters>
  <Lines>0</Lines>
  <Paragraphs>0</Paragraphs>
  <TotalTime>116</TotalTime>
  <ScaleCrop>false</ScaleCrop>
  <LinksUpToDate>false</LinksUpToDate>
  <CharactersWithSpaces>26529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2024-07-08T07:17:00Z</dcterms:created>
  <dc:creator>井宝</dc:creator>
  <cp:lastModifiedBy>井宝</cp:lastModifiedBy>
  <cp:lastPrinted>2024-10-18T03:16:00Z</cp:lastPrinted>
  <dcterms:modified xsi:type="dcterms:W3CDTF">2024-10-30T06:25:27Z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0F1118E2748A433A88414D6A753ECCCD_13</vt:lpwstr>
  </property>
</Properties>
</file>