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0BCBD">
      <w:pPr>
        <w:pStyle w:val="20"/>
        <w:rPr>
          <w:rFonts w:hint="eastAsia" w:ascii="宋体" w:hAnsi="宋体" w:eastAsia="宋体" w:cs="宋体"/>
          <w:color w:val="FF0000"/>
        </w:rPr>
      </w:pPr>
    </w:p>
    <w:p w14:paraId="287D6F01">
      <w:pPr>
        <w:pStyle w:val="14"/>
        <w:snapToGrid w:val="0"/>
        <w:spacing w:line="360" w:lineRule="auto"/>
        <w:jc w:val="center"/>
        <w:rPr>
          <w:rFonts w:hint="eastAsia" w:ascii="宋体" w:hAnsi="宋体" w:eastAsia="宋体" w:cs="宋体"/>
          <w:b/>
          <w:bCs/>
          <w:color w:val="000000"/>
          <w:sz w:val="56"/>
          <w:szCs w:val="30"/>
          <w:lang w:eastAsia="zh-CN"/>
        </w:rPr>
      </w:pPr>
      <w:r>
        <w:rPr>
          <w:rFonts w:hint="eastAsia" w:hAnsi="宋体" w:cs="宋体"/>
          <w:b/>
          <w:bCs/>
          <w:color w:val="000000"/>
          <w:sz w:val="56"/>
          <w:szCs w:val="30"/>
          <w:lang w:eastAsia="zh-CN"/>
        </w:rPr>
        <w:t>广西汉昌工程咨询有限公司</w:t>
      </w:r>
    </w:p>
    <w:p w14:paraId="48C8AFEB">
      <w:pPr>
        <w:spacing w:line="360" w:lineRule="auto"/>
        <w:jc w:val="center"/>
        <w:rPr>
          <w:rFonts w:hint="eastAsia" w:ascii="宋体" w:hAnsi="宋体" w:eastAsia="宋体" w:cs="宋体"/>
          <w:b/>
          <w:color w:val="000000"/>
          <w:sz w:val="44"/>
          <w:szCs w:val="44"/>
        </w:rPr>
      </w:pPr>
    </w:p>
    <w:p w14:paraId="7C6780E0">
      <w:pPr>
        <w:snapToGrid w:val="0"/>
        <w:spacing w:beforeLines="50" w:line="360" w:lineRule="auto"/>
        <w:jc w:val="center"/>
        <w:rPr>
          <w:rFonts w:hint="eastAsia" w:ascii="宋体" w:hAnsi="宋体" w:eastAsia="宋体" w:cs="宋体"/>
          <w:color w:val="000000"/>
          <w:sz w:val="120"/>
          <w:szCs w:val="120"/>
        </w:rPr>
      </w:pPr>
      <w:r>
        <w:rPr>
          <w:rFonts w:hint="eastAsia" w:ascii="宋体" w:hAnsi="宋体" w:eastAsia="宋体" w:cs="宋体"/>
          <w:color w:val="000000"/>
          <w:sz w:val="120"/>
          <w:szCs w:val="120"/>
        </w:rPr>
        <w:t>竞争</w:t>
      </w:r>
      <w:r>
        <w:rPr>
          <w:rFonts w:hint="eastAsia" w:ascii="宋体" w:hAnsi="宋体" w:eastAsia="宋体" w:cs="宋体"/>
          <w:color w:val="auto"/>
          <w:sz w:val="120"/>
          <w:szCs w:val="120"/>
        </w:rPr>
        <w:t>性</w:t>
      </w:r>
      <w:r>
        <w:rPr>
          <w:rFonts w:hint="eastAsia" w:ascii="宋体" w:hAnsi="宋体" w:cs="宋体"/>
          <w:color w:val="auto"/>
          <w:sz w:val="120"/>
          <w:szCs w:val="120"/>
          <w:lang w:eastAsia="zh-CN"/>
        </w:rPr>
        <w:t>谈判</w:t>
      </w:r>
      <w:r>
        <w:rPr>
          <w:rFonts w:hint="eastAsia" w:ascii="宋体" w:hAnsi="宋体" w:eastAsia="宋体" w:cs="宋体"/>
          <w:color w:val="auto"/>
          <w:sz w:val="120"/>
          <w:szCs w:val="120"/>
        </w:rPr>
        <w:t>文</w:t>
      </w:r>
      <w:r>
        <w:rPr>
          <w:rFonts w:hint="eastAsia" w:ascii="宋体" w:hAnsi="宋体" w:eastAsia="宋体" w:cs="宋体"/>
          <w:color w:val="000000"/>
          <w:sz w:val="120"/>
          <w:szCs w:val="120"/>
        </w:rPr>
        <w:t>件</w:t>
      </w:r>
    </w:p>
    <w:p w14:paraId="2F1CB52A">
      <w:pPr>
        <w:snapToGrid w:val="0"/>
        <w:spacing w:beforeLines="50" w:line="360" w:lineRule="auto"/>
        <w:jc w:val="center"/>
        <w:rPr>
          <w:rFonts w:hint="eastAsia" w:ascii="宋体" w:hAnsi="宋体" w:eastAsia="宋体" w:cs="宋体"/>
          <w:b/>
          <w:color w:val="000000"/>
          <w:sz w:val="30"/>
          <w:szCs w:val="72"/>
        </w:rPr>
      </w:pPr>
      <w:r>
        <w:rPr>
          <w:rFonts w:hint="eastAsia" w:ascii="宋体" w:hAnsi="宋体" w:eastAsia="宋体" w:cs="宋体"/>
          <w:b/>
          <w:color w:val="000000"/>
          <w:sz w:val="48"/>
          <w:szCs w:val="48"/>
        </w:rPr>
        <w:t>（全流程电子化采购）</w:t>
      </w:r>
    </w:p>
    <w:p w14:paraId="3503FBD6">
      <w:pPr>
        <w:snapToGrid w:val="0"/>
        <w:spacing w:line="360" w:lineRule="auto"/>
        <w:rPr>
          <w:rFonts w:hint="eastAsia" w:ascii="宋体" w:hAnsi="宋体" w:eastAsia="宋体" w:cs="宋体"/>
          <w:color w:val="000000"/>
          <w:sz w:val="30"/>
          <w:szCs w:val="72"/>
        </w:rPr>
      </w:pPr>
    </w:p>
    <w:p w14:paraId="507678B3">
      <w:pPr>
        <w:pStyle w:val="14"/>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项目</w:t>
      </w:r>
      <w:r>
        <w:rPr>
          <w:rFonts w:hint="eastAsia" w:ascii="宋体" w:hAnsi="宋体" w:eastAsia="宋体" w:cs="宋体"/>
          <w:b/>
          <w:bCs/>
          <w:color w:val="000000"/>
          <w:w w:val="95"/>
          <w:sz w:val="30"/>
          <w:szCs w:val="30"/>
        </w:rPr>
        <w:t>名称</w:t>
      </w:r>
      <w:r>
        <w:rPr>
          <w:rFonts w:hint="eastAsia" w:ascii="宋体" w:hAnsi="宋体" w:eastAsia="宋体" w:cs="宋体"/>
          <w:b/>
          <w:bCs/>
          <w:color w:val="000000"/>
          <w:sz w:val="30"/>
          <w:szCs w:val="30"/>
        </w:rPr>
        <w:t>：</w:t>
      </w:r>
      <w:r>
        <w:rPr>
          <w:rFonts w:hint="eastAsia" w:hAnsi="宋体" w:cs="宋体"/>
          <w:b/>
          <w:bCs/>
          <w:color w:val="000000"/>
          <w:sz w:val="30"/>
          <w:szCs w:val="30"/>
          <w:lang w:eastAsia="zh-CN"/>
        </w:rPr>
        <w:t>灵山县人民医院2024年学科方案第六批医疗设备采购（重2）</w:t>
      </w:r>
    </w:p>
    <w:p w14:paraId="34763B00">
      <w:pPr>
        <w:pStyle w:val="14"/>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项目编号：</w:t>
      </w:r>
      <w:r>
        <w:rPr>
          <w:rFonts w:hint="eastAsia" w:hAnsi="宋体" w:cs="宋体"/>
          <w:b/>
          <w:bCs/>
          <w:color w:val="000000"/>
          <w:sz w:val="30"/>
          <w:szCs w:val="30"/>
          <w:lang w:eastAsia="zh-CN"/>
        </w:rPr>
        <w:t>QZZC2025-J1-210049-HCZX</w:t>
      </w:r>
    </w:p>
    <w:p w14:paraId="552C5A82">
      <w:pPr>
        <w:pStyle w:val="14"/>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采 购 人：</w:t>
      </w:r>
      <w:r>
        <w:rPr>
          <w:rFonts w:hint="eastAsia" w:hAnsi="宋体" w:cs="宋体"/>
          <w:b/>
          <w:bCs/>
          <w:color w:val="000000"/>
          <w:sz w:val="30"/>
          <w:szCs w:val="30"/>
          <w:lang w:eastAsia="zh-CN"/>
        </w:rPr>
        <w:t>灵山县人民医院</w:t>
      </w:r>
    </w:p>
    <w:p w14:paraId="0B16D028">
      <w:pPr>
        <w:pStyle w:val="14"/>
        <w:snapToGrid w:val="0"/>
        <w:spacing w:line="480" w:lineRule="auto"/>
        <w:ind w:firstLine="1193" w:firstLineChars="396"/>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rPr>
        <w:t>采购代理机构：</w:t>
      </w:r>
      <w:r>
        <w:rPr>
          <w:rFonts w:hint="eastAsia" w:hAnsi="宋体" w:cs="宋体"/>
          <w:b/>
          <w:bCs/>
          <w:color w:val="000000"/>
          <w:sz w:val="30"/>
          <w:szCs w:val="30"/>
          <w:lang w:eastAsia="zh-CN"/>
        </w:rPr>
        <w:t>广西汉昌工程咨询有限公司</w:t>
      </w:r>
    </w:p>
    <w:p w14:paraId="743F1BE3">
      <w:pPr>
        <w:pStyle w:val="14"/>
        <w:snapToGrid w:val="0"/>
        <w:spacing w:line="360" w:lineRule="auto"/>
        <w:ind w:firstLine="1125" w:firstLineChars="393"/>
        <w:rPr>
          <w:rFonts w:hint="eastAsia" w:ascii="宋体" w:hAnsi="宋体" w:eastAsia="宋体" w:cs="宋体"/>
          <w:b/>
          <w:bCs/>
          <w:color w:val="000000"/>
          <w:w w:val="95"/>
          <w:sz w:val="30"/>
          <w:szCs w:val="30"/>
        </w:rPr>
      </w:pPr>
    </w:p>
    <w:p w14:paraId="6E3D50F7">
      <w:pPr>
        <w:pStyle w:val="14"/>
        <w:snapToGrid w:val="0"/>
        <w:spacing w:line="360" w:lineRule="auto"/>
        <w:ind w:firstLine="1125" w:firstLineChars="393"/>
        <w:rPr>
          <w:rFonts w:hint="eastAsia" w:ascii="宋体" w:hAnsi="宋体" w:eastAsia="宋体" w:cs="宋体"/>
          <w:b/>
          <w:bCs/>
          <w:color w:val="000000"/>
          <w:w w:val="95"/>
          <w:sz w:val="30"/>
          <w:szCs w:val="30"/>
        </w:rPr>
      </w:pPr>
    </w:p>
    <w:p w14:paraId="2D669E9F">
      <w:pPr>
        <w:pStyle w:val="14"/>
        <w:snapToGrid w:val="0"/>
        <w:spacing w:line="360" w:lineRule="auto"/>
        <w:ind w:left="20" w:leftChars="-200" w:hanging="440" w:hangingChars="146"/>
        <w:jc w:val="center"/>
        <w:rPr>
          <w:rFonts w:hint="eastAsia" w:ascii="宋体" w:hAnsi="宋体" w:eastAsia="宋体" w:cs="宋体"/>
          <w:b/>
          <w:bCs/>
          <w:color w:val="000000"/>
          <w:sz w:val="30"/>
          <w:szCs w:val="30"/>
          <w:lang w:eastAsia="zh-CN"/>
        </w:rPr>
      </w:pPr>
      <w:r>
        <w:rPr>
          <w:rFonts w:hint="eastAsia" w:hAnsi="宋体" w:cs="宋体"/>
          <w:b/>
          <w:bCs/>
          <w:color w:val="000000"/>
          <w:sz w:val="30"/>
          <w:szCs w:val="30"/>
          <w:lang w:eastAsia="zh-CN"/>
        </w:rPr>
        <w:t>2025年</w:t>
      </w:r>
      <w:r>
        <w:rPr>
          <w:rFonts w:hint="eastAsia" w:hAnsi="宋体" w:cs="宋体"/>
          <w:b/>
          <w:bCs/>
          <w:color w:val="000000"/>
          <w:sz w:val="30"/>
          <w:szCs w:val="30"/>
          <w:lang w:val="en-US" w:eastAsia="zh-CN"/>
        </w:rPr>
        <w:t>4</w:t>
      </w:r>
      <w:r>
        <w:rPr>
          <w:rFonts w:hint="eastAsia" w:hAnsi="宋体" w:cs="宋体"/>
          <w:b/>
          <w:bCs/>
          <w:color w:val="000000"/>
          <w:sz w:val="30"/>
          <w:szCs w:val="30"/>
          <w:lang w:eastAsia="zh-CN"/>
        </w:rPr>
        <w:t>月</w:t>
      </w:r>
    </w:p>
    <w:p w14:paraId="41533FE9">
      <w:pPr>
        <w:pStyle w:val="8"/>
        <w:ind w:firstLine="803"/>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30"/>
          <w:szCs w:val="30"/>
          <w14:textFill>
            <w14:solidFill>
              <w14:schemeClr w14:val="tx1"/>
            </w14:solidFill>
          </w14:textFill>
        </w:rPr>
        <w:br w:type="page"/>
      </w:r>
    </w:p>
    <w:p w14:paraId="12124A49">
      <w:pPr>
        <w:spacing w:line="360" w:lineRule="auto"/>
        <w:jc w:val="center"/>
        <w:rPr>
          <w:rFonts w:hint="eastAsia" w:ascii="宋体" w:hAnsi="宋体" w:eastAsia="宋体" w:cs="宋体"/>
          <w:b/>
          <w:color w:val="000000" w:themeColor="text1"/>
          <w:sz w:val="44"/>
          <w:szCs w:val="44"/>
          <w14:textFill>
            <w14:solidFill>
              <w14:schemeClr w14:val="tx1"/>
            </w14:solidFill>
          </w14:textFill>
        </w:rPr>
      </w:pPr>
      <w:r>
        <w:rPr>
          <w:rFonts w:hint="eastAsia" w:ascii="宋体" w:hAnsi="宋体" w:eastAsia="宋体" w:cs="宋体"/>
          <w:b/>
          <w:color w:val="000000" w:themeColor="text1"/>
          <w:sz w:val="44"/>
          <w:szCs w:val="44"/>
          <w14:textFill>
            <w14:solidFill>
              <w14:schemeClr w14:val="tx1"/>
            </w14:solidFill>
          </w14:textFill>
        </w:rPr>
        <w:t>目录</w:t>
      </w:r>
    </w:p>
    <w:p w14:paraId="782DC053">
      <w:pPr>
        <w:spacing w:line="400" w:lineRule="exact"/>
        <w:jc w:val="center"/>
        <w:rPr>
          <w:rFonts w:hint="eastAsia" w:ascii="宋体" w:hAnsi="宋体" w:eastAsia="宋体" w:cs="宋体"/>
          <w:b/>
          <w:color w:val="000000" w:themeColor="text1"/>
          <w:sz w:val="44"/>
          <w:szCs w:val="44"/>
          <w14:textFill>
            <w14:solidFill>
              <w14:schemeClr w14:val="tx1"/>
            </w14:solidFill>
          </w14:textFill>
        </w:rPr>
      </w:pPr>
    </w:p>
    <w:p w14:paraId="7E17AF05">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TOC \o "1-1" \h \z \u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"_Toc100252370"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第一章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竞争性谈判公告</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_Toc100252370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1</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21EDCFC6">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"_Toc100252371"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第二章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供应商须知</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_Toc100252371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4</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4B3988FF">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"_Toc100252372"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第三章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采购需求</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_Toc100252372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21</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50720ED9">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"_Toc100252374"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第四章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评审程序和评定成交的标准</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_Toc100252374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36</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76173B89">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"_Toc100252375"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第五章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响应文件格式</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_Toc100252375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41</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76095943">
      <w:pPr>
        <w:pStyle w:val="19"/>
        <w:tabs>
          <w:tab w:val="right" w:leader="dot" w:pos="8869"/>
        </w:tabs>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rPr>
        <w:fldChar w:fldCharType="begin"/>
      </w:r>
      <w:r>
        <w:rPr>
          <w:rFonts w:hint="eastAsia" w:ascii="宋体" w:hAnsi="宋体" w:eastAsia="宋体" w:cs="宋体"/>
        </w:rPr>
        <w:instrText xml:space="preserve"> HYPERLINK \l "_Toc100252376" </w:instrText>
      </w:r>
      <w:r>
        <w:rPr>
          <w:rFonts w:hint="eastAsia" w:ascii="宋体" w:hAnsi="宋体" w:eastAsia="宋体" w:cs="宋体"/>
        </w:rPr>
        <w:fldChar w:fldCharType="separate"/>
      </w:r>
      <w:r>
        <w:rPr>
          <w:rStyle w:val="28"/>
          <w:rFonts w:hint="eastAsia" w:ascii="宋体" w:hAnsi="宋体" w:eastAsia="宋体" w:cs="宋体"/>
          <w:b/>
          <w:color w:val="000000" w:themeColor="text1"/>
          <w:sz w:val="28"/>
          <w:szCs w:val="28"/>
          <w14:textFill>
            <w14:solidFill>
              <w14:schemeClr w14:val="tx1"/>
            </w14:solidFill>
          </w14:textFill>
        </w:rPr>
        <w:t>第六章</w:t>
      </w:r>
      <w:r>
        <w:rPr>
          <w:rStyle w:val="28"/>
          <w:rFonts w:hint="eastAsia" w:ascii="宋体" w:hAnsi="宋体" w:eastAsia="宋体" w:cs="宋体"/>
          <w:b/>
          <w:color w:val="000000" w:themeColor="text1"/>
          <w:sz w:val="28"/>
          <w:szCs w:val="28"/>
          <w:lang w:val="en-US" w:eastAsia="zh-CN"/>
          <w14:textFill>
            <w14:solidFill>
              <w14:schemeClr w14:val="tx1"/>
            </w14:solidFill>
          </w14:textFill>
        </w:rPr>
        <w:t xml:space="preserve">  </w:t>
      </w:r>
      <w:r>
        <w:rPr>
          <w:rStyle w:val="28"/>
          <w:rFonts w:hint="eastAsia" w:ascii="宋体" w:hAnsi="宋体" w:eastAsia="宋体" w:cs="宋体"/>
          <w:b/>
          <w:color w:val="000000" w:themeColor="text1"/>
          <w:sz w:val="28"/>
          <w:szCs w:val="28"/>
          <w14:textFill>
            <w14:solidFill>
              <w14:schemeClr w14:val="tx1"/>
            </w14:solidFill>
          </w14:textFill>
        </w:rPr>
        <w:t>合同文本</w:t>
      </w:r>
      <w:r>
        <w:rPr>
          <w:rFonts w:hint="eastAsia" w:ascii="宋体" w:hAnsi="宋体" w:eastAsia="宋体" w:cs="宋体"/>
          <w:b/>
          <w:color w:val="000000" w:themeColor="text1"/>
          <w:sz w:val="28"/>
          <w:szCs w:val="28"/>
          <w14:textFill>
            <w14:solidFill>
              <w14:schemeClr w14:val="tx1"/>
            </w14:solidFill>
          </w14:textFill>
        </w:rPr>
        <w:tab/>
      </w:r>
      <w:r>
        <w:rPr>
          <w:rFonts w:hint="eastAsia" w:ascii="宋体" w:hAnsi="宋体" w:eastAsia="宋体" w:cs="宋体"/>
          <w:b/>
          <w:color w:val="000000" w:themeColor="text1"/>
          <w:sz w:val="28"/>
          <w:szCs w:val="28"/>
          <w14:textFill>
            <w14:solidFill>
              <w14:schemeClr w14:val="tx1"/>
            </w14:solidFill>
          </w14:textFill>
        </w:rPr>
        <w:fldChar w:fldCharType="begin"/>
      </w:r>
      <w:r>
        <w:rPr>
          <w:rFonts w:hint="eastAsia" w:ascii="宋体" w:hAnsi="宋体" w:eastAsia="宋体" w:cs="宋体"/>
          <w:b/>
          <w:color w:val="000000" w:themeColor="text1"/>
          <w:sz w:val="28"/>
          <w:szCs w:val="28"/>
          <w14:textFill>
            <w14:solidFill>
              <w14:schemeClr w14:val="tx1"/>
            </w14:solidFill>
          </w14:textFill>
        </w:rPr>
        <w:instrText xml:space="preserve"> PAGEREF _Toc100252376 \h </w:instrText>
      </w:r>
      <w:r>
        <w:rPr>
          <w:rFonts w:hint="eastAsia" w:ascii="宋体" w:hAnsi="宋体" w:eastAsia="宋体" w:cs="宋体"/>
          <w:b/>
          <w:color w:val="000000" w:themeColor="text1"/>
          <w:sz w:val="28"/>
          <w:szCs w:val="28"/>
          <w14:textFill>
            <w14:solidFill>
              <w14:schemeClr w14:val="tx1"/>
            </w14:solidFill>
          </w14:textFill>
        </w:rPr>
        <w:fldChar w:fldCharType="separate"/>
      </w:r>
      <w:r>
        <w:rPr>
          <w:rFonts w:hint="eastAsia" w:ascii="宋体" w:hAnsi="宋体" w:eastAsia="宋体" w:cs="宋体"/>
          <w:b/>
          <w:color w:val="000000" w:themeColor="text1"/>
          <w:sz w:val="28"/>
          <w:szCs w:val="28"/>
          <w14:textFill>
            <w14:solidFill>
              <w14:schemeClr w14:val="tx1"/>
            </w14:solidFill>
          </w14:textFill>
        </w:rPr>
        <w:t>67</w:t>
      </w:r>
      <w:r>
        <w:rPr>
          <w:rFonts w:hint="eastAsia" w:ascii="宋体" w:hAnsi="宋体" w:eastAsia="宋体" w:cs="宋体"/>
          <w:b/>
          <w:color w:val="000000" w:themeColor="text1"/>
          <w:sz w:val="28"/>
          <w:szCs w:val="28"/>
          <w14:textFill>
            <w14:solidFill>
              <w14:schemeClr w14:val="tx1"/>
            </w14:solidFill>
          </w14:textFill>
        </w:rPr>
        <w:fldChar w:fldCharType="end"/>
      </w:r>
      <w:r>
        <w:rPr>
          <w:rFonts w:hint="eastAsia" w:ascii="宋体" w:hAnsi="宋体" w:eastAsia="宋体" w:cs="宋体"/>
          <w:b/>
          <w:color w:val="000000" w:themeColor="text1"/>
          <w:sz w:val="28"/>
          <w:szCs w:val="28"/>
          <w14:textFill>
            <w14:solidFill>
              <w14:schemeClr w14:val="tx1"/>
            </w14:solidFill>
          </w14:textFill>
        </w:rPr>
        <w:fldChar w:fldCharType="end"/>
      </w:r>
    </w:p>
    <w:p w14:paraId="0D91B1E1">
      <w:pPr>
        <w:pStyle w:val="20"/>
        <w:tabs>
          <w:tab w:val="right" w:leader="dot" w:pos="8931"/>
          <w:tab w:val="clear" w:pos="8296"/>
        </w:tabs>
        <w:snapToGrid w:val="0"/>
        <w:spacing w:line="500" w:lineRule="atLeast"/>
        <w:ind w:left="0" w:leftChars="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fldChar w:fldCharType="end"/>
      </w:r>
    </w:p>
    <w:p w14:paraId="30E1CECB">
      <w:pPr>
        <w:spacing w:line="400" w:lineRule="exact"/>
        <w:jc w:val="left"/>
        <w:rPr>
          <w:rFonts w:hint="eastAsia" w:ascii="宋体" w:hAnsi="宋体" w:eastAsia="宋体" w:cs="宋体"/>
          <w:b/>
          <w:color w:val="000000" w:themeColor="text1"/>
          <w:sz w:val="32"/>
          <w:szCs w:val="32"/>
          <w14:textFill>
            <w14:solidFill>
              <w14:schemeClr w14:val="tx1"/>
            </w14:solidFill>
          </w14:textFill>
        </w:rPr>
      </w:pPr>
    </w:p>
    <w:p w14:paraId="716C3B33">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45B2EFA7">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3E08A3D1">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1B5842C9">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5211CA15">
      <w:pPr>
        <w:spacing w:line="400" w:lineRule="exact"/>
        <w:rPr>
          <w:rFonts w:hint="eastAsia" w:ascii="宋体" w:hAnsi="宋体" w:eastAsia="宋体" w:cs="宋体"/>
          <w:b/>
          <w:color w:val="000000" w:themeColor="text1"/>
          <w:sz w:val="32"/>
          <w:szCs w:val="32"/>
          <w14:textFill>
            <w14:solidFill>
              <w14:schemeClr w14:val="tx1"/>
            </w14:solidFill>
          </w14:textFill>
        </w:rPr>
      </w:pPr>
    </w:p>
    <w:p w14:paraId="2BCA24EE">
      <w:pPr>
        <w:rPr>
          <w:rFonts w:hint="eastAsia" w:ascii="宋体" w:hAnsi="宋体" w:eastAsia="宋体" w:cs="宋体"/>
          <w:color w:val="000000" w:themeColor="text1"/>
          <w:sz w:val="32"/>
          <w:szCs w:val="32"/>
          <w14:textFill>
            <w14:solidFill>
              <w14:schemeClr w14:val="tx1"/>
            </w14:solidFill>
          </w14:textFill>
        </w:rPr>
      </w:pPr>
    </w:p>
    <w:p w14:paraId="3DF8D506">
      <w:pPr>
        <w:rPr>
          <w:rFonts w:hint="eastAsia" w:ascii="宋体" w:hAnsi="宋体" w:eastAsia="宋体" w:cs="宋体"/>
          <w:color w:val="000000" w:themeColor="text1"/>
          <w:sz w:val="32"/>
          <w:szCs w:val="32"/>
          <w14:textFill>
            <w14:solidFill>
              <w14:schemeClr w14:val="tx1"/>
            </w14:solidFill>
          </w14:textFill>
        </w:rPr>
      </w:pPr>
    </w:p>
    <w:p w14:paraId="11F8CF0E">
      <w:pPr>
        <w:rPr>
          <w:rFonts w:hint="eastAsia" w:ascii="宋体" w:hAnsi="宋体" w:eastAsia="宋体" w:cs="宋体"/>
          <w:color w:val="000000" w:themeColor="text1"/>
          <w:sz w:val="32"/>
          <w:szCs w:val="32"/>
          <w14:textFill>
            <w14:solidFill>
              <w14:schemeClr w14:val="tx1"/>
            </w14:solidFill>
          </w14:textFill>
        </w:rPr>
      </w:pPr>
    </w:p>
    <w:p w14:paraId="40410049">
      <w:pPr>
        <w:rPr>
          <w:rFonts w:hint="eastAsia" w:ascii="宋体" w:hAnsi="宋体" w:eastAsia="宋体" w:cs="宋体"/>
          <w:color w:val="000000" w:themeColor="text1"/>
          <w:sz w:val="32"/>
          <w:szCs w:val="32"/>
          <w14:textFill>
            <w14:solidFill>
              <w14:schemeClr w14:val="tx1"/>
            </w14:solidFill>
          </w14:textFill>
        </w:rPr>
      </w:pPr>
    </w:p>
    <w:p w14:paraId="2165088F">
      <w:pPr>
        <w:rPr>
          <w:rFonts w:hint="eastAsia" w:ascii="宋体" w:hAnsi="宋体" w:eastAsia="宋体" w:cs="宋体"/>
          <w:color w:val="000000" w:themeColor="text1"/>
          <w:sz w:val="32"/>
          <w:szCs w:val="32"/>
          <w14:textFill>
            <w14:solidFill>
              <w14:schemeClr w14:val="tx1"/>
            </w14:solidFill>
          </w14:textFill>
        </w:rPr>
      </w:pPr>
    </w:p>
    <w:p w14:paraId="6C1826E7">
      <w:pPr>
        <w:jc w:val="center"/>
        <w:rPr>
          <w:rFonts w:hint="eastAsia" w:ascii="宋体" w:hAnsi="宋体" w:eastAsia="宋体" w:cs="宋体"/>
          <w:color w:val="000000" w:themeColor="text1"/>
          <w:sz w:val="32"/>
          <w:szCs w:val="32"/>
          <w14:textFill>
            <w14:solidFill>
              <w14:schemeClr w14:val="tx1"/>
            </w14:solidFill>
          </w14:textFill>
        </w:rPr>
      </w:pPr>
    </w:p>
    <w:p w14:paraId="370FB7CE">
      <w:pPr>
        <w:rPr>
          <w:rFonts w:hint="eastAsia" w:ascii="宋体" w:hAnsi="宋体" w:eastAsia="宋体" w:cs="宋体"/>
          <w:color w:val="000000" w:themeColor="text1"/>
          <w:sz w:val="32"/>
          <w:szCs w:val="32"/>
          <w14:textFill>
            <w14:solidFill>
              <w14:schemeClr w14:val="tx1"/>
            </w14:solidFill>
          </w14:textFill>
        </w:rPr>
      </w:pPr>
    </w:p>
    <w:p w14:paraId="3BA03D66">
      <w:pPr>
        <w:rPr>
          <w:rFonts w:hint="eastAsia" w:ascii="宋体" w:hAnsi="宋体" w:eastAsia="宋体" w:cs="宋体"/>
          <w:color w:val="000000" w:themeColor="text1"/>
          <w:sz w:val="32"/>
          <w:szCs w:val="32"/>
          <w14:textFill>
            <w14:solidFill>
              <w14:schemeClr w14:val="tx1"/>
            </w14:solidFill>
          </w14:textFill>
        </w:rPr>
      </w:pPr>
    </w:p>
    <w:p w14:paraId="288444C4">
      <w:pPr>
        <w:rPr>
          <w:rFonts w:hint="eastAsia" w:ascii="宋体" w:hAnsi="宋体" w:eastAsia="宋体" w:cs="宋体"/>
          <w:color w:val="000000" w:themeColor="text1"/>
          <w:sz w:val="32"/>
          <w:szCs w:val="32"/>
          <w14:textFill>
            <w14:solidFill>
              <w14:schemeClr w14:val="tx1"/>
            </w14:solidFill>
          </w14:textFill>
        </w:rPr>
      </w:pPr>
    </w:p>
    <w:p w14:paraId="6F5EF03B">
      <w:pPr>
        <w:rPr>
          <w:rFonts w:hint="eastAsia" w:ascii="宋体" w:hAnsi="宋体" w:eastAsia="宋体" w:cs="宋体"/>
          <w:color w:val="000000" w:themeColor="text1"/>
          <w:sz w:val="32"/>
          <w:szCs w:val="32"/>
          <w14:textFill>
            <w14:solidFill>
              <w14:schemeClr w14:val="tx1"/>
            </w14:solidFill>
          </w14:textFill>
        </w:rPr>
        <w:sectPr>
          <w:headerReference r:id="rId3" w:type="default"/>
          <w:footerReference r:id="rId4" w:type="default"/>
          <w:pgSz w:w="11906" w:h="16838"/>
          <w:pgMar w:top="1440" w:right="1440" w:bottom="1440" w:left="1587" w:header="851" w:footer="992" w:gutter="0"/>
          <w:pgNumType w:start="0"/>
          <w:cols w:space="720" w:num="1"/>
          <w:titlePg/>
          <w:docGrid w:type="lines" w:linePitch="312" w:charSpace="0"/>
        </w:sectPr>
      </w:pPr>
    </w:p>
    <w:p w14:paraId="6DEB43CB">
      <w:pPr>
        <w:pStyle w:val="2"/>
        <w:spacing w:after="100" w:line="480" w:lineRule="auto"/>
        <w:jc w:val="center"/>
        <w:rPr>
          <w:rFonts w:hint="eastAsia" w:ascii="宋体" w:hAnsi="宋体" w:eastAsia="宋体" w:cs="宋体"/>
          <w:color w:val="000000" w:themeColor="text1"/>
          <w14:textFill>
            <w14:solidFill>
              <w14:schemeClr w14:val="tx1"/>
            </w14:solidFill>
          </w14:textFill>
        </w:rPr>
      </w:pPr>
      <w:bookmarkStart w:id="0" w:name="_Toc100252370"/>
      <w:r>
        <w:rPr>
          <w:rFonts w:hint="eastAsia" w:ascii="宋体" w:hAnsi="宋体" w:eastAsia="宋体" w:cs="宋体"/>
          <w:color w:val="000000" w:themeColor="text1"/>
          <w14:textFill>
            <w14:solidFill>
              <w14:schemeClr w14:val="tx1"/>
            </w14:solidFill>
          </w14:textFill>
        </w:rPr>
        <w:t xml:space="preserve">第一章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竞争性谈判公告</w:t>
      </w:r>
      <w:bookmarkEnd w:id="0"/>
    </w:p>
    <w:p w14:paraId="0C05DF43">
      <w:pPr>
        <w:spacing w:line="400" w:lineRule="exact"/>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广西汉昌工程咨询有限公司</w:t>
      </w:r>
      <w:r>
        <w:rPr>
          <w:rFonts w:hint="eastAsia" w:ascii="宋体" w:hAnsi="宋体" w:cs="宋体"/>
          <w:b/>
          <w:bCs/>
          <w:color w:val="000000" w:themeColor="text1"/>
          <w:sz w:val="32"/>
          <w:szCs w:val="32"/>
          <w:lang w:val="en-US" w:eastAsia="zh-CN"/>
          <w14:textFill>
            <w14:solidFill>
              <w14:schemeClr w14:val="tx1"/>
            </w14:solidFill>
          </w14:textFill>
        </w:rPr>
        <w:t>关于</w:t>
      </w:r>
      <w:r>
        <w:rPr>
          <w:rFonts w:hint="eastAsia" w:ascii="宋体" w:hAnsi="宋体" w:cs="宋体"/>
          <w:b/>
          <w:bCs/>
          <w:color w:val="000000" w:themeColor="text1"/>
          <w:sz w:val="32"/>
          <w:szCs w:val="32"/>
          <w:lang w:eastAsia="zh-CN"/>
          <w14:textFill>
            <w14:solidFill>
              <w14:schemeClr w14:val="tx1"/>
            </w14:solidFill>
          </w14:textFill>
        </w:rPr>
        <w:t>灵山县人民医院2024年学科方案第六批医疗设备采购（重2）（QZZC2025-J1-210049-HCZX）</w:t>
      </w:r>
      <w:r>
        <w:rPr>
          <w:rFonts w:hint="eastAsia" w:ascii="宋体" w:hAnsi="宋体" w:eastAsia="宋体" w:cs="宋体"/>
          <w:b/>
          <w:bCs/>
          <w:color w:val="000000" w:themeColor="text1"/>
          <w:sz w:val="32"/>
          <w:szCs w:val="32"/>
          <w14:textFill>
            <w14:solidFill>
              <w14:schemeClr w14:val="tx1"/>
            </w14:solidFill>
          </w14:textFill>
        </w:rPr>
        <w:t>竞争性谈判公告</w:t>
      </w:r>
    </w:p>
    <w:p w14:paraId="6E8159CF">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p>
    <w:p w14:paraId="1D5EFE2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 w:name="_Hlk37430271"/>
      <w:r>
        <w:rPr>
          <w:rFonts w:hint="eastAsia" w:ascii="宋体" w:hAnsi="宋体" w:eastAsia="宋体" w:cs="宋体"/>
          <w:color w:val="000000" w:themeColor="text1"/>
          <w:sz w:val="21"/>
          <w:szCs w:val="21"/>
          <w14:textFill>
            <w14:solidFill>
              <w14:schemeClr w14:val="tx1"/>
            </w14:solidFill>
          </w14:textFill>
        </w:rPr>
        <w:t>项目概况</w:t>
      </w:r>
    </w:p>
    <w:p w14:paraId="70BC235A">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u w:val="single"/>
          <w:lang w:eastAsia="zh-CN"/>
          <w14:textFill>
            <w14:solidFill>
              <w14:schemeClr w14:val="tx1"/>
            </w14:solidFill>
          </w14:textFill>
        </w:rPr>
        <w:t>灵山县人民医院2024年学科方案第六批医疗设备采购（重2）</w:t>
      </w:r>
      <w:r>
        <w:rPr>
          <w:rFonts w:hint="eastAsia" w:ascii="宋体" w:hAnsi="宋体" w:eastAsia="宋体" w:cs="宋体"/>
          <w:color w:val="000000" w:themeColor="text1"/>
          <w:sz w:val="21"/>
          <w:szCs w:val="21"/>
          <w14:textFill>
            <w14:solidFill>
              <w14:schemeClr w14:val="tx1"/>
            </w14:solidFill>
          </w14:textFill>
        </w:rPr>
        <w:t>项目的潜在供应商应在</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）获取（下载）竞争性谈判文件，并于</w:t>
      </w:r>
      <w:r>
        <w:rPr>
          <w:rFonts w:hint="eastAsia" w:ascii="宋体" w:hAnsi="宋体" w:cs="宋体"/>
          <w:color w:val="000000" w:themeColor="text1"/>
          <w:sz w:val="21"/>
          <w:szCs w:val="21"/>
          <w:u w:val="single"/>
          <w:lang w:eastAsia="zh-CN"/>
          <w14:textFill>
            <w14:solidFill>
              <w14:schemeClr w14:val="tx1"/>
            </w14:solidFill>
          </w14:textFill>
        </w:rPr>
        <w:t>2025年</w:t>
      </w:r>
      <w:r>
        <w:rPr>
          <w:rFonts w:hint="eastAsia" w:ascii="宋体" w:hAnsi="宋体" w:cs="宋体"/>
          <w:color w:val="000000" w:themeColor="text1"/>
          <w:sz w:val="21"/>
          <w:szCs w:val="21"/>
          <w:u w:val="single"/>
          <w:lang w:val="en-US" w:eastAsia="zh-CN"/>
          <w14:textFill>
            <w14:solidFill>
              <w14:schemeClr w14:val="tx1"/>
            </w14:solidFill>
          </w14:textFill>
        </w:rPr>
        <w:t>4</w:t>
      </w:r>
      <w:r>
        <w:rPr>
          <w:rFonts w:hint="eastAsia" w:ascii="宋体" w:hAnsi="宋体" w:cs="宋体"/>
          <w:color w:val="000000" w:themeColor="text1"/>
          <w:sz w:val="21"/>
          <w:szCs w:val="21"/>
          <w:u w:val="single"/>
          <w:lang w:eastAsia="zh-CN"/>
          <w14:textFill>
            <w14:solidFill>
              <w14:schemeClr w14:val="tx1"/>
            </w14:solidFill>
          </w14:textFill>
        </w:rPr>
        <w:t>月</w:t>
      </w:r>
      <w:r>
        <w:rPr>
          <w:rFonts w:hint="eastAsia" w:ascii="宋体" w:hAnsi="宋体" w:cs="宋体"/>
          <w:color w:val="000000" w:themeColor="text1"/>
          <w:sz w:val="21"/>
          <w:szCs w:val="21"/>
          <w:u w:val="single"/>
          <w:lang w:val="en-US" w:eastAsia="zh-CN"/>
          <w14:textFill>
            <w14:solidFill>
              <w14:schemeClr w14:val="tx1"/>
            </w14:solidFill>
          </w14:textFill>
        </w:rPr>
        <w:t>14</w:t>
      </w:r>
      <w:r>
        <w:rPr>
          <w:rFonts w:hint="eastAsia" w:ascii="宋体" w:hAnsi="宋体" w:cs="宋体"/>
          <w:color w:val="000000" w:themeColor="text1"/>
          <w:sz w:val="21"/>
          <w:szCs w:val="21"/>
          <w:u w:val="single"/>
          <w:lang w:eastAsia="zh-CN"/>
          <w14:textFill>
            <w14:solidFill>
              <w14:schemeClr w14:val="tx1"/>
            </w14:solidFill>
          </w14:textFill>
        </w:rPr>
        <w:t>日</w:t>
      </w:r>
      <w:r>
        <w:rPr>
          <w:rFonts w:hint="eastAsia" w:ascii="宋体" w:hAnsi="宋体" w:cs="宋体"/>
          <w:color w:val="000000" w:themeColor="text1"/>
          <w:sz w:val="21"/>
          <w:szCs w:val="21"/>
          <w:u w:val="single"/>
          <w:lang w:val="en-US" w:eastAsia="zh-CN"/>
          <w14:textFill>
            <w14:solidFill>
              <w14:schemeClr w14:val="tx1"/>
            </w14:solidFill>
          </w14:textFill>
        </w:rPr>
        <w:t>10时00分</w:t>
      </w:r>
      <w:r>
        <w:rPr>
          <w:rFonts w:hint="eastAsia" w:ascii="宋体" w:hAnsi="宋体" w:eastAsia="宋体" w:cs="宋体"/>
          <w:bCs/>
          <w:color w:val="000000" w:themeColor="text1"/>
          <w:sz w:val="21"/>
          <w:szCs w:val="21"/>
          <w:u w:val="single"/>
          <w14:textFill>
            <w14:solidFill>
              <w14:schemeClr w14:val="tx1"/>
            </w14:solidFill>
          </w14:textFill>
        </w:rPr>
        <w:t>（北京时间）</w:t>
      </w:r>
      <w:r>
        <w:rPr>
          <w:rFonts w:hint="eastAsia" w:ascii="宋体" w:hAnsi="宋体" w:eastAsia="宋体" w:cs="宋体"/>
          <w:bCs/>
          <w:color w:val="000000" w:themeColor="text1"/>
          <w:sz w:val="21"/>
          <w:szCs w:val="21"/>
          <w14:textFill>
            <w14:solidFill>
              <w14:schemeClr w14:val="tx1"/>
            </w14:solidFill>
          </w14:textFill>
        </w:rPr>
        <w:t>前提交（上传）</w:t>
      </w:r>
      <w:r>
        <w:rPr>
          <w:rFonts w:hint="eastAsia" w:ascii="宋体" w:hAnsi="宋体" w:eastAsia="宋体" w:cs="宋体"/>
          <w:color w:val="000000" w:themeColor="text1"/>
          <w:sz w:val="21"/>
          <w:szCs w:val="21"/>
          <w14:textFill>
            <w14:solidFill>
              <w14:schemeClr w14:val="tx1"/>
            </w14:solidFill>
          </w14:textFill>
        </w:rPr>
        <w:t>响应</w:t>
      </w:r>
      <w:r>
        <w:rPr>
          <w:rFonts w:hint="eastAsia" w:ascii="宋体" w:hAnsi="宋体" w:eastAsia="宋体" w:cs="宋体"/>
          <w:bCs/>
          <w:color w:val="000000" w:themeColor="text1"/>
          <w:sz w:val="21"/>
          <w:szCs w:val="21"/>
          <w14:textFill>
            <w14:solidFill>
              <w14:schemeClr w14:val="tx1"/>
            </w14:solidFill>
          </w14:textFill>
        </w:rPr>
        <w:t>文件</w:t>
      </w:r>
      <w:r>
        <w:rPr>
          <w:rFonts w:hint="eastAsia" w:ascii="宋体" w:hAnsi="宋体" w:eastAsia="宋体" w:cs="宋体"/>
          <w:color w:val="000000" w:themeColor="text1"/>
          <w:sz w:val="21"/>
          <w:szCs w:val="21"/>
          <w14:textFill>
            <w14:solidFill>
              <w14:schemeClr w14:val="tx1"/>
            </w14:solidFill>
          </w14:textFill>
        </w:rPr>
        <w:t>。</w:t>
      </w:r>
    </w:p>
    <w:p w14:paraId="4E52F7A4">
      <w:pPr>
        <w:keepNext w:val="0"/>
        <w:keepLines w:val="0"/>
        <w:pageBreakBefore w:val="0"/>
        <w:kinsoku/>
        <w:wordWrap/>
        <w:overflowPunct/>
        <w:topLinePunct w:val="0"/>
        <w:autoSpaceDE/>
        <w:autoSpaceDN/>
        <w:bidi w:val="0"/>
        <w:adjustRightIn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p>
    <w:p w14:paraId="74146AA6">
      <w:pPr>
        <w:keepNext w:val="0"/>
        <w:keepLines w:val="0"/>
        <w:pageBreakBefore w:val="0"/>
        <w:kinsoku/>
        <w:wordWrap/>
        <w:overflowPunct/>
        <w:topLinePunct w:val="0"/>
        <w:autoSpaceDE/>
        <w:autoSpaceDN/>
        <w:bidi w:val="0"/>
        <w:adjustRightInd/>
        <w:spacing w:line="400" w:lineRule="exact"/>
        <w:ind w:firstLine="315" w:firstLineChars="150"/>
        <w:textAlignment w:val="auto"/>
        <w:rPr>
          <w:rFonts w:hint="eastAsia" w:ascii="宋体" w:hAnsi="宋体" w:eastAsia="宋体" w:cs="宋体"/>
          <w:color w:val="000000" w:themeColor="text1"/>
          <w:sz w:val="21"/>
          <w:szCs w:val="21"/>
          <w14:textFill>
            <w14:solidFill>
              <w14:schemeClr w14:val="tx1"/>
            </w14:solidFill>
          </w14:textFill>
        </w:rPr>
      </w:pPr>
      <w:bookmarkStart w:id="2" w:name="_Toc28359012"/>
      <w:bookmarkStart w:id="3" w:name="_Toc71366040"/>
      <w:bookmarkStart w:id="4" w:name="_Toc71365362"/>
      <w:bookmarkStart w:id="5" w:name="_Toc28359089"/>
      <w:bookmarkStart w:id="6" w:name="_Toc35393798"/>
      <w:bookmarkStart w:id="7" w:name="_Toc35393629"/>
      <w:r>
        <w:rPr>
          <w:rFonts w:hint="eastAsia" w:ascii="宋体" w:hAnsi="宋体" w:eastAsia="宋体" w:cs="宋体"/>
          <w:color w:val="000000" w:themeColor="text1"/>
          <w:sz w:val="21"/>
          <w:szCs w:val="21"/>
          <w14:textFill>
            <w14:solidFill>
              <w14:schemeClr w14:val="tx1"/>
            </w14:solidFill>
          </w14:textFill>
        </w:rPr>
        <w:t>一、项目基本情况</w:t>
      </w:r>
      <w:bookmarkEnd w:id="2"/>
      <w:bookmarkEnd w:id="3"/>
      <w:bookmarkEnd w:id="4"/>
      <w:bookmarkEnd w:id="5"/>
      <w:bookmarkEnd w:id="6"/>
      <w:bookmarkEnd w:id="7"/>
    </w:p>
    <w:p w14:paraId="711CC09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项目编号：</w:t>
      </w:r>
      <w:r>
        <w:rPr>
          <w:rFonts w:hint="eastAsia" w:ascii="宋体" w:hAnsi="宋体" w:cs="宋体"/>
          <w:color w:val="000000" w:themeColor="text1"/>
          <w:sz w:val="21"/>
          <w:szCs w:val="21"/>
          <w:lang w:eastAsia="zh-CN"/>
          <w14:textFill>
            <w14:solidFill>
              <w14:schemeClr w14:val="tx1"/>
            </w14:solidFill>
          </w14:textFill>
        </w:rPr>
        <w:t>QZZC2025-J1-210049-HCZX</w:t>
      </w:r>
    </w:p>
    <w:p w14:paraId="2FE19A1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项目名称：</w:t>
      </w:r>
      <w:r>
        <w:rPr>
          <w:rFonts w:hint="eastAsia" w:ascii="宋体" w:hAnsi="宋体" w:cs="宋体"/>
          <w:color w:val="000000" w:themeColor="text1"/>
          <w:sz w:val="21"/>
          <w:szCs w:val="21"/>
          <w:lang w:eastAsia="zh-CN"/>
          <w14:textFill>
            <w14:solidFill>
              <w14:schemeClr w14:val="tx1"/>
            </w14:solidFill>
          </w14:textFill>
        </w:rPr>
        <w:t>灵山县人民医院2024年学科方案第六批医疗设备采购（重2）</w:t>
      </w:r>
    </w:p>
    <w:p w14:paraId="57AFFF5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采购方式：竞争性谈判</w:t>
      </w:r>
    </w:p>
    <w:p w14:paraId="7E1279F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预算总金额（元）：1309480</w:t>
      </w:r>
      <w:r>
        <w:rPr>
          <w:rFonts w:hint="eastAsia" w:ascii="宋体" w:hAnsi="宋体" w:cs="宋体"/>
          <w:color w:val="000000" w:themeColor="text1"/>
          <w:sz w:val="21"/>
          <w:szCs w:val="21"/>
          <w:lang w:val="en-US" w:eastAsia="zh-CN"/>
          <w14:textFill>
            <w14:solidFill>
              <w14:schemeClr w14:val="tx1"/>
            </w14:solidFill>
          </w14:textFill>
        </w:rPr>
        <w:t>.00</w:t>
      </w:r>
    </w:p>
    <w:p w14:paraId="367F97A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采购需求：</w:t>
      </w:r>
    </w:p>
    <w:p w14:paraId="6CEC5F9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标项名称</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双缸组织脱水机、全自动清洗机、插件式多参数监护仪等22项设备</w:t>
      </w:r>
    </w:p>
    <w:p w14:paraId="364858E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w:t>
      </w:r>
    </w:p>
    <w:p w14:paraId="41D6CF9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预算金额（元）</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1309480</w:t>
      </w:r>
      <w:r>
        <w:rPr>
          <w:rFonts w:hint="eastAsia" w:ascii="宋体" w:hAnsi="宋体" w:cs="宋体"/>
          <w:color w:val="000000" w:themeColor="text1"/>
          <w:sz w:val="21"/>
          <w:szCs w:val="21"/>
          <w:lang w:val="en-US" w:eastAsia="zh-CN"/>
          <w14:textFill>
            <w14:solidFill>
              <w14:schemeClr w14:val="tx1"/>
            </w14:solidFill>
          </w14:textFill>
        </w:rPr>
        <w:t>.00</w:t>
      </w:r>
    </w:p>
    <w:p w14:paraId="71E49FE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简要规格描述或项目基本概况介绍、用途：双缸组织脱水机1台、全自动清洗机1台、插件式多参数监护仪4台、便携式监护仪2台、全自动打印医用封口机1台、医械绝缘检测仪1台、一拖六输注工作站1套、中央监护系统1套、血氧饱和度监测仪5台、隔离层流病床1张、移动式等离子空气消毒机2台、全自动洗胃机1台、四摇分腿倾斜骨科床2张、双摇三折护理床10张、亚低温冰毯3张、护理床双摇床垫20张、防褥气垫3张、小号仪器车6辆、轮椅5辆、胃肠镜灌流器清洗套件10只、胃肠镜送气送水阀20只、立式输液架3支</w:t>
      </w:r>
    </w:p>
    <w:p w14:paraId="7956D9A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最高限价（</w:t>
      </w:r>
      <w:r>
        <w:rPr>
          <w:rFonts w:hint="eastAsia" w:ascii="宋体" w:hAnsi="宋体" w:cs="宋体"/>
          <w:color w:val="000000" w:themeColor="text1"/>
          <w:sz w:val="21"/>
          <w:szCs w:val="21"/>
          <w:lang w:eastAsia="zh-CN"/>
          <w14:textFill>
            <w14:solidFill>
              <w14:schemeClr w14:val="tx1"/>
            </w14:solidFill>
          </w14:textFill>
        </w:rPr>
        <w:t>元</w:t>
      </w:r>
      <w:r>
        <w:rPr>
          <w:rFonts w:hint="eastAsia" w:ascii="宋体" w:hAnsi="宋体" w:eastAsia="宋体" w:cs="宋体"/>
          <w:color w:val="000000" w:themeColor="text1"/>
          <w:sz w:val="21"/>
          <w:szCs w:val="21"/>
          <w14:textFill>
            <w14:solidFill>
              <w14:schemeClr w14:val="tx1"/>
            </w14:solidFill>
          </w14:textFill>
        </w:rPr>
        <w:t>）：1309480</w:t>
      </w:r>
      <w:r>
        <w:rPr>
          <w:rFonts w:hint="eastAsia" w:ascii="宋体" w:hAnsi="宋体" w:cs="宋体"/>
          <w:color w:val="000000" w:themeColor="text1"/>
          <w:sz w:val="21"/>
          <w:szCs w:val="21"/>
          <w:lang w:val="en-US" w:eastAsia="zh-CN"/>
          <w14:textFill>
            <w14:solidFill>
              <w14:schemeClr w14:val="tx1"/>
            </w14:solidFill>
          </w14:textFill>
        </w:rPr>
        <w:t>.00</w:t>
      </w:r>
    </w:p>
    <w:p w14:paraId="11B7989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合同履约期限：自签订合同之日起30个日历日内交货、安装调试完毕并通过验收。</w:t>
      </w:r>
    </w:p>
    <w:p w14:paraId="727EF06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本项目（否）接受联合体投标</w:t>
      </w:r>
    </w:p>
    <w:p w14:paraId="1F02495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8" w:name="_Toc28359013"/>
      <w:bookmarkStart w:id="9" w:name="_Toc28359090"/>
      <w:bookmarkStart w:id="10" w:name="_Toc35393630"/>
      <w:bookmarkStart w:id="11" w:name="_Toc71366041"/>
      <w:bookmarkStart w:id="12" w:name="_Toc35393799"/>
      <w:bookmarkStart w:id="13" w:name="_Toc71365363"/>
      <w:r>
        <w:rPr>
          <w:rFonts w:hint="eastAsia" w:ascii="宋体" w:hAnsi="宋体" w:eastAsia="宋体" w:cs="宋体"/>
          <w:color w:val="000000" w:themeColor="text1"/>
          <w:sz w:val="21"/>
          <w:szCs w:val="21"/>
          <w14:textFill>
            <w14:solidFill>
              <w14:schemeClr w14:val="tx1"/>
            </w14:solidFill>
          </w14:textFill>
        </w:rPr>
        <w:t>二、供应商的资格条件：</w:t>
      </w:r>
      <w:bookmarkEnd w:id="8"/>
      <w:bookmarkEnd w:id="9"/>
      <w:bookmarkEnd w:id="10"/>
      <w:bookmarkEnd w:id="11"/>
      <w:bookmarkEnd w:id="12"/>
      <w:bookmarkEnd w:id="13"/>
    </w:p>
    <w:p w14:paraId="75164B2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4" w:name="_Toc28359014"/>
      <w:bookmarkStart w:id="15" w:name="_Toc28359091"/>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符合《中华人民共和国政府采购法》第二十二条的规定。</w:t>
      </w:r>
    </w:p>
    <w:p w14:paraId="767A3E2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未被“信用中国”（www.creditchina.gov.cn）、中国政府采购网（www.ccgp.gov.cn）列入失信被执行人、重大税收违法案件当事人名单、政府采购严重违法失信行为记录名单。</w:t>
      </w:r>
    </w:p>
    <w:p w14:paraId="6F8086E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.落实政府采购政策需满足的资格要求：无</w:t>
      </w:r>
      <w:r>
        <w:rPr>
          <w:rFonts w:hint="eastAsia" w:ascii="宋体" w:hAnsi="宋体" w:cs="宋体"/>
          <w:color w:val="000000" w:themeColor="text1"/>
          <w:sz w:val="21"/>
          <w:szCs w:val="21"/>
          <w:lang w:eastAsia="zh-CN"/>
          <w14:textFill>
            <w14:solidFill>
              <w14:schemeClr w14:val="tx1"/>
            </w14:solidFill>
          </w14:textFill>
        </w:rPr>
        <w:t>。</w:t>
      </w:r>
    </w:p>
    <w:p w14:paraId="3D1C49B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.本项目的特定资格要求：</w:t>
      </w:r>
    </w:p>
    <w:p w14:paraId="19EAFA5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000000"/>
          <w:sz w:val="21"/>
          <w:szCs w:val="21"/>
          <w:lang w:val="en-US" w:eastAsia="zh-CN"/>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1</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sz w:val="21"/>
          <w:szCs w:val="21"/>
          <w:lang w:val="en-US" w:eastAsia="zh-CN"/>
        </w:rPr>
        <w:t>供应商必须具备由食品药品监督管理部门颁发的有效的证件（供应商为生产企业须具备《医疗器械生产许可证》；供应商为经营企业经营第二类医疗器械的须具备《第二类医疗器械经营备案凭证》，供应商为经营第三类医疗器械的须具备《医疗器械经营许可证》）；</w:t>
      </w:r>
    </w:p>
    <w:p w14:paraId="2ECD443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）单位负责人为同一人或者存在直接控股、管理关系的不同供应商，不得参加同一合同项下的政府采购活动。</w:t>
      </w:r>
    </w:p>
    <w:p w14:paraId="70F0FCF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16" w:name="_Toc35393631"/>
      <w:bookmarkStart w:id="17" w:name="_Toc35393800"/>
      <w:bookmarkStart w:id="18" w:name="_Toc71365364"/>
      <w:bookmarkStart w:id="19" w:name="_Toc71366042"/>
      <w:r>
        <w:rPr>
          <w:rFonts w:hint="eastAsia" w:ascii="宋体" w:hAnsi="宋体" w:eastAsia="宋体" w:cs="宋体"/>
          <w:color w:val="000000" w:themeColor="text1"/>
          <w:sz w:val="21"/>
          <w:szCs w:val="21"/>
          <w14:textFill>
            <w14:solidFill>
              <w14:schemeClr w14:val="tx1"/>
            </w14:solidFill>
          </w14:textFill>
        </w:rPr>
        <w:t>三、获取竞争性谈判文件</w:t>
      </w:r>
      <w:bookmarkEnd w:id="14"/>
      <w:bookmarkEnd w:id="15"/>
      <w:bookmarkEnd w:id="16"/>
      <w:bookmarkEnd w:id="17"/>
      <w:bookmarkEnd w:id="18"/>
      <w:bookmarkEnd w:id="19"/>
    </w:p>
    <w:p w14:paraId="33FF35F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时间：</w:t>
      </w:r>
      <w:r>
        <w:rPr>
          <w:rFonts w:hint="eastAsia" w:ascii="宋体" w:hAnsi="宋体" w:cs="宋体"/>
          <w:bCs/>
          <w:color w:val="000000" w:themeColor="text1"/>
          <w:kern w:val="0"/>
          <w:sz w:val="21"/>
          <w:szCs w:val="21"/>
          <w:lang w:eastAsia="zh-CN"/>
          <w14:textFill>
            <w14:solidFill>
              <w14:schemeClr w14:val="tx1"/>
            </w14:solidFill>
          </w14:textFill>
        </w:rPr>
        <w:t>2025年4月</w:t>
      </w:r>
      <w:r>
        <w:rPr>
          <w:rFonts w:hint="eastAsia" w:ascii="宋体" w:hAnsi="宋体" w:cs="宋体"/>
          <w:bCs/>
          <w:color w:val="000000" w:themeColor="text1"/>
          <w:kern w:val="0"/>
          <w:sz w:val="21"/>
          <w:szCs w:val="21"/>
          <w:lang w:val="en-US" w:eastAsia="zh-CN"/>
          <w14:textFill>
            <w14:solidFill>
              <w14:schemeClr w14:val="tx1"/>
            </w14:solidFill>
          </w14:textFill>
        </w:rPr>
        <w:t>8</w:t>
      </w:r>
      <w:r>
        <w:rPr>
          <w:rFonts w:hint="eastAsia" w:ascii="宋体" w:hAnsi="宋体" w:eastAsia="宋体" w:cs="宋体"/>
          <w:bCs/>
          <w:color w:val="000000" w:themeColor="text1"/>
          <w:kern w:val="0"/>
          <w:sz w:val="21"/>
          <w:szCs w:val="21"/>
          <w14:textFill>
            <w14:solidFill>
              <w14:schemeClr w14:val="tx1"/>
            </w14:solidFill>
          </w14:textFill>
        </w:rPr>
        <w:t>日至</w:t>
      </w:r>
      <w:r>
        <w:rPr>
          <w:rFonts w:hint="eastAsia" w:ascii="宋体" w:hAnsi="宋体" w:cs="宋体"/>
          <w:bCs/>
          <w:color w:val="000000" w:themeColor="text1"/>
          <w:kern w:val="0"/>
          <w:sz w:val="21"/>
          <w:szCs w:val="21"/>
          <w:lang w:eastAsia="zh-CN"/>
          <w14:textFill>
            <w14:solidFill>
              <w14:schemeClr w14:val="tx1"/>
            </w14:solidFill>
          </w14:textFill>
        </w:rPr>
        <w:t>2025年4月</w:t>
      </w:r>
      <w:r>
        <w:rPr>
          <w:rFonts w:hint="eastAsia" w:ascii="宋体" w:hAnsi="宋体" w:cs="宋体"/>
          <w:bCs/>
          <w:color w:val="000000" w:themeColor="text1"/>
          <w:kern w:val="0"/>
          <w:sz w:val="21"/>
          <w:szCs w:val="21"/>
          <w:lang w:val="en-US" w:eastAsia="zh-CN"/>
          <w14:textFill>
            <w14:solidFill>
              <w14:schemeClr w14:val="tx1"/>
            </w14:solidFill>
          </w14:textFill>
        </w:rPr>
        <w:t>11</w:t>
      </w:r>
      <w:r>
        <w:rPr>
          <w:rFonts w:hint="eastAsia" w:ascii="宋体" w:hAnsi="宋体" w:eastAsia="宋体" w:cs="宋体"/>
          <w:bCs/>
          <w:color w:val="000000" w:themeColor="text1"/>
          <w:kern w:val="0"/>
          <w:sz w:val="21"/>
          <w:szCs w:val="21"/>
          <w14:textFill>
            <w14:solidFill>
              <w14:schemeClr w14:val="tx1"/>
            </w14:solidFill>
          </w14:textFill>
        </w:rPr>
        <w:t>日，每天上午08：</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0至12：00，下午15：00至1</w:t>
      </w:r>
      <w:r>
        <w:rPr>
          <w:rFonts w:hint="eastAsia" w:ascii="宋体" w:hAnsi="宋体" w:cs="宋体"/>
          <w:bCs/>
          <w:color w:val="000000" w:themeColor="text1"/>
          <w:kern w:val="0"/>
          <w:sz w:val="21"/>
          <w:szCs w:val="21"/>
          <w:lang w:val="en-US" w:eastAsia="zh-CN"/>
          <w14:textFill>
            <w14:solidFill>
              <w14:schemeClr w14:val="tx1"/>
            </w14:solidFill>
          </w14:textFill>
        </w:rPr>
        <w:t>7</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cs="宋体"/>
          <w:bCs/>
          <w:color w:val="000000" w:themeColor="text1"/>
          <w:kern w:val="0"/>
          <w:sz w:val="21"/>
          <w:szCs w:val="21"/>
          <w:lang w:val="en-US" w:eastAsia="zh-CN"/>
          <w14:textFill>
            <w14:solidFill>
              <w14:schemeClr w14:val="tx1"/>
            </w14:solidFill>
          </w14:textFill>
        </w:rPr>
        <w:t>3</w:t>
      </w:r>
      <w:r>
        <w:rPr>
          <w:rFonts w:hint="eastAsia" w:ascii="宋体" w:hAnsi="宋体" w:eastAsia="宋体" w:cs="宋体"/>
          <w:bCs/>
          <w:color w:val="000000" w:themeColor="text1"/>
          <w:kern w:val="0"/>
          <w:sz w:val="21"/>
          <w:szCs w:val="21"/>
          <w14:textFill>
            <w14:solidFill>
              <w14:schemeClr w14:val="tx1"/>
            </w14:solidFill>
          </w14:textFill>
        </w:rPr>
        <w:t>0（北京时间，法定节假日除外）</w:t>
      </w:r>
    </w:p>
    <w:p w14:paraId="2C62100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kern w:val="0"/>
          <w:sz w:val="21"/>
          <w:szCs w:val="21"/>
          <w14:textFill>
            <w14:solidFill>
              <w14:schemeClr w14:val="tx1"/>
            </w14:solidFill>
          </w14:textFill>
        </w:rPr>
      </w:pPr>
      <w:r>
        <w:rPr>
          <w:rFonts w:hint="eastAsia" w:ascii="宋体" w:hAnsi="宋体" w:eastAsia="宋体" w:cs="宋体"/>
          <w:bCs/>
          <w:color w:val="000000" w:themeColor="text1"/>
          <w:kern w:val="0"/>
          <w:sz w:val="21"/>
          <w:szCs w:val="21"/>
          <w14:textFill>
            <w14:solidFill>
              <w14:schemeClr w14:val="tx1"/>
            </w14:solidFill>
          </w14:textFill>
        </w:rPr>
        <w:t>地点：</w:t>
      </w:r>
      <w:r>
        <w:rPr>
          <w:rFonts w:hint="eastAsia" w:ascii="宋体" w:hAnsi="宋体" w:cs="宋体"/>
          <w:bCs/>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cs="宋体"/>
          <w:bCs/>
          <w:color w:val="000000" w:themeColor="text1"/>
          <w:kern w:val="0"/>
          <w:sz w:val="21"/>
          <w:szCs w:val="21"/>
          <w:lang w:eastAsia="zh-CN"/>
          <w14:textFill>
            <w14:solidFill>
              <w14:schemeClr w14:val="tx1"/>
            </w14:solidFill>
          </w14:textFill>
        </w:rPr>
        <w:t>www.gcy.zfcg.gxzf.gov.cn/</w:t>
      </w:r>
      <w:r>
        <w:rPr>
          <w:rFonts w:hint="eastAsia" w:ascii="宋体" w:hAnsi="宋体" w:eastAsia="宋体" w:cs="宋体"/>
          <w:bCs/>
          <w:color w:val="000000" w:themeColor="text1"/>
          <w:kern w:val="0"/>
          <w:sz w:val="21"/>
          <w:szCs w:val="21"/>
          <w14:textFill>
            <w14:solidFill>
              <w14:schemeClr w14:val="tx1"/>
            </w14:solidFill>
          </w14:textFill>
        </w:rPr>
        <w:t>）</w:t>
      </w:r>
    </w:p>
    <w:p w14:paraId="6F27161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kern w:val="0"/>
          <w:sz w:val="21"/>
          <w:szCs w:val="21"/>
        </w:rPr>
      </w:pPr>
      <w:bookmarkStart w:id="20" w:name="_Toc71365365"/>
      <w:bookmarkStart w:id="21" w:name="_Toc28359092"/>
      <w:bookmarkStart w:id="22" w:name="_Toc35393632"/>
      <w:bookmarkStart w:id="23" w:name="_Toc71366043"/>
      <w:bookmarkStart w:id="24" w:name="_Toc35393801"/>
      <w:bookmarkStart w:id="25" w:name="_Toc28359015"/>
      <w:r>
        <w:rPr>
          <w:rFonts w:hint="eastAsia" w:ascii="宋体" w:hAnsi="宋体" w:eastAsia="宋体" w:cs="宋体"/>
          <w:bCs/>
          <w:color w:val="000000"/>
          <w:kern w:val="0"/>
          <w:sz w:val="21"/>
          <w:szCs w:val="21"/>
        </w:rPr>
        <w:t>方式：网上下载。本项目不发放纸质文件，供应商可自行在</w:t>
      </w:r>
      <w:r>
        <w:rPr>
          <w:rFonts w:hint="eastAsia" w:ascii="宋体" w:hAnsi="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（http：//</w:t>
      </w:r>
      <w:r>
        <w:rPr>
          <w:rFonts w:hint="eastAsia" w:ascii="宋体" w:hAnsi="宋体" w:cs="宋体"/>
          <w:bCs/>
          <w:color w:val="000000"/>
          <w:kern w:val="0"/>
          <w:sz w:val="21"/>
          <w:szCs w:val="21"/>
          <w:lang w:eastAsia="zh-CN"/>
        </w:rPr>
        <w:t>www.gcy.zfcg.gxzf.gov.cn/</w:t>
      </w:r>
      <w:r>
        <w:rPr>
          <w:rFonts w:hint="eastAsia" w:ascii="宋体" w:hAnsi="宋体" w:eastAsia="宋体" w:cs="宋体"/>
          <w:bCs/>
          <w:color w:val="000000"/>
          <w:kern w:val="0"/>
          <w:sz w:val="21"/>
          <w:szCs w:val="21"/>
        </w:rPr>
        <w:t>）下载</w:t>
      </w:r>
      <w:r>
        <w:rPr>
          <w:rFonts w:hint="eastAsia" w:ascii="宋体" w:hAnsi="宋体" w:cs="宋体"/>
          <w:bCs/>
          <w:color w:val="000000"/>
          <w:kern w:val="0"/>
          <w:sz w:val="21"/>
          <w:szCs w:val="21"/>
          <w:lang w:eastAsia="zh-CN"/>
        </w:rPr>
        <w:t>采购文件</w:t>
      </w:r>
      <w:r>
        <w:rPr>
          <w:rFonts w:hint="eastAsia" w:ascii="宋体" w:hAnsi="宋体" w:eastAsia="宋体" w:cs="宋体"/>
          <w:bCs/>
          <w:color w:val="000000"/>
          <w:kern w:val="0"/>
          <w:sz w:val="21"/>
          <w:szCs w:val="21"/>
        </w:rPr>
        <w:t>（操作路径：登录</w:t>
      </w:r>
      <w:r>
        <w:rPr>
          <w:rFonts w:hint="eastAsia" w:ascii="宋体" w:hAnsi="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-项目采购-获取采购文件-找到本项目-点击“申请获取采购文件”），电子投标文件制作需要基于</w:t>
      </w:r>
      <w:r>
        <w:rPr>
          <w:rFonts w:hint="eastAsia" w:ascii="宋体" w:hAnsi="宋体" w:cs="宋体"/>
          <w:bCs/>
          <w:color w:val="000000"/>
          <w:kern w:val="0"/>
          <w:sz w:val="21"/>
          <w:szCs w:val="21"/>
          <w:lang w:eastAsia="zh-CN"/>
        </w:rPr>
        <w:t>广西政府采购云平台</w:t>
      </w:r>
      <w:r>
        <w:rPr>
          <w:rFonts w:hint="eastAsia" w:ascii="宋体" w:hAnsi="宋体" w:eastAsia="宋体" w:cs="宋体"/>
          <w:bCs/>
          <w:color w:val="000000"/>
          <w:kern w:val="0"/>
          <w:sz w:val="21"/>
          <w:szCs w:val="21"/>
        </w:rPr>
        <w:t>（http：//</w:t>
      </w:r>
      <w:r>
        <w:rPr>
          <w:rFonts w:hint="eastAsia" w:ascii="宋体" w:hAnsi="宋体" w:cs="宋体"/>
          <w:bCs/>
          <w:color w:val="000000"/>
          <w:kern w:val="0"/>
          <w:sz w:val="21"/>
          <w:szCs w:val="21"/>
          <w:lang w:eastAsia="zh-CN"/>
        </w:rPr>
        <w:t>www.gcy.zfcg.gxzf.gov.cn/</w:t>
      </w:r>
      <w:r>
        <w:rPr>
          <w:rFonts w:hint="eastAsia" w:ascii="宋体" w:hAnsi="宋体" w:eastAsia="宋体" w:cs="宋体"/>
          <w:bCs/>
          <w:color w:val="000000"/>
          <w:kern w:val="0"/>
          <w:sz w:val="21"/>
          <w:szCs w:val="21"/>
        </w:rPr>
        <w:t>）获取的</w:t>
      </w:r>
      <w:r>
        <w:rPr>
          <w:rFonts w:hint="eastAsia" w:ascii="宋体" w:hAnsi="宋体" w:cs="宋体"/>
          <w:bCs/>
          <w:color w:val="000000"/>
          <w:kern w:val="0"/>
          <w:sz w:val="21"/>
          <w:szCs w:val="21"/>
          <w:lang w:eastAsia="zh-CN"/>
        </w:rPr>
        <w:t>采购</w:t>
      </w:r>
      <w:r>
        <w:rPr>
          <w:rFonts w:hint="eastAsia" w:ascii="宋体" w:hAnsi="宋体" w:eastAsia="宋体" w:cs="宋体"/>
          <w:bCs/>
          <w:color w:val="000000"/>
          <w:kern w:val="0"/>
          <w:sz w:val="21"/>
          <w:szCs w:val="21"/>
        </w:rPr>
        <w:t>文件编制。</w:t>
      </w:r>
    </w:p>
    <w:p w14:paraId="244DEC5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四、响应文件提交</w:t>
      </w:r>
      <w:bookmarkEnd w:id="20"/>
      <w:bookmarkEnd w:id="21"/>
      <w:bookmarkEnd w:id="22"/>
      <w:bookmarkEnd w:id="23"/>
      <w:bookmarkEnd w:id="24"/>
      <w:bookmarkEnd w:id="25"/>
    </w:p>
    <w:p w14:paraId="0FC1918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截止时间：</w:t>
      </w:r>
      <w:r>
        <w:rPr>
          <w:rFonts w:hint="eastAsia" w:ascii="宋体" w:hAnsi="宋体" w:cs="宋体"/>
          <w:color w:val="000000" w:themeColor="text1"/>
          <w:sz w:val="21"/>
          <w:szCs w:val="21"/>
          <w:u w:val="none"/>
          <w:lang w:eastAsia="zh-CN"/>
          <w14:textFill>
            <w14:solidFill>
              <w14:schemeClr w14:val="tx1"/>
            </w14:solidFill>
          </w14:textFill>
        </w:rPr>
        <w:t>2025年4月</w:t>
      </w:r>
      <w:r>
        <w:rPr>
          <w:rFonts w:hint="eastAsia" w:ascii="宋体" w:hAnsi="宋体" w:cs="宋体"/>
          <w:color w:val="000000" w:themeColor="text1"/>
          <w:sz w:val="21"/>
          <w:szCs w:val="21"/>
          <w:u w:val="none"/>
          <w:lang w:val="en-US" w:eastAsia="zh-CN"/>
          <w14:textFill>
            <w14:solidFill>
              <w14:schemeClr w14:val="tx1"/>
            </w14:solidFill>
          </w14:textFill>
        </w:rPr>
        <w:t>14</w:t>
      </w:r>
      <w:r>
        <w:rPr>
          <w:rFonts w:hint="eastAsia" w:ascii="宋体" w:hAnsi="宋体" w:cs="宋体"/>
          <w:color w:val="000000" w:themeColor="text1"/>
          <w:sz w:val="21"/>
          <w:szCs w:val="21"/>
          <w:u w:val="none"/>
          <w:lang w:eastAsia="zh-CN"/>
          <w14:textFill>
            <w14:solidFill>
              <w14:schemeClr w14:val="tx1"/>
            </w14:solidFill>
          </w14:textFill>
        </w:rPr>
        <w:t>日</w:t>
      </w:r>
      <w:r>
        <w:rPr>
          <w:rFonts w:hint="eastAsia" w:ascii="宋体" w:hAnsi="宋体" w:cs="宋体"/>
          <w:color w:val="000000" w:themeColor="text1"/>
          <w:sz w:val="21"/>
          <w:szCs w:val="21"/>
          <w:u w:val="none"/>
          <w:lang w:val="en-US" w:eastAsia="zh-CN"/>
          <w14:textFill>
            <w14:solidFill>
              <w14:schemeClr w14:val="tx1"/>
            </w14:solidFill>
          </w14:textFill>
        </w:rPr>
        <w:t>10时00分</w:t>
      </w:r>
      <w:r>
        <w:rPr>
          <w:rFonts w:hint="eastAsia" w:ascii="宋体" w:hAnsi="宋体" w:eastAsia="宋体" w:cs="宋体"/>
          <w:bCs/>
          <w:color w:val="000000" w:themeColor="text1"/>
          <w:sz w:val="21"/>
          <w:szCs w:val="21"/>
          <w14:textFill>
            <w14:solidFill>
              <w14:schemeClr w14:val="tx1"/>
            </w14:solidFill>
          </w14:textFill>
        </w:rPr>
        <w:t>（北京时间）</w:t>
      </w:r>
    </w:p>
    <w:p w14:paraId="4CD44337">
      <w:pPr>
        <w:keepNext w:val="0"/>
        <w:keepLines w:val="0"/>
        <w:pageBreakBefore w:val="0"/>
        <w:kinsoku/>
        <w:wordWrap/>
        <w:overflowPunct/>
        <w:topLinePunct w:val="0"/>
        <w:autoSpaceDE/>
        <w:autoSpaceDN/>
        <w:bidi w:val="0"/>
        <w:adjustRightInd/>
        <w:spacing w:line="400" w:lineRule="exact"/>
        <w:ind w:left="422"/>
        <w:textAlignment w:val="auto"/>
        <w:rPr>
          <w:rFonts w:hint="eastAsia" w:ascii="宋体" w:hAnsi="宋体" w:eastAsia="宋体" w:cs="宋体"/>
          <w:bCs/>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kern w:val="0"/>
          <w:sz w:val="21"/>
          <w:szCs w:val="21"/>
          <w14:textFill>
            <w14:solidFill>
              <w14:schemeClr w14:val="tx1"/>
            </w14:solidFill>
          </w14:textFill>
        </w:rPr>
        <w:t>（</w:t>
      </w:r>
      <w:r>
        <w:rPr>
          <w:rFonts w:hint="eastAsia" w:ascii="宋体" w:hAnsi="宋体" w:cs="宋体"/>
          <w:bCs/>
          <w:color w:val="000000" w:themeColor="text1"/>
          <w:kern w:val="0"/>
          <w:sz w:val="21"/>
          <w:szCs w:val="21"/>
          <w:lang w:eastAsia="zh-CN"/>
          <w14:textFill>
            <w14:solidFill>
              <w14:schemeClr w14:val="tx1"/>
            </w14:solidFill>
          </w14:textFill>
        </w:rPr>
        <w:t>www.gcy.zfcg.gxzf.gov.cn/</w:t>
      </w:r>
      <w:r>
        <w:rPr>
          <w:rFonts w:hint="eastAsia" w:ascii="宋体" w:hAnsi="宋体" w:eastAsia="宋体" w:cs="宋体"/>
          <w:bCs/>
          <w:color w:val="000000" w:themeColor="text1"/>
          <w:kern w:val="0"/>
          <w:sz w:val="21"/>
          <w:szCs w:val="21"/>
          <w14:textFill>
            <w14:solidFill>
              <w14:schemeClr w14:val="tx1"/>
            </w14:solidFill>
          </w14:textFill>
        </w:rPr>
        <w:t>）</w:t>
      </w:r>
    </w:p>
    <w:p w14:paraId="1EBD97A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26" w:name="_Toc35393633"/>
      <w:bookmarkStart w:id="27" w:name="_Toc28359016"/>
      <w:bookmarkStart w:id="28" w:name="_Toc71366044"/>
      <w:bookmarkStart w:id="29" w:name="_Toc35393802"/>
      <w:bookmarkStart w:id="30" w:name="_Toc28359093"/>
      <w:bookmarkStart w:id="31" w:name="_Toc71365366"/>
      <w:r>
        <w:rPr>
          <w:rFonts w:hint="eastAsia" w:ascii="宋体" w:hAnsi="宋体" w:eastAsia="宋体" w:cs="宋体"/>
          <w:color w:val="000000" w:themeColor="text1"/>
          <w:sz w:val="21"/>
          <w:szCs w:val="21"/>
          <w14:textFill>
            <w14:solidFill>
              <w14:schemeClr w14:val="tx1"/>
            </w14:solidFill>
          </w14:textFill>
        </w:rPr>
        <w:t>五、开启</w:t>
      </w:r>
      <w:bookmarkEnd w:id="26"/>
      <w:bookmarkEnd w:id="27"/>
      <w:bookmarkEnd w:id="28"/>
      <w:bookmarkEnd w:id="29"/>
      <w:bookmarkEnd w:id="30"/>
      <w:bookmarkEnd w:id="31"/>
    </w:p>
    <w:p w14:paraId="6138D31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时间：</w:t>
      </w:r>
      <w:r>
        <w:rPr>
          <w:rFonts w:hint="eastAsia" w:ascii="宋体" w:hAnsi="宋体" w:cs="宋体"/>
          <w:color w:val="000000" w:themeColor="text1"/>
          <w:sz w:val="21"/>
          <w:szCs w:val="21"/>
          <w:lang w:eastAsia="zh-CN"/>
          <w14:textFill>
            <w14:solidFill>
              <w14:schemeClr w14:val="tx1"/>
            </w14:solidFill>
          </w14:textFill>
        </w:rPr>
        <w:t>2025年4月</w:t>
      </w:r>
      <w:r>
        <w:rPr>
          <w:rFonts w:hint="eastAsia" w:ascii="宋体" w:hAnsi="宋体" w:cs="宋体"/>
          <w:color w:val="000000" w:themeColor="text1"/>
          <w:sz w:val="21"/>
          <w:szCs w:val="21"/>
          <w:lang w:val="en-US" w:eastAsia="zh-CN"/>
          <w14:textFill>
            <w14:solidFill>
              <w14:schemeClr w14:val="tx1"/>
            </w14:solidFill>
          </w14:textFill>
        </w:rPr>
        <w:t>14</w:t>
      </w:r>
      <w:r>
        <w:rPr>
          <w:rFonts w:hint="eastAsia" w:ascii="宋体" w:hAnsi="宋体" w:eastAsia="宋体" w:cs="宋体"/>
          <w:color w:val="000000" w:themeColor="text1"/>
          <w:sz w:val="21"/>
          <w:szCs w:val="21"/>
          <w:lang w:eastAsia="zh-CN"/>
          <w14:textFill>
            <w14:solidFill>
              <w14:schemeClr w14:val="tx1"/>
            </w14:solidFill>
          </w14:textFill>
        </w:rPr>
        <w:t>日</w:t>
      </w:r>
      <w:r>
        <w:rPr>
          <w:rFonts w:hint="eastAsia" w:ascii="宋体" w:hAnsi="宋体" w:cs="宋体"/>
          <w:color w:val="000000" w:themeColor="text1"/>
          <w:sz w:val="21"/>
          <w:szCs w:val="21"/>
          <w:lang w:val="en-US" w:eastAsia="zh-CN"/>
          <w14:textFill>
            <w14:solidFill>
              <w14:schemeClr w14:val="tx1"/>
            </w14:solidFill>
          </w14:textFill>
        </w:rPr>
        <w:t>10时00分</w:t>
      </w:r>
      <w:r>
        <w:rPr>
          <w:rFonts w:hint="eastAsia" w:ascii="宋体" w:hAnsi="宋体" w:eastAsia="宋体" w:cs="宋体"/>
          <w:color w:val="000000" w:themeColor="text1"/>
          <w:sz w:val="21"/>
          <w:szCs w:val="21"/>
          <w14:textFill>
            <w14:solidFill>
              <w14:schemeClr w14:val="tx1"/>
            </w14:solidFill>
          </w14:textFill>
        </w:rPr>
        <w:t>（北京时间）</w:t>
      </w:r>
    </w:p>
    <w:p w14:paraId="30A3102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地点：</w:t>
      </w:r>
      <w:r>
        <w:rPr>
          <w:rFonts w:hint="eastAsia" w:ascii="宋体" w:hAnsi="宋体" w:eastAsia="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w:t>
      </w:r>
    </w:p>
    <w:p w14:paraId="2ACF69C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32" w:name="_Toc28359094"/>
      <w:bookmarkStart w:id="33" w:name="_Toc28359017"/>
      <w:bookmarkStart w:id="34" w:name="_Toc71366045"/>
      <w:bookmarkStart w:id="35" w:name="_Toc35393803"/>
      <w:bookmarkStart w:id="36" w:name="_Toc71365367"/>
      <w:bookmarkStart w:id="37" w:name="_Toc35393634"/>
      <w:r>
        <w:rPr>
          <w:rFonts w:hint="eastAsia" w:ascii="宋体" w:hAnsi="宋体" w:eastAsia="宋体" w:cs="宋体"/>
          <w:color w:val="000000" w:themeColor="text1"/>
          <w:sz w:val="21"/>
          <w:szCs w:val="21"/>
          <w14:textFill>
            <w14:solidFill>
              <w14:schemeClr w14:val="tx1"/>
            </w14:solidFill>
          </w14:textFill>
        </w:rPr>
        <w:t>六、公告期限</w:t>
      </w:r>
      <w:bookmarkEnd w:id="32"/>
      <w:bookmarkEnd w:id="33"/>
      <w:bookmarkEnd w:id="34"/>
      <w:bookmarkEnd w:id="35"/>
      <w:bookmarkEnd w:id="36"/>
      <w:bookmarkEnd w:id="37"/>
    </w:p>
    <w:p w14:paraId="79CAC0A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自本公告发布之日起3个工作日。</w:t>
      </w:r>
    </w:p>
    <w:p w14:paraId="20EED68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38" w:name="_Toc71365368"/>
      <w:bookmarkStart w:id="39" w:name="_Toc71366046"/>
      <w:bookmarkStart w:id="40" w:name="_Toc35393635"/>
      <w:bookmarkStart w:id="41" w:name="_Toc35393804"/>
      <w:r>
        <w:rPr>
          <w:rFonts w:hint="eastAsia" w:ascii="宋体" w:hAnsi="宋体" w:eastAsia="宋体" w:cs="宋体"/>
          <w:color w:val="000000" w:themeColor="text1"/>
          <w:sz w:val="21"/>
          <w:szCs w:val="21"/>
          <w14:textFill>
            <w14:solidFill>
              <w14:schemeClr w14:val="tx1"/>
            </w14:solidFill>
          </w14:textFill>
        </w:rPr>
        <w:t>七、其他补充事宜</w:t>
      </w:r>
      <w:bookmarkEnd w:id="38"/>
      <w:bookmarkEnd w:id="39"/>
      <w:bookmarkEnd w:id="40"/>
      <w:bookmarkEnd w:id="41"/>
    </w:p>
    <w:p w14:paraId="35312E8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1.网上查询地址</w:t>
      </w:r>
    </w:p>
    <w:p w14:paraId="7C130E0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www.ccgp.gov.cn（中国政府采购网）、zfcg.gxzf.gov.cn（广西壮族自治区政府采购网）</w:t>
      </w:r>
    </w:p>
    <w:p w14:paraId="495800C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bookmarkStart w:id="42" w:name="_Hlk37429674"/>
      <w:bookmarkStart w:id="43" w:name="_Toc35393805"/>
      <w:bookmarkStart w:id="44" w:name="_Toc71365369"/>
      <w:bookmarkStart w:id="45" w:name="_Toc35393636"/>
      <w:bookmarkStart w:id="46" w:name="_Toc28359095"/>
      <w:bookmarkStart w:id="47" w:name="_Toc28359018"/>
      <w:bookmarkStart w:id="48" w:name="_Toc71366047"/>
      <w:r>
        <w:rPr>
          <w:rFonts w:hint="eastAsia" w:ascii="宋体" w:hAnsi="宋体" w:eastAsia="宋体" w:cs="宋体"/>
          <w:color w:val="000000" w:themeColor="text1"/>
          <w:sz w:val="21"/>
          <w:szCs w:val="21"/>
          <w14:textFill>
            <w14:solidFill>
              <w14:schemeClr w14:val="tx1"/>
            </w14:solidFill>
          </w14:textFill>
        </w:rPr>
        <w:t>2.本项目需要落实的政府采购政策</w:t>
      </w:r>
    </w:p>
    <w:p w14:paraId="6A0FE71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（1）政府采购促进中小企业发展。</w:t>
      </w:r>
    </w:p>
    <w:p w14:paraId="06BCD94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（2）政府采购支持采用本国产品的政策。</w:t>
      </w:r>
    </w:p>
    <w:p w14:paraId="418B3CD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（3）强制采购节能产品；优先采购节能产品、环境标志产品。</w:t>
      </w:r>
    </w:p>
    <w:p w14:paraId="3A7FADE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（4）政府采购促进残疾人就业政策。</w:t>
      </w:r>
    </w:p>
    <w:p w14:paraId="301E664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（5）政府采购支持监狱企业发展。</w:t>
      </w:r>
    </w:p>
    <w:p w14:paraId="261D945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3.供应商</w:t>
      </w:r>
      <w:r>
        <w:rPr>
          <w:rFonts w:hint="eastAsia" w:ascii="宋体" w:hAnsi="宋体" w:eastAsia="宋体" w:cs="宋体"/>
          <w:color w:val="000000" w:themeColor="text1"/>
          <w:sz w:val="21"/>
          <w:szCs w:val="21"/>
          <w14:textFill>
            <w14:solidFill>
              <w14:schemeClr w14:val="tx1"/>
            </w14:solidFill>
          </w14:textFill>
        </w:rPr>
        <w:t>竞标注意事项</w:t>
      </w:r>
    </w:p>
    <w:p w14:paraId="45B46CD3">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（1）本项目为全流程电子化采购项目，通过</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cs="宋体"/>
          <w:color w:val="000000" w:themeColor="text1"/>
          <w:sz w:val="21"/>
          <w:szCs w:val="21"/>
          <w:lang w:eastAsia="zh-CN"/>
          <w14:textFill>
            <w14:solidFill>
              <w14:schemeClr w14:val="tx1"/>
            </w14:solidFill>
          </w14:textFill>
        </w:rPr>
        <w:t>www.gcy.zfcg.gxzf.gov.cn/</w:t>
      </w:r>
      <w:r>
        <w:rPr>
          <w:rFonts w:hint="eastAsia" w:ascii="宋体" w:hAnsi="宋体" w:eastAsia="宋体" w:cs="宋体"/>
          <w:color w:val="000000" w:themeColor="text1"/>
          <w:sz w:val="21"/>
          <w:szCs w:val="21"/>
          <w14:textFill>
            <w14:solidFill>
              <w14:schemeClr w14:val="tx1"/>
            </w14:solidFill>
          </w14:textFill>
        </w:rPr>
        <w:t>）实行在线电子竞标，供应商应先安装“政采云电子交易客户端”（请自行前往</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进行下载），并按照本项目竞争性谈判文件和</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的要求编制、加密后在提交响应文件截止时间前通过网络上传至</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（加密的电子响应文件是指后缀名为“jmbs”的文件），</w:t>
      </w:r>
      <w:r>
        <w:rPr>
          <w:rFonts w:hint="eastAsia" w:ascii="宋体" w:hAnsi="宋体" w:eastAsia="宋体" w:cs="宋体"/>
          <w:b/>
          <w:color w:val="000000" w:themeColor="text1"/>
          <w:sz w:val="21"/>
          <w:szCs w:val="21"/>
          <w14:textFill>
            <w14:solidFill>
              <w14:schemeClr w14:val="tx1"/>
            </w14:solidFill>
          </w14:textFill>
        </w:rPr>
        <w:t>供应商在</w:t>
      </w:r>
      <w:r>
        <w:rPr>
          <w:rFonts w:hint="eastAsia" w:ascii="宋体" w:hAnsi="宋体" w:cs="宋体"/>
          <w:b/>
          <w:color w:val="000000" w:themeColor="text1"/>
          <w:sz w:val="21"/>
          <w:szCs w:val="21"/>
          <w:lang w:eastAsia="zh-CN"/>
          <w14:textFill>
            <w14:solidFill>
              <w14:schemeClr w14:val="tx1"/>
            </w14:solidFill>
          </w14:textFill>
        </w:rPr>
        <w:t>广西政府采购云平台</w:t>
      </w:r>
      <w:r>
        <w:rPr>
          <w:rFonts w:hint="eastAsia" w:ascii="宋体" w:hAnsi="宋体" w:eastAsia="宋体" w:cs="宋体"/>
          <w:b/>
          <w:color w:val="000000" w:themeColor="text1"/>
          <w:sz w:val="21"/>
          <w:szCs w:val="21"/>
          <w14:textFill>
            <w14:solidFill>
              <w14:schemeClr w14:val="tx1"/>
            </w14:solidFill>
          </w14:textFill>
        </w:rPr>
        <w:t>提交电子响应文件时，请填写参加远程采购活动经办人联系方式。</w:t>
      </w:r>
      <w:r>
        <w:rPr>
          <w:rFonts w:hint="eastAsia" w:ascii="宋体" w:hAnsi="宋体" w:eastAsia="宋体" w:cs="宋体"/>
          <w:color w:val="000000" w:themeColor="text1"/>
          <w:sz w:val="21"/>
          <w:szCs w:val="21"/>
          <w14:textFill>
            <w14:solidFill>
              <w14:schemeClr w14:val="tx1"/>
            </w14:solidFill>
          </w14:textFill>
        </w:rPr>
        <w:t>供应商登录</w:t>
      </w:r>
      <w:r>
        <w:rPr>
          <w:rFonts w:hint="eastAsia" w:ascii="宋体"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，依次进入“服务中心-项目采购-操作流程-电子招投标-政府采购项目电子交易管理操作指南-供应商”查看电子竞标具体操作流程。</w:t>
      </w:r>
    </w:p>
    <w:p w14:paraId="02DDB63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w:t>
      </w:r>
      <w:r>
        <w:rPr>
          <w:rFonts w:hint="eastAsia" w:ascii="宋体" w:hAnsi="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依次进入“服务中心-入驻与配置”中查看CA数字证书办理操作流程。</w:t>
      </w:r>
      <w:r>
        <w:rPr>
          <w:rFonts w:hint="eastAsia" w:ascii="宋体" w:hAnsi="宋体" w:eastAsia="宋体" w:cs="宋体"/>
          <w:bCs/>
          <w:color w:val="000000" w:themeColor="text1"/>
          <w:kern w:val="0"/>
          <w:sz w:val="21"/>
          <w:szCs w:val="21"/>
          <w14:textFill>
            <w14:solidFill>
              <w14:schemeClr w14:val="tx1"/>
            </w14:solidFill>
          </w14:textFill>
        </w:rPr>
        <w:t>如在操作过程中遇到问题或者需要技术支持，请致电政采云客服热线：400-881-7190</w:t>
      </w:r>
      <w:r>
        <w:rPr>
          <w:rFonts w:hint="eastAsia" w:ascii="宋体" w:hAnsi="宋体" w:eastAsia="宋体" w:cs="宋体"/>
          <w:color w:val="000000" w:themeColor="text1"/>
          <w:sz w:val="21"/>
          <w:szCs w:val="21"/>
          <w14:textFill>
            <w14:solidFill>
              <w14:schemeClr w14:val="tx1"/>
            </w14:solidFill>
          </w14:textFill>
        </w:rPr>
        <w:t>）。</w:t>
      </w:r>
    </w:p>
    <w:p w14:paraId="3BB4D1D5">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（3）CA证书在线解密：首次响应文件开启时，需携带制作响应文件时用来加密的有效数字证书（CA认证）登录</w:t>
      </w:r>
      <w:r>
        <w:rPr>
          <w:rFonts w:hint="eastAsia" w:ascii="宋体" w:hAnsi="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电子开标大厅现场按规定时间对加密的响应文件进行解密，否则后果自负。</w:t>
      </w:r>
    </w:p>
    <w:p w14:paraId="68EDEFD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宋体"/>
          <w:bCs/>
          <w:color w:val="000000" w:themeColor="text1"/>
          <w:sz w:val="2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000000" w:themeColor="text1"/>
          <w:sz w:val="21"/>
          <w:szCs w:val="21"/>
          <w:lang w:eastAsia="zh-CN"/>
          <w14:textFill>
            <w14:solidFill>
              <w14:schemeClr w14:val="tx1"/>
            </w14:solidFill>
          </w14:textFill>
        </w:rPr>
        <w:t>广西政府采购云平台</w:t>
      </w:r>
      <w:r>
        <w:rPr>
          <w:rFonts w:hint="eastAsia" w:ascii="宋体" w:hAnsi="宋体" w:eastAsia="宋体" w:cs="宋体"/>
          <w:bCs/>
          <w:color w:val="000000" w:themeColor="text1"/>
          <w:sz w:val="21"/>
          <w:szCs w:val="21"/>
          <w14:textFill>
            <w14:solidFill>
              <w14:schemeClr w14:val="tx1"/>
            </w14:solidFill>
          </w14:textFill>
        </w:rPr>
        <w:t>将予以拒收。</w:t>
      </w:r>
    </w:p>
    <w:p w14:paraId="0A6D6F3C">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（4）供应商需要在具备有摄像头及语音功能且互联网网络状况良好的电脑登录</w:t>
      </w:r>
      <w:r>
        <w:rPr>
          <w:rFonts w:hint="eastAsia" w:ascii="宋体" w:hAnsi="宋体" w:cs="宋体"/>
          <w:color w:val="000000" w:themeColor="text1"/>
          <w:kern w:val="0"/>
          <w:sz w:val="21"/>
          <w:szCs w:val="21"/>
          <w:lang w:eastAsia="zh-CN"/>
          <w14:textFill>
            <w14:solidFill>
              <w14:schemeClr w14:val="tx1"/>
            </w14:solidFill>
          </w14:textFill>
        </w:rPr>
        <w:t>广西政府采购云平台</w:t>
      </w:r>
      <w:r>
        <w:rPr>
          <w:rFonts w:hint="eastAsia" w:ascii="宋体" w:hAnsi="宋体" w:eastAsia="宋体" w:cs="宋体"/>
          <w:color w:val="000000" w:themeColor="text1"/>
          <w:kern w:val="0"/>
          <w:sz w:val="21"/>
          <w:szCs w:val="21"/>
          <w14:textFill>
            <w14:solidFill>
              <w14:schemeClr w14:val="tx1"/>
            </w14:solidFill>
          </w14:textFill>
        </w:rPr>
        <w:t>远程开标大厅参与本次谈判，否则后果自负。</w:t>
      </w:r>
    </w:p>
    <w:bookmarkEnd w:id="42"/>
    <w:p w14:paraId="268BFECC">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八、凡对本次采购提出询问，请按以下方式联系。</w:t>
      </w:r>
      <w:bookmarkEnd w:id="43"/>
      <w:bookmarkEnd w:id="44"/>
      <w:bookmarkEnd w:id="45"/>
      <w:bookmarkEnd w:id="46"/>
      <w:bookmarkEnd w:id="47"/>
      <w:bookmarkEnd w:id="48"/>
    </w:p>
    <w:p w14:paraId="77FC701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采购单位</w:t>
      </w:r>
    </w:p>
    <w:p w14:paraId="481C541B">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bookmarkStart w:id="49" w:name="_Toc28359020"/>
      <w:bookmarkStart w:id="50" w:name="_Toc35393638"/>
      <w:bookmarkStart w:id="51" w:name="_Toc35393807"/>
      <w:bookmarkStart w:id="52" w:name="_Toc28359097"/>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eastAsia="zh-CN"/>
          <w14:textFill>
            <w14:solidFill>
              <w14:schemeClr w14:val="tx1"/>
            </w14:solidFill>
          </w14:textFill>
        </w:rPr>
        <w:t>灵山县人民医院</w:t>
      </w:r>
    </w:p>
    <w:p w14:paraId="71D470BE">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r>
        <w:rPr>
          <w:rFonts w:hint="eastAsia" w:ascii="宋体" w:hAnsi="宋体" w:eastAsia="宋体" w:cs="宋体"/>
          <w:color w:val="000000" w:themeColor="text1"/>
          <w:sz w:val="21"/>
          <w:szCs w:val="21"/>
          <w:lang w:eastAsia="zh-CN"/>
          <w14:textFill>
            <w14:solidFill>
              <w14:schemeClr w14:val="tx1"/>
            </w14:solidFill>
          </w14:textFill>
        </w:rPr>
        <w:t>广西灵山县灵城街道钟秀路1号</w:t>
      </w:r>
    </w:p>
    <w:p w14:paraId="57306C25">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联系方式：吴晶晶，0777-6218020</w:t>
      </w:r>
    </w:p>
    <w:p w14:paraId="4DBD7C96">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2.采购代理机构信息</w:t>
      </w:r>
      <w:bookmarkEnd w:id="49"/>
      <w:bookmarkEnd w:id="50"/>
      <w:bookmarkEnd w:id="51"/>
      <w:bookmarkEnd w:id="52"/>
    </w:p>
    <w:p w14:paraId="7177B257">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名称：</w:t>
      </w:r>
      <w:r>
        <w:rPr>
          <w:rFonts w:hint="eastAsia" w:ascii="宋体" w:hAnsi="宋体" w:eastAsia="宋体" w:cs="宋体"/>
          <w:color w:val="000000" w:themeColor="text1"/>
          <w:sz w:val="21"/>
          <w:szCs w:val="21"/>
          <w:lang w:eastAsia="zh-CN"/>
          <w14:textFill>
            <w14:solidFill>
              <w14:schemeClr w14:val="tx1"/>
            </w14:solidFill>
          </w14:textFill>
        </w:rPr>
        <w:t>广西汉昌工程咨询有限公司</w:t>
      </w:r>
    </w:p>
    <w:p w14:paraId="0B2811A2">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地址：</w:t>
      </w:r>
      <w:bookmarkStart w:id="92" w:name="_GoBack"/>
      <w:r>
        <w:rPr>
          <w:rFonts w:hint="eastAsia" w:ascii="宋体" w:hAnsi="宋体" w:eastAsia="宋体" w:cs="宋体"/>
          <w:color w:val="000000" w:themeColor="text1"/>
          <w:sz w:val="21"/>
          <w:szCs w:val="21"/>
          <w:lang w:eastAsia="zh-CN"/>
          <w14:textFill>
            <w14:solidFill>
              <w14:schemeClr w14:val="tx1"/>
            </w14:solidFill>
          </w14:textFill>
        </w:rPr>
        <w:t>南宁市青秀区仙葫大道16号鼎丰广场A座11楼HC区域</w:t>
      </w:r>
      <w:bookmarkEnd w:id="92"/>
    </w:p>
    <w:p w14:paraId="68655C63">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联系方式：</w:t>
      </w:r>
      <w:r>
        <w:rPr>
          <w:rFonts w:hint="eastAsia" w:ascii="宋体" w:hAnsi="宋体" w:eastAsia="宋体" w:cs="宋体"/>
          <w:color w:val="000000" w:themeColor="text1"/>
          <w:sz w:val="21"/>
          <w:szCs w:val="21"/>
          <w:lang w:eastAsia="zh-CN"/>
          <w14:textFill>
            <w14:solidFill>
              <w14:schemeClr w14:val="tx1"/>
            </w14:solidFill>
          </w14:textFill>
        </w:rPr>
        <w:t>0771-5718293</w:t>
      </w:r>
    </w:p>
    <w:p w14:paraId="59AEE2F1">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bookmarkStart w:id="53" w:name="_Toc28359021"/>
      <w:bookmarkStart w:id="54" w:name="_Toc35393808"/>
      <w:bookmarkStart w:id="55" w:name="_Toc28359098"/>
      <w:bookmarkStart w:id="56" w:name="_Toc35393639"/>
      <w:r>
        <w:rPr>
          <w:rFonts w:hint="eastAsia" w:ascii="宋体" w:hAnsi="宋体" w:eastAsia="宋体" w:cs="宋体"/>
          <w:color w:val="000000" w:themeColor="text1"/>
          <w:sz w:val="21"/>
          <w:szCs w:val="21"/>
          <w14:textFill>
            <w14:solidFill>
              <w14:schemeClr w14:val="tx1"/>
            </w14:solidFill>
          </w14:textFill>
        </w:rPr>
        <w:t>3.项目联系方式</w:t>
      </w:r>
      <w:bookmarkEnd w:id="53"/>
      <w:bookmarkEnd w:id="54"/>
      <w:bookmarkEnd w:id="55"/>
      <w:bookmarkEnd w:id="56"/>
    </w:p>
    <w:p w14:paraId="5DD21648">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项目联系人：</w:t>
      </w:r>
      <w:r>
        <w:rPr>
          <w:rFonts w:hint="eastAsia" w:ascii="宋体" w:hAnsi="宋体" w:eastAsia="宋体" w:cs="宋体"/>
          <w:color w:val="000000" w:themeColor="text1"/>
          <w:sz w:val="21"/>
          <w:szCs w:val="21"/>
          <w:lang w:eastAsia="zh-CN"/>
          <w14:textFill>
            <w14:solidFill>
              <w14:schemeClr w14:val="tx1"/>
            </w14:solidFill>
          </w14:textFill>
        </w:rPr>
        <w:t>黄健</w:t>
      </w:r>
    </w:p>
    <w:p w14:paraId="56E284F4">
      <w:pPr>
        <w:keepNext w:val="0"/>
        <w:keepLines w:val="0"/>
        <w:pageBreakBefore w:val="0"/>
        <w:widowControl/>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 w:val="21"/>
          <w:szCs w:val="21"/>
          <w:u w:val="none"/>
          <w:lang w:eastAsia="zh-CN"/>
          <w14:textFill>
            <w14:solidFill>
              <w14:schemeClr w14:val="tx1"/>
            </w14:solidFill>
          </w14:textFill>
        </w:rPr>
        <w:sectPr>
          <w:headerReference r:id="rId5" w:type="default"/>
          <w:footerReference r:id="rId6" w:type="default"/>
          <w:pgSz w:w="11910" w:h="16840"/>
          <w:pgMar w:top="1134" w:right="1134" w:bottom="1134" w:left="1134" w:header="720" w:footer="720" w:gutter="0"/>
          <w:pgNumType w:start="1"/>
          <w:cols w:space="720" w:num="1"/>
        </w:sectPr>
      </w:pPr>
      <w:r>
        <w:rPr>
          <w:rFonts w:hint="eastAsia" w:ascii="宋体" w:hAnsi="宋体" w:eastAsia="宋体" w:cs="宋体"/>
          <w:color w:val="000000" w:themeColor="text1"/>
          <w:sz w:val="21"/>
          <w:szCs w:val="21"/>
          <w14:textFill>
            <w14:solidFill>
              <w14:schemeClr w14:val="tx1"/>
            </w14:solidFill>
          </w14:textFill>
        </w:rPr>
        <w:t>电话：</w:t>
      </w:r>
      <w:bookmarkEnd w:id="1"/>
      <w:r>
        <w:rPr>
          <w:rFonts w:hint="eastAsia" w:ascii="宋体" w:hAnsi="宋体" w:eastAsia="宋体" w:cs="宋体"/>
          <w:color w:val="000000" w:themeColor="text1"/>
          <w:sz w:val="21"/>
          <w:szCs w:val="21"/>
          <w:lang w:eastAsia="zh-CN"/>
          <w14:textFill>
            <w14:solidFill>
              <w14:schemeClr w14:val="tx1"/>
            </w14:solidFill>
          </w14:textFill>
        </w:rPr>
        <w:t>0771-5718293</w:t>
      </w:r>
    </w:p>
    <w:p w14:paraId="0CCBD36E">
      <w:pPr>
        <w:pStyle w:val="2"/>
        <w:jc w:val="center"/>
        <w:rPr>
          <w:rFonts w:hint="eastAsia" w:ascii="宋体" w:hAnsi="宋体" w:eastAsia="宋体" w:cs="宋体"/>
          <w:color w:val="000000" w:themeColor="text1"/>
          <w14:textFill>
            <w14:solidFill>
              <w14:schemeClr w14:val="tx1"/>
            </w14:solidFill>
          </w14:textFill>
        </w:rPr>
      </w:pPr>
      <w:bookmarkStart w:id="57" w:name="_Toc100252371"/>
      <w:r>
        <w:rPr>
          <w:rFonts w:hint="eastAsia" w:ascii="宋体" w:hAnsi="宋体" w:eastAsia="宋体" w:cs="宋体"/>
          <w:color w:val="000000" w:themeColor="text1"/>
          <w14:textFill>
            <w14:solidFill>
              <w14:schemeClr w14:val="tx1"/>
            </w14:solidFill>
          </w14:textFill>
        </w:rPr>
        <w:t>第二章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供应商须知</w:t>
      </w:r>
      <w:bookmarkEnd w:id="57"/>
    </w:p>
    <w:p w14:paraId="487D7545">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供应商须知前附表</w:t>
      </w:r>
    </w:p>
    <w:p w14:paraId="51578418">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tbl>
      <w:tblPr>
        <w:tblStyle w:val="24"/>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4E18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tcPr>
          <w:p w14:paraId="5E4FD3C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条款号</w:t>
            </w:r>
          </w:p>
        </w:tc>
        <w:tc>
          <w:tcPr>
            <w:tcW w:w="7912" w:type="dxa"/>
          </w:tcPr>
          <w:p w14:paraId="5C9352F1">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内容</w:t>
            </w:r>
          </w:p>
        </w:tc>
      </w:tr>
      <w:tr w14:paraId="7232C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5F2909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7912" w:type="dxa"/>
            <w:vAlign w:val="center"/>
          </w:tcPr>
          <w:p w14:paraId="6BCF9EB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1.供应商的资格条件：详见竞争性谈判公告或者竞标邀请函</w:t>
            </w:r>
          </w:p>
          <w:p w14:paraId="1AC6084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r>
              <w:rPr>
                <w:rFonts w:hint="eastAsia" w:ascii="宋体" w:hAnsi="宋体" w:eastAsia="宋体" w:cs="宋体"/>
                <w:bCs/>
                <w:color w:val="000000" w:themeColor="text1"/>
                <w:sz w:val="21"/>
                <w:szCs w:val="21"/>
                <w14:textFill>
                  <w14:solidFill>
                    <w14:schemeClr w14:val="tx1"/>
                  </w14:solidFill>
                </w14:textFill>
              </w:rPr>
              <w:t>供应商</w:t>
            </w:r>
            <w:r>
              <w:rPr>
                <w:rFonts w:hint="eastAsia" w:ascii="宋体" w:hAnsi="宋体" w:eastAsia="宋体" w:cs="宋体"/>
                <w:color w:val="000000" w:themeColor="text1"/>
                <w:sz w:val="21"/>
                <w:szCs w:val="21"/>
                <w14:textFill>
                  <w14:solidFill>
                    <w14:schemeClr w14:val="tx1"/>
                  </w14:solidFill>
                </w14:textFill>
              </w:rPr>
              <w:t>出现下列情形之一的，不得参加政府采购活动：</w:t>
            </w:r>
          </w:p>
          <w:p w14:paraId="7602CFA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C7C540D">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1394C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7EFF36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w:t>
            </w:r>
          </w:p>
        </w:tc>
        <w:tc>
          <w:tcPr>
            <w:tcW w:w="7912" w:type="dxa"/>
            <w:vAlign w:val="center"/>
          </w:tcPr>
          <w:p w14:paraId="615FA0E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是否接受联合体竞标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详见竞争性谈判公告或者竞标邀请函</w:t>
            </w:r>
          </w:p>
        </w:tc>
      </w:tr>
      <w:tr w14:paraId="2DC9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AEB4926">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w:t>
            </w:r>
          </w:p>
        </w:tc>
        <w:tc>
          <w:tcPr>
            <w:tcW w:w="7912" w:type="dxa"/>
            <w:vAlign w:val="center"/>
          </w:tcPr>
          <w:p w14:paraId="1DA9BDF7">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如接受联合体竞标，联合体竞标要求如下：</w:t>
            </w:r>
          </w:p>
          <w:p w14:paraId="147C8571">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1.两个以上供应商可以组成一个竞标联合体，以一个供应商的身份共同参加竞标。联合体竞标的，须提供《联合体竞标协议书》（格式后附）。</w:t>
            </w:r>
          </w:p>
          <w:p w14:paraId="69311FF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以联合体形式参加竞标的，联合体各方均须具备《中华人民共和国政府采购法》第二十二条第一款规定的基本条件（涉及行政许可范围的内容，联合体各方均应具备相应资质）。本项目有特殊要求规定供应商特定条件的，联合体各方中至少有一方必须符合谈判文件规定的特定条件。</w:t>
            </w:r>
          </w:p>
          <w:p w14:paraId="2014DE0E">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联合体各方之间必须签订联合竞标协议，协议书必须明确主体方（或者牵头方）并明确约定联合体各方承担的工作和相应的责任（各方承担责任与义务的分工必须符合采购需求，否则，联合体竞标无效），并将联合竞标协议连同响应文件一并提交采购代理机构。联合体各方必须共同与采购人签订采购合同，就采购合同约定的事项对采购人承担连带责任。</w:t>
            </w:r>
          </w:p>
          <w:p w14:paraId="0A3ACF8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4.以联合体形式参加政府采购活动的，联合体各方不得再单独参加或者与其他供应商另外组成联合体参加同一合同项下的政府采购活动。</w:t>
            </w:r>
          </w:p>
          <w:p w14:paraId="60F8039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5.联合体中有同类资质的供应商按照联合体分工承担相同工作的，应当按照资质等级较低的供应商确定资质等级。</w:t>
            </w:r>
          </w:p>
          <w:p w14:paraId="33BFD4F8">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6.联合体竞标业绩、履约能力按照联合体各方中较高的一方认定并计算。</w:t>
            </w:r>
          </w:p>
          <w:p w14:paraId="4E7B4499">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7.供应商为联合体的，可以由联合体中的一方或者多方共同交纳保证金，其交纳的保证金对联合体各方均具有约束力。</w:t>
            </w:r>
          </w:p>
          <w:p w14:paraId="71DA5DC6">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8.联合体各方均应按照谈判文件的规定分别提交资格证明文件。</w:t>
            </w:r>
          </w:p>
        </w:tc>
      </w:tr>
      <w:tr w14:paraId="49E87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7FD02BD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6.2</w:t>
            </w:r>
          </w:p>
        </w:tc>
        <w:tc>
          <w:tcPr>
            <w:tcW w:w="7912" w:type="dxa"/>
            <w:vAlign w:val="center"/>
          </w:tcPr>
          <w:p w14:paraId="1F86A482">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☑不允许分包</w:t>
            </w:r>
          </w:p>
          <w:p w14:paraId="3E30B0B5">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□允许分包</w:t>
            </w:r>
          </w:p>
          <w:p w14:paraId="6BCB6C8B">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分包内容：</w:t>
            </w:r>
          </w:p>
          <w:p w14:paraId="4EF73351">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分包金额或者比例：</w:t>
            </w:r>
          </w:p>
          <w:p w14:paraId="3FC9D265">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分包供应商必须具备的资质：</w:t>
            </w:r>
          </w:p>
        </w:tc>
      </w:tr>
      <w:tr w14:paraId="61D4EF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4FE21A9">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w:t>
            </w:r>
          </w:p>
        </w:tc>
        <w:tc>
          <w:tcPr>
            <w:tcW w:w="7912" w:type="dxa"/>
            <w:vAlign w:val="center"/>
          </w:tcPr>
          <w:p w14:paraId="4126FCB5">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提供相同品牌产品（非单一产品采购项目的，指核心产品）的不同供应商最后报价相同时，按照下列方式确定一个供应商获得成交人推荐资格：</w:t>
            </w:r>
          </w:p>
          <w:p w14:paraId="63FB608C">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□随机抽取；</w:t>
            </w:r>
          </w:p>
          <w:p w14:paraId="75F3A37F">
            <w:pPr>
              <w:pStyle w:val="8"/>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☑由采购人自主选择确定一家供应商参加评审，其他竞标无效。</w:t>
            </w:r>
          </w:p>
        </w:tc>
      </w:tr>
      <w:tr w14:paraId="57A29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288DB5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12.1.1</w:t>
            </w:r>
          </w:p>
        </w:tc>
        <w:tc>
          <w:tcPr>
            <w:tcW w:w="7912" w:type="dxa"/>
            <w:vAlign w:val="center"/>
          </w:tcPr>
          <w:p w14:paraId="3297DC74">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资格证明文件</w:t>
            </w:r>
          </w:p>
          <w:p w14:paraId="5DFB2C24">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46E3A69F">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2.供应商依法缴纳税收的相关材料（</w:t>
            </w:r>
            <w:bookmarkStart w:id="58" w:name="OLE_LINK14"/>
            <w:r>
              <w:rPr>
                <w:rFonts w:hint="eastAsia" w:ascii="宋体" w:hAnsi="宋体" w:eastAsia="宋体" w:cs="宋体"/>
                <w:color w:val="000000" w:themeColor="text1"/>
                <w:sz w:val="21"/>
                <w:szCs w:val="21"/>
                <w:u w:val="single"/>
                <w14:textFill>
                  <w14:solidFill>
                    <w14:schemeClr w14:val="tx1"/>
                  </w14:solidFill>
                </w14:textFill>
              </w:rPr>
              <w:t>竞标截止时间半年内任意三个月</w:t>
            </w:r>
            <w:bookmarkEnd w:id="58"/>
            <w:r>
              <w:rPr>
                <w:rFonts w:hint="eastAsia" w:ascii="宋体" w:hAnsi="宋体" w:eastAsia="宋体" w:cs="宋体"/>
                <w:color w:val="000000" w:themeColor="text1"/>
                <w:sz w:val="21"/>
                <w:szCs w:val="21"/>
                <w14:textFill>
                  <w14:solidFill>
                    <w14:schemeClr w14:val="tx1"/>
                  </w14:solidFill>
                </w14:textFill>
              </w:rPr>
              <w:t>的依法缴纳税收的凭据复印件；依法免税的，必须提供相应文件证明其依法免税。从成立之日起到响应文件提交截止时间止不足4个月的，无需提供）；（</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312532A6">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3.供应商依法缴纳社会保障资金的相关材料</w:t>
            </w:r>
            <w:r>
              <w:rPr>
                <w:rFonts w:hint="eastAsia" w:ascii="宋体" w:hAnsi="宋体" w:eastAsia="宋体" w:cs="宋体"/>
                <w:color w:val="000000" w:themeColor="text1"/>
                <w:sz w:val="21"/>
                <w:szCs w:val="21"/>
                <w:u w:val="single"/>
                <w14:textFill>
                  <w14:solidFill>
                    <w14:schemeClr w14:val="tx1"/>
                  </w14:solidFill>
                </w14:textFill>
              </w:rPr>
              <w:t>竞标截止时间半年内任意三个月</w:t>
            </w:r>
            <w:r>
              <w:rPr>
                <w:rFonts w:hint="eastAsia" w:ascii="宋体" w:hAnsi="宋体" w:eastAsia="宋体" w:cs="宋体"/>
                <w:color w:val="000000" w:themeColor="text1"/>
                <w:sz w:val="21"/>
                <w:szCs w:val="21"/>
                <w14:textFill>
                  <w14:solidFill>
                    <w14:schemeClr w14:val="tx1"/>
                  </w14:solidFill>
                </w14:textFill>
              </w:rPr>
              <w:t>的依法缴纳社会保障资金的缴费凭证（专用收据或者社会保险缴纳清单）复印件；依法不需要缴纳社会保障资金的，必须提供相应文件证明不需要缴纳社会保障资金。从成立之日起到响应文件提交截止时间止不足4个月的，无需提供]；（</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color w:val="000000" w:themeColor="text1"/>
                <w:sz w:val="21"/>
                <w:szCs w:val="21"/>
                <w14:textFill>
                  <w14:solidFill>
                    <w14:schemeClr w14:val="tx1"/>
                  </w14:solidFill>
                </w14:textFill>
              </w:rPr>
              <w:t>）</w:t>
            </w:r>
          </w:p>
          <w:p w14:paraId="4D258914">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4.供应商财务状况报告（</w:t>
            </w:r>
            <w:r>
              <w:rPr>
                <w:rFonts w:hint="eastAsia" w:ascii="宋体" w:hAnsi="宋体" w:cs="宋体"/>
                <w:color w:val="000000" w:themeColor="text1"/>
                <w:sz w:val="21"/>
                <w:szCs w:val="21"/>
                <w:u w:val="single"/>
                <w:lang w:eastAsia="zh-CN"/>
                <w14:textFill>
                  <w14:solidFill>
                    <w14:schemeClr w14:val="tx1"/>
                  </w14:solidFill>
                </w14:textFill>
              </w:rPr>
              <w:t>2023年度或2024年度财务报表复印件</w:t>
            </w:r>
            <w:r>
              <w:rPr>
                <w:rFonts w:hint="eastAsia" w:ascii="宋体" w:hAnsi="宋体" w:eastAsia="宋体" w:cs="宋体"/>
                <w:color w:val="000000" w:themeColor="text1"/>
                <w:sz w:val="21"/>
                <w:szCs w:val="21"/>
                <w14:textFill>
                  <w14:solidFill>
                    <w14:schemeClr w14:val="tx1"/>
                  </w14:solidFill>
                </w14:textFill>
              </w:rPr>
              <w:t>，或者银行出具的资信证明，或者中国人民银行征信中心出具的信用报告（企业竞标的提供企业信用报告，自然人竞标的提供个人信用报告）；供应商属于成立时间</w:t>
            </w:r>
            <w:r>
              <w:rPr>
                <w:rFonts w:hint="eastAsia" w:ascii="宋体" w:hAnsi="宋体" w:eastAsia="宋体" w:cs="宋体"/>
                <w:color w:val="000000" w:themeColor="text1"/>
                <w:kern w:val="0"/>
                <w:sz w:val="21"/>
                <w:szCs w:val="21"/>
                <w14:textFill>
                  <w14:solidFill>
                    <w14:schemeClr w14:val="tx1"/>
                  </w14:solidFill>
                </w14:textFill>
              </w:rPr>
              <w:t>在规定年度之后</w:t>
            </w:r>
            <w:r>
              <w:rPr>
                <w:rFonts w:hint="eastAsia" w:ascii="宋体" w:hAnsi="宋体" w:eastAsia="宋体" w:cs="宋体"/>
                <w:color w:val="000000" w:themeColor="text1"/>
                <w:sz w:val="21"/>
                <w:szCs w:val="21"/>
                <w14:textFill>
                  <w14:solidFill>
                    <w14:schemeClr w14:val="tx1"/>
                  </w14:solidFill>
                </w14:textFill>
              </w:rPr>
              <w:t>的法人或其他组织，需提供成立之日起至响应文件提交截止时间前的月报表或银行出具的资信证明或者中国人民银行征信中心出具的企业信用报告；资信证明应在有效期内，未注明有效期的，银行出具时间至响应文件提交截止时间不超过一年）；</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14:textFill>
                  <w14:solidFill>
                    <w14:schemeClr w14:val="tx1"/>
                  </w14:solidFill>
                </w14:textFill>
              </w:rPr>
              <w:t>必须提供，否则响应文件按无效响应处理</w:t>
            </w:r>
            <w:r>
              <w:rPr>
                <w:rFonts w:hint="eastAsia" w:ascii="宋体" w:hAnsi="宋体" w:eastAsia="宋体" w:cs="宋体"/>
                <w:bCs/>
                <w:color w:val="000000" w:themeColor="text1"/>
                <w:sz w:val="21"/>
                <w:szCs w:val="21"/>
                <w14:textFill>
                  <w14:solidFill>
                    <w14:schemeClr w14:val="tx1"/>
                  </w14:solidFill>
                </w14:textFill>
              </w:rPr>
              <w:t>）</w:t>
            </w:r>
          </w:p>
          <w:p w14:paraId="539B5861">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5.供应商直接控股、管理关系信息表（格式后附）；（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33B5B35B">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6.竞标声明（格式后附）；（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3E950831">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7.联合体竞标协议书（格式后附）；（</w:t>
            </w:r>
            <w:r>
              <w:rPr>
                <w:rFonts w:hint="eastAsia" w:ascii="宋体" w:hAnsi="宋体" w:eastAsia="宋体" w:cs="宋体"/>
                <w:b/>
                <w:color w:val="000000" w:themeColor="text1"/>
                <w:sz w:val="21"/>
                <w:szCs w:val="21"/>
                <w14:textFill>
                  <w14:solidFill>
                    <w14:schemeClr w14:val="tx1"/>
                  </w14:solidFill>
                </w14:textFill>
              </w:rPr>
              <w:t>联合体竞标时必须提供，否则响应文件按无效处理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279559FF">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8.供应商具备</w:t>
            </w:r>
            <w:r>
              <w:rPr>
                <w:rFonts w:hint="eastAsia" w:ascii="宋体" w:hAnsi="宋体" w:cs="宋体"/>
                <w:color w:val="000000" w:themeColor="text1"/>
                <w:sz w:val="21"/>
                <w:szCs w:val="21"/>
                <w:lang w:eastAsia="zh-CN"/>
                <w14:textFill>
                  <w14:solidFill>
                    <w14:schemeClr w14:val="tx1"/>
                  </w14:solidFill>
                </w14:textFill>
              </w:rPr>
              <w:t>的</w:t>
            </w:r>
            <w:r>
              <w:rPr>
                <w:rFonts w:hint="eastAsia" w:ascii="宋体" w:hAnsi="宋体" w:eastAsia="宋体" w:cs="宋体"/>
                <w:color w:val="000000" w:themeColor="text1"/>
                <w:sz w:val="21"/>
                <w:szCs w:val="21"/>
                <w14:textFill>
                  <w14:solidFill>
                    <w14:schemeClr w14:val="tx1"/>
                  </w14:solidFill>
                </w14:textFill>
              </w:rPr>
              <w:t>由食品药品监督管理部门颁发的有效证件（供应商为生产企业须具备《医疗器械生产许可证》；供应商为经营企业经营第二类医疗器械的须具备《第二类医疗器械经营备案凭证》，供应商为经营第三类医疗器械的须具备《医疗器械经营许可证》）；（</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5F3463BA">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i/>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9.除谈判文件规定必须提供以外，供应商认为需要提供的其他证明材料；</w:t>
            </w:r>
          </w:p>
          <w:p w14:paraId="2A8E8A5A">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w:t>
            </w:r>
          </w:p>
          <w:p w14:paraId="68583691">
            <w:pPr>
              <w:keepNext w:val="0"/>
              <w:keepLines w:val="0"/>
              <w:pageBreakBefore w:val="0"/>
              <w:widowControl w:val="0"/>
              <w:kinsoku/>
              <w:wordWrap/>
              <w:overflowPunct/>
              <w:topLinePunct w:val="0"/>
              <w:bidi w:val="0"/>
              <w:adjustRightInd/>
              <w:snapToGrid w:val="0"/>
              <w:spacing w:line="400" w:lineRule="exact"/>
              <w:ind w:firstLine="413" w:firstLineChars="196"/>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1.以上标明“必须提供”的材料属于复印件的，必须加盖供应商电子签章，否则响应文件按无效处理。</w:t>
            </w:r>
          </w:p>
          <w:p w14:paraId="61B543A3">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2.联合体竞标时，第1-5项资格证明文件联合体各方均必须分别提供，并由联合体牵头人加盖电子签章，规定签字处签字</w:t>
            </w:r>
            <w:r>
              <w:rPr>
                <w:rFonts w:hint="eastAsia" w:ascii="宋体" w:hAnsi="宋体" w:eastAsia="宋体" w:cs="宋体"/>
                <w:b/>
                <w:bCs/>
                <w:color w:val="000000" w:themeColor="text1"/>
                <w:sz w:val="21"/>
                <w:szCs w:val="21"/>
                <w14:textFill>
                  <w14:solidFill>
                    <w14:schemeClr w14:val="tx1"/>
                  </w14:solidFill>
                </w14:textFill>
              </w:rPr>
              <w:t>（或者电子签名）</w:t>
            </w:r>
            <w:r>
              <w:rPr>
                <w:rFonts w:hint="eastAsia" w:ascii="宋体" w:hAnsi="宋体" w:eastAsia="宋体" w:cs="宋体"/>
                <w:b/>
                <w:color w:val="000000" w:themeColor="text1"/>
                <w:sz w:val="21"/>
                <w:szCs w:val="21"/>
                <w14:textFill>
                  <w14:solidFill>
                    <w14:schemeClr w14:val="tx1"/>
                  </w14:solidFill>
                </w14:textFill>
              </w:rPr>
              <w:t>，否则响应文件按无效处理。</w:t>
            </w:r>
          </w:p>
          <w:p w14:paraId="4458E853">
            <w:pPr>
              <w:keepNext w:val="0"/>
              <w:keepLines w:val="0"/>
              <w:pageBreakBefore w:val="0"/>
              <w:widowControl w:val="0"/>
              <w:kinsoku/>
              <w:wordWrap/>
              <w:overflowPunct/>
              <w:topLinePunct w:val="0"/>
              <w:bidi w:val="0"/>
              <w:adjustRightInd/>
              <w:snapToGrid w:val="0"/>
              <w:spacing w:line="400" w:lineRule="exact"/>
              <w:ind w:firstLine="422" w:firstLineChars="200"/>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3.分公司参加竞标的，应当取得总公司授权。</w:t>
            </w:r>
          </w:p>
        </w:tc>
      </w:tr>
      <w:tr w14:paraId="6EED4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43B7A5B">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12.1.2</w:t>
            </w:r>
          </w:p>
        </w:tc>
        <w:tc>
          <w:tcPr>
            <w:tcW w:w="7912" w:type="dxa"/>
            <w:vAlign w:val="center"/>
          </w:tcPr>
          <w:p w14:paraId="5629630F">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报价文件</w:t>
            </w:r>
          </w:p>
          <w:p w14:paraId="39328E72">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1.竞标报价表（格式后附）；（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6BC4F6A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2.供应商认为需要提供的其他有关资料。</w:t>
            </w:r>
          </w:p>
          <w:p w14:paraId="34BCCADA">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以上标明“必须提供”的材料属于复印件的，必须加盖供应商电子签章，否则响应文件按无效处理。</w:t>
            </w:r>
          </w:p>
        </w:tc>
      </w:tr>
      <w:tr w14:paraId="1581E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89DCA6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12.1.3</w:t>
            </w:r>
          </w:p>
        </w:tc>
        <w:tc>
          <w:tcPr>
            <w:tcW w:w="7912" w:type="dxa"/>
            <w:vAlign w:val="center"/>
          </w:tcPr>
          <w:p w14:paraId="4A77952F">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商务技术文件</w:t>
            </w:r>
          </w:p>
          <w:p w14:paraId="6683B561">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1.无串通竞标行为的承诺函（格式后附）；（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775EF608">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2.法定代表人身份证明书及法定代表人有效身份证正反面复印件（格式后附）；（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6574E688">
            <w:pPr>
              <w:keepNext w:val="0"/>
              <w:keepLines w:val="0"/>
              <w:pageBreakBefore w:val="0"/>
              <w:widowControl w:val="0"/>
              <w:kinsoku/>
              <w:wordWrap/>
              <w:overflowPunct/>
              <w:topLinePunct w:val="0"/>
              <w:bidi w:val="0"/>
              <w:adjustRightInd/>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3.授权委托书及委托代理人有效身份证正反面复印件（格式后附）；（</w:t>
            </w:r>
            <w:r>
              <w:rPr>
                <w:rFonts w:hint="eastAsia" w:ascii="宋体" w:hAnsi="宋体" w:eastAsia="宋体" w:cs="宋体"/>
                <w:b/>
                <w:color w:val="000000" w:themeColor="text1"/>
                <w:sz w:val="21"/>
                <w:szCs w:val="21"/>
                <w14:textFill>
                  <w14:solidFill>
                    <w14:schemeClr w14:val="tx1"/>
                  </w14:solidFill>
                </w14:textFill>
              </w:rPr>
              <w:t>委托时必须提供，否则响应文件按无效处理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3ED26D7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4.竞标保证金提交凭证；（</w:t>
            </w:r>
            <w:r>
              <w:rPr>
                <w:rFonts w:hint="eastAsia" w:ascii="宋体" w:hAnsi="宋体" w:eastAsia="宋体" w:cs="宋体"/>
                <w:b/>
                <w:bCs/>
                <w:color w:val="000000" w:themeColor="text1"/>
                <w:sz w:val="21"/>
                <w:szCs w:val="21"/>
                <w14:textFill>
                  <w14:solidFill>
                    <w14:schemeClr w14:val="tx1"/>
                  </w14:solidFill>
                </w14:textFill>
              </w:rPr>
              <w:t>必须提供</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0317BA3C">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5.商务要求偏离表（格式后附）；（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06C4D510">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w:t>
            </w:r>
            <w:r>
              <w:rPr>
                <w:rFonts w:hint="eastAsia" w:ascii="宋体" w:hAnsi="宋体" w:cs="宋体"/>
                <w:color w:val="000000" w:themeColor="text1"/>
                <w:sz w:val="21"/>
                <w:szCs w:val="21"/>
                <w:lang w:eastAsia="zh-CN"/>
                <w14:textFill>
                  <w14:solidFill>
                    <w14:schemeClr w14:val="tx1"/>
                  </w14:solidFill>
                </w14:textFill>
              </w:rPr>
              <w:t>售后服务承诺书</w:t>
            </w:r>
            <w:r>
              <w:rPr>
                <w:rFonts w:hint="eastAsia" w:ascii="宋体" w:hAnsi="宋体" w:eastAsia="宋体" w:cs="宋体"/>
                <w:color w:val="000000" w:themeColor="text1"/>
                <w:sz w:val="21"/>
                <w:szCs w:val="21"/>
                <w14:textFill>
                  <w14:solidFill>
                    <w14:schemeClr w14:val="tx1"/>
                  </w14:solidFill>
                </w14:textFill>
              </w:rPr>
              <w:t>（格式自拟）；（</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1A96B4D3">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7.技术要求偏离表（格式后附）；（</w:t>
            </w:r>
            <w:r>
              <w:rPr>
                <w:rFonts w:hint="eastAsia" w:ascii="宋体" w:hAnsi="宋体" w:eastAsia="宋体" w:cs="宋体"/>
                <w:b/>
                <w:color w:val="000000" w:themeColor="text1"/>
                <w:sz w:val="21"/>
                <w:szCs w:val="21"/>
                <w14:textFill>
                  <w14:solidFill>
                    <w14:schemeClr w14:val="tx1"/>
                  </w14:solidFill>
                </w14:textFill>
              </w:rPr>
              <w:t>必须提供，否则响应文件按无效处理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747DF577">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8.对应采购需求的技术要求、商务要求提供的其他文件资料（格式自拟）；</w:t>
            </w:r>
          </w:p>
          <w:p w14:paraId="7D245635">
            <w:pPr>
              <w:keepNext w:val="0"/>
              <w:keepLines w:val="0"/>
              <w:pageBreakBefore w:val="0"/>
              <w:widowControl w:val="0"/>
              <w:kinsoku/>
              <w:wordWrap/>
              <w:overflowPunct/>
              <w:topLinePunct w:val="0"/>
              <w:bidi w:val="0"/>
              <w:adjustRightInd/>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9.供应商认为需要提供的其他有关资料。</w:t>
            </w:r>
          </w:p>
          <w:p w14:paraId="39BC7AFA">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注：以上标明“必须提供”材料复印件的，必须加盖供应商</w:t>
            </w:r>
            <w:r>
              <w:rPr>
                <w:rFonts w:hint="eastAsia" w:ascii="宋体" w:hAnsi="宋体" w:eastAsia="宋体" w:cs="宋体"/>
                <w:b/>
                <w:bCs/>
                <w:color w:val="000000" w:themeColor="text1"/>
                <w:sz w:val="21"/>
                <w:szCs w:val="21"/>
                <w14:textFill>
                  <w14:solidFill>
                    <w14:schemeClr w14:val="tx1"/>
                  </w14:solidFill>
                </w14:textFill>
              </w:rPr>
              <w:t>电子签章</w:t>
            </w:r>
            <w:r>
              <w:rPr>
                <w:rFonts w:hint="eastAsia" w:ascii="宋体" w:hAnsi="宋体" w:eastAsia="宋体" w:cs="宋体"/>
                <w:b/>
                <w:color w:val="000000" w:themeColor="text1"/>
                <w:sz w:val="21"/>
                <w:szCs w:val="21"/>
                <w14:textFill>
                  <w14:solidFill>
                    <w14:schemeClr w14:val="tx1"/>
                  </w14:solidFill>
                </w14:textFill>
              </w:rPr>
              <w:t>，否则响应文件按无效处理。</w:t>
            </w:r>
          </w:p>
        </w:tc>
      </w:tr>
      <w:tr w14:paraId="2009F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81135B3">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15.2</w:t>
            </w:r>
          </w:p>
        </w:tc>
        <w:tc>
          <w:tcPr>
            <w:tcW w:w="7912" w:type="dxa"/>
            <w:vAlign w:val="center"/>
          </w:tcPr>
          <w:p w14:paraId="64F7142F">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竞标报价包含竞标货物（包括备品备件、专用工具等）的价格（包括已在中国境内的进口货物完税后的仓库交货价、展室交货价或者货架交货价），竞标货物运输（含保险）、安装（如有）、调试、检验、技术服务、培训和谈判文件要求提供的所有伴随服务、工程等费用和税费。（采购需求另有约定的，从其约定。）</w:t>
            </w:r>
          </w:p>
        </w:tc>
      </w:tr>
      <w:tr w14:paraId="34235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6B644D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16.2</w:t>
            </w:r>
          </w:p>
        </w:tc>
        <w:tc>
          <w:tcPr>
            <w:tcW w:w="7912" w:type="dxa"/>
            <w:vAlign w:val="center"/>
          </w:tcPr>
          <w:p w14:paraId="1198AC17">
            <w:pPr>
              <w:pStyle w:val="7"/>
              <w:keepNext w:val="0"/>
              <w:keepLines w:val="0"/>
              <w:pageBreakBefore w:val="0"/>
              <w:widowControl w:val="0"/>
              <w:tabs>
                <w:tab w:val="clear" w:pos="454"/>
              </w:tabs>
              <w:kinsoku/>
              <w:wordWrap/>
              <w:overflowPunct/>
              <w:topLinePunct w:val="0"/>
              <w:bidi w:val="0"/>
              <w:adjustRightInd/>
              <w:snapToGrid w:val="0"/>
              <w:spacing w:afterLines="0" w:line="400" w:lineRule="exact"/>
              <w:ind w:left="283" w:hanging="283" w:hangingChars="135"/>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竞标有效期：自首次响应文件提交截止之日起</w:t>
            </w:r>
            <w:r>
              <w:rPr>
                <w:rFonts w:hint="eastAsia" w:ascii="宋体" w:hAnsi="宋体" w:eastAsia="宋体" w:cs="宋体"/>
                <w:color w:val="000000" w:themeColor="text1"/>
                <w:kern w:val="2"/>
                <w:sz w:val="21"/>
                <w:szCs w:val="21"/>
                <w:u w:val="single"/>
                <w14:textFill>
                  <w14:solidFill>
                    <w14:schemeClr w14:val="tx1"/>
                  </w14:solidFill>
                </w14:textFill>
              </w:rPr>
              <w:t>90</w:t>
            </w:r>
            <w:r>
              <w:rPr>
                <w:rFonts w:hint="eastAsia" w:ascii="宋体" w:hAnsi="宋体" w:eastAsia="宋体" w:cs="宋体"/>
                <w:color w:val="000000" w:themeColor="text1"/>
                <w:kern w:val="2"/>
                <w:sz w:val="21"/>
                <w:szCs w:val="21"/>
                <w14:textFill>
                  <w14:solidFill>
                    <w14:schemeClr w14:val="tx1"/>
                  </w14:solidFill>
                </w14:textFill>
              </w:rPr>
              <w:t>日。</w:t>
            </w:r>
          </w:p>
        </w:tc>
      </w:tr>
      <w:tr w14:paraId="05273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9B3D4F4">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17.1</w:t>
            </w:r>
          </w:p>
        </w:tc>
        <w:tc>
          <w:tcPr>
            <w:tcW w:w="7912" w:type="dxa"/>
            <w:vAlign w:val="center"/>
          </w:tcPr>
          <w:p w14:paraId="1684EA9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□本项目不收取竞标保证金。</w:t>
            </w:r>
          </w:p>
          <w:p w14:paraId="1312879D">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☑本项目收取竞标保证金，具体规定如下：</w:t>
            </w:r>
          </w:p>
          <w:p w14:paraId="59CEA2D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0"/>
                <w:sz w:val="21"/>
                <w:szCs w:val="21"/>
                <w14:textFill>
                  <w14:solidFill>
                    <w14:schemeClr w14:val="tx1"/>
                  </w14:solidFill>
                </w14:textFill>
              </w:rPr>
            </w:pPr>
            <w:bookmarkStart w:id="59" w:name="OLE_LINK15"/>
            <w:r>
              <w:rPr>
                <w:rFonts w:hint="eastAsia" w:ascii="宋体" w:hAnsi="宋体" w:eastAsia="宋体" w:cs="宋体"/>
                <w:color w:val="000000" w:themeColor="text1"/>
                <w:kern w:val="0"/>
                <w:sz w:val="21"/>
                <w:szCs w:val="21"/>
                <w14:textFill>
                  <w14:solidFill>
                    <w14:schemeClr w14:val="tx1"/>
                  </w14:solidFill>
                </w14:textFill>
              </w:rPr>
              <w:t>竞标保证金人民币</w:t>
            </w:r>
            <w:r>
              <w:rPr>
                <w:rFonts w:hint="eastAsia" w:ascii="宋体" w:hAnsi="宋体" w:cs="宋体"/>
                <w:color w:val="000000" w:themeColor="text1"/>
                <w:kern w:val="0"/>
                <w:sz w:val="21"/>
                <w:szCs w:val="21"/>
                <w:u w:val="single"/>
                <w:lang w:val="en-US" w:eastAsia="zh-CN"/>
                <w14:textFill>
                  <w14:solidFill>
                    <w14:schemeClr w14:val="tx1"/>
                  </w14:solidFill>
                </w14:textFill>
              </w:rPr>
              <w:t>13000.00</w:t>
            </w:r>
            <w:r>
              <w:rPr>
                <w:rFonts w:hint="eastAsia" w:ascii="宋体" w:hAnsi="宋体" w:eastAsia="宋体" w:cs="宋体"/>
                <w:color w:val="000000" w:themeColor="text1"/>
                <w:kern w:val="0"/>
                <w:sz w:val="21"/>
                <w:szCs w:val="21"/>
                <w14:textFill>
                  <w14:solidFill>
                    <w14:schemeClr w14:val="tx1"/>
                  </w14:solidFill>
                </w14:textFill>
              </w:rPr>
              <w:t>元</w:t>
            </w:r>
            <w:bookmarkEnd w:id="59"/>
          </w:p>
          <w:p w14:paraId="44E65D9E">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kern w:val="0"/>
                <w:sz w:val="21"/>
                <w:szCs w:val="21"/>
              </w:rPr>
            </w:pPr>
            <w:r>
              <w:rPr>
                <w:rFonts w:hint="eastAsia" w:ascii="宋体" w:hAnsi="宋体" w:cs="宋体"/>
                <w:color w:val="000000"/>
                <w:kern w:val="0"/>
                <w:sz w:val="21"/>
                <w:szCs w:val="21"/>
                <w:lang w:eastAsia="zh-CN"/>
              </w:rPr>
              <w:t>竞标保证金</w:t>
            </w:r>
            <w:r>
              <w:rPr>
                <w:rFonts w:hint="eastAsia" w:ascii="宋体" w:hAnsi="宋体" w:eastAsia="宋体" w:cs="宋体"/>
                <w:color w:val="000000"/>
                <w:kern w:val="0"/>
                <w:sz w:val="21"/>
                <w:szCs w:val="21"/>
              </w:rPr>
              <w:t>的交纳方式：银行转账、支票、汇票、本票或者银行、保险机构出具的保函，禁止采用现钞方式。采用银行转账方式的，在响应文件提交截止时间前交至指定账户并且到账（开户名称：</w:t>
            </w:r>
            <w:r>
              <w:rPr>
                <w:rFonts w:hint="eastAsia" w:ascii="宋体" w:hAnsi="宋体" w:cs="宋体"/>
                <w:color w:val="000000"/>
                <w:kern w:val="0"/>
                <w:sz w:val="21"/>
                <w:szCs w:val="21"/>
                <w:lang w:eastAsia="zh-CN"/>
              </w:rPr>
              <w:t>广西汉昌工程咨询有限公司南宁第十八分公司</w:t>
            </w:r>
            <w:r>
              <w:rPr>
                <w:rFonts w:hint="eastAsia" w:ascii="宋体" w:hAnsi="宋体" w:eastAsia="宋体" w:cs="宋体"/>
                <w:color w:val="000000"/>
                <w:kern w:val="0"/>
                <w:sz w:val="21"/>
                <w:szCs w:val="21"/>
              </w:rPr>
              <w:t>；开户银行：</w:t>
            </w:r>
            <w:r>
              <w:rPr>
                <w:rFonts w:hint="eastAsia" w:ascii="宋体" w:hAnsi="宋体" w:cs="宋体"/>
                <w:color w:val="000000"/>
                <w:kern w:val="0"/>
                <w:sz w:val="21"/>
                <w:szCs w:val="21"/>
                <w:lang w:eastAsia="zh-CN"/>
              </w:rPr>
              <w:t>招商银行股份有限公司南宁分行</w:t>
            </w:r>
            <w:r>
              <w:rPr>
                <w:rFonts w:hint="eastAsia" w:ascii="宋体" w:hAnsi="宋体" w:eastAsia="宋体" w:cs="宋体"/>
                <w:color w:val="000000"/>
                <w:kern w:val="0"/>
                <w:sz w:val="21"/>
                <w:szCs w:val="21"/>
              </w:rPr>
              <w:t>；银行账号：</w:t>
            </w:r>
            <w:r>
              <w:rPr>
                <w:rFonts w:hint="eastAsia" w:ascii="宋体" w:hAnsi="宋体" w:cs="宋体"/>
                <w:color w:val="000000"/>
                <w:kern w:val="0"/>
                <w:sz w:val="21"/>
                <w:szCs w:val="21"/>
                <w:lang w:eastAsia="zh-CN"/>
              </w:rPr>
              <w:t>771903123610828</w:t>
            </w:r>
            <w:r>
              <w:rPr>
                <w:rFonts w:hint="eastAsia" w:ascii="宋体" w:hAnsi="宋体" w:eastAsia="宋体" w:cs="宋体"/>
                <w:color w:val="000000"/>
                <w:kern w:val="0"/>
                <w:sz w:val="21"/>
                <w:szCs w:val="21"/>
              </w:rPr>
              <w:t>）；采用支票、汇票、本票或者保函等方式的，在响应文件提交截止时间前，供应商必须提交单独密封的支票、汇票、本票或者保函原件。否则视为无效</w:t>
            </w:r>
            <w:r>
              <w:rPr>
                <w:rFonts w:hint="eastAsia" w:ascii="宋体" w:hAnsi="宋体" w:cs="宋体"/>
                <w:color w:val="000000"/>
                <w:kern w:val="0"/>
                <w:sz w:val="21"/>
                <w:szCs w:val="21"/>
                <w:lang w:eastAsia="zh-CN"/>
              </w:rPr>
              <w:t>竞标保证金</w:t>
            </w:r>
            <w:r>
              <w:rPr>
                <w:rFonts w:hint="eastAsia" w:ascii="宋体" w:hAnsi="宋体" w:eastAsia="宋体" w:cs="宋体"/>
                <w:color w:val="000000"/>
                <w:kern w:val="0"/>
                <w:sz w:val="21"/>
                <w:szCs w:val="21"/>
              </w:rPr>
              <w:t>。</w:t>
            </w:r>
          </w:p>
          <w:p w14:paraId="2B8BEB6F">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相关要求：</w:t>
            </w:r>
          </w:p>
          <w:p w14:paraId="643DDCC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1.竞标保证金采用银行转账交纳方式的，在响应文件提交截止时间前交至指定账户并且到账，供应商应将银行转账底单的复印件作为竞标保证金提交凭证，放置于商务技术文件中，</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59345B4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2.竞标保证金采用支票、汇票、本票或者银行、保险机构出具的保函交纳方式的，供应商应将支票、汇票、本票或者银行、保险机构出具的保函的复印件作为竞标保证金提交凭证，放置于商务技术文件中，</w:t>
            </w:r>
            <w:r>
              <w:rPr>
                <w:rFonts w:hint="eastAsia" w:ascii="宋体" w:hAnsi="宋体" w:eastAsia="宋体" w:cs="宋体"/>
                <w:b/>
                <w:color w:val="000000" w:themeColor="text1"/>
                <w:sz w:val="21"/>
                <w:szCs w:val="21"/>
                <w14:textFill>
                  <w14:solidFill>
                    <w14:schemeClr w14:val="tx1"/>
                  </w14:solidFill>
                </w14:textFill>
              </w:rPr>
              <w:t>否则响应文件按无效处理</w:t>
            </w:r>
            <w:r>
              <w:rPr>
                <w:rFonts w:hint="eastAsia" w:ascii="宋体" w:hAnsi="宋体" w:eastAsia="宋体" w:cs="宋体"/>
                <w:color w:val="000000" w:themeColor="text1"/>
                <w:sz w:val="21"/>
                <w:szCs w:val="21"/>
                <w14:textFill>
                  <w14:solidFill>
                    <w14:schemeClr w14:val="tx1"/>
                  </w14:solidFill>
                </w14:textFill>
              </w:rPr>
              <w:t>。</w:t>
            </w:r>
          </w:p>
          <w:p w14:paraId="0E6E2F7E">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3.供应商为联合体的，可以由联合体中的一方或者多方共同交纳谈判保证金，其交纳的保证金对联合体各方均具有约束力。</w:t>
            </w:r>
          </w:p>
          <w:p w14:paraId="4DF8FD6C">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备注：</w:t>
            </w:r>
          </w:p>
          <w:p w14:paraId="4BB3967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1.竞标保证金在响应文件提交截止时间后提交的，或者不按规定交纳方式交纳的，或者未足额交纳的（包含保函额度不足的），视为无效竞标保证金。</w:t>
            </w:r>
          </w:p>
          <w:p w14:paraId="7AB1E85B">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2.供应商采用现钞方式或者从个人账户（自然人竞标除外）转出的竞标保证金，视为无效竞标保证金。</w:t>
            </w:r>
          </w:p>
          <w:p w14:paraId="1169ACCA">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3.支票、汇票或者本票出现无效或者背书情形的，视为无效竞标保证金。</w:t>
            </w:r>
          </w:p>
          <w:p w14:paraId="0D96083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4.保函有效期低于竞标有效期的，视为无效竞标保证金。</w:t>
            </w:r>
          </w:p>
          <w:p w14:paraId="52DEFC3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5.竞标保证金采用银行、保险机构出具的保函为有条件保函的，视为无效竞标保证金。</w:t>
            </w:r>
          </w:p>
          <w:p w14:paraId="25810E0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6.政采云平台暂未支持电子保函功能，故本项目暂不接受电子保函形式的保证金。</w:t>
            </w:r>
          </w:p>
        </w:tc>
      </w:tr>
      <w:tr w14:paraId="20F82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317603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19</w:t>
            </w:r>
          </w:p>
        </w:tc>
        <w:tc>
          <w:tcPr>
            <w:tcW w:w="7912" w:type="dxa"/>
            <w:vAlign w:val="center"/>
          </w:tcPr>
          <w:p w14:paraId="44E8A6B3">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本项目不接受电子备份响应文件</w:t>
            </w:r>
          </w:p>
        </w:tc>
      </w:tr>
      <w:tr w14:paraId="27A19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EFEAB3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20.1</w:t>
            </w:r>
          </w:p>
        </w:tc>
        <w:tc>
          <w:tcPr>
            <w:tcW w:w="7912" w:type="dxa"/>
            <w:vAlign w:val="center"/>
          </w:tcPr>
          <w:p w14:paraId="75787D61">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响应文件提交截止时间：详见竞争性谈判公告或者竞标邀请函。</w:t>
            </w:r>
          </w:p>
          <w:p w14:paraId="26B549F1">
            <w:pPr>
              <w:keepNext w:val="0"/>
              <w:keepLines w:val="0"/>
              <w:pageBreakBefore w:val="0"/>
              <w:widowControl w:val="0"/>
              <w:kinsoku/>
              <w:wordWrap/>
              <w:overflowPunct/>
              <w:topLinePunct w:val="0"/>
              <w:bidi w:val="0"/>
              <w:adjustRightInd/>
              <w:spacing w:line="400" w:lineRule="exact"/>
              <w:contextualSpacing/>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响应文件提交地点：详见竞争性谈判公告或者竞标邀请函。</w:t>
            </w:r>
          </w:p>
        </w:tc>
      </w:tr>
      <w:tr w14:paraId="381E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170A7342">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24.1</w:t>
            </w:r>
          </w:p>
        </w:tc>
        <w:tc>
          <w:tcPr>
            <w:tcW w:w="7912" w:type="dxa"/>
            <w:vAlign w:val="center"/>
          </w:tcPr>
          <w:p w14:paraId="7AEFE873">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谈判小组的人数：</w:t>
            </w:r>
            <w:r>
              <w:rPr>
                <w:rFonts w:hint="eastAsia" w:ascii="宋体" w:hAnsi="宋体" w:eastAsia="宋体" w:cs="宋体"/>
                <w:color w:val="000000" w:themeColor="text1"/>
                <w:sz w:val="21"/>
                <w:szCs w:val="21"/>
                <w:u w:val="single"/>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人。</w:t>
            </w:r>
          </w:p>
        </w:tc>
      </w:tr>
      <w:tr w14:paraId="14AEF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ED60EF5">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25</w:t>
            </w:r>
          </w:p>
        </w:tc>
        <w:tc>
          <w:tcPr>
            <w:tcW w:w="7912" w:type="dxa"/>
            <w:vAlign w:val="center"/>
          </w:tcPr>
          <w:p w14:paraId="6E6D1E34">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首次响应文件开启时间详见“竞争性谈判公告”或者“竞标邀请函”</w:t>
            </w:r>
          </w:p>
          <w:p w14:paraId="5669CD56">
            <w:pPr>
              <w:keepNext w:val="0"/>
              <w:keepLines w:val="0"/>
              <w:pageBreakBefore w:val="0"/>
              <w:widowControl w:val="0"/>
              <w:kinsoku/>
              <w:wordWrap/>
              <w:overflowPunct/>
              <w:topLinePunct w:val="0"/>
              <w:bidi w:val="0"/>
              <w:adjustRightInd/>
              <w:snapToGrid w:val="0"/>
              <w:spacing w:line="400" w:lineRule="exact"/>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首次响应文件解密时间：</w:t>
            </w:r>
            <w:r>
              <w:rPr>
                <w:rFonts w:hint="eastAsia" w:ascii="宋体" w:hAnsi="宋体" w:eastAsia="宋体" w:cs="宋体"/>
                <w:color w:val="000000" w:themeColor="text1"/>
                <w:sz w:val="21"/>
                <w:szCs w:val="21"/>
                <w:u w:val="single"/>
                <w14:textFill>
                  <w14:solidFill>
                    <w14:schemeClr w14:val="tx1"/>
                  </w14:solidFill>
                </w14:textFill>
              </w:rPr>
              <w:t>30</w:t>
            </w:r>
            <w:r>
              <w:rPr>
                <w:rFonts w:hint="eastAsia" w:ascii="宋体" w:hAnsi="宋体" w:eastAsia="宋体" w:cs="宋体"/>
                <w:color w:val="000000" w:themeColor="text1"/>
                <w:sz w:val="21"/>
                <w:szCs w:val="21"/>
                <w14:textFill>
                  <w14:solidFill>
                    <w14:schemeClr w14:val="tx1"/>
                  </w14:solidFill>
                </w14:textFill>
              </w:rPr>
              <w:t>分钟</w:t>
            </w:r>
          </w:p>
        </w:tc>
      </w:tr>
      <w:tr w14:paraId="493B1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restart"/>
            <w:vAlign w:val="center"/>
          </w:tcPr>
          <w:p w14:paraId="083A99A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26</w:t>
            </w:r>
          </w:p>
        </w:tc>
        <w:tc>
          <w:tcPr>
            <w:tcW w:w="7912" w:type="dxa"/>
            <w:vAlign w:val="center"/>
          </w:tcPr>
          <w:p w14:paraId="0E214841">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评审价相同时，按照最后报价由低到高顺序依次推荐；最后报价相同时，按节能、环保产品累计金额由高到低顺序依次推荐；节能、环保产品累计金额也相同时，按以下原则确定成交候选人的顺序：</w:t>
            </w:r>
          </w:p>
          <w:p w14:paraId="52734A14">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☑带“</w:t>
            </w:r>
            <w:r>
              <w:rPr>
                <w:rFonts w:hint="eastAsia" w:ascii="宋体" w:hAnsi="宋体" w:eastAsia="宋体" w:cs="宋体"/>
                <w:kern w:val="0"/>
                <w:sz w:val="21"/>
                <w:szCs w:val="21"/>
                <w:lang w:bidi="ar"/>
              </w:rPr>
              <w:t>▲</w:t>
            </w:r>
            <w:r>
              <w:rPr>
                <w:rFonts w:hint="eastAsia" w:ascii="宋体" w:hAnsi="宋体" w:eastAsia="宋体" w:cs="宋体"/>
                <w:color w:val="000000" w:themeColor="text1"/>
                <w:sz w:val="21"/>
                <w:szCs w:val="21"/>
                <w14:textFill>
                  <w14:solidFill>
                    <w14:schemeClr w14:val="tx1"/>
                  </w14:solidFill>
                </w14:textFill>
              </w:rPr>
              <w:t>”的实质性要求正偏离项数多的优先、均无正偏离或者正偏离项数一致时负偏离项数少的优先、保修期长优先、交货期短优先、故障响应时间短优先的顺序推荐。</w:t>
            </w:r>
          </w:p>
          <w:p w14:paraId="000C0C29">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由谈判小组推荐代表随机抽取。</w:t>
            </w:r>
          </w:p>
        </w:tc>
      </w:tr>
      <w:tr w14:paraId="31DA4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Merge w:val="continue"/>
            <w:vAlign w:val="center"/>
          </w:tcPr>
          <w:p w14:paraId="04638CC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p>
        </w:tc>
        <w:tc>
          <w:tcPr>
            <w:tcW w:w="7912" w:type="dxa"/>
            <w:vAlign w:val="center"/>
          </w:tcPr>
          <w:p w14:paraId="008AA2D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商务要求评审中允许负偏离的条款数为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p w14:paraId="54B3638D">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技术要求评审中允许负偏离的条款数为</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cs="宋体"/>
                <w:color w:val="000000" w:themeColor="text1"/>
                <w:sz w:val="21"/>
                <w:szCs w:val="21"/>
                <w:highlight w:val="none"/>
                <w:u w:val="singl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项。</w:t>
            </w:r>
          </w:p>
        </w:tc>
      </w:tr>
      <w:tr w14:paraId="76C57F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4B166E3A">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28.1</w:t>
            </w:r>
          </w:p>
        </w:tc>
        <w:tc>
          <w:tcPr>
            <w:tcW w:w="7912" w:type="dxa"/>
            <w:vAlign w:val="center"/>
          </w:tcPr>
          <w:p w14:paraId="0CFE032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本项目不收取履约保证金。</w:t>
            </w:r>
          </w:p>
          <w:p w14:paraId="2987A4D4">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rPr>
            </w:pPr>
            <w:r>
              <w:rPr>
                <w:rFonts w:hint="eastAsia" w:ascii="宋体" w:hAnsi="宋体" w:cs="宋体"/>
                <w:color w:val="auto"/>
                <w:sz w:val="21"/>
                <w:szCs w:val="21"/>
                <w:lang w:eastAsia="zh-CN"/>
              </w:rPr>
              <w:t>□</w:t>
            </w:r>
            <w:r>
              <w:rPr>
                <w:rFonts w:hint="eastAsia" w:ascii="宋体" w:hAnsi="宋体" w:eastAsia="宋体" w:cs="宋体"/>
                <w:color w:val="auto"/>
                <w:sz w:val="21"/>
                <w:szCs w:val="21"/>
              </w:rPr>
              <w:t>本项目收取履约保证金，具体规定如下：</w:t>
            </w:r>
          </w:p>
          <w:p w14:paraId="3ECA8977">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auto"/>
                <w:sz w:val="21"/>
                <w:szCs w:val="21"/>
              </w:rPr>
            </w:pPr>
            <w:r>
              <w:rPr>
                <w:rFonts w:hint="eastAsia" w:ascii="宋体" w:hAnsi="宋体" w:eastAsia="宋体" w:cs="宋体"/>
                <w:color w:val="auto"/>
                <w:sz w:val="21"/>
                <w:szCs w:val="21"/>
              </w:rPr>
              <w:t>履约保证金金额：按成交金额的</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w:t>
            </w:r>
          </w:p>
          <w:p w14:paraId="372B28A7">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履约保证金提交方式：银行转账、支票、汇票、本票或者银行、保险机构出具的保函等非现金方式。</w:t>
            </w:r>
          </w:p>
          <w:p w14:paraId="49031BD1">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u w:val="single"/>
              </w:rPr>
            </w:pPr>
            <w:r>
              <w:rPr>
                <w:rFonts w:hint="eastAsia" w:ascii="宋体" w:hAnsi="宋体" w:eastAsia="宋体" w:cs="宋体"/>
                <w:color w:val="auto"/>
                <w:sz w:val="21"/>
                <w:szCs w:val="21"/>
              </w:rPr>
              <w:t>履约保证金退付方式、时间及条件：</w:t>
            </w:r>
            <w:r>
              <w:rPr>
                <w:rFonts w:hint="eastAsia" w:ascii="宋体" w:hAnsi="宋体" w:eastAsia="宋体" w:cs="宋体"/>
                <w:color w:val="auto"/>
                <w:sz w:val="21"/>
                <w:szCs w:val="21"/>
                <w:u w:val="single"/>
              </w:rPr>
              <w:t>保证金收取单位在收到合格材料后退还。</w:t>
            </w:r>
          </w:p>
          <w:p w14:paraId="2B7825CA">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如：由成交供应商向履约保证金收取单位提供《广西壮族自治区政府采购项目合同验收书》（详见桂财采〔2015〕22号），保证金收取单位在收到合格材料后5个工作日内办理退还手续（不计利息）。</w:t>
            </w:r>
          </w:p>
          <w:p w14:paraId="3F804DC9">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履约保证金指定账户：</w:t>
            </w:r>
          </w:p>
          <w:p w14:paraId="138A4116">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开户名称：</w:t>
            </w:r>
          </w:p>
          <w:p w14:paraId="41923112">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开户银行：</w:t>
            </w:r>
          </w:p>
          <w:p w14:paraId="6D8F410B">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银行账号：</w:t>
            </w:r>
          </w:p>
          <w:p w14:paraId="7D08D4C5">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color w:val="auto"/>
                <w:sz w:val="21"/>
                <w:szCs w:val="21"/>
              </w:rPr>
            </w:pPr>
            <w:r>
              <w:rPr>
                <w:rFonts w:hint="eastAsia" w:ascii="宋体" w:hAnsi="宋体" w:eastAsia="宋体" w:cs="宋体"/>
                <w:color w:val="auto"/>
                <w:sz w:val="21"/>
                <w:szCs w:val="21"/>
              </w:rPr>
              <w:t>备注：</w:t>
            </w:r>
          </w:p>
          <w:p w14:paraId="3DD6517A">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1.</w:t>
            </w:r>
            <w:bookmarkStart w:id="60" w:name="_Hlk54170335"/>
            <w:r>
              <w:rPr>
                <w:rFonts w:hint="eastAsia" w:ascii="宋体" w:hAnsi="宋体" w:eastAsia="宋体" w:cs="宋体"/>
                <w:b/>
                <w:color w:val="000000" w:themeColor="text1"/>
                <w:sz w:val="21"/>
                <w:szCs w:val="21"/>
                <w14:textFill>
                  <w14:solidFill>
                    <w14:schemeClr w14:val="tx1"/>
                  </w14:solidFill>
                </w14:textFill>
              </w:rPr>
              <w:t>根据《广西壮族自治区财政厅关于贯彻落实政府采购优化营商环境百日攻坚行动方案的通知》（桂财采〔2020〕49号）规定，鼓励采购人在与中小微企业签订政府采购合同时，减少或免于收取履约保证金，有必要收取履约保证金的，收取的履约保证金不得超过政府采购合同金额的5%。</w:t>
            </w:r>
            <w:bookmarkEnd w:id="60"/>
          </w:p>
          <w:p w14:paraId="04033601">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2.履约保证金不足额缴纳的，或者银行、保险机构出具的保函额度不足的或者保函有效期低于合同履行期限（即签订采购合同之日起至履行完合同约定的权利及义务之日止）的，不予签订合同。</w:t>
            </w:r>
          </w:p>
          <w:p w14:paraId="4B30FD19">
            <w:pPr>
              <w:keepNext w:val="0"/>
              <w:keepLines w:val="0"/>
              <w:pageBreakBefore w:val="0"/>
              <w:widowControl w:val="0"/>
              <w:kinsoku/>
              <w:wordWrap/>
              <w:overflowPunct/>
              <w:topLinePunct w:val="0"/>
              <w:bidi w:val="0"/>
              <w:adjustRightInd/>
              <w:spacing w:line="400" w:lineRule="exact"/>
              <w:contextualSpacing/>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3.采用银行、保险机构出具的保函的，必须为无条件保函，否则不予签订合同。</w:t>
            </w:r>
          </w:p>
          <w:p w14:paraId="289F1105">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4.供应商为联合体的，由联合体任意一方按规定提交的履约保证金，视为有效履约保证金。</w:t>
            </w:r>
          </w:p>
        </w:tc>
      </w:tr>
      <w:tr w14:paraId="08AAD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5C2F94CF">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29.1</w:t>
            </w:r>
          </w:p>
        </w:tc>
        <w:tc>
          <w:tcPr>
            <w:tcW w:w="7912" w:type="dxa"/>
            <w:vAlign w:val="center"/>
          </w:tcPr>
          <w:p w14:paraId="5DBD71CD">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签订合同携带的证明材料：</w:t>
            </w:r>
          </w:p>
          <w:p w14:paraId="14A6A9C0">
            <w:pPr>
              <w:keepNext w:val="0"/>
              <w:keepLines w:val="0"/>
              <w:pageBreakBefore w:val="0"/>
              <w:widowControl w:val="0"/>
              <w:kinsoku/>
              <w:wordWrap/>
              <w:overflowPunct/>
              <w:topLinePunct w:val="0"/>
              <w:autoSpaceDE w:val="0"/>
              <w:autoSpaceDN w:val="0"/>
              <w:bidi w:val="0"/>
              <w:adjustRightInd/>
              <w:snapToGrid w:val="0"/>
              <w:spacing w:line="400" w:lineRule="exact"/>
              <w:textAlignment w:val="bottom"/>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委托代理人负责签订合同的，须携带授权委托书及委托代理人身份证原件等其他资格证件。</w:t>
            </w:r>
          </w:p>
          <w:p w14:paraId="162F1642">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法定代表人负责签订合同的，须携带法定代表人身份证明原件及身份证原件等其他证明材料。</w:t>
            </w:r>
          </w:p>
        </w:tc>
      </w:tr>
      <w:tr w14:paraId="599F4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061EA2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w:t>
            </w:r>
          </w:p>
        </w:tc>
        <w:tc>
          <w:tcPr>
            <w:tcW w:w="7912" w:type="dxa"/>
            <w:vAlign w:val="center"/>
          </w:tcPr>
          <w:p w14:paraId="683E7BE0">
            <w:pPr>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接收质疑函方式：以书面形式。</w:t>
            </w:r>
          </w:p>
          <w:p w14:paraId="08A7E021">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质疑联系部门及联系方式：</w:t>
            </w:r>
            <w:r>
              <w:rPr>
                <w:rFonts w:hint="eastAsia" w:hAnsi="宋体" w:cs="宋体"/>
                <w:color w:val="000000" w:themeColor="text1"/>
                <w:kern w:val="2"/>
                <w:sz w:val="21"/>
                <w:szCs w:val="21"/>
                <w:u w:val="single"/>
                <w:lang w:eastAsia="zh-CN"/>
                <w14:textFill>
                  <w14:solidFill>
                    <w14:schemeClr w14:val="tx1"/>
                  </w14:solidFill>
                </w14:textFill>
              </w:rPr>
              <w:t>广西汉昌工程咨询有限公司</w:t>
            </w:r>
            <w:r>
              <w:rPr>
                <w:rFonts w:hint="eastAsia" w:ascii="宋体" w:hAnsi="宋体" w:eastAsia="宋体" w:cs="宋体"/>
                <w:color w:val="000000" w:themeColor="text1"/>
                <w:kern w:val="2"/>
                <w:sz w:val="21"/>
                <w:szCs w:val="21"/>
                <w14:textFill>
                  <w14:solidFill>
                    <w14:schemeClr w14:val="tx1"/>
                  </w14:solidFill>
                </w14:textFill>
              </w:rPr>
              <w:t>，联系电话：</w:t>
            </w:r>
            <w:r>
              <w:rPr>
                <w:rFonts w:hint="eastAsia" w:hAnsi="宋体" w:cs="宋体"/>
                <w:color w:val="000000" w:themeColor="text1"/>
                <w:kern w:val="2"/>
                <w:sz w:val="21"/>
                <w:szCs w:val="21"/>
                <w:lang w:eastAsia="zh-CN"/>
                <w14:textFill>
                  <w14:solidFill>
                    <w14:schemeClr w14:val="tx1"/>
                  </w14:solidFill>
                </w14:textFill>
              </w:rPr>
              <w:t>0771-5718293</w:t>
            </w:r>
            <w:r>
              <w:rPr>
                <w:rFonts w:hint="eastAsia" w:ascii="宋体" w:hAnsi="宋体" w:eastAsia="宋体" w:cs="宋体"/>
                <w:color w:val="000000" w:themeColor="text1"/>
                <w:kern w:val="2"/>
                <w:sz w:val="21"/>
                <w:szCs w:val="21"/>
                <w14:textFill>
                  <w14:solidFill>
                    <w14:schemeClr w14:val="tx1"/>
                  </w14:solidFill>
                </w14:textFill>
              </w:rPr>
              <w:t>，通讯地址：</w:t>
            </w:r>
            <w:r>
              <w:rPr>
                <w:rFonts w:hint="eastAsia" w:hAnsi="宋体" w:cs="宋体"/>
                <w:color w:val="000000" w:themeColor="text1"/>
                <w:kern w:val="2"/>
                <w:sz w:val="21"/>
                <w:szCs w:val="21"/>
                <w:lang w:eastAsia="zh-CN"/>
                <w14:textFill>
                  <w14:solidFill>
                    <w14:schemeClr w14:val="tx1"/>
                  </w14:solidFill>
                </w14:textFill>
              </w:rPr>
              <w:t>南宁市青秀区仙葫大道16号鼎丰广场A座11楼HC区域</w:t>
            </w:r>
          </w:p>
          <w:p w14:paraId="2C29DCAC">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业务时间：工作日每天上午</w:t>
            </w:r>
            <w:r>
              <w:rPr>
                <w:rFonts w:hint="eastAsia" w:ascii="宋体" w:hAnsi="宋体" w:eastAsia="宋体" w:cs="宋体"/>
                <w:color w:val="000000" w:themeColor="text1"/>
                <w:sz w:val="21"/>
                <w:szCs w:val="21"/>
                <w:lang w:val="en-US" w:eastAsia="zh-CN"/>
                <w14:textFill>
                  <w14:solidFill>
                    <w14:schemeClr w14:val="tx1"/>
                  </w14:solidFill>
                </w14:textFill>
              </w:rPr>
              <w:t>9</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0分到12时00分，下午1</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0分到17时</w:t>
            </w:r>
            <w:r>
              <w:rPr>
                <w:rFonts w:hint="eastAsia" w:ascii="宋体" w:hAnsi="宋体" w:eastAsia="宋体" w:cs="宋体"/>
                <w:color w:val="000000" w:themeColor="text1"/>
                <w:sz w:val="21"/>
                <w:szCs w:val="21"/>
                <w:lang w:val="en-US" w:eastAsia="zh-CN"/>
                <w14:textFill>
                  <w14:solidFill>
                    <w14:schemeClr w14:val="tx1"/>
                  </w14:solidFill>
                </w14:textFill>
              </w:rPr>
              <w:t>0</w:t>
            </w:r>
            <w:r>
              <w:rPr>
                <w:rFonts w:hint="eastAsia" w:ascii="宋体" w:hAnsi="宋体" w:eastAsia="宋体" w:cs="宋体"/>
                <w:color w:val="000000" w:themeColor="text1"/>
                <w:sz w:val="21"/>
                <w:szCs w:val="21"/>
                <w14:textFill>
                  <w14:solidFill>
                    <w14:schemeClr w14:val="tx1"/>
                  </w14:solidFill>
                </w14:textFill>
              </w:rPr>
              <w:t>0分。</w:t>
            </w:r>
          </w:p>
        </w:tc>
      </w:tr>
      <w:tr w14:paraId="67585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2AA2E1A0">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32.1</w:t>
            </w:r>
          </w:p>
        </w:tc>
        <w:tc>
          <w:tcPr>
            <w:tcW w:w="7912" w:type="dxa"/>
            <w:vAlign w:val="center"/>
          </w:tcPr>
          <w:p w14:paraId="75B3601E">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1.采购代理费支付方式：</w:t>
            </w:r>
          </w:p>
          <w:p w14:paraId="24C00C13">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☑本项目代理服务费按如下规定由</w:t>
            </w:r>
            <w:r>
              <w:rPr>
                <w:rFonts w:hint="eastAsia" w:ascii="宋体" w:hAnsi="宋体" w:eastAsia="宋体" w:cs="宋体"/>
                <w:color w:val="000000" w:themeColor="text1"/>
                <w:sz w:val="21"/>
                <w:szCs w:val="21"/>
                <w:u w:val="single"/>
                <w14:textFill>
                  <w14:solidFill>
                    <w14:schemeClr w14:val="tx1"/>
                  </w14:solidFill>
                </w14:textFill>
              </w:rPr>
              <w:t>成交供应商</w:t>
            </w:r>
            <w:r>
              <w:rPr>
                <w:rFonts w:hint="eastAsia" w:ascii="宋体" w:hAnsi="宋体" w:eastAsia="宋体" w:cs="宋体"/>
                <w:color w:val="000000" w:themeColor="text1"/>
                <w:sz w:val="21"/>
                <w:szCs w:val="21"/>
                <w14:textFill>
                  <w14:solidFill>
                    <w14:schemeClr w14:val="tx1"/>
                  </w14:solidFill>
                </w14:textFill>
              </w:rPr>
              <w:t>在领取成交通知书前，一次性向采购代理机构支付。</w:t>
            </w:r>
          </w:p>
          <w:p w14:paraId="788EF0B6">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□采购人支付。</w:t>
            </w:r>
          </w:p>
          <w:p w14:paraId="6D22B4FE">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2.采购代理费收取标准：</w:t>
            </w:r>
          </w:p>
          <w:p w14:paraId="44E6356D">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☑以分标（☑成交金额/</w:t>
            </w:r>
            <w:bookmarkStart w:id="61" w:name="OLE_LINK17"/>
            <w:r>
              <w:rPr>
                <w:rFonts w:hint="eastAsia" w:ascii="宋体" w:hAnsi="宋体" w:eastAsia="宋体" w:cs="宋体"/>
                <w:color w:val="000000" w:themeColor="text1"/>
                <w:sz w:val="21"/>
                <w:szCs w:val="21"/>
                <w14:textFill>
                  <w14:solidFill>
                    <w14:schemeClr w14:val="tx1"/>
                  </w14:solidFill>
                </w14:textFill>
              </w:rPr>
              <w:t>□</w:t>
            </w:r>
            <w:bookmarkEnd w:id="61"/>
            <w:r>
              <w:rPr>
                <w:rFonts w:hint="eastAsia" w:ascii="宋体" w:hAnsi="宋体" w:eastAsia="宋体" w:cs="宋体"/>
                <w:color w:val="000000" w:themeColor="text1"/>
                <w:sz w:val="21"/>
                <w:szCs w:val="21"/>
                <w14:textFill>
                  <w14:solidFill>
                    <w14:schemeClr w14:val="tx1"/>
                  </w14:solidFill>
                </w14:textFill>
              </w:rPr>
              <w:t>采购预算/□暂定成交金额/□其他）为计费额，按本须知正文第35.1条规定的（☑货物类/□服务类/□工程类）标准采用差额定率累进法计算出收费基准价格，采购代理收费以（</w:t>
            </w:r>
            <w:r>
              <w:rPr>
                <w:rFonts w:hint="eastAsia"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w:t>
            </w:r>
            <w:r>
              <w:rPr>
                <w:rFonts w:hint="eastAsia"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收费基准价格下浮</w:t>
            </w:r>
            <w:r>
              <w:rPr>
                <w:rFonts w:hint="eastAsia" w:hAnsi="宋体" w:cs="宋体"/>
                <w:color w:val="000000" w:themeColor="text1"/>
                <w:sz w:val="21"/>
                <w:szCs w:val="21"/>
                <w:u w:val="single"/>
                <w:lang w:val="en-US" w:eastAsia="zh-CN"/>
                <w14:textFill>
                  <w14:solidFill>
                    <w14:schemeClr w14:val="tx1"/>
                  </w14:solidFill>
                </w14:textFill>
              </w:rPr>
              <w:t>20</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/□收费基准价格上浮</w:t>
            </w:r>
            <w:r>
              <w:rPr>
                <w:rFonts w:hint="eastAsia" w:ascii="宋体" w:hAnsi="宋体" w:eastAsia="宋体" w:cs="宋体"/>
                <w:color w:val="000000" w:themeColor="text1"/>
                <w:sz w:val="21"/>
                <w:szCs w:val="21"/>
                <w:u w:val="single"/>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）收取。</w:t>
            </w:r>
          </w:p>
          <w:p w14:paraId="30472824">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u w:val="single"/>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□固定采购代理收费。</w:t>
            </w:r>
          </w:p>
          <w:p w14:paraId="6587CBD1">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3.采购代理费收取银行账户</w:t>
            </w:r>
          </w:p>
          <w:p w14:paraId="39806532">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开户名称：</w:t>
            </w:r>
            <w:r>
              <w:rPr>
                <w:rFonts w:hint="eastAsia" w:hAnsi="宋体" w:cs="宋体"/>
                <w:color w:val="000000" w:themeColor="text1"/>
                <w:sz w:val="21"/>
                <w:szCs w:val="21"/>
                <w:lang w:eastAsia="zh-CN"/>
                <w14:textFill>
                  <w14:solidFill>
                    <w14:schemeClr w14:val="tx1"/>
                  </w14:solidFill>
                </w14:textFill>
              </w:rPr>
              <w:t>广西汉昌工程咨询有限公司南宁第十八分公司</w:t>
            </w:r>
          </w:p>
          <w:p w14:paraId="09944963">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开户银行：</w:t>
            </w:r>
            <w:r>
              <w:rPr>
                <w:rFonts w:hint="eastAsia" w:hAnsi="宋体" w:cs="宋体"/>
                <w:color w:val="000000" w:themeColor="text1"/>
                <w:sz w:val="21"/>
                <w:szCs w:val="21"/>
                <w:lang w:eastAsia="zh-CN"/>
                <w14:textFill>
                  <w14:solidFill>
                    <w14:schemeClr w14:val="tx1"/>
                  </w14:solidFill>
                </w14:textFill>
              </w:rPr>
              <w:t>招商银行股份有限公司南宁分行</w:t>
            </w:r>
          </w:p>
          <w:p w14:paraId="41AA04A0">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u w:val="single"/>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银行账号：</w:t>
            </w:r>
            <w:r>
              <w:rPr>
                <w:rFonts w:hint="eastAsia" w:hAnsi="宋体" w:cs="宋体"/>
                <w:color w:val="000000" w:themeColor="text1"/>
                <w:sz w:val="21"/>
                <w:szCs w:val="21"/>
                <w:lang w:eastAsia="zh-CN"/>
                <w14:textFill>
                  <w14:solidFill>
                    <w14:schemeClr w14:val="tx1"/>
                  </w14:solidFill>
                </w14:textFill>
              </w:rPr>
              <w:t>771903123610828</w:t>
            </w:r>
          </w:p>
        </w:tc>
      </w:tr>
      <w:tr w14:paraId="5F6BA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6B67C18D">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33.1</w:t>
            </w:r>
          </w:p>
        </w:tc>
        <w:tc>
          <w:tcPr>
            <w:tcW w:w="7912" w:type="dxa"/>
            <w:vAlign w:val="center"/>
          </w:tcPr>
          <w:p w14:paraId="2D8A0C7B">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解释：构成本谈判文件的各个组成文件应互为解释，互为说明；除谈判文件中有特别规定外，仅适用于竞标阶段的规定，按更正公告（澄清公告）、竞争性谈判公告、供应商须知、采购需求、评审程序和评定成交的标准、响应文件格式、合同文本的先后顺序解释；同一组成文件中就同一事项的规定或约定不一致的，以编排顺序在后者为准；同一组成文件不同版本之间有不一致的，以形成时间在后者为准；更正公告（澄清公告）与同步更新的谈判文件不一致时以更正公告（澄清公告）为准。按本款前述规定仍不能形成结论的，由采购人或者采购代理机构负责解释。</w:t>
            </w:r>
          </w:p>
        </w:tc>
      </w:tr>
      <w:tr w14:paraId="460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92" w:type="dxa"/>
            <w:vAlign w:val="center"/>
          </w:tcPr>
          <w:p w14:paraId="040B8888">
            <w:pPr>
              <w:keepNext w:val="0"/>
              <w:keepLines w:val="0"/>
              <w:pageBreakBefore w:val="0"/>
              <w:widowControl w:val="0"/>
              <w:kinsoku/>
              <w:wordWrap/>
              <w:overflowPunct/>
              <w:topLinePunct w:val="0"/>
              <w:bidi w:val="0"/>
              <w:adjustRightInd/>
              <w:spacing w:line="400" w:lineRule="exact"/>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33.2</w:t>
            </w:r>
          </w:p>
        </w:tc>
        <w:tc>
          <w:tcPr>
            <w:tcW w:w="7912" w:type="dxa"/>
            <w:vAlign w:val="center"/>
          </w:tcPr>
          <w:p w14:paraId="321AFA0B">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本谈判文件中描述供应商的“公章”是指根据我国对公章的管理规定，用供应商法定主体行为名称制作的印章，除本谈判文件有特殊规定外，供应商的财务章、部门章、分公司章、工会章、合同章、竞标专用章、业务专用章及银行的转账章、现金收讫章、现金付讫章等其他形式印章均不能代替公章。</w:t>
            </w:r>
          </w:p>
          <w:p w14:paraId="21258C07">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2.本谈判文件所称的“</w:t>
            </w:r>
            <w:r>
              <w:rPr>
                <w:rFonts w:hint="eastAsia" w:ascii="宋体" w:hAnsi="宋体" w:eastAsia="宋体" w:cs="宋体"/>
                <w:color w:val="000000" w:themeColor="text1"/>
                <w:sz w:val="21"/>
                <w:szCs w:val="21"/>
                <w14:textFill>
                  <w14:solidFill>
                    <w14:schemeClr w14:val="tx1"/>
                  </w14:solidFill>
                </w14:textFill>
              </w:rPr>
              <w:t>电子签章</w:t>
            </w:r>
            <w:r>
              <w:rPr>
                <w:rFonts w:hint="eastAsia" w:ascii="宋体" w:hAnsi="宋体" w:eastAsia="宋体" w:cs="宋体"/>
                <w:bCs/>
                <w:color w:val="000000" w:themeColor="text1"/>
                <w:sz w:val="21"/>
                <w:szCs w:val="21"/>
                <w14:textFill>
                  <w14:solidFill>
                    <w14:schemeClr w14:val="tx1"/>
                  </w14:solidFill>
                </w14:textFill>
              </w:rPr>
              <w:t>”、“电子签名”</w:t>
            </w:r>
            <w:r>
              <w:rPr>
                <w:rFonts w:hint="eastAsia" w:ascii="宋体" w:hAnsi="宋体" w:eastAsia="宋体" w:cs="宋体"/>
                <w:color w:val="000000" w:themeColor="text1"/>
                <w:sz w:val="21"/>
                <w:szCs w:val="21"/>
                <w14:textFill>
                  <w14:solidFill>
                    <w14:schemeClr w14:val="tx1"/>
                  </w14:solidFill>
                </w14:textFill>
              </w:rPr>
              <w:t>，是指经</w:t>
            </w:r>
            <w:r>
              <w:rPr>
                <w:rFonts w:hint="eastAsia" w:hAnsi="宋体" w:cs="宋体"/>
                <w:color w:val="000000" w:themeColor="text1"/>
                <w:sz w:val="21"/>
                <w:szCs w:val="21"/>
                <w:lang w:eastAsia="zh-CN"/>
                <w14:textFill>
                  <w14:solidFill>
                    <w14:schemeClr w14:val="tx1"/>
                  </w14:solidFill>
                </w14:textFill>
              </w:rPr>
              <w:t>广西政府采购云平台</w:t>
            </w:r>
            <w:r>
              <w:rPr>
                <w:rFonts w:hint="eastAsia" w:ascii="宋体" w:hAnsi="宋体" w:eastAsia="宋体" w:cs="宋体"/>
                <w:color w:val="000000" w:themeColor="text1"/>
                <w:sz w:val="21"/>
                <w:szCs w:val="21"/>
                <w14:textFill>
                  <w14:solidFill>
                    <w14:schemeClr w14:val="tx1"/>
                  </w14:solidFill>
                </w14:textFill>
              </w:rPr>
              <w:t>认可的CA认证的电子签名数据为表现形式的印章，可用于签署电子响应文件，电子印章与实物印章具有同等法律效力，不因其采用电子化表现形式而否定其法律效力。</w:t>
            </w:r>
          </w:p>
          <w:p w14:paraId="04881196">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3.供应商为其他组织或者自然人时，本谈判文件规定的法定代表人指负责人或者自然人。本谈判文件所称负责人是指参加竞标的其他组织</w:t>
            </w:r>
            <w:r>
              <w:rPr>
                <w:rFonts w:hint="eastAsia" w:ascii="宋体" w:hAnsi="宋体" w:eastAsia="宋体" w:cs="宋体"/>
                <w:bCs/>
                <w:color w:val="000000" w:themeColor="text1"/>
                <w:sz w:val="21"/>
                <w:szCs w:val="21"/>
                <w14:textFill>
                  <w14:solidFill>
                    <w14:schemeClr w14:val="tx1"/>
                  </w14:solidFill>
                </w14:textFill>
              </w:rPr>
              <w:t>营业执照或者执业许可证等证照上</w:t>
            </w:r>
            <w:r>
              <w:rPr>
                <w:rFonts w:hint="eastAsia" w:ascii="宋体" w:hAnsi="宋体" w:eastAsia="宋体" w:cs="宋体"/>
                <w:color w:val="000000" w:themeColor="text1"/>
                <w:sz w:val="21"/>
                <w:szCs w:val="21"/>
                <w14:textFill>
                  <w14:solidFill>
                    <w14:schemeClr w14:val="tx1"/>
                  </w14:solidFill>
                </w14:textFill>
              </w:rPr>
              <w:t>的负责人，本谈判文件所称自然人指参与竞标的自然人本人，</w:t>
            </w:r>
            <w:r>
              <w:rPr>
                <w:rFonts w:hint="eastAsia" w:ascii="宋体" w:hAnsi="宋体" w:eastAsia="宋体" w:cs="宋体"/>
                <w:bCs/>
                <w:color w:val="000000" w:themeColor="text1"/>
                <w:sz w:val="21"/>
                <w:szCs w:val="21"/>
                <w14:textFill>
                  <w14:solidFill>
                    <w14:schemeClr w14:val="tx1"/>
                  </w14:solidFill>
                </w14:textFill>
              </w:rPr>
              <w:t>且应具备独立承担民事责任能力，自然人应当为年满18岁以上成年人（十六周岁以上的未成年人，以自己的劳动收入为主要生活来源的，视为完全民事行为能力人）。</w:t>
            </w:r>
          </w:p>
          <w:p w14:paraId="38595BF3">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4.本谈判文件中描述供应商的“签字”是指供应商的法定代表人或者委托代理人亲自在文件规定签署处亲笔写上个人的名字的行为，私章、签字章、印鉴、影印等其他形式均不能代替亲笔签字。</w:t>
            </w:r>
          </w:p>
          <w:p w14:paraId="47244A00">
            <w:pPr>
              <w:pStyle w:val="14"/>
              <w:keepNext w:val="0"/>
              <w:keepLines w:val="0"/>
              <w:pageBreakBefore w:val="0"/>
              <w:widowControl w:val="0"/>
              <w:kinsoku/>
              <w:wordWrap/>
              <w:overflowPunct/>
              <w:topLinePunct w:val="0"/>
              <w:bidi w:val="0"/>
              <w:adjustRightInd/>
              <w:snapToGrid w:val="0"/>
              <w:spacing w:line="400" w:lineRule="exac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5.本谈判文件所称的“以上”“以下”“以内”“届满”，包括本数；所称的“不满”“超过”“以外”，不包括本数。</w:t>
            </w:r>
          </w:p>
        </w:tc>
      </w:tr>
    </w:tbl>
    <w:p w14:paraId="5F1C7FE4">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供应商须知正文</w:t>
      </w:r>
    </w:p>
    <w:p w14:paraId="153E442F">
      <w:pPr>
        <w:spacing w:line="400" w:lineRule="exact"/>
        <w:jc w:val="center"/>
        <w:rPr>
          <w:rFonts w:hint="eastAsia" w:ascii="宋体" w:hAnsi="宋体" w:eastAsia="宋体" w:cs="宋体"/>
          <w:b/>
          <w:color w:val="000000" w:themeColor="text1"/>
          <w:sz w:val="32"/>
          <w:szCs w:val="32"/>
          <w14:textFill>
            <w14:solidFill>
              <w14:schemeClr w14:val="tx1"/>
            </w14:solidFill>
          </w14:textFill>
        </w:rPr>
      </w:pPr>
    </w:p>
    <w:p w14:paraId="6DFB56CE">
      <w:pPr>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一、总则</w:t>
      </w:r>
    </w:p>
    <w:p w14:paraId="25A75D5A">
      <w:pPr>
        <w:spacing w:line="400" w:lineRule="exact"/>
        <w:rPr>
          <w:rFonts w:hint="eastAsia" w:ascii="宋体" w:hAnsi="宋体" w:eastAsia="宋体" w:cs="宋体"/>
          <w:color w:val="000000" w:themeColor="text1"/>
          <w:szCs w:val="21"/>
          <w14:textFill>
            <w14:solidFill>
              <w14:schemeClr w14:val="tx1"/>
            </w14:solidFill>
          </w14:textFill>
        </w:rPr>
      </w:pPr>
    </w:p>
    <w:p w14:paraId="6E5D1A7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1.适用范围</w:t>
      </w:r>
    </w:p>
    <w:p w14:paraId="7BC4E35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适用法律：本项目采购人、采购代理机构、供应商、谈判小组的相关行为均受《中华人民共和国政府采购法》《中华人民共和国政府采购法实施条例》《政府采购非招标采购方式管理办法》及本项目本级和上级财政部门政府采购有关规定的约束和保护。</w:t>
      </w:r>
    </w:p>
    <w:p w14:paraId="454718D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r>
        <w:rPr>
          <w:rFonts w:hint="eastAsia" w:ascii="宋体" w:hAnsi="宋体" w:eastAsia="宋体" w:cs="宋体"/>
          <w:color w:val="000000" w:themeColor="text1"/>
          <w:spacing w:val="-6"/>
          <w:szCs w:val="21"/>
          <w14:textFill>
            <w14:solidFill>
              <w14:schemeClr w14:val="tx1"/>
            </w14:solidFill>
          </w14:textFill>
        </w:rPr>
        <w:t>本竞争性谈判文件（以下简称谈判文件）适用于本项目的所有采购程序和环节（法律、法规另有规定的，从其规定）。</w:t>
      </w:r>
    </w:p>
    <w:p w14:paraId="1F356E2A">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2.定义</w:t>
      </w:r>
    </w:p>
    <w:p w14:paraId="77AF090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2.1“采购人”是指依法进行采购的国家机关、事业单位、团体组织。</w:t>
      </w:r>
    </w:p>
    <w:p w14:paraId="26C98CC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2.2“采购代理机构”是指政府采购集中采购机构和集中采购机构以外的采购代理机构。</w:t>
      </w:r>
    </w:p>
    <w:p w14:paraId="79090C2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2.3“供应商”是指向采购人提供货物、工程或者服务的法人、其他组织或者自然人。</w:t>
      </w:r>
    </w:p>
    <w:p w14:paraId="7008BBB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2.4“货物”是指各种形态和种类的物品，包括原材料、燃料、设备、产品等。</w:t>
      </w:r>
    </w:p>
    <w:p w14:paraId="7D9DE99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2.5“竞标”是指按照本项目竞争性谈判公告或者邀请函规定的方式供应商获取谈判文件、提交响应文件并希望获得标的的行为。</w:t>
      </w:r>
    </w:p>
    <w:p w14:paraId="28C92A5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2.6“售后服务”是指包含但不限于供应商须承担的备品备件、包装、运输、装卸、保险、货到就位以及安装、调试、培训、保修和其他类似的义务。</w:t>
      </w:r>
    </w:p>
    <w:p w14:paraId="5EC3BF6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2.7“书面形式”是指合同书、信件和数据电文（包括电报、电传、传真、电子数据交换和电子邮件）等可以有形地表现所载内容的形式。</w:t>
      </w:r>
    </w:p>
    <w:p w14:paraId="182E2CC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2.8“响应文件”</w:t>
      </w:r>
      <w:r>
        <w:rPr>
          <w:rFonts w:hint="eastAsia" w:ascii="宋体" w:hAnsi="宋体" w:eastAsia="宋体" w:cs="宋体"/>
          <w:color w:val="000000" w:themeColor="text1"/>
          <w:spacing w:val="-6"/>
          <w:szCs w:val="21"/>
          <w14:textFill>
            <w14:solidFill>
              <w14:schemeClr w14:val="tx1"/>
            </w14:solidFill>
          </w14:textFill>
        </w:rPr>
        <w:t>是指：供应商根据本谈判文件要求，编制包含资格证明、报价、商务技术等所有内容的文件。</w:t>
      </w:r>
    </w:p>
    <w:p w14:paraId="16F8614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2.9“实质性要求”是指采购需求中带“</w:t>
      </w:r>
      <w:r>
        <w:rPr>
          <w:rFonts w:hint="eastAsia" w:ascii="宋体" w:hAnsi="宋体" w:eastAsia="宋体" w:cs="宋体"/>
          <w:kern w:val="0"/>
          <w:sz w:val="21"/>
          <w:szCs w:val="21"/>
          <w:lang w:bidi="ar"/>
        </w:rPr>
        <w:t>▲</w:t>
      </w:r>
      <w:r>
        <w:rPr>
          <w:rFonts w:hint="eastAsia" w:ascii="宋体" w:hAnsi="宋体" w:eastAsia="宋体" w:cs="宋体"/>
          <w:color w:val="000000" w:themeColor="text1"/>
          <w:szCs w:val="21"/>
          <w14:textFill>
            <w14:solidFill>
              <w14:schemeClr w14:val="tx1"/>
            </w14:solidFill>
          </w14:textFill>
        </w:rPr>
        <w:t>”的条款或者不能负偏离的条款或者已经指明不满足按响应文件按无效处理的条款。</w:t>
      </w:r>
    </w:p>
    <w:p w14:paraId="4A87BF9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2.10“正偏离”，是指响应文件对谈判文件“采购需求”中有关条款作出优于条款要求并有利于采购人的响应情形；</w:t>
      </w:r>
    </w:p>
    <w:p w14:paraId="31906D8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2.11“负偏离”，是指响应文件对谈判文件“采购需求”中有关条款作出的响应不满足条款要求，导致采购人要求不能得到满足的情形。</w:t>
      </w:r>
    </w:p>
    <w:p w14:paraId="697B171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2.12“允许负偏离的条款”是指采购需求中的不属于“实质性要求”的条款。</w:t>
      </w:r>
    </w:p>
    <w:p w14:paraId="28A5BBC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2.13“首次报价”是指供应商提交的首次响应文件中的竞标报价。</w:t>
      </w:r>
    </w:p>
    <w:p w14:paraId="1C114A9B">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3.供应商的资格条件</w:t>
      </w:r>
    </w:p>
    <w:p w14:paraId="41797631">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供应商的资格条件详见“供应商须知前附表”。</w:t>
      </w:r>
    </w:p>
    <w:p w14:paraId="4623C33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4.竞标费用</w:t>
      </w:r>
    </w:p>
    <w:p w14:paraId="212BC97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竞标费用：供应商应承担参与本次采购活动有关的所有费用，包括但不限于获取谈判文件、勘查现场、编制和提交响应文件、参加谈判与应答、签订合同等，不论竞标结果如何，均应自行承担。</w:t>
      </w:r>
    </w:p>
    <w:p w14:paraId="3295E762">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5.联合体竞标</w:t>
      </w:r>
    </w:p>
    <w:p w14:paraId="254192D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5.1本项目是否接受联合体竞标，详见“供应商须知前附表”。</w:t>
      </w:r>
    </w:p>
    <w:p w14:paraId="45579EB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w:t>
      </w:r>
      <w:r>
        <w:rPr>
          <w:rFonts w:hint="eastAsia" w:ascii="宋体" w:hAnsi="宋体" w:eastAsia="宋体" w:cs="宋体"/>
          <w:bCs/>
          <w:color w:val="000000" w:themeColor="text1"/>
          <w:szCs w:val="21"/>
          <w14:textFill>
            <w14:solidFill>
              <w14:schemeClr w14:val="tx1"/>
            </w14:solidFill>
          </w14:textFill>
        </w:rPr>
        <w:t>如接受联合体竞标，</w:t>
      </w:r>
      <w:r>
        <w:rPr>
          <w:rFonts w:hint="eastAsia" w:ascii="宋体" w:hAnsi="宋体" w:eastAsia="宋体" w:cs="宋体"/>
          <w:color w:val="000000" w:themeColor="text1"/>
          <w:szCs w:val="21"/>
          <w14:textFill>
            <w14:solidFill>
              <w14:schemeClr w14:val="tx1"/>
            </w14:solidFill>
          </w14:textFill>
        </w:rPr>
        <w:t>联合体竞标要求详见“供应商须知前附表”。</w:t>
      </w:r>
    </w:p>
    <w:p w14:paraId="49159D4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w:t>
      </w:r>
      <w:bookmarkStart w:id="62" w:name="_Hlk65857072"/>
      <w:r>
        <w:rPr>
          <w:rFonts w:hint="eastAsia" w:ascii="宋体" w:hAnsi="宋体" w:eastAsia="宋体" w:cs="宋体"/>
          <w:color w:val="000000" w:themeColor="text1"/>
          <w:szCs w:val="21"/>
          <w14:textFill>
            <w14:solidFill>
              <w14:schemeClr w14:val="tx1"/>
            </w14:solidFill>
          </w14:textFill>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eastAsia="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eastAsia="宋体" w:cs="宋体"/>
          <w:color w:val="000000" w:themeColor="text1"/>
          <w:szCs w:val="21"/>
          <w14:textFill>
            <w14:solidFill>
              <w14:schemeClr w14:val="tx1"/>
            </w14:solidFill>
          </w14:textFill>
        </w:rPr>
        <w:t>%的扣除，用扣除后的价格参加评审。</w:t>
      </w:r>
      <w:bookmarkEnd w:id="62"/>
    </w:p>
    <w:p w14:paraId="22044C46">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6.转包与分包</w:t>
      </w:r>
    </w:p>
    <w:p w14:paraId="61F5139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63" w:name="_Toc254970673"/>
      <w:bookmarkStart w:id="64" w:name="_Toc254970532"/>
      <w:r>
        <w:rPr>
          <w:rFonts w:hint="eastAsia" w:ascii="宋体" w:hAnsi="宋体" w:eastAsia="宋体" w:cs="宋体"/>
          <w:color w:val="000000" w:themeColor="text1"/>
          <w:szCs w:val="21"/>
          <w14:textFill>
            <w14:solidFill>
              <w14:schemeClr w14:val="tx1"/>
            </w14:solidFill>
          </w14:textFill>
        </w:rPr>
        <w:t>6.1本项目不允许转包。</w:t>
      </w:r>
    </w:p>
    <w:p w14:paraId="675869A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9D05BC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6.3供应商根据谈判文件的规定和采购项目的实际情况，拟在成交后将成交项目的非主体、非关键性工作分包的，应当在响应文件中载明分包承担主体，分包承担主体应当具备相应资质条件且不得再次分包。</w:t>
      </w:r>
    </w:p>
    <w:p w14:paraId="592880C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7.特别说明</w:t>
      </w:r>
      <w:bookmarkEnd w:id="63"/>
      <w:bookmarkEnd w:id="64"/>
    </w:p>
    <w:p w14:paraId="7EBCFF3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bookmarkStart w:id="65" w:name="_8.1提供相同品牌产品且通过资格审查、符合性审查的不同投标人参加同一合"/>
      <w:bookmarkEnd w:id="65"/>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 HYPERLINK  \l "_8.1"</w:instrText>
      </w:r>
      <w:r>
        <w:rPr>
          <w:rFonts w:hint="eastAsia" w:ascii="宋体" w:hAnsi="宋体" w:eastAsia="宋体" w:cs="宋体"/>
          <w:color w:val="000000" w:themeColor="text1"/>
          <w:szCs w:val="21"/>
          <w14:textFill>
            <w14:solidFill>
              <w14:schemeClr w14:val="tx1"/>
            </w14:solidFill>
          </w14:textFill>
        </w:rPr>
        <w:fldChar w:fldCharType="separate"/>
      </w:r>
      <w:r>
        <w:rPr>
          <w:rFonts w:hint="eastAsia" w:ascii="宋体" w:hAnsi="宋体" w:eastAsia="宋体" w:cs="宋体"/>
          <w:color w:val="000000" w:themeColor="text1"/>
          <w:szCs w:val="21"/>
          <w14:textFill>
            <w14:solidFill>
              <w14:schemeClr w14:val="tx1"/>
            </w14:solidFill>
          </w14:textFill>
        </w:rPr>
        <w:t>7.1</w:t>
      </w:r>
      <w:r>
        <w:rPr>
          <w:rFonts w:hint="eastAsia" w:ascii="宋体" w:hAnsi="宋体" w:eastAsia="宋体" w:cs="宋体"/>
          <w:color w:val="000000" w:themeColor="text1"/>
          <w:szCs w:val="21"/>
          <w14:textFill>
            <w14:solidFill>
              <w14:schemeClr w14:val="tx1"/>
            </w14:solidFill>
          </w14:textFill>
        </w:rPr>
        <w:fldChar w:fldCharType="end"/>
      </w:r>
      <w:r>
        <w:rPr>
          <w:rFonts w:hint="eastAsia" w:ascii="宋体" w:hAnsi="宋体" w:eastAsia="宋体" w:cs="宋体"/>
          <w:color w:val="000000" w:themeColor="text1"/>
          <w:szCs w:val="21"/>
          <w14:textFill>
            <w14:solidFill>
              <w14:schemeClr w14:val="tx1"/>
            </w14:solidFill>
          </w14:textFill>
        </w:rPr>
        <w:t>提供相同品牌产品的不同供应商参加同一合同项下竞标的，以其中通过资格审查、符合性审查、谈判且最后报价最低的参加报价评审；最后报价相同的，由采购人或者采购人委托谈判小组按照“供应商须知前附表”规定的方式确定一个供应商获得成交人推荐资格，其他响应文件按无效处理。</w:t>
      </w:r>
    </w:p>
    <w:p w14:paraId="2997A83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非单一产品采购项目，多家供应商提供的核心产品品牌相同的，按前款规定处理。</w:t>
      </w:r>
    </w:p>
    <w:p w14:paraId="35B23CE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7.2如果本谈判文件要求提供供应商或制造商的资格、信誉、荣誉、业绩与企业认证等材料的，资格、信誉、荣誉、业绩与企业认证等必须为供应商或者制造商所拥有或自身获得。</w:t>
      </w:r>
    </w:p>
    <w:p w14:paraId="0EE55AC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7.3供应商应仔细阅读谈判文件的所有内容，按照谈判文件的要求提交响应文件，并对所提供的全部资料的真实性承担法律责任。</w:t>
      </w:r>
    </w:p>
    <w:p w14:paraId="3451687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7.4供应商在竞标活动中提供任何虚假材料，其响应文件按无效处理，并报监管部门查处；签订合同后发现的，成交供应商须依照《中华人民共和国消费者权益保护法》规定赔偿采购人，且民事赔偿并不免除违法供应商的行政与刑事责任。</w:t>
      </w:r>
    </w:p>
    <w:p w14:paraId="49535FC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7.5在政府采购活动中，采购人员及相关人员与供应商有下列利害关系之一的，应当回避：</w:t>
      </w:r>
    </w:p>
    <w:p w14:paraId="0587437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（1）参加采购活动前3年内与供应商存在劳动关系；</w:t>
      </w:r>
    </w:p>
    <w:p w14:paraId="3A87C4B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（2）参加采购活动前3年内担任供应商的董事、监事；</w:t>
      </w:r>
    </w:p>
    <w:p w14:paraId="2877EC4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（3）参加采购活动前3年内是供应商的控股股东或者实际控制人；</w:t>
      </w:r>
    </w:p>
    <w:p w14:paraId="4649619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（4）与供应商的法定代表人或者负责人有夫妻、直系血亲、三代以内旁系血亲或者近姻亲关系；</w:t>
      </w:r>
    </w:p>
    <w:p w14:paraId="4D75B61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（5）与供应商有其他可能影响政府采购活动公平、公正进行的关系。</w:t>
      </w:r>
    </w:p>
    <w:p w14:paraId="51C0695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660C1B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7.6有下列情形之一的视为供应商相互串通竞标，响应文件将被视为无效：</w:t>
      </w:r>
    </w:p>
    <w:p w14:paraId="69832BE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（1）不同供应商的响应文件由同一单位或者个人编制；</w:t>
      </w:r>
    </w:p>
    <w:p w14:paraId="26F19AA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（2）不同供应商委托同一单位或者个人办理竞标事宜；</w:t>
      </w:r>
    </w:p>
    <w:p w14:paraId="05BAF34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（3）不同的供应商的响应文件载明的项目管理员为同一个人；</w:t>
      </w:r>
    </w:p>
    <w:p w14:paraId="156CEA6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（4）不同供应商的响应文件异常一致或者报价呈规律性差异；</w:t>
      </w:r>
    </w:p>
    <w:p w14:paraId="2598EA6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（5）不同供应商的响应文件相互混装；</w:t>
      </w:r>
    </w:p>
    <w:p w14:paraId="36736AF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（6）不同供应商的竞标保证金从同一单位或者个人账户转出。</w:t>
      </w:r>
    </w:p>
    <w:p w14:paraId="3B8AE20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7.7供应商有下列情形之一的，属于恶意串通行为</w:t>
      </w:r>
      <w:bookmarkStart w:id="66" w:name="_Hlk54682620"/>
      <w:r>
        <w:rPr>
          <w:rFonts w:hint="eastAsia" w:ascii="宋体" w:hAnsi="宋体" w:eastAsia="宋体" w:cs="宋体"/>
          <w:color w:val="000000" w:themeColor="text1"/>
          <w:szCs w:val="21"/>
          <w14:textFill>
            <w14:solidFill>
              <w14:schemeClr w14:val="tx1"/>
            </w14:solidFill>
          </w14:textFill>
        </w:rPr>
        <w:t>，将报同级监督管理部门</w:t>
      </w:r>
      <w:bookmarkEnd w:id="66"/>
      <w:r>
        <w:rPr>
          <w:rFonts w:hint="eastAsia" w:ascii="宋体" w:hAnsi="宋体" w:eastAsia="宋体" w:cs="宋体"/>
          <w:color w:val="000000" w:themeColor="text1"/>
          <w:szCs w:val="21"/>
          <w14:textFill>
            <w14:solidFill>
              <w14:schemeClr w14:val="tx1"/>
            </w14:solidFill>
          </w14:textFill>
        </w:rPr>
        <w:t>：</w:t>
      </w:r>
    </w:p>
    <w:p w14:paraId="271AB7E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（1）供应商直接或者间接从采购人或者采购代理机构处获得其他供应商的相关信息并修改其响应文件；</w:t>
      </w:r>
    </w:p>
    <w:p w14:paraId="0C200E1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（2）供应商按照采购人或者采购代理机构的授意撤换、修改响应文件；</w:t>
      </w:r>
    </w:p>
    <w:p w14:paraId="209069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（3）供应商之间协商报价、技术方案等响应文件或者响应文件的实质性内容；</w:t>
      </w:r>
    </w:p>
    <w:p w14:paraId="1A301F9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（4）属于同一集团、协会、商会等组织成员的供应商按照该组织要求协同参加政府采购活动；</w:t>
      </w:r>
    </w:p>
    <w:p w14:paraId="4915763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（5）供应商之间事先约定一致抬高或者压低报价，或者在政府采购活动中事先约定轮流以高价位或者低价位成交，或者事先约定由某一特定供应商成交，然后再参加竞标；</w:t>
      </w:r>
    </w:p>
    <w:p w14:paraId="4FD6300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（6）供应商之间商定部分供应商放弃参加政府采购活动或者放弃成交；</w:t>
      </w:r>
    </w:p>
    <w:p w14:paraId="09CCFEF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（7）供应商与采购人或者采购代理机构之间、供应商相互之间，为谋求特定供应商成交或者排斥其他供应商的其他串通行为。</w:t>
      </w:r>
    </w:p>
    <w:p w14:paraId="01CEBD05">
      <w:pPr>
        <w:keepNext w:val="0"/>
        <w:keepLines w:val="0"/>
        <w:pageBreakBefore w:val="0"/>
        <w:widowControl w:val="0"/>
        <w:kinsoku/>
        <w:wordWrap/>
        <w:overflowPunct/>
        <w:topLinePunct w:val="0"/>
        <w:autoSpaceDE/>
        <w:autoSpaceDN/>
        <w:bidi w:val="0"/>
        <w:spacing w:line="400" w:lineRule="exact"/>
        <w:ind w:left="1" w:firstLine="417" w:firstLineChars="199"/>
        <w:jc w:val="center"/>
        <w:textAlignment w:val="auto"/>
        <w:rPr>
          <w:rFonts w:hint="eastAsia" w:ascii="宋体" w:hAnsi="宋体" w:eastAsia="宋体" w:cs="宋体"/>
          <w:color w:val="000000" w:themeColor="text1"/>
          <w14:textFill>
            <w14:solidFill>
              <w14:schemeClr w14:val="tx1"/>
            </w14:solidFill>
          </w14:textFill>
        </w:rPr>
      </w:pPr>
      <w:bookmarkStart w:id="67" w:name="_Toc254970534"/>
      <w:bookmarkStart w:id="68" w:name="_Toc254970675"/>
    </w:p>
    <w:p w14:paraId="2B8FA2D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二、谈判文件</w:t>
      </w:r>
      <w:bookmarkEnd w:id="67"/>
      <w:bookmarkEnd w:id="68"/>
    </w:p>
    <w:p w14:paraId="6CBFAD32">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p>
    <w:p w14:paraId="6655058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8.谈判文件的构成</w:t>
      </w:r>
    </w:p>
    <w:p w14:paraId="41A33585">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（1）竞争性谈判公告/竞标邀请函；</w:t>
      </w:r>
    </w:p>
    <w:p w14:paraId="72DCDC3B">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（2）供应商须知；</w:t>
      </w:r>
    </w:p>
    <w:p w14:paraId="43F5C27B">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（3）采购需求；</w:t>
      </w:r>
    </w:p>
    <w:p w14:paraId="4F9D3C68">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（4）响应文件格式</w:t>
      </w:r>
    </w:p>
    <w:p w14:paraId="19C9CAAF">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（5）合同文本；</w:t>
      </w:r>
    </w:p>
    <w:p w14:paraId="496E1BFE">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（6）评审程序和评定成交的标准；</w:t>
      </w:r>
    </w:p>
    <w:p w14:paraId="691D2A5A">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9.供应商的询问</w:t>
      </w:r>
    </w:p>
    <w:p w14:paraId="791D0B4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供应商应认真阅读谈判文件的采购需求，如供应商对谈判文件有疑问的，如要求采购人作出澄清或者修改的，供应商尽可能在提交首次响应文件截止之日前，以书面形式向采购人、采购代理机构提出。</w:t>
      </w:r>
    </w:p>
    <w:p w14:paraId="01664DCC">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10.谈判文件的澄清和修改</w:t>
      </w:r>
    </w:p>
    <w:p w14:paraId="0983AF8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168B14BC">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三、响应文件的编制</w:t>
      </w:r>
    </w:p>
    <w:p w14:paraId="289B64C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p>
    <w:p w14:paraId="4E467129">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11.响应文件的编制原则</w:t>
      </w:r>
    </w:p>
    <w:p w14:paraId="73BDD64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供应商必须按照谈判文件的要求编制响应文件，并对其提交的响应文件的真实性、合法性承担法律责任。响应文件必须对谈判文件作出实质性响应。</w:t>
      </w:r>
    </w:p>
    <w:p w14:paraId="200AB4B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12.响应文件的组成</w:t>
      </w:r>
    </w:p>
    <w:p w14:paraId="3CDC436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12.1响应文件由资格证明文件、报价文件、商务技术文件三部分组成。</w:t>
      </w:r>
    </w:p>
    <w:p w14:paraId="6D279F13">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12.1.1资格证明文件：详见“供应商须知前附表”</w:t>
      </w:r>
    </w:p>
    <w:p w14:paraId="3549815F">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12.1.2报价文件：详见“供应商须知前附表”</w:t>
      </w:r>
    </w:p>
    <w:p w14:paraId="150F86D8">
      <w:pPr>
        <w:keepNext w:val="0"/>
        <w:keepLines w:val="0"/>
        <w:pageBreakBefore w:val="0"/>
        <w:widowControl w:val="0"/>
        <w:kinsoku/>
        <w:wordWrap/>
        <w:overflowPunct/>
        <w:topLinePunct w:val="0"/>
        <w:autoSpaceDE/>
        <w:autoSpaceDN/>
        <w:bidi w:val="0"/>
        <w:spacing w:line="400" w:lineRule="exact"/>
        <w:ind w:left="840" w:leftChars="200" w:hanging="420" w:hanging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12.1.3商务技术文件：详见“供应商须知前附表”</w:t>
      </w:r>
    </w:p>
    <w:p w14:paraId="4A8A408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13.计量单位</w:t>
      </w:r>
    </w:p>
    <w:p w14:paraId="56C9D37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谈判文件已有明确规定的，使用谈判文件规定的计量单位；谈判文件没有规定的，应采用中华人民共和国法定计量单位，货币种类为人民币，否则视同未响应。</w:t>
      </w:r>
    </w:p>
    <w:p w14:paraId="7E59399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14.竞标的风险</w:t>
      </w:r>
    </w:p>
    <w:p w14:paraId="3B16685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供应商没有按照谈判文件要求提供全部资料，或者供应商没有对谈判文件在各方面作出实质性响应可能导致其响应文件按无效处理，是供应商应当考虑的风险。</w:t>
      </w:r>
    </w:p>
    <w:p w14:paraId="5576F3BB">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15.竞标报价</w:t>
      </w:r>
    </w:p>
    <w:p w14:paraId="308431E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15.1竞标报价应按谈判文件中“竞标报价表”格式填写。</w:t>
      </w:r>
    </w:p>
    <w:p w14:paraId="5CCE38E2">
      <w:pPr>
        <w:keepNext w:val="0"/>
        <w:keepLines w:val="0"/>
        <w:pageBreakBefore w:val="0"/>
        <w:widowControl w:val="0"/>
        <w:tabs>
          <w:tab w:val="left" w:pos="2492"/>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15.2竞标报价的内容详见“供应商须知前附表”。</w:t>
      </w:r>
    </w:p>
    <w:p w14:paraId="553EA729">
      <w:pPr>
        <w:keepNext w:val="0"/>
        <w:keepLines w:val="0"/>
        <w:pageBreakBefore w:val="0"/>
        <w:widowControl w:val="0"/>
        <w:kinsoku/>
        <w:wordWrap/>
        <w:overflowPunct/>
        <w:topLinePunct w:val="0"/>
        <w:autoSpaceDE/>
        <w:autoSpaceDN/>
        <w:bidi w:val="0"/>
        <w:spacing w:line="400" w:lineRule="exact"/>
        <w:ind w:left="426" w:leftChars="203"/>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15.3竞标报价要求</w:t>
      </w:r>
    </w:p>
    <w:p w14:paraId="47BB6E7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15.3.1供应商的竞标报价应符合以下要求，否则响应文件按无效响应处理：</w:t>
      </w:r>
    </w:p>
    <w:p w14:paraId="31C8246C">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（1）供应商必须就“采购需求”中所竞标的每个分标的全部内容分别作完整唯一总价报价，</w:t>
      </w:r>
    </w:p>
    <w:p w14:paraId="0C36D8A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不得存在漏项报价；</w:t>
      </w:r>
    </w:p>
    <w:p w14:paraId="33C9207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（2）供应商必须就所竞标的分标的单项内容作唯一报价。</w:t>
      </w:r>
    </w:p>
    <w:p w14:paraId="0A55BE7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15.3.2竞标报价（包含首次报价、最后报价）超过所竞标分标规定的采购预算金额或者最高限价的，其响应文件将按无效处理。</w:t>
      </w:r>
    </w:p>
    <w:p w14:paraId="2C5C672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15.3.3竞标报价（包含首次报价、最后报价）超过分项采购预算金额或者最高限价的，其响应文件将按无效处理。</w:t>
      </w:r>
    </w:p>
    <w:p w14:paraId="78BA9ED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16.竞标有效期</w:t>
      </w:r>
    </w:p>
    <w:p w14:paraId="613EA91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16.1竞标有效期是指为保证采购人有足够的时间在提交响应文件后完成评审、确定成交供应商、合同签订等工作而要求供应商提交的响应文件在一定时间内保持有效的期限。</w:t>
      </w:r>
    </w:p>
    <w:p w14:paraId="0F521BC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16.2竞标有效期应由供应商按“供应商须知前附表”规定的期限作出响应。</w:t>
      </w:r>
    </w:p>
    <w:p w14:paraId="7CA3D2D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16.3供应商的响应文件在竞标有效期内均保持有效。</w:t>
      </w:r>
    </w:p>
    <w:p w14:paraId="2637C0DC">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17.竞标保证金</w:t>
      </w:r>
    </w:p>
    <w:p w14:paraId="75B0AF78">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17.1供应商须按“供应商须知前附表”的规定提交竞标保证金。</w:t>
      </w:r>
    </w:p>
    <w:p w14:paraId="7B893EBC">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17.2竞标保证金的退还</w:t>
      </w:r>
    </w:p>
    <w:p w14:paraId="1536AA4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未</w:t>
      </w:r>
      <w:r>
        <w:rPr>
          <w:rFonts w:hint="eastAsia" w:ascii="宋体" w:hAnsi="宋体" w:eastAsia="宋体" w:cs="宋体"/>
          <w:color w:val="000000" w:themeColor="text1"/>
          <w:spacing w:val="-6"/>
          <w:szCs w:val="21"/>
          <w14:textFill>
            <w14:solidFill>
              <w14:schemeClr w14:val="tx1"/>
            </w14:solidFill>
          </w14:textFill>
        </w:rPr>
        <w:t>成交供应商的竞标保证金自成交通知书发出之日起5个工作日内退还</w:t>
      </w:r>
      <w:r>
        <w:rPr>
          <w:rFonts w:hint="eastAsia" w:ascii="宋体" w:hAnsi="宋体" w:eastAsia="宋体" w:cs="宋体"/>
          <w:color w:val="000000" w:themeColor="text1"/>
          <w:szCs w:val="21"/>
          <w14:textFill>
            <w14:solidFill>
              <w14:schemeClr w14:val="tx1"/>
            </w14:solidFill>
          </w14:textFill>
        </w:rPr>
        <w:t>；成交供应商的竞标保证金自签订合同之日起5个工作日内退还。</w:t>
      </w:r>
    </w:p>
    <w:p w14:paraId="05B3D7EE">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17.3竞标保证金不计息。</w:t>
      </w:r>
    </w:p>
    <w:p w14:paraId="1EE7E764">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17.4供应商有下列情形之一的，竞标保证金将不予退还：</w:t>
      </w:r>
    </w:p>
    <w:p w14:paraId="3AD14F15">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（1）供应商在提交响应文件截止时间后撤回响应文件的；</w:t>
      </w:r>
    </w:p>
    <w:p w14:paraId="30F01B69">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（2）未按规定提交履约保证金的；</w:t>
      </w:r>
    </w:p>
    <w:p w14:paraId="30E55C85">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（3）供应商在响应文件中提供虚假材料的；</w:t>
      </w:r>
    </w:p>
    <w:p w14:paraId="0D8B0B8A">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（4）除因不可抗力或者谈判文件认可的情形以外，成交供应商不与采购人签订合同的；</w:t>
      </w:r>
    </w:p>
    <w:p w14:paraId="5C6A5C0B">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（5）供应商与采购人、其他供应商或者采购代理机构恶意串通的；</w:t>
      </w:r>
    </w:p>
    <w:p w14:paraId="665FBFA2">
      <w:pPr>
        <w:keepNext w:val="0"/>
        <w:keepLines w:val="0"/>
        <w:pageBreakBefore w:val="0"/>
        <w:widowControl w:val="0"/>
        <w:kinsoku/>
        <w:wordWrap/>
        <w:overflowPunct/>
        <w:topLinePunct w:val="0"/>
        <w:autoSpaceDE/>
        <w:autoSpaceDN/>
        <w:bidi w:val="0"/>
        <w:spacing w:line="400" w:lineRule="exact"/>
        <w:ind w:left="420" w:left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（6）法律法规规定的其他情形。</w:t>
      </w:r>
    </w:p>
    <w:p w14:paraId="6FBC81C2">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18.响应文件编制的要求</w:t>
      </w:r>
    </w:p>
    <w:p w14:paraId="46D5466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18.1供应商应先安装“政采云电子交易客户端”（请自行前往</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进行下载），并按照本项目谈判文件规定的格式和顺序和</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的要求编制并加密。响应文件内容不完整、编排混乱导致响应文件被误读、漏读或者查找不到相关内容的，由此引发的后果由供应商承担。</w:t>
      </w:r>
    </w:p>
    <w:p w14:paraId="4047804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18.2为确保网上操作合法、有效和安全，供应商应当在提交响应文件截止时间前完成在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的身份认证，确保在电子竞标过程中能够对相关数据电文进行加密和使用电子签章。</w:t>
      </w:r>
    </w:p>
    <w:p w14:paraId="67F57EA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18.3响应文件须由供应商在规定位置签字、盖章（具体以供应商须知前附表或响应文件格式规定为准），否则按无效响应处理。</w:t>
      </w:r>
    </w:p>
    <w:p w14:paraId="3B4170D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499DB2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5D5D941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19.电子</w:t>
      </w:r>
      <w:r>
        <w:rPr>
          <w:rFonts w:hint="eastAsia" w:ascii="宋体" w:hAnsi="宋体" w:eastAsia="宋体" w:cs="宋体"/>
          <w:b/>
          <w:color w:val="000000" w:themeColor="text1"/>
          <w:sz w:val="24"/>
          <w14:textFill>
            <w14:solidFill>
              <w14:schemeClr w14:val="tx1"/>
            </w14:solidFill>
          </w14:textFill>
        </w:rPr>
        <w:t>备份响应文件</w:t>
      </w:r>
    </w:p>
    <w:p w14:paraId="0F5E98E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电子备份响应文件是指通过“政采云电子投标客户端”在线编制生成且后缀名为“bfbs”的文件，是否接受电子备份响应文件</w:t>
      </w:r>
      <w:r>
        <w:rPr>
          <w:rFonts w:hint="eastAsia" w:ascii="宋体" w:hAnsi="宋体" w:eastAsia="宋体" w:cs="宋体"/>
          <w:bCs/>
          <w:color w:val="000000" w:themeColor="text1"/>
          <w:szCs w:val="21"/>
          <w14:textFill>
            <w14:solidFill>
              <w14:schemeClr w14:val="tx1"/>
            </w14:solidFill>
          </w14:textFill>
        </w:rPr>
        <w:t>详见在“供应商须知前附表”。</w:t>
      </w:r>
    </w:p>
    <w:p w14:paraId="1596CDF4">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20.响应文件的提交</w:t>
      </w:r>
    </w:p>
    <w:p w14:paraId="26809DE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20.1供应商必须按“供应商须知前附表”规定的</w:t>
      </w:r>
      <w:r>
        <w:rPr>
          <w:rFonts w:hint="eastAsia" w:ascii="宋体" w:hAnsi="宋体" w:eastAsia="宋体" w:cs="宋体"/>
          <w:color w:val="000000" w:themeColor="text1"/>
          <w:szCs w:val="21"/>
          <w14:textFill>
            <w14:solidFill>
              <w14:schemeClr w14:val="tx1"/>
            </w14:solidFill>
          </w14:textFill>
        </w:rPr>
        <w:t>时间及</w:t>
      </w:r>
      <w:r>
        <w:rPr>
          <w:rFonts w:hint="eastAsia" w:ascii="宋体" w:hAnsi="宋体" w:eastAsia="宋体" w:cs="宋体"/>
          <w:bCs/>
          <w:color w:val="000000" w:themeColor="text1"/>
          <w:szCs w:val="21"/>
          <w14:textFill>
            <w14:solidFill>
              <w14:schemeClr w14:val="tx1"/>
            </w14:solidFill>
          </w14:textFill>
        </w:rPr>
        <w:t>地点提交响应文件。电子响应文件应在制作完成后，在提交响应文件截止时间前通过有效数字证书（CA认证锁）进行电子签章、加密，然后通过网络将加密的电子响应文件提交至</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szCs w:val="21"/>
          <w14:textFill>
            <w14:solidFill>
              <w14:schemeClr w14:val="tx1"/>
            </w14:solidFill>
          </w14:textFill>
        </w:rPr>
        <w:t>。</w:t>
      </w:r>
    </w:p>
    <w:p w14:paraId="34FF70A1">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eastAsia="宋体" w:cs="宋体"/>
          <w:b/>
          <w:color w:val="000000" w:themeColor="text1"/>
          <w:szCs w:val="20"/>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20.2未在规定时间内提交或者未按照谈判文件要求加密的电子响应文件，</w:t>
      </w:r>
      <w:r>
        <w:rPr>
          <w:rFonts w:hint="eastAsia" w:ascii="宋体" w:hAnsi="宋体" w:cs="宋体"/>
          <w:b/>
          <w:color w:val="000000" w:themeColor="text1"/>
          <w:szCs w:val="21"/>
          <w:lang w:eastAsia="zh-CN"/>
          <w14:textFill>
            <w14:solidFill>
              <w14:schemeClr w14:val="tx1"/>
            </w14:solidFill>
          </w14:textFill>
        </w:rPr>
        <w:t>广西政府采购云平台</w:t>
      </w:r>
      <w:r>
        <w:rPr>
          <w:rFonts w:hint="eastAsia" w:ascii="宋体" w:hAnsi="宋体" w:eastAsia="宋体" w:cs="宋体"/>
          <w:b/>
          <w:color w:val="000000" w:themeColor="text1"/>
          <w:szCs w:val="21"/>
          <w14:textFill>
            <w14:solidFill>
              <w14:schemeClr w14:val="tx1"/>
            </w14:solidFill>
          </w14:textFill>
        </w:rPr>
        <w:t>将拒收。</w:t>
      </w:r>
    </w:p>
    <w:p w14:paraId="6C00B4ED">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21.首次响应文件的补充、修改与撤回</w:t>
      </w:r>
    </w:p>
    <w:p w14:paraId="01A2AEE0">
      <w:pPr>
        <w:keepNext w:val="0"/>
        <w:keepLines w:val="0"/>
        <w:pageBreakBefore w:val="0"/>
        <w:widowControl w:val="0"/>
        <w:kinsoku/>
        <w:wordWrap/>
        <w:overflowPunct/>
        <w:topLinePunct w:val="0"/>
        <w:autoSpaceDE/>
        <w:autoSpaceDN/>
        <w:bidi w:val="0"/>
        <w:snapToGrid w:val="0"/>
        <w:spacing w:line="400" w:lineRule="exact"/>
        <w:ind w:firstLine="420"/>
        <w:jc w:val="left"/>
        <w:textAlignment w:val="auto"/>
        <w:rPr>
          <w:rFonts w:hint="eastAsia" w:ascii="宋体" w:hAnsi="宋体" w:eastAsia="宋体" w:cs="宋体"/>
          <w:color w:val="000000" w:themeColor="text1"/>
          <w:szCs w:val="21"/>
          <w14:textFill>
            <w14:solidFill>
              <w14:schemeClr w14:val="tx1"/>
            </w14:solidFill>
          </w14:textFill>
        </w:rPr>
      </w:pPr>
      <w:bookmarkStart w:id="69" w:name="_Toc254970684"/>
      <w:bookmarkStart w:id="70" w:name="_Toc254970543"/>
      <w:r>
        <w:rPr>
          <w:rFonts w:hint="eastAsia" w:ascii="宋体" w:hAnsi="宋体" w:eastAsia="宋体" w:cs="宋体"/>
          <w:color w:val="000000" w:themeColor="text1"/>
          <w:szCs w:val="21"/>
          <w14:textFill>
            <w14:solidFill>
              <w14:schemeClr w14:val="tx1"/>
            </w14:solidFill>
          </w14:textFill>
        </w:rPr>
        <w:t>21.1</w:t>
      </w:r>
      <w:r>
        <w:rPr>
          <w:rFonts w:hint="eastAsia" w:ascii="宋体" w:hAnsi="宋体" w:eastAsia="宋体" w:cs="宋体"/>
          <w:bCs/>
          <w:color w:val="000000" w:themeColor="text1"/>
          <w:szCs w:val="21"/>
          <w14:textFill>
            <w14:solidFill>
              <w14:schemeClr w14:val="tx1"/>
            </w14:solidFill>
          </w14:textFill>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w:t>
      </w:r>
      <w:r>
        <w:rPr>
          <w:rFonts w:hint="eastAsia" w:ascii="宋体" w:hAnsi="宋体" w:cs="宋体"/>
          <w:bCs/>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szCs w:val="21"/>
          <w14:textFill>
            <w14:solidFill>
              <w14:schemeClr w14:val="tx1"/>
            </w14:solidFill>
          </w14:textFill>
        </w:rPr>
        <w:t>将予以拒收。</w:t>
      </w:r>
      <w:r>
        <w:rPr>
          <w:rFonts w:hint="eastAsia" w:ascii="宋体" w:hAnsi="宋体" w:eastAsia="宋体" w:cs="宋体"/>
          <w:color w:val="000000" w:themeColor="text1"/>
          <w:szCs w:val="21"/>
          <w14:textFill>
            <w14:solidFill>
              <w14:schemeClr w14:val="tx1"/>
            </w14:solidFill>
          </w14:textFill>
        </w:rPr>
        <w:t>（补充、修改或者撤回方式可登陆</w:t>
      </w:r>
      <w:r>
        <w:rPr>
          <w:rFonts w:hint="eastAsia" w:ascii="宋体" w:hAnsi="宋体" w:cs="宋体"/>
          <w:color w:val="000000" w:themeColor="text1"/>
          <w:kern w:val="0"/>
          <w:szCs w:val="21"/>
          <w:lang w:eastAsia="zh-CN"/>
          <w14:textFill>
            <w14:solidFill>
              <w14:schemeClr w14:val="tx1"/>
            </w14:solidFill>
          </w14:textFill>
        </w:rPr>
        <w:t>广西政府采购云平台</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进入“服务中心”中查看“电子投标文件制作与投送教程”）</w:t>
      </w:r>
    </w:p>
    <w:bookmarkEnd w:id="69"/>
    <w:bookmarkEnd w:id="70"/>
    <w:p w14:paraId="08B8FF6F">
      <w:pPr>
        <w:pStyle w:val="61"/>
        <w:keepNext w:val="0"/>
        <w:keepLines w:val="0"/>
        <w:pageBreakBefore w:val="0"/>
        <w:widowControl w:val="0"/>
        <w:kinsoku/>
        <w:wordWrap/>
        <w:overflowPunct/>
        <w:topLinePunct w:val="0"/>
        <w:autoSpaceDE/>
        <w:autoSpaceDN/>
        <w:bidi w:val="0"/>
        <w:spacing w:before="0" w:line="400" w:lineRule="exact"/>
        <w:ind w:firstLine="42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21.2在提交响应文件截止时间前，除供应商补充、修改或者撤回响应文件外，任何单位和个人不得解密或提取响应文件。</w:t>
      </w:r>
    </w:p>
    <w:p w14:paraId="20C09E1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22.响应文件的退回</w:t>
      </w:r>
    </w:p>
    <w:p w14:paraId="0E262616">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采购人和采购代理机构对已提交的响应文件概不退回。</w:t>
      </w:r>
    </w:p>
    <w:p w14:paraId="1309265C">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23.截止时间后的撤回</w:t>
      </w:r>
    </w:p>
    <w:p w14:paraId="5B62339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供应商在响应文件提交截止时间后向采购人、采购代理机构书面申请撤回响应文件的，将根据本须知正文第17.4条的规定不予退还其竞标保证金。</w:t>
      </w:r>
    </w:p>
    <w:p w14:paraId="6F8E9DF7">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p>
    <w:p w14:paraId="1C3E58FF">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四、评审及谈判</w:t>
      </w:r>
    </w:p>
    <w:p w14:paraId="395A780D">
      <w:pPr>
        <w:keepNext w:val="0"/>
        <w:keepLines w:val="0"/>
        <w:pageBreakBefore w:val="0"/>
        <w:widowControl w:val="0"/>
        <w:kinsoku/>
        <w:wordWrap/>
        <w:overflowPunct/>
        <w:topLinePunct w:val="0"/>
        <w:autoSpaceDE/>
        <w:autoSpaceDN/>
        <w:bidi w:val="0"/>
        <w:spacing w:line="400" w:lineRule="exact"/>
        <w:ind w:left="420" w:firstLine="420"/>
        <w:textAlignment w:val="auto"/>
        <w:rPr>
          <w:rFonts w:hint="eastAsia" w:ascii="宋体" w:hAnsi="宋体" w:eastAsia="宋体" w:cs="宋体"/>
          <w:color w:val="000000" w:themeColor="text1"/>
          <w:szCs w:val="21"/>
          <w14:textFill>
            <w14:solidFill>
              <w14:schemeClr w14:val="tx1"/>
            </w14:solidFill>
          </w14:textFill>
        </w:rPr>
      </w:pPr>
    </w:p>
    <w:p w14:paraId="116A89AA">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24.谈判小组成立</w:t>
      </w:r>
    </w:p>
    <w:p w14:paraId="3C85F84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24.1谈判小组由采购人代表和评审专家共3人以上单数组成，具体人数详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14:paraId="656DE7A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14:paraId="607A1F0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24.3</w:t>
      </w:r>
      <w:r>
        <w:rPr>
          <w:rFonts w:hint="eastAsia" w:ascii="宋体" w:hAnsi="宋体" w:eastAsia="宋体" w:cs="宋体"/>
          <w:bCs/>
          <w:color w:val="000000" w:themeColor="text1"/>
          <w:szCs w:val="21"/>
          <w14:textFill>
            <w14:solidFill>
              <w14:schemeClr w14:val="tx1"/>
            </w14:solidFill>
          </w14:textFill>
        </w:rPr>
        <w:t>采购代理机构</w:t>
      </w:r>
      <w:r>
        <w:rPr>
          <w:rFonts w:hint="eastAsia" w:ascii="宋体" w:hAnsi="宋体" w:eastAsia="宋体" w:cs="宋体"/>
          <w:bCs/>
          <w:color w:val="000000" w:themeColor="text1"/>
          <w14:textFill>
            <w14:solidFill>
              <w14:schemeClr w14:val="tx1"/>
            </w14:solidFill>
          </w14:textFill>
        </w:rPr>
        <w:t>应当</w:t>
      </w:r>
      <w:r>
        <w:rPr>
          <w:rFonts w:hint="eastAsia" w:ascii="宋体" w:hAnsi="宋体" w:eastAsia="宋体" w:cs="宋体"/>
          <w:bCs/>
          <w:color w:val="000000" w:themeColor="text1"/>
          <w:szCs w:val="21"/>
          <w14:textFill>
            <w14:solidFill>
              <w14:schemeClr w14:val="tx1"/>
            </w14:solidFill>
          </w14:textFill>
        </w:rPr>
        <w:t>基于</w:t>
      </w:r>
      <w:r>
        <w:rPr>
          <w:rFonts w:hint="eastAsia" w:ascii="宋体" w:hAnsi="宋体" w:cs="宋体"/>
          <w:bCs/>
          <w:color w:val="000000" w:themeColor="text1"/>
          <w:szCs w:val="21"/>
          <w:lang w:eastAsia="zh-CN"/>
          <w14:textFill>
            <w14:solidFill>
              <w14:schemeClr w14:val="tx1"/>
            </w14:solidFill>
          </w14:textFill>
        </w:rPr>
        <w:t>广西政府采购云平台</w:t>
      </w:r>
      <w:r>
        <w:rPr>
          <w:rFonts w:hint="eastAsia" w:ascii="宋体" w:hAnsi="宋体" w:eastAsia="宋体" w:cs="宋体"/>
          <w:bCs/>
          <w:color w:val="000000" w:themeColor="text1"/>
          <w14:textFill>
            <w14:solidFill>
              <w14:schemeClr w14:val="tx1"/>
            </w14:solidFill>
          </w14:textFill>
        </w:rPr>
        <w:t>抽（选）取</w:t>
      </w:r>
      <w:r>
        <w:rPr>
          <w:rFonts w:hint="eastAsia" w:ascii="宋体" w:hAnsi="宋体" w:eastAsia="宋体" w:cs="宋体"/>
          <w:bCs/>
          <w:color w:val="000000" w:themeColor="text1"/>
          <w:szCs w:val="21"/>
          <w14:textFill>
            <w14:solidFill>
              <w14:schemeClr w14:val="tx1"/>
            </w14:solidFill>
          </w14:textFill>
        </w:rPr>
        <w:t>评审专家。</w:t>
      </w:r>
    </w:p>
    <w:p w14:paraId="4371DE06">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25.首次响应文件的开启和解密</w:t>
      </w:r>
    </w:p>
    <w:p w14:paraId="63C0CDAC">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采购代理机构将在“供应商须知前附表”规定的时</w:t>
      </w:r>
      <w:r>
        <w:rPr>
          <w:rFonts w:hint="eastAsia" w:ascii="宋体" w:hAnsi="宋体" w:eastAsia="宋体" w:cs="宋体"/>
          <w:color w:val="000000" w:themeColor="text1"/>
          <w14:textFill>
            <w14:solidFill>
              <w14:schemeClr w14:val="tx1"/>
            </w14:solidFill>
          </w14:textFill>
        </w:rPr>
        <w:t>间通过电子交易平台组织响应文件开启，供应商的法定代表人或其委托代理人须携带加密时所用的CA锁，按平台提示和谈判文件的规定登录到</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eastAsia="宋体" w:cs="宋体"/>
          <w:color w:val="000000" w:themeColor="text1"/>
          <w14:textFill>
            <w14:solidFill>
              <w14:schemeClr w14:val="tx1"/>
            </w14:solidFill>
          </w14:textFill>
        </w:rPr>
        <w:t>电子开标大厅签到，采购代理机构依托</w:t>
      </w:r>
      <w:r>
        <w:rPr>
          <w:rFonts w:hint="eastAsia" w:ascii="宋体" w:hAnsi="宋体" w:cs="宋体"/>
          <w:color w:val="000000" w:themeColor="text1"/>
          <w:lang w:eastAsia="zh-CN"/>
          <w14:textFill>
            <w14:solidFill>
              <w14:schemeClr w14:val="tx1"/>
            </w14:solidFill>
          </w14:textFill>
        </w:rPr>
        <w:t>广西政府采购云平台</w:t>
      </w:r>
      <w:r>
        <w:rPr>
          <w:rFonts w:hint="eastAsia" w:ascii="宋体" w:hAnsi="宋体" w:eastAsia="宋体" w:cs="宋体"/>
          <w:color w:val="000000" w:themeColor="text1"/>
          <w14:textFill>
            <w14:solidFill>
              <w14:schemeClr w14:val="tx1"/>
            </w14:solidFill>
          </w14:textFill>
        </w:rPr>
        <w:t>向各供应商发出电子加密响应文件【开始解密】通知，由供应商按</w:t>
      </w:r>
      <w:r>
        <w:rPr>
          <w:rFonts w:hint="eastAsia" w:ascii="宋体" w:hAnsi="宋体" w:eastAsia="宋体" w:cs="宋体"/>
          <w:bCs/>
          <w:color w:val="000000" w:themeColor="text1"/>
          <w:szCs w:val="21"/>
          <w14:textFill>
            <w14:solidFill>
              <w14:schemeClr w14:val="tx1"/>
            </w14:solidFill>
          </w14:textFill>
        </w:rPr>
        <w:t>“供应商须知前附表”</w:t>
      </w:r>
      <w:r>
        <w:rPr>
          <w:rFonts w:hint="eastAsia" w:ascii="宋体" w:hAnsi="宋体" w:eastAsia="宋体" w:cs="宋体"/>
          <w:color w:val="000000" w:themeColor="text1"/>
          <w14:textFill>
            <w14:solidFill>
              <w14:schemeClr w14:val="tx1"/>
            </w14:solidFill>
          </w14:textFill>
        </w:rPr>
        <w:t>规定的时间内自行进行响应文件解密。</w:t>
      </w:r>
      <w:r>
        <w:rPr>
          <w:rFonts w:hint="eastAsia" w:ascii="宋体" w:hAnsi="宋体" w:eastAsia="宋体" w:cs="宋体"/>
          <w:b/>
          <w:color w:val="000000" w:themeColor="text1"/>
          <w14:textFill>
            <w14:solidFill>
              <w14:schemeClr w14:val="tx1"/>
            </w14:solidFill>
          </w14:textFill>
        </w:rPr>
        <w:t>供应商未在规定的时间内解密响应文件或者解密失败的，供应商</w:t>
      </w:r>
      <w:r>
        <w:rPr>
          <w:rFonts w:hint="eastAsia" w:ascii="宋体" w:hAnsi="宋体" w:eastAsia="宋体" w:cs="宋体"/>
          <w:b/>
          <w:color w:val="000000" w:themeColor="text1"/>
          <w:szCs w:val="21"/>
          <w14:textFill>
            <w14:solidFill>
              <w14:schemeClr w14:val="tx1"/>
            </w14:solidFill>
          </w14:textFill>
        </w:rPr>
        <w:t>的响应文件作无效处理</w:t>
      </w:r>
      <w:r>
        <w:rPr>
          <w:rFonts w:hint="eastAsia" w:ascii="宋体" w:hAnsi="宋体" w:eastAsia="宋体" w:cs="宋体"/>
          <w:b/>
          <w:color w:val="000000" w:themeColor="text1"/>
          <w14:textFill>
            <w14:solidFill>
              <w14:schemeClr w14:val="tx1"/>
            </w14:solidFill>
          </w14:textFill>
        </w:rPr>
        <w:t>。</w:t>
      </w:r>
    </w:p>
    <w:p w14:paraId="492EDE1A">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26.评审程序和评定成交的标准</w:t>
      </w:r>
    </w:p>
    <w:p w14:paraId="3D786A9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26.1谈判小组按照“第四章评审程序和评定成交的标准”规定的评审程序对响应文件进行评审，并按照评定成交的标准推荐成交候选供应商。评审价相同时，成交候选供应商推荐顺序见</w:t>
      </w:r>
      <w:r>
        <w:rPr>
          <w:rFonts w:hint="eastAsia" w:ascii="宋体" w:hAnsi="宋体" w:eastAsia="宋体" w:cs="宋体"/>
          <w:color w:val="000000" w:themeColor="text1"/>
          <w:szCs w:val="21"/>
          <w14:textFill>
            <w14:solidFill>
              <w14:schemeClr w14:val="tx1"/>
            </w14:solidFill>
          </w14:textFill>
        </w:rPr>
        <w:t>“供应商须知前附表”。</w:t>
      </w:r>
    </w:p>
    <w:p w14:paraId="523D6EA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26.2商务/技术要求允许负偏离的条款数详见“供应商须知前附表”。</w:t>
      </w:r>
    </w:p>
    <w:p w14:paraId="2F74E5A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26.3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7595341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26.4电子交易活动的中止。采购过程中出现以下情形，导致电子交易平台无法正常运行，或者无法保证电子交易的公平、公正和安全时，采购机构可中止电子交易活动：</w:t>
      </w:r>
    </w:p>
    <w:p w14:paraId="477ADA1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（1）电子交易平台发生故障而无法登录访问的；</w:t>
      </w:r>
    </w:p>
    <w:p w14:paraId="3A9B41B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（2）电子交易平台应用或数据库出现错误，不能进行正常操作的；</w:t>
      </w:r>
    </w:p>
    <w:p w14:paraId="75BD6DD2">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（3）电子交易平台发现严重安全漏洞，有潜在泄密危险的；</w:t>
      </w:r>
    </w:p>
    <w:p w14:paraId="3FD9395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（4）病毒发作导致不能进行正常操作的；</w:t>
      </w:r>
    </w:p>
    <w:p w14:paraId="2120D66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（5）其他无法保证电子交易的公平、公正和安全的情况。</w:t>
      </w:r>
    </w:p>
    <w:p w14:paraId="38D8B35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26.5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作出妥善保密处理，并报财政部门备案。</w:t>
      </w:r>
    </w:p>
    <w:p w14:paraId="5F565F80">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27.确定成交供应商及结果公告</w:t>
      </w:r>
    </w:p>
    <w:p w14:paraId="5F963BE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27.1</w:t>
      </w:r>
      <w:r>
        <w:rPr>
          <w:rFonts w:hint="eastAsia" w:ascii="宋体" w:hAnsi="宋体" w:eastAsia="宋体" w:cs="宋体"/>
          <w:color w:val="000000" w:themeColor="text1"/>
          <w:kern w:val="0"/>
          <w:szCs w:val="21"/>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代理</w:t>
      </w:r>
      <w:r>
        <w:rPr>
          <w:rFonts w:hint="eastAsia" w:ascii="宋体" w:hAnsi="宋体" w:eastAsia="宋体" w:cs="宋体"/>
          <w:color w:val="000000" w:themeColor="text1"/>
          <w:kern w:val="0"/>
          <w:szCs w:val="21"/>
          <w14:textFill>
            <w14:solidFill>
              <w14:schemeClr w14:val="tx1"/>
            </w14:solidFill>
          </w14:textFill>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供应商且不提出异议的，视为确定评审报告提出的排名第一的成交候选人为成交供应商。</w:t>
      </w:r>
    </w:p>
    <w:p w14:paraId="0513707D">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27.2采购代理机构应当在成交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r>
        <w:rPr>
          <w:rFonts w:hint="eastAsia" w:ascii="宋体" w:hAnsi="宋体" w:eastAsia="宋体" w:cs="宋体"/>
          <w:color w:val="000000" w:themeColor="text1"/>
          <w:szCs w:val="21"/>
          <w14:textFill>
            <w14:solidFill>
              <w14:schemeClr w14:val="tx1"/>
            </w14:solidFill>
          </w14:textFill>
        </w:rPr>
        <w:t>成交供应商享受《政府采购促进中小企业发展管理办法》（财库〔2020〕46号）规定的中小企业扶持政策的，采购人、采购代理机构应当随成交结果公开成交供应商的《中小企业声明函》。</w:t>
      </w:r>
    </w:p>
    <w:p w14:paraId="229D35FC">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27.3出现下列情形之一的，采购人或者采购代理机构应当终止竞争性谈判采购活动，发布项目终止公告并说明原因，重新开展采购活动：</w:t>
      </w:r>
    </w:p>
    <w:p w14:paraId="728660BE">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（1）因情况变化，不再符合规定的竞争性谈判采购方式适用情形的；</w:t>
      </w:r>
    </w:p>
    <w:p w14:paraId="4A8467D1">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（2）出现影响采购公正的违法、违规行为的；</w:t>
      </w:r>
    </w:p>
    <w:p w14:paraId="27547B5B">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（3）在采购过程中符合竞争要求的供应商或者报价未超过采购预算的供应商不足3家的，但“第四章评审程序和评定成交的标准”第3.7条规定的情形除外。</w:t>
      </w:r>
    </w:p>
    <w:p w14:paraId="3EF79AA3">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000000" w:themeColor="text1"/>
          <w:szCs w:val="21"/>
          <w14:textFill>
            <w14:solidFill>
              <w14:schemeClr w14:val="tx1"/>
            </w14:solidFill>
          </w14:textFill>
        </w:rPr>
      </w:pPr>
      <w:r>
        <w:rPr>
          <w:rFonts w:hint="eastAsia" w:ascii="宋体" w:hAnsi="宋体" w:eastAsia="宋体" w:cs="宋体"/>
          <w:bCs/>
          <w:color w:val="000000" w:themeColor="text1"/>
          <w:szCs w:val="21"/>
          <w14:textFill>
            <w14:solidFill>
              <w14:schemeClr w14:val="tx1"/>
            </w14:solidFill>
          </w14:textFill>
        </w:rPr>
        <w:t>27.4在采购活动中因重大变故，采购任务取消的，采购人或者采购代理机构应当终止采购活动，通知所有参加采购活动的供应商，并将项目实施情况和采购任务取消原因报送本级财政部门。</w:t>
      </w:r>
    </w:p>
    <w:p w14:paraId="7958804E">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28.履约保证金</w:t>
      </w:r>
    </w:p>
    <w:p w14:paraId="73FE73A5">
      <w:pPr>
        <w:pStyle w:val="8"/>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28.1履约保证金的金额、提交方式、退付的时间和条件详见“供应商须知前附表”。成交供应商未按规定提交履约保证金的，视为拒绝</w:t>
      </w:r>
      <w:r>
        <w:rPr>
          <w:rFonts w:hint="eastAsia" w:ascii="宋体" w:hAnsi="宋体" w:eastAsia="宋体" w:cs="宋体"/>
          <w:color w:val="000000" w:themeColor="text1"/>
          <w14:textFill>
            <w14:solidFill>
              <w14:schemeClr w14:val="tx1"/>
            </w14:solidFill>
          </w14:textFill>
        </w:rPr>
        <w:t>与采购人</w:t>
      </w:r>
      <w:r>
        <w:rPr>
          <w:rFonts w:hint="eastAsia" w:ascii="宋体" w:hAnsi="宋体" w:eastAsia="宋体" w:cs="宋体"/>
          <w:color w:val="000000" w:themeColor="text1"/>
          <w:szCs w:val="21"/>
          <w14:textFill>
            <w14:solidFill>
              <w14:schemeClr w14:val="tx1"/>
            </w14:solidFill>
          </w14:textFill>
        </w:rPr>
        <w:t>签订合同。</w:t>
      </w:r>
    </w:p>
    <w:p w14:paraId="02D20F44">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28.2在履约保证金退还日期前，若成交供应商的开户名称、开户银行、帐号有变动的，请以书面形式通知履约保证金收取单位，否则由此产生的后果由成交供应商自负。</w:t>
      </w:r>
    </w:p>
    <w:p w14:paraId="117A7168">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29.签订合同</w:t>
      </w:r>
    </w:p>
    <w:p w14:paraId="112E99FD">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29.1签订电子采购合同：成交供应商领取电子成交通知书后，在</w:t>
      </w:r>
      <w:r>
        <w:rPr>
          <w:rFonts w:hint="eastAsia" w:ascii="宋体" w:hAnsi="宋体" w:eastAsia="宋体" w:cs="宋体"/>
          <w:color w:val="000000" w:themeColor="text1"/>
          <w:szCs w:val="21"/>
          <w:lang w:val="zh-CN"/>
          <w14:textFill>
            <w14:solidFill>
              <w14:schemeClr w14:val="tx1"/>
            </w14:solidFill>
          </w14:textFill>
        </w:rPr>
        <w:t>规定的日期、时间、地点，由法定代表人或其授权代表与采购人代表签订电子采购合同。如成交供应商为联合体的，由联合体成员各方法定代表人或其授权代表与采购人代表签订合同。</w:t>
      </w:r>
    </w:p>
    <w:p w14:paraId="1F2690C0">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线下签订纸质合同：供应商领取成交通知书后，按“供应商须知前附表”规定向采购人出示相关证明材料，经采购人核验合格后方可签订合同。</w:t>
      </w:r>
    </w:p>
    <w:p w14:paraId="496F4B6E">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29.2签订合同时间：按成交通知书规定的时间与采购人签订合同。</w:t>
      </w:r>
    </w:p>
    <w:p w14:paraId="37FD61AC">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777E4E06">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6865CB66">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29.5采购人或成交供应商不得单方面向合同另一方提出任何谈判文件没有约定的条件或不合理的要求，作为签订合同的条件；也不得协商另行订立背离谈判文件和合同实质性内容的协议。</w:t>
      </w:r>
    </w:p>
    <w:p w14:paraId="5D7132E9">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29.6如签订合同并生效后，供应商无故拒绝或延期，除按照合同条款处理外，将承担相应的法律责任。</w:t>
      </w:r>
    </w:p>
    <w:p w14:paraId="643410F5">
      <w:pPr>
        <w:keepNext w:val="0"/>
        <w:keepLines w:val="0"/>
        <w:pageBreakBefore w:val="0"/>
        <w:widowControl w:val="0"/>
        <w:kinsoku/>
        <w:wordWrap/>
        <w:overflowPunct/>
        <w:topLinePunct w:val="0"/>
        <w:autoSpaceDE/>
        <w:autoSpaceDN/>
        <w:bidi w:val="0"/>
        <w:spacing w:line="400" w:lineRule="exact"/>
        <w:ind w:firstLine="424" w:firstLineChars="202"/>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50623404">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30.政府采购合同公告</w:t>
      </w:r>
    </w:p>
    <w:p w14:paraId="6CB63B5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7592C431">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31.询问、质疑和投诉</w:t>
      </w:r>
    </w:p>
    <w:p w14:paraId="3571B91B">
      <w:pPr>
        <w:pStyle w:val="6"/>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31.1供应商对政府采购活动事项有疑问的，可以向采购人、采购代理机构提出询问，采购人或者采购代理机构应当在3个工作日内对供应商依法提出的询问作出答复，</w:t>
      </w:r>
      <w:r>
        <w:rPr>
          <w:rFonts w:hint="eastAsia" w:ascii="宋体" w:hAnsi="宋体" w:eastAsia="宋体" w:cs="宋体"/>
          <w:color w:val="000000" w:themeColor="text1"/>
          <w:szCs w:val="21"/>
          <w14:textFill>
            <w14:solidFill>
              <w14:schemeClr w14:val="tx1"/>
            </w14:solidFill>
          </w14:textFill>
        </w:rPr>
        <w:t>但答复的内容不得涉及商业秘密。</w:t>
      </w:r>
    </w:p>
    <w:p w14:paraId="5F4ECB1C">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31.2供应商认为谈判文件、采购过程或者成交结果使自己的合法权益受到损害的，应当在知道或者应知其权益受到损害之日起7个工作日内，以书面形式向采购人、采购代理机构提出质疑，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000000" w:themeColor="text1"/>
          <w:shd w:val="clear" w:color="auto" w:fill="FFFFFF"/>
          <w14:textFill>
            <w14:solidFill>
              <w14:schemeClr w14:val="tx1"/>
            </w14:solidFill>
          </w14:textFill>
        </w:rPr>
        <w:t>接收质疑函的方式、联系部门、联系电话和通讯地址等信息</w:t>
      </w:r>
      <w:r>
        <w:rPr>
          <w:rFonts w:hint="eastAsia" w:ascii="宋体" w:hAnsi="宋体" w:eastAsia="宋体" w:cs="宋体"/>
          <w:color w:val="000000" w:themeColor="text1"/>
          <w:szCs w:val="21"/>
          <w14:textFill>
            <w14:solidFill>
              <w14:schemeClr w14:val="tx1"/>
            </w14:solidFill>
          </w14:textFill>
        </w:rPr>
        <w:t>详见“供应商须知前附表”</w:t>
      </w:r>
      <w:r>
        <w:rPr>
          <w:rFonts w:hint="eastAsia" w:ascii="宋体" w:hAnsi="宋体" w:eastAsia="宋体" w:cs="宋体"/>
          <w:color w:val="000000" w:themeColor="text1"/>
          <w14:textFill>
            <w14:solidFill>
              <w14:schemeClr w14:val="tx1"/>
            </w14:solidFill>
          </w14:textFill>
        </w:rPr>
        <w:t>。具体质疑起算时间如下：</w:t>
      </w:r>
    </w:p>
    <w:p w14:paraId="515272B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（1）对可以质疑的谈判文件提出质疑的，为获取谈判文件之日；</w:t>
      </w:r>
    </w:p>
    <w:p w14:paraId="51D47EF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（2）对采购过程提出质疑的，为各采购程序环节结束之日；</w:t>
      </w:r>
    </w:p>
    <w:p w14:paraId="0752F2B0">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（3）对成交结果提出质疑的，为成交结果公告期限届满之日。</w:t>
      </w:r>
    </w:p>
    <w:p w14:paraId="5CB197F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06ECBB4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31.4供应商提出质疑应当提交质疑函和必要的证明材料，针对同一采购程序环节的质疑必须在法定质疑期内一次性提出。质疑函应当包括下列内容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000000" w:themeColor="text1"/>
          <w14:textFill>
            <w14:solidFill>
              <w14:schemeClr w14:val="tx1"/>
            </w14:solidFill>
          </w14:textFill>
        </w:rPr>
        <w:t>（质疑函格式后附）</w:t>
      </w:r>
      <w:r>
        <w:rPr>
          <w:rFonts w:hint="eastAsia" w:ascii="宋体" w:hAnsi="宋体" w:eastAsia="宋体" w:cs="宋体"/>
          <w:color w:val="000000" w:themeColor="text1"/>
          <w14:textFill>
            <w14:solidFill>
              <w14:schemeClr w14:val="tx1"/>
            </w14:solidFill>
          </w14:textFill>
        </w:rPr>
        <w:t>：</w:t>
      </w:r>
    </w:p>
    <w:p w14:paraId="0D643917">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（1）供应商的姓名或者名称、地址、邮编、联系人及联系电话；</w:t>
      </w:r>
    </w:p>
    <w:p w14:paraId="6C66EEC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（2）质疑项目的名称、编号；</w:t>
      </w:r>
    </w:p>
    <w:p w14:paraId="691E4C6E">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（3）具体、明确的质疑事项和与质疑事项相关的请求；</w:t>
      </w:r>
    </w:p>
    <w:p w14:paraId="40295001">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（4）事实依据；</w:t>
      </w:r>
    </w:p>
    <w:p w14:paraId="11A9B543">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（5）必要的法律依据；</w:t>
      </w:r>
    </w:p>
    <w:p w14:paraId="2835885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（6）提出质疑的日期。</w:t>
      </w:r>
    </w:p>
    <w:p w14:paraId="6EFA741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供应商为自然人的，应当由本人签字；供应商为法人或者其他组织的，应当由法定代表人、主要负责人，或者其委托代理人签字或者盖章，并加盖公章。</w:t>
      </w:r>
    </w:p>
    <w:p w14:paraId="1A74476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31.5采购人、采购代理机构认为供应商质疑不成立，或者成立但未对成交结果构成影响的，继续开展采购活动；认为供应商质疑成立且影响或者可能影响成交结果的，按照下列情况处理：</w:t>
      </w:r>
    </w:p>
    <w:p w14:paraId="555BB73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（一）对采购文件提出的质疑，依法通过澄清或者修改可以继续开展采购活动的，澄清或者修改采购文件后继续开展采购活动；否则应当修改采购文件后重新开展采购活动。</w:t>
      </w:r>
    </w:p>
    <w:p w14:paraId="0FA93338">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（二）对采购过程或者成交结果提出的质疑，合格供应商符合法定数量时，可以从合格的成交候选人中另行确定成交供应商的，应当依法另行确定成交供应商；否则应当重新开展采购活动。</w:t>
      </w:r>
    </w:p>
    <w:p w14:paraId="2B3FB9B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质疑答复导致成交结果改变的，采购人或者采购代理机构应当将有关情况书面报告本级财政部门。</w:t>
      </w:r>
    </w:p>
    <w:p w14:paraId="580F7CE4">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31.6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46AFB265">
      <w:pPr>
        <w:keepNext w:val="0"/>
        <w:keepLines w:val="0"/>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32.其他内容</w:t>
      </w:r>
    </w:p>
    <w:p w14:paraId="7A8378AA">
      <w:pPr>
        <w:keepNext w:val="0"/>
        <w:keepLines w:val="0"/>
        <w:pageBreakBefore w:val="0"/>
        <w:widowControl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32.1代理服务收取标准详见“供应商须知前附表”，供应商为联合体的，可以由联合体中的一方或者多方共同交纳代理服务费：</w:t>
      </w:r>
    </w:p>
    <w:tbl>
      <w:tblPr>
        <w:tblStyle w:val="24"/>
        <w:tblW w:w="8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85"/>
        <w:gridCol w:w="1807"/>
        <w:gridCol w:w="1669"/>
        <w:gridCol w:w="1685"/>
      </w:tblGrid>
      <w:tr w14:paraId="7C0B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Borders>
              <w:tl2br w:val="single" w:color="auto" w:sz="4" w:space="0"/>
            </w:tcBorders>
          </w:tcPr>
          <w:p w14:paraId="50311D1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费率</w:t>
            </w:r>
          </w:p>
          <w:p w14:paraId="0681745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金额</w:t>
            </w:r>
          </w:p>
        </w:tc>
        <w:tc>
          <w:tcPr>
            <w:tcW w:w="1807" w:type="dxa"/>
            <w:vAlign w:val="center"/>
          </w:tcPr>
          <w:p w14:paraId="1ADD0EA5">
            <w:pPr>
              <w:keepNext w:val="0"/>
              <w:keepLines w:val="0"/>
              <w:pageBreakBefore w:val="0"/>
              <w:widowControl w:val="0"/>
              <w:kinsoku/>
              <w:wordWrap/>
              <w:overflowPunct/>
              <w:topLinePunct w:val="0"/>
              <w:autoSpaceDE/>
              <w:autoSpaceDN/>
              <w:bidi w:val="0"/>
              <w:spacing w:line="400" w:lineRule="exact"/>
              <w:ind w:firstLine="105" w:firstLineChars="50"/>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货物类</w:t>
            </w:r>
          </w:p>
        </w:tc>
        <w:tc>
          <w:tcPr>
            <w:tcW w:w="1669" w:type="dxa"/>
            <w:vAlign w:val="center"/>
          </w:tcPr>
          <w:p w14:paraId="606AC356">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服务类</w:t>
            </w:r>
          </w:p>
        </w:tc>
        <w:tc>
          <w:tcPr>
            <w:tcW w:w="1685" w:type="dxa"/>
            <w:vAlign w:val="center"/>
          </w:tcPr>
          <w:p w14:paraId="6EDCBB85">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工程类</w:t>
            </w:r>
          </w:p>
        </w:tc>
      </w:tr>
      <w:tr w14:paraId="40809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55941BC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100万元以下</w:t>
            </w:r>
          </w:p>
        </w:tc>
        <w:tc>
          <w:tcPr>
            <w:tcW w:w="1807" w:type="dxa"/>
          </w:tcPr>
          <w:p w14:paraId="73A26DB7">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1.5%                </w:t>
            </w:r>
          </w:p>
        </w:tc>
        <w:tc>
          <w:tcPr>
            <w:tcW w:w="1669" w:type="dxa"/>
          </w:tcPr>
          <w:p w14:paraId="34F8D8B7">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1.5%</w:t>
            </w:r>
          </w:p>
        </w:tc>
        <w:tc>
          <w:tcPr>
            <w:tcW w:w="1685" w:type="dxa"/>
          </w:tcPr>
          <w:p w14:paraId="498A2651">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1.0% </w:t>
            </w:r>
          </w:p>
        </w:tc>
      </w:tr>
      <w:tr w14:paraId="3FF5E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542CC9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100～500万元</w:t>
            </w:r>
          </w:p>
        </w:tc>
        <w:tc>
          <w:tcPr>
            <w:tcW w:w="1807" w:type="dxa"/>
          </w:tcPr>
          <w:p w14:paraId="1926C3A3">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1.1%                 </w:t>
            </w:r>
          </w:p>
        </w:tc>
        <w:tc>
          <w:tcPr>
            <w:tcW w:w="1669" w:type="dxa"/>
          </w:tcPr>
          <w:p w14:paraId="69458BC4">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0.8%</w:t>
            </w:r>
          </w:p>
        </w:tc>
        <w:tc>
          <w:tcPr>
            <w:tcW w:w="1685" w:type="dxa"/>
          </w:tcPr>
          <w:p w14:paraId="54256E84">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0.7% </w:t>
            </w:r>
          </w:p>
        </w:tc>
      </w:tr>
      <w:tr w14:paraId="64F4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30CCCEE8">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500～1000万元</w:t>
            </w:r>
          </w:p>
        </w:tc>
        <w:tc>
          <w:tcPr>
            <w:tcW w:w="1807" w:type="dxa"/>
          </w:tcPr>
          <w:p w14:paraId="5A1E0B9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0.8%                </w:t>
            </w:r>
          </w:p>
        </w:tc>
        <w:tc>
          <w:tcPr>
            <w:tcW w:w="1669" w:type="dxa"/>
          </w:tcPr>
          <w:p w14:paraId="56147895">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0.45%</w:t>
            </w:r>
          </w:p>
        </w:tc>
        <w:tc>
          <w:tcPr>
            <w:tcW w:w="1685" w:type="dxa"/>
          </w:tcPr>
          <w:p w14:paraId="28A40A86">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0.55%</w:t>
            </w:r>
          </w:p>
        </w:tc>
      </w:tr>
      <w:tr w14:paraId="75FD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61D118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1000～5000万元</w:t>
            </w:r>
          </w:p>
        </w:tc>
        <w:tc>
          <w:tcPr>
            <w:tcW w:w="1807" w:type="dxa"/>
          </w:tcPr>
          <w:p w14:paraId="18E14BE0">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0.5%                </w:t>
            </w:r>
          </w:p>
        </w:tc>
        <w:tc>
          <w:tcPr>
            <w:tcW w:w="1669" w:type="dxa"/>
          </w:tcPr>
          <w:p w14:paraId="3A2B7169">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0.25%</w:t>
            </w:r>
          </w:p>
        </w:tc>
        <w:tc>
          <w:tcPr>
            <w:tcW w:w="1685" w:type="dxa"/>
          </w:tcPr>
          <w:p w14:paraId="283A4BC2">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0.35% </w:t>
            </w:r>
          </w:p>
        </w:tc>
      </w:tr>
      <w:tr w14:paraId="282B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6A8D923B">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5000万元～1亿元</w:t>
            </w:r>
          </w:p>
        </w:tc>
        <w:tc>
          <w:tcPr>
            <w:tcW w:w="1807" w:type="dxa"/>
          </w:tcPr>
          <w:p w14:paraId="05E7501A">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0.25%                 </w:t>
            </w:r>
          </w:p>
        </w:tc>
        <w:tc>
          <w:tcPr>
            <w:tcW w:w="1669" w:type="dxa"/>
          </w:tcPr>
          <w:p w14:paraId="0E9B6FC5">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0.1%</w:t>
            </w:r>
          </w:p>
        </w:tc>
        <w:tc>
          <w:tcPr>
            <w:tcW w:w="1685" w:type="dxa"/>
          </w:tcPr>
          <w:p w14:paraId="0911B36A">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0.2%</w:t>
            </w:r>
          </w:p>
        </w:tc>
      </w:tr>
      <w:tr w14:paraId="46373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0C51A82">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1～5亿元</w:t>
            </w:r>
          </w:p>
        </w:tc>
        <w:tc>
          <w:tcPr>
            <w:tcW w:w="1807" w:type="dxa"/>
          </w:tcPr>
          <w:p w14:paraId="77A6A398">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0.05%</w:t>
            </w:r>
          </w:p>
        </w:tc>
        <w:tc>
          <w:tcPr>
            <w:tcW w:w="1669" w:type="dxa"/>
          </w:tcPr>
          <w:p w14:paraId="6750A61C">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0.05%</w:t>
            </w:r>
          </w:p>
        </w:tc>
        <w:tc>
          <w:tcPr>
            <w:tcW w:w="1685" w:type="dxa"/>
          </w:tcPr>
          <w:p w14:paraId="50D2AB5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0.05%</w:t>
            </w:r>
          </w:p>
        </w:tc>
      </w:tr>
      <w:tr w14:paraId="7F628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3B04D89A">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5～10亿元</w:t>
            </w:r>
          </w:p>
        </w:tc>
        <w:tc>
          <w:tcPr>
            <w:tcW w:w="1807" w:type="dxa"/>
          </w:tcPr>
          <w:p w14:paraId="7A47CA93">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0.035%</w:t>
            </w:r>
          </w:p>
        </w:tc>
        <w:tc>
          <w:tcPr>
            <w:tcW w:w="1669" w:type="dxa"/>
          </w:tcPr>
          <w:p w14:paraId="70421E86">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0.035%</w:t>
            </w:r>
          </w:p>
        </w:tc>
        <w:tc>
          <w:tcPr>
            <w:tcW w:w="1685" w:type="dxa"/>
          </w:tcPr>
          <w:p w14:paraId="52845CB4">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0.035%</w:t>
            </w:r>
          </w:p>
        </w:tc>
      </w:tr>
      <w:tr w14:paraId="517F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6AB26E0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10～50亿元</w:t>
            </w:r>
          </w:p>
        </w:tc>
        <w:tc>
          <w:tcPr>
            <w:tcW w:w="1807" w:type="dxa"/>
          </w:tcPr>
          <w:p w14:paraId="2E43B16F">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c>
          <w:tcPr>
            <w:tcW w:w="1669" w:type="dxa"/>
          </w:tcPr>
          <w:p w14:paraId="179E1367">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c>
          <w:tcPr>
            <w:tcW w:w="1685" w:type="dxa"/>
          </w:tcPr>
          <w:p w14:paraId="38509B40">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0.008%</w:t>
            </w:r>
          </w:p>
        </w:tc>
      </w:tr>
      <w:tr w14:paraId="6CB7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75277AFE">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50～100亿元</w:t>
            </w:r>
          </w:p>
        </w:tc>
        <w:tc>
          <w:tcPr>
            <w:tcW w:w="1807" w:type="dxa"/>
          </w:tcPr>
          <w:p w14:paraId="0665FC5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0.006%</w:t>
            </w:r>
          </w:p>
        </w:tc>
        <w:tc>
          <w:tcPr>
            <w:tcW w:w="1669" w:type="dxa"/>
          </w:tcPr>
          <w:p w14:paraId="10CE6606">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0.006%</w:t>
            </w:r>
          </w:p>
        </w:tc>
        <w:tc>
          <w:tcPr>
            <w:tcW w:w="1685" w:type="dxa"/>
          </w:tcPr>
          <w:p w14:paraId="6A555E59">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0.006%</w:t>
            </w:r>
          </w:p>
        </w:tc>
      </w:tr>
      <w:tr w14:paraId="1AEF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85" w:type="dxa"/>
          </w:tcPr>
          <w:p w14:paraId="506FCD7F">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100亿以上</w:t>
            </w:r>
          </w:p>
        </w:tc>
        <w:tc>
          <w:tcPr>
            <w:tcW w:w="1807" w:type="dxa"/>
          </w:tcPr>
          <w:p w14:paraId="4E06E64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0.004%</w:t>
            </w:r>
          </w:p>
        </w:tc>
        <w:tc>
          <w:tcPr>
            <w:tcW w:w="1669" w:type="dxa"/>
          </w:tcPr>
          <w:p w14:paraId="750808D8">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0.004%</w:t>
            </w:r>
          </w:p>
        </w:tc>
        <w:tc>
          <w:tcPr>
            <w:tcW w:w="1685" w:type="dxa"/>
          </w:tcPr>
          <w:p w14:paraId="2D7CCCE7">
            <w:pPr>
              <w:keepNext w:val="0"/>
              <w:keepLines w:val="0"/>
              <w:pageBreakBefore w:val="0"/>
              <w:widowControl w:val="0"/>
              <w:kinsoku/>
              <w:wordWrap/>
              <w:overflowPunct/>
              <w:topLinePunct w:val="0"/>
              <w:autoSpaceDE/>
              <w:autoSpaceDN/>
              <w:bidi w:val="0"/>
              <w:spacing w:line="400" w:lineRule="exact"/>
              <w:ind w:firstLine="105" w:firstLineChars="5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0.004%</w:t>
            </w:r>
          </w:p>
        </w:tc>
      </w:tr>
    </w:tbl>
    <w:p w14:paraId="77ECE674">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w:t>
      </w:r>
    </w:p>
    <w:p w14:paraId="53E8BADD">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（1）按本表费率计算的收费为采购代理的收费基准价格；</w:t>
      </w:r>
    </w:p>
    <w:p w14:paraId="212E71C3">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（2）采购代理收费按差额定率累进法计算。</w:t>
      </w:r>
    </w:p>
    <w:p w14:paraId="5F81ABC8">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例如：某货物采购代理业务成交金额或者暂定价为150万元，计算采购代理收费额如下：</w:t>
      </w:r>
    </w:p>
    <w:p w14:paraId="66007C98">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100万元×l.5%＝1.5万元</w:t>
      </w:r>
    </w:p>
    <w:p w14:paraId="286AA403">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（150－100）万元×1.1%＝0.55万元</w:t>
      </w:r>
    </w:p>
    <w:p w14:paraId="6072952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合计收费＝1.5＋0.55＝ 2.05（万元）</w:t>
      </w:r>
    </w:p>
    <w:p w14:paraId="2E2F6230">
      <w:pPr>
        <w:keepNext w:val="0"/>
        <w:keepLines w:val="0"/>
        <w:pageBreakBefore w:val="0"/>
        <w:widowControl w:val="0"/>
        <w:kinsoku/>
        <w:wordWrap/>
        <w:overflowPunct/>
        <w:topLinePunct w:val="0"/>
        <w:autoSpaceDE/>
        <w:autoSpaceDN/>
        <w:bidi w:val="0"/>
        <w:spacing w:line="400" w:lineRule="exact"/>
        <w:ind w:firstLine="482" w:firstLineChars="200"/>
        <w:contextualSpacing/>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33.需要补充的其他内容</w:t>
      </w:r>
    </w:p>
    <w:p w14:paraId="19650088">
      <w:pPr>
        <w:pStyle w:val="14"/>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sz w:val="21"/>
          <w14:textFill>
            <w14:solidFill>
              <w14:schemeClr w14:val="tx1"/>
            </w14:solidFill>
          </w14:textFill>
        </w:rPr>
      </w:pPr>
      <w:r>
        <w:rPr>
          <w:rFonts w:hint="eastAsia" w:ascii="宋体" w:hAnsi="宋体" w:eastAsia="宋体" w:cs="宋体"/>
          <w:color w:val="000000" w:themeColor="text1"/>
          <w:sz w:val="21"/>
          <w14:textFill>
            <w14:solidFill>
              <w14:schemeClr w14:val="tx1"/>
            </w14:solidFill>
          </w14:textFill>
        </w:rPr>
        <w:t>33.1本谈判文件解释规则详见“供应商须知前附表”。</w:t>
      </w:r>
    </w:p>
    <w:p w14:paraId="6AD5EEA2">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33.2其他事</w:t>
      </w:r>
      <w:r>
        <w:rPr>
          <w:rFonts w:hint="eastAsia" w:ascii="宋体" w:hAnsi="宋体" w:eastAsia="宋体" w:cs="宋体"/>
          <w:color w:val="000000" w:themeColor="text1"/>
          <w14:textFill>
            <w14:solidFill>
              <w14:schemeClr w14:val="tx1"/>
            </w14:solidFill>
          </w14:textFill>
        </w:rPr>
        <w:t>项详见“供应商须知前附表”。</w:t>
      </w:r>
    </w:p>
    <w:p w14:paraId="534AAB92">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33.3</w:t>
      </w:r>
      <w:bookmarkStart w:id="71" w:name="_Hlk65857140"/>
      <w:r>
        <w:rPr>
          <w:rFonts w:hint="eastAsia" w:ascii="宋体" w:hAnsi="宋体" w:eastAsia="宋体" w:cs="宋体"/>
          <w:color w:val="000000" w:themeColor="text1"/>
          <w:kern w:val="0"/>
          <w:szCs w:val="21"/>
          <w14:textFill>
            <w14:solidFill>
              <w14:schemeClr w14:val="tx1"/>
            </w14:solidFill>
          </w14:textFill>
        </w:rPr>
        <w:t>本谈判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谈判文件规定的中小企业扶持政策：</w:t>
      </w:r>
    </w:p>
    <w:p w14:paraId="35E1657A">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（1）在货物采购项目中，货物由中小企业制造，即货物由中小企业生产且使用该中小企业商号或者注册商标，不对其中涉及的工程承建商和服务的承接商作出要求；</w:t>
      </w:r>
    </w:p>
    <w:p w14:paraId="6BC81D67">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（2）在工程采购项目中，工程由中小企业承建，即工程施工单位为中小企业，不对其中涉及的货物的制造商和服务的承接商作出要求；</w:t>
      </w:r>
    </w:p>
    <w:p w14:paraId="7186B549">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（3）在服务采购项目中，服务由中小企业承接，即提供服务的人员为中小企业依照《中华人民共和国劳动合同法》订立劳动合同的从业人员，不对其中涉及的货物的制造商和工程承建商作出要求。</w:t>
      </w:r>
    </w:p>
    <w:p w14:paraId="10C6D64E">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在货物采购项目中，供应商提供的货物既有中小企业制造货物，也有大型企业制造货物的，不享受本谈判文件规定的中小企业扶持政策。以联合体形式参加政府采购活动，联合体各方均为中小企业的，联合体视同中小企业。其中，联合体各方均为小微企业的，联合体视同小微企业。</w:t>
      </w:r>
    </w:p>
    <w:p w14:paraId="2D642F33">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依据本谈判文件规定享受扶持政策获得政府采购合同的，小微企业不得将合同分包给大中型企业，中型企业不得将合同分包给大型企业。</w:t>
      </w:r>
      <w:bookmarkEnd w:id="71"/>
    </w:p>
    <w:p w14:paraId="747A2117">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33.4政采贷相关说明</w:t>
      </w:r>
    </w:p>
    <w:p w14:paraId="1F7D2311">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线上“政采贷”是中国人民银行南宁中心支行和广西壮族自治区财政厅共同支持企业发展，针对参与政府采购活动的企业融资难、融资贵、融资慢、融资繁问题推出的一项融资政策。供应商若成为本次政府采购项目的中标（成交）供应商，可凭中标（成交）通知书或政府采购合同等在内的相关材料通过中征应收账款融资服务平台向银行业金融机构在线申请“政采贷”融资，融资机构将根据《中国人民银行南宁中心支行 广西壮族自治区财政厅关于推广线上“政采贷”融资模式的通知》（南宁银发〔2021〕258号），按照双方自愿的原则提供便捷、优惠的贷款服务。</w:t>
      </w:r>
    </w:p>
    <w:p w14:paraId="008E376D">
      <w:pPr>
        <w:keepNext w:val="0"/>
        <w:keepLines w:val="0"/>
        <w:pageBreakBefore w:val="0"/>
        <w:widowControl w:val="0"/>
        <w:kinsoku/>
        <w:wordWrap/>
        <w:overflowPunct/>
        <w:topLinePunct w:val="0"/>
        <w:autoSpaceDE/>
        <w:autoSpaceDN/>
        <w:bidi w:val="0"/>
        <w:spacing w:line="400" w:lineRule="exact"/>
        <w:ind w:firstLine="420" w:firstLineChars="200"/>
        <w:contextualSpacing/>
        <w:textAlignment w:val="auto"/>
        <w:rPr>
          <w:rFonts w:hint="eastAsia" w:ascii="宋体" w:hAnsi="宋体" w:eastAsia="宋体" w:cs="宋体"/>
          <w:b/>
          <w:bCs/>
          <w:color w:val="000000" w:themeColor="text1"/>
          <w:sz w:val="18"/>
          <w:szCs w:val="18"/>
          <w14:textFill>
            <w14:solidFill>
              <w14:schemeClr w14:val="tx1"/>
            </w14:solidFill>
          </w14:textFill>
        </w:rPr>
      </w:pPr>
      <w:r>
        <w:rPr>
          <w:rFonts w:hint="eastAsia" w:ascii="宋体" w:hAnsi="宋体" w:eastAsia="宋体" w:cs="宋体"/>
          <w:color w:val="000000" w:themeColor="text1"/>
          <w:kern w:val="0"/>
          <w:szCs w:val="21"/>
          <w:lang w:val="en-US" w:eastAsia="zh-CN"/>
          <w14:textFill>
            <w14:solidFill>
              <w14:schemeClr w14:val="tx1"/>
            </w14:solidFill>
          </w14:textFill>
        </w:rPr>
        <w:t>相关金融产品和银行业金融机构联系方式，可在中征应收账款融资服务平台查询（网址：https</w:t>
      </w:r>
      <w:r>
        <w:rPr>
          <w:rFonts w:hint="eastAsia" w:ascii="宋体" w:hAnsi="宋体" w:cs="宋体"/>
          <w:color w:val="000000" w:themeColor="text1"/>
          <w:kern w:val="0"/>
          <w:szCs w:val="21"/>
          <w:lang w:val="en-US" w:eastAsia="zh-CN"/>
          <w14:textFill>
            <w14:solidFill>
              <w14:schemeClr w14:val="tx1"/>
            </w14:solidFill>
          </w14:textFill>
        </w:rPr>
        <w:t>：</w:t>
      </w:r>
      <w:r>
        <w:rPr>
          <w:rFonts w:hint="eastAsia" w:ascii="宋体" w:hAnsi="宋体" w:eastAsia="宋体" w:cs="宋体"/>
          <w:color w:val="000000" w:themeColor="text1"/>
          <w:kern w:val="0"/>
          <w:szCs w:val="21"/>
          <w:lang w:val="en-US" w:eastAsia="zh-CN"/>
          <w14:textFill>
            <w14:solidFill>
              <w14:schemeClr w14:val="tx1"/>
            </w14:solidFill>
          </w14:textFill>
        </w:rPr>
        <w:t>//www.crcrfsp.com/，客服电话：400-009-0001）。</w:t>
      </w:r>
      <w:r>
        <w:rPr>
          <w:rFonts w:hint="eastAsia" w:ascii="宋体" w:hAnsi="宋体" w:eastAsia="宋体" w:cs="宋体"/>
          <w:bCs/>
          <w:color w:val="000000" w:themeColor="text1"/>
          <w:sz w:val="32"/>
          <w:szCs w:val="32"/>
          <w14:textFill>
            <w14:solidFill>
              <w14:schemeClr w14:val="tx1"/>
            </w14:solidFill>
          </w14:textFill>
        </w:rPr>
        <w:br w:type="page"/>
      </w:r>
    </w:p>
    <w:p w14:paraId="7F9E6E63">
      <w:pPr>
        <w:pStyle w:val="2"/>
        <w:jc w:val="center"/>
        <w:rPr>
          <w:rFonts w:hint="eastAsia" w:ascii="宋体" w:hAnsi="宋体" w:eastAsia="宋体" w:cs="宋体"/>
          <w:color w:val="000000" w:themeColor="text1"/>
          <w14:textFill>
            <w14:solidFill>
              <w14:schemeClr w14:val="tx1"/>
            </w14:solidFill>
          </w14:textFill>
        </w:rPr>
      </w:pPr>
      <w:bookmarkStart w:id="72" w:name="_Toc100252372"/>
      <w:r>
        <w:rPr>
          <w:rFonts w:hint="eastAsia" w:ascii="宋体" w:hAnsi="宋体" w:eastAsia="宋体" w:cs="宋体"/>
          <w:color w:val="000000" w:themeColor="text1"/>
          <w14:textFill>
            <w14:solidFill>
              <w14:schemeClr w14:val="tx1"/>
            </w14:solidFill>
          </w14:textFill>
        </w:rPr>
        <w:t>第三章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采购需求</w:t>
      </w:r>
      <w:bookmarkEnd w:id="72"/>
    </w:p>
    <w:p w14:paraId="4231486A">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采购项目技术规格、参数及要求</w:t>
      </w:r>
    </w:p>
    <w:p w14:paraId="608F9D8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说明：</w:t>
      </w:r>
    </w:p>
    <w:p w14:paraId="23FD8868">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1.为落实政府采购政策需满足的要求：</w:t>
      </w:r>
    </w:p>
    <w:p w14:paraId="12A372A3">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（1）本竞争性谈判采购文件所称中小企业必须符合《政府采购促进中小企业发展管理办法》（财库〔2020〕46号）的规定。</w:t>
      </w:r>
    </w:p>
    <w:p w14:paraId="0E5592D2">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”的，供应商必须在响应文件中提供所竞标产品的节能产品认证证书复印件（加盖供应商电子签章），否则响应文件按无效处理。如本项目包含的货物属于品目清单内非标注“</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”的产品时，应优先采购，具体详见“第四章评审程序和评定成交的标准”。</w:t>
      </w:r>
    </w:p>
    <w:p w14:paraId="729EAAD0">
      <w:pPr>
        <w:keepNext w:val="0"/>
        <w:keepLines w:val="0"/>
        <w:pageBreakBefore w:val="0"/>
        <w:kinsoku/>
        <w:wordWrap/>
        <w:overflowPunct/>
        <w:topLinePunct w:val="0"/>
        <w:autoSpaceDE/>
        <w:autoSpaceDN/>
        <w:bidi w:val="0"/>
        <w:adjustRightInd/>
        <w:spacing w:line="400" w:lineRule="exact"/>
        <w:ind w:firstLine="422" w:firstLineChars="200"/>
        <w:jc w:val="left"/>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3）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网络安全审查技术与认证中心（原中国信息安全认证中心）授予的有效的信息安全产品认证证书（加盖供应商电子签章），否则响应文件按无效处理。</w:t>
      </w:r>
    </w:p>
    <w:p w14:paraId="28501A7B">
      <w:pPr>
        <w:keepNext w:val="0"/>
        <w:keepLines w:val="0"/>
        <w:pageBreakBefore w:val="0"/>
        <w:kinsoku/>
        <w:wordWrap/>
        <w:overflowPunct/>
        <w:topLinePunct w:val="0"/>
        <w:autoSpaceDE/>
        <w:autoSpaceDN/>
        <w:bidi w:val="0"/>
        <w:adjustRightInd/>
        <w:spacing w:line="400" w:lineRule="exact"/>
        <w:ind w:firstLine="426" w:firstLineChars="202"/>
        <w:jc w:val="left"/>
        <w:rPr>
          <w:rFonts w:hint="eastAsia" w:ascii="宋体" w:hAnsi="宋体" w:eastAsia="宋体" w:cs="宋体"/>
        </w:rPr>
      </w:pPr>
      <w:r>
        <w:rPr>
          <w:rFonts w:hint="eastAsia" w:ascii="宋体" w:hAnsi="宋体" w:eastAsia="宋体" w:cs="宋体"/>
          <w:b/>
          <w:szCs w:val="21"/>
        </w:rPr>
        <w:t>（4）本项目为货物类项目，供应商在出具《中小企业声明函》时，只需对本项目中的货物的制造商做出规模承诺，不对其中涉及的服务承接商作出要求。</w:t>
      </w:r>
    </w:p>
    <w:p w14:paraId="7CB7F2F2">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2.“实质性要求”是指采购需求中带“</w:t>
      </w:r>
      <w:r>
        <w:rPr>
          <w:rFonts w:hint="eastAsia" w:ascii="宋体" w:hAnsi="宋体" w:eastAsia="宋体" w:cs="宋体"/>
          <w:kern w:val="0"/>
          <w:sz w:val="21"/>
          <w:szCs w:val="21"/>
          <w:lang w:bidi="ar"/>
        </w:rPr>
        <w:t>▲</w:t>
      </w:r>
      <w:r>
        <w:rPr>
          <w:rFonts w:hint="eastAsia" w:ascii="宋体" w:hAnsi="宋体" w:eastAsia="宋体" w:cs="宋体"/>
          <w:color w:val="000000" w:themeColor="text1"/>
          <w:szCs w:val="21"/>
          <w14:textFill>
            <w14:solidFill>
              <w14:schemeClr w14:val="tx1"/>
            </w14:solidFill>
          </w14:textFill>
        </w:rPr>
        <w:t>”的条款或者不能负偏离的条款或者已经指明不满足按响应文件按无效处理的条款。</w:t>
      </w:r>
    </w:p>
    <w:p w14:paraId="72135B2F">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3.采购需求中出现的品牌、型号或者生产供应商仅起参考作用，不属于指定品牌、型号或者生产供应商的情形。供应商可参照或者选用其他相当的品牌、型号或者生产供应商替代。</w:t>
      </w:r>
    </w:p>
    <w:p w14:paraId="3F2BF7F2">
      <w:pPr>
        <w:keepNext w:val="0"/>
        <w:keepLines w:val="0"/>
        <w:pageBreakBefore w:val="0"/>
        <w:kinsoku/>
        <w:wordWrap/>
        <w:overflowPunct/>
        <w:topLinePunct w:val="0"/>
        <w:autoSpaceDE/>
        <w:autoSpaceDN/>
        <w:bidi w:val="0"/>
        <w:adjustRightInd/>
        <w:spacing w:line="400" w:lineRule="exact"/>
        <w:ind w:firstLine="424" w:firstLineChars="202"/>
        <w:jc w:val="left"/>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r>
        <w:rPr>
          <w:rFonts w:hint="eastAsia" w:ascii="宋体" w:hAnsi="宋体" w:eastAsia="宋体" w:cs="宋体"/>
          <w:color w:val="000000" w:themeColor="text1"/>
          <w14:textFill>
            <w14:solidFill>
              <w14:schemeClr w14:val="tx1"/>
            </w14:solidFill>
          </w14:textFill>
        </w:rPr>
        <w:t>供应商必须自行为其竞标产品侵犯他人的知识产权或者专利成果的行为承担相应法律责任。</w:t>
      </w:r>
    </w:p>
    <w:p w14:paraId="06548CDC">
      <w:pPr>
        <w:keepNext w:val="0"/>
        <w:keepLines w:val="0"/>
        <w:pageBreakBefore w:val="0"/>
        <w:kinsoku/>
        <w:wordWrap/>
        <w:overflowPunct/>
        <w:topLinePunct w:val="0"/>
        <w:autoSpaceDE/>
        <w:autoSpaceDN/>
        <w:bidi w:val="0"/>
        <w:adjustRightInd/>
        <w:spacing w:line="400" w:lineRule="exact"/>
        <w:ind w:firstLine="310" w:firstLineChars="147"/>
        <w:jc w:val="left"/>
        <w:rPr>
          <w:rFonts w:hint="eastAsia" w:ascii="宋体" w:hAnsi="宋体" w:eastAsia="宋体" w:cs="宋体"/>
          <w:b/>
          <w:color w:val="000000" w:themeColor="text1"/>
          <w:szCs w:val="21"/>
          <w:u w:val="single"/>
          <w:lang w:eastAsia="zh-CN"/>
          <w14:textFill>
            <w14:solidFill>
              <w14:schemeClr w14:val="tx1"/>
            </w14:solidFill>
          </w14:textFill>
        </w:rPr>
      </w:pPr>
      <w:bookmarkStart w:id="73" w:name="_Hlk48036094"/>
      <w:bookmarkStart w:id="74" w:name="OLE_LINK37"/>
      <w:r>
        <w:rPr>
          <w:rFonts w:hint="eastAsia" w:ascii="宋体" w:hAnsi="宋体" w:eastAsia="宋体" w:cs="宋体"/>
          <w:b/>
          <w:color w:val="000000" w:themeColor="text1"/>
          <w:szCs w:val="21"/>
          <w14:textFill>
            <w14:solidFill>
              <w14:schemeClr w14:val="tx1"/>
            </w14:solidFill>
          </w14:textFill>
        </w:rPr>
        <w:t>采购预算：</w:t>
      </w:r>
      <w:r>
        <w:rPr>
          <w:rFonts w:hint="eastAsia" w:ascii="宋体" w:hAnsi="宋体" w:cs="宋体"/>
          <w:b/>
          <w:color w:val="000000" w:themeColor="text1"/>
          <w:szCs w:val="21"/>
          <w:u w:val="single"/>
          <w:lang w:eastAsia="zh-CN"/>
          <w14:textFill>
            <w14:solidFill>
              <w14:schemeClr w14:val="tx1"/>
            </w14:solidFill>
          </w14:textFill>
        </w:rPr>
        <w:t>130.948万元</w:t>
      </w:r>
    </w:p>
    <w:p w14:paraId="4D143697">
      <w:pPr>
        <w:keepNext w:val="0"/>
        <w:keepLines w:val="0"/>
        <w:pageBreakBefore w:val="0"/>
        <w:kinsoku/>
        <w:wordWrap/>
        <w:overflowPunct/>
        <w:topLinePunct w:val="0"/>
        <w:autoSpaceDE/>
        <w:autoSpaceDN/>
        <w:bidi w:val="0"/>
        <w:adjustRightInd/>
        <w:spacing w:line="400" w:lineRule="exact"/>
        <w:ind w:firstLine="310" w:firstLineChars="147"/>
        <w:jc w:val="left"/>
        <w:rPr>
          <w:rFonts w:hint="eastAsia" w:ascii="宋体" w:hAnsi="宋体" w:eastAsia="宋体" w:cs="宋体"/>
          <w:bCs/>
          <w:color w:val="000000" w:themeColor="text1"/>
          <w:szCs w:val="21"/>
          <w:u w:val="single"/>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本</w:t>
      </w:r>
      <w:r>
        <w:rPr>
          <w:rFonts w:hint="eastAsia" w:ascii="宋体" w:hAnsi="宋体" w:cs="宋体"/>
          <w:b/>
          <w:color w:val="000000" w:themeColor="text1"/>
          <w:szCs w:val="21"/>
          <w:lang w:eastAsia="zh-CN"/>
          <w14:textFill>
            <w14:solidFill>
              <w14:schemeClr w14:val="tx1"/>
            </w14:solidFill>
          </w14:textFill>
        </w:rPr>
        <w:t>项目</w:t>
      </w:r>
      <w:r>
        <w:rPr>
          <w:rFonts w:hint="eastAsia" w:ascii="宋体" w:hAnsi="宋体" w:eastAsia="宋体" w:cs="宋体"/>
          <w:b/>
          <w:color w:val="000000" w:themeColor="text1"/>
          <w:szCs w:val="21"/>
          <w14:textFill>
            <w14:solidFill>
              <w14:schemeClr w14:val="tx1"/>
            </w14:solidFill>
          </w14:textFill>
        </w:rPr>
        <w:t>的核心产品为下表的第</w:t>
      </w:r>
      <w:r>
        <w:rPr>
          <w:rFonts w:hint="eastAsia" w:ascii="宋体" w:hAnsi="宋体" w:cs="宋体"/>
          <w:b/>
          <w:szCs w:val="21"/>
          <w:u w:val="single"/>
          <w:lang w:val="en-US" w:eastAsia="zh-CN"/>
        </w:rPr>
        <w:t xml:space="preserve"> 1 </w:t>
      </w:r>
      <w:r>
        <w:rPr>
          <w:rFonts w:hint="eastAsia" w:ascii="宋体" w:hAnsi="宋体" w:eastAsia="宋体" w:cs="宋体"/>
          <w:b/>
          <w:color w:val="000000" w:themeColor="text1"/>
          <w:szCs w:val="21"/>
          <w14:textFill>
            <w14:solidFill>
              <w14:schemeClr w14:val="tx1"/>
            </w14:solidFill>
          </w14:textFill>
        </w:rPr>
        <w:t>项产品。</w:t>
      </w:r>
    </w:p>
    <w:bookmarkEnd w:id="73"/>
    <w:bookmarkEnd w:id="74"/>
    <w:tbl>
      <w:tblPr>
        <w:tblStyle w:val="24"/>
        <w:tblW w:w="100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8"/>
        <w:gridCol w:w="802"/>
        <w:gridCol w:w="268"/>
        <w:gridCol w:w="915"/>
        <w:gridCol w:w="780"/>
        <w:gridCol w:w="5400"/>
        <w:gridCol w:w="1320"/>
      </w:tblGrid>
      <w:tr w14:paraId="4907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39E3817">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序号</w:t>
            </w:r>
          </w:p>
        </w:tc>
        <w:tc>
          <w:tcPr>
            <w:tcW w:w="1070" w:type="dxa"/>
            <w:gridSpan w:val="2"/>
            <w:vAlign w:val="center"/>
          </w:tcPr>
          <w:p w14:paraId="727E410D">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标的名称</w:t>
            </w:r>
          </w:p>
        </w:tc>
        <w:tc>
          <w:tcPr>
            <w:tcW w:w="915" w:type="dxa"/>
            <w:vAlign w:val="center"/>
          </w:tcPr>
          <w:p w14:paraId="13AE228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数量及单位</w:t>
            </w:r>
          </w:p>
        </w:tc>
        <w:tc>
          <w:tcPr>
            <w:tcW w:w="780" w:type="dxa"/>
            <w:vAlign w:val="center"/>
          </w:tcPr>
          <w:p w14:paraId="4F6DED41">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所属行业</w:t>
            </w:r>
          </w:p>
        </w:tc>
        <w:tc>
          <w:tcPr>
            <w:tcW w:w="5400" w:type="dxa"/>
            <w:vAlign w:val="center"/>
          </w:tcPr>
          <w:p w14:paraId="6F294270">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1320" w:type="dxa"/>
            <w:vAlign w:val="center"/>
          </w:tcPr>
          <w:p w14:paraId="7E23F686">
            <w:pPr>
              <w:keepNext w:val="0"/>
              <w:keepLines w:val="0"/>
              <w:pageBreakBefore w:val="0"/>
              <w:tabs>
                <w:tab w:val="left" w:pos="180"/>
                <w:tab w:val="left" w:pos="1620"/>
              </w:tabs>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上控单价（</w:t>
            </w:r>
            <w:r>
              <w:rPr>
                <w:rFonts w:hint="eastAsia" w:ascii="宋体" w:hAnsi="宋体" w:cs="宋体"/>
                <w:color w:val="000000" w:themeColor="text1"/>
                <w:sz w:val="21"/>
                <w:szCs w:val="21"/>
                <w:lang w:val="en-US" w:eastAsia="zh-CN"/>
                <w14:textFill>
                  <w14:solidFill>
                    <w14:schemeClr w14:val="tx1"/>
                  </w14:solidFill>
                </w14:textFill>
              </w:rPr>
              <w:t>万</w:t>
            </w:r>
            <w:r>
              <w:rPr>
                <w:rFonts w:hint="eastAsia" w:ascii="宋体" w:hAnsi="宋体" w:eastAsia="宋体" w:cs="宋体"/>
                <w:color w:val="000000" w:themeColor="text1"/>
                <w:sz w:val="21"/>
                <w:szCs w:val="21"/>
                <w:lang w:eastAsia="zh-CN"/>
                <w14:textFill>
                  <w14:solidFill>
                    <w14:schemeClr w14:val="tx1"/>
                  </w14:solidFill>
                </w14:textFill>
              </w:rPr>
              <w:t>元）</w:t>
            </w:r>
          </w:p>
        </w:tc>
      </w:tr>
      <w:tr w14:paraId="050FD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5F3D80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bookmarkStart w:id="75" w:name="_Hlk100245950"/>
            <w:r>
              <w:rPr>
                <w:rFonts w:hint="eastAsia" w:ascii="宋体" w:hAnsi="宋体" w:eastAsia="宋体" w:cs="宋体"/>
                <w:color w:val="000000" w:themeColor="text1"/>
                <w:sz w:val="21"/>
                <w:szCs w:val="21"/>
                <w14:textFill>
                  <w14:solidFill>
                    <w14:schemeClr w14:val="tx1"/>
                  </w14:solidFill>
                </w14:textFill>
              </w:rPr>
              <w:t>1</w:t>
            </w:r>
          </w:p>
        </w:tc>
        <w:tc>
          <w:tcPr>
            <w:tcW w:w="1070" w:type="dxa"/>
            <w:gridSpan w:val="2"/>
            <w:shd w:val="clear" w:color="auto" w:fill="auto"/>
            <w:vAlign w:val="center"/>
          </w:tcPr>
          <w:p w14:paraId="549ED03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双缸组织脱水机</w:t>
            </w:r>
          </w:p>
        </w:tc>
        <w:tc>
          <w:tcPr>
            <w:tcW w:w="915" w:type="dxa"/>
            <w:shd w:val="clear" w:color="auto" w:fill="auto"/>
            <w:vAlign w:val="center"/>
          </w:tcPr>
          <w:p w14:paraId="432C7C7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780" w:type="dxa"/>
            <w:vAlign w:val="center"/>
          </w:tcPr>
          <w:p w14:paraId="78B018C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lang w:eastAsia="zh-CN"/>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590E0CE1">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▲1.最大容量：可同时处理包埋盒数量≥400个，脱水缸数量≥2个，两个脱水缸可分别独立设定脱水程序、相互独立执行脱水程序。</w:t>
            </w:r>
          </w:p>
          <w:p w14:paraId="565EA1E3">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2.试剂缸容量：≥5L。</w:t>
            </w:r>
          </w:p>
          <w:p w14:paraId="4EDE990D">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3.蜡缸温度：40～65℃。</w:t>
            </w:r>
          </w:p>
          <w:p w14:paraId="40077456">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4.脱水缸温度：35～85℃。</w:t>
            </w:r>
          </w:p>
          <w:p w14:paraId="62AD0C26">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5.脱水缸压力范围：真空≤－70kPa，压力≥＋45kPa。</w:t>
            </w:r>
          </w:p>
          <w:p w14:paraId="002E0C89">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6.试剂缸：≥18个。</w:t>
            </w:r>
          </w:p>
          <w:p w14:paraId="2851CFA2">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7.蜡缸：≥4个。</w:t>
            </w:r>
          </w:p>
          <w:p w14:paraId="7395E1F3">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8.样品上载：具有大小不等的样品批次连续上载功能，可以让操作者按照自身需要随时灵活安排工作流程。</w:t>
            </w:r>
          </w:p>
          <w:p w14:paraId="3CCBC80A">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9.石蜡管理：蜡缸具备石蜡清洁功能，便于填充石蜡并能在最短时间内彻底熔化。</w:t>
            </w:r>
          </w:p>
          <w:p w14:paraId="0C59CD77">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10.试剂管理系统：</w:t>
            </w:r>
          </w:p>
          <w:p w14:paraId="7E5DB2C7">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（1）可根据处理的包埋盒数量、试剂使用的天数或者脱水次数来设定试剂和石蜡的使用寿命；</w:t>
            </w:r>
          </w:p>
          <w:p w14:paraId="17654231">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（2）具备自动计数试剂使用次数功能，到达阈值后会自动提示；</w:t>
            </w:r>
          </w:p>
          <w:p w14:paraId="403DF037">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（3）试剂可自动按照“新鲜”程度排序并使用；</w:t>
            </w:r>
          </w:p>
          <w:p w14:paraId="49F331D4">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（4）试剂管理系统自动计算“携带污染”量，并可以用于确定试剂浓度。</w:t>
            </w:r>
          </w:p>
          <w:p w14:paraId="3D0E8A75">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11.清洗程序具有干燥功能：可采用高温、真空和气流蒸发所有的试剂。</w:t>
            </w:r>
          </w:p>
          <w:p w14:paraId="211F5603">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12.组织脱水安全性：</w:t>
            </w:r>
          </w:p>
          <w:p w14:paraId="40898FD7">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（1）试剂相容性检测：可按照相容性分组；</w:t>
            </w:r>
          </w:p>
          <w:p w14:paraId="7CB31858">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（2）预检测功能：可测试阀门和泵是否处于正常状态；</w:t>
            </w:r>
          </w:p>
          <w:p w14:paraId="1EAE14B2">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（3）光学传感器可感知最低和最高液平面；</w:t>
            </w:r>
          </w:p>
          <w:p w14:paraId="1AB3CF6A">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（4）具有断电保护功能。</w:t>
            </w:r>
          </w:p>
          <w:p w14:paraId="696F4136">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▲13.内置信息追溯功能：内置条码扫描仪采集样品篮和试剂信息并进行管理，以提供样品安全和可追溯性。</w:t>
            </w:r>
          </w:p>
          <w:p w14:paraId="35241286">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14.内置密度计可进行试剂浓度检测，以减少更换试剂时的潜在错误。</w:t>
            </w:r>
          </w:p>
          <w:p w14:paraId="167AAB49">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15.具有防止废气污染功能：</w:t>
            </w:r>
          </w:p>
          <w:p w14:paraId="28E173CD">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（1）设计有冷凝管，可将气道中的气体液化并排入废液瓶；</w:t>
            </w:r>
          </w:p>
          <w:p w14:paraId="38E80A55">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（2）具有排放功能：真空－自然排干－加压；</w:t>
            </w:r>
          </w:p>
          <w:p w14:paraId="6CAC50D1">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（3）配置活性炭过滤网，能有效吸附多余废气；</w:t>
            </w:r>
          </w:p>
          <w:p w14:paraId="63BDB529">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（4）可外接挥发气体除去系统。</w:t>
            </w:r>
          </w:p>
          <w:p w14:paraId="286A5AC4">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16.全中文操作系统，能进行文件编辑。</w:t>
            </w:r>
          </w:p>
          <w:p w14:paraId="750EF15E">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17.具有远程报警和本地报警功能。</w:t>
            </w:r>
          </w:p>
          <w:p w14:paraId="7355F95C">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18.具有预检测功能，可以在正式启动程序之前及时发现潜在的故障。</w:t>
            </w:r>
          </w:p>
          <w:p w14:paraId="1697BFF0">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19.具有温控和试剂搅拌功能。</w:t>
            </w:r>
          </w:p>
          <w:p w14:paraId="78A0B58E">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20.所有的试剂缸均可拆卸清洗。</w:t>
            </w:r>
          </w:p>
          <w:p w14:paraId="03B0FFE8">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21.预设程序≥11个，快速清洗程序≥1个。</w:t>
            </w:r>
          </w:p>
          <w:p w14:paraId="6C2C2674">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22.设备最低配置要求（包括但不限于）：</w:t>
            </w:r>
          </w:p>
          <w:p w14:paraId="7C43589B">
            <w:pPr>
              <w:keepNext w:val="0"/>
              <w:keepLines w:val="0"/>
              <w:pageBreakBefore w:val="0"/>
              <w:kinsoku/>
              <w:wordWrap/>
              <w:overflowPunct/>
              <w:topLinePunct w:val="0"/>
              <w:autoSpaceDE/>
              <w:autoSpaceDN/>
              <w:bidi w:val="0"/>
              <w:adjustRightInd/>
              <w:spacing w:line="400" w:lineRule="exact"/>
              <w:jc w:val="lef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（1）脱水机主机1台；（2）脱水缸2个；（3）试剂缸18个；（4）蜡缸4个；（5）不锈钢长方形脱水篮4个。</w:t>
            </w:r>
          </w:p>
        </w:tc>
        <w:tc>
          <w:tcPr>
            <w:tcW w:w="1320" w:type="dxa"/>
            <w:shd w:val="clear" w:color="auto" w:fill="auto"/>
            <w:vAlign w:val="center"/>
          </w:tcPr>
          <w:p w14:paraId="6DEF3AF8">
            <w:pPr>
              <w:keepNext w:val="0"/>
              <w:keepLines w:val="0"/>
              <w:pageBreakBefore w:val="0"/>
              <w:kinsoku/>
              <w:wordWrap/>
              <w:overflowPunct/>
              <w:topLinePunct w:val="0"/>
              <w:autoSpaceDE/>
              <w:autoSpaceDN/>
              <w:bidi w:val="0"/>
              <w:adjustRightInd/>
              <w:spacing w:line="400" w:lineRule="exact"/>
              <w:ind w:left="0" w:leftChars="0" w:right="0" w:rightChars="0" w:firstLine="0" w:firstLineChars="0"/>
              <w:jc w:val="center"/>
              <w:textAlignment w:val="auto"/>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39</w:t>
            </w:r>
          </w:p>
        </w:tc>
      </w:tr>
      <w:tr w14:paraId="1E6599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9AC642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p>
        </w:tc>
        <w:tc>
          <w:tcPr>
            <w:tcW w:w="1070" w:type="dxa"/>
            <w:gridSpan w:val="2"/>
            <w:shd w:val="clear" w:color="auto" w:fill="auto"/>
            <w:vAlign w:val="center"/>
          </w:tcPr>
          <w:p w14:paraId="0D4D0DA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全自动清洗机</w:t>
            </w:r>
          </w:p>
        </w:tc>
        <w:tc>
          <w:tcPr>
            <w:tcW w:w="915" w:type="dxa"/>
            <w:shd w:val="clear" w:color="auto" w:fill="auto"/>
            <w:vAlign w:val="center"/>
          </w:tcPr>
          <w:p w14:paraId="3B6EAF4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780" w:type="dxa"/>
            <w:vAlign w:val="center"/>
          </w:tcPr>
          <w:p w14:paraId="7C70757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6B70641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1.适用范围：用于对可重复使用的外科器械、麻醉器械和腔镜器械进行清洗、消毒和干燥。</w:t>
            </w:r>
          </w:p>
          <w:p w14:paraId="038CFD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2.工作模式：利用循环泵将混合清洗液通过旋转喷臂喷射至器械表面进行冲刷清洗；将水加热到所需的温度并维持消毒所需的时间对器械进行消毒；利用高压风机将加热后空气吹入清洗舱内对器械进行干燥。</w:t>
            </w:r>
          </w:p>
          <w:p w14:paraId="2381484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3.功能要求：清洗流程应符合清洗消毒器的YY0734.1-2018和YY0734.2-2018中性能指标的要求，流程应至少包含冲洗、清洗剂添加、清洗、漂洗、润滑剂添加、消毒和干燥过程。</w:t>
            </w:r>
          </w:p>
          <w:p w14:paraId="0887C32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4.清洗舱容积：≥580L。</w:t>
            </w:r>
          </w:p>
          <w:p w14:paraId="5473D88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▲5.装载量：≥18个标准器械托盘，器械托盘为标准DIN筐。</w:t>
            </w:r>
          </w:p>
          <w:p w14:paraId="3170493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6.喷淋清洗：设备清洗喷臂≥7个，能够处理包括负载架在内的手术器械的清洗和消毒。</w:t>
            </w:r>
          </w:p>
          <w:p w14:paraId="402F629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7.密封门：自动下开门；双门通道型，污区进洁区出，双门互锁，门采用防爆玻璃门，隔音隔热，采用密封条充气密封方式。</w:t>
            </w:r>
          </w:p>
          <w:p w14:paraId="2FBE45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8.门保护装置：具有障碍开关，在检测到门运动路径上有障碍时，自动停止运行，并报警。</w:t>
            </w:r>
          </w:p>
          <w:p w14:paraId="4635E41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9.运行时间：标准程序运行时间≤28min，包含冲洗、清洗、漂洗、消毒和干燥全过程。</w:t>
            </w:r>
          </w:p>
          <w:p w14:paraId="3706042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▲10.注水口对接装置：负载架接口与设备清洗喷淋出水对接口采用气动驱动装置进行对接，保障清洗过程中注水口不泄漏并持续保持循环压力。</w:t>
            </w:r>
          </w:p>
          <w:p w14:paraId="3E3EA9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▲11.管路系统：采用全不锈钢管路连接，非硅胶软管连接。</w:t>
            </w:r>
          </w:p>
          <w:p w14:paraId="38638A2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12.循环系统：采用全不锈钢泵体的循环泵，循环泵最大流量≥900L/min。</w:t>
            </w:r>
          </w:p>
          <w:p w14:paraId="0B62063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13.预热水箱：双水箱快速管路设计，内置快速预热水箱和消箱水箱。</w:t>
            </w:r>
          </w:p>
          <w:p w14:paraId="4E850EA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14.循环泵：全不锈钢泵体，最大流量900L/min</w:t>
            </w:r>
          </w:p>
          <w:p w14:paraId="1BB49F4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15.空气过滤系统：采用H13级高效过滤器，过滤效率≥99.99%，过滤精度≤0.3μm。</w:t>
            </w:r>
          </w:p>
          <w:p w14:paraId="2D28EEA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16.控制系统：采用PLC控制系统控制；具有故障自动检测功能、报警及故障记录功能。</w:t>
            </w:r>
          </w:p>
          <w:p w14:paraId="2B94D2C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▲17.人机界面：前后两侧均采用≥10寸高清彩色触摸屏显示，能动态地显示设备各个功能部件的运行状态及设备运行的各个状态数；具有故障直接显示功能。</w:t>
            </w:r>
          </w:p>
          <w:p w14:paraId="36B9064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18.运行程序：≥12套预置程序，≥32套自定义程序，用户可根据需要进行程序自定义编辑。</w:t>
            </w:r>
          </w:p>
          <w:p w14:paraId="0A8016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19.故障诊断：具有自动故障检测，故障代码及故障名称显示，故障声音报警和故障记录功能。</w:t>
            </w:r>
          </w:p>
          <w:p w14:paraId="6550CF6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cs="宋体"/>
                <w:b/>
                <w:b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0.设备状态：设备前后具有高亮LED运行状态显示功能。</w:t>
            </w:r>
          </w:p>
          <w:p w14:paraId="6755823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21.记录方式：采用非热敏纸打印记录，可打印设备运行流程参数、A0值、故障信息、开始和结束时间、化学助剂使用量等信息，以便于医院的追溯。</w:t>
            </w:r>
          </w:p>
          <w:p w14:paraId="2EF14D8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22.负载架对接：清洗舱出水口与负载架采用气动装置对接。</w:t>
            </w:r>
          </w:p>
        </w:tc>
        <w:tc>
          <w:tcPr>
            <w:tcW w:w="1320" w:type="dxa"/>
            <w:shd w:val="clear" w:color="auto" w:fill="auto"/>
            <w:vAlign w:val="center"/>
          </w:tcPr>
          <w:p w14:paraId="53A52D7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30</w:t>
            </w:r>
          </w:p>
        </w:tc>
      </w:tr>
      <w:tr w14:paraId="6444E9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DED095E">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1070" w:type="dxa"/>
            <w:gridSpan w:val="2"/>
            <w:shd w:val="clear" w:color="auto" w:fill="auto"/>
            <w:vAlign w:val="center"/>
          </w:tcPr>
          <w:p w14:paraId="73368C1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插件式多参数监护仪</w:t>
            </w:r>
          </w:p>
        </w:tc>
        <w:tc>
          <w:tcPr>
            <w:tcW w:w="915" w:type="dxa"/>
            <w:shd w:val="clear" w:color="auto" w:fill="auto"/>
            <w:vAlign w:val="center"/>
          </w:tcPr>
          <w:p w14:paraId="4EB077B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4台</w:t>
            </w:r>
          </w:p>
        </w:tc>
        <w:tc>
          <w:tcPr>
            <w:tcW w:w="780" w:type="dxa"/>
            <w:vAlign w:val="center"/>
          </w:tcPr>
          <w:p w14:paraId="1B8AB246">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211DF3A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1.产品为插件式监护仪，主机、显示屏和插件槽采用一体化设计，主机插槽数≥4个。</w:t>
            </w:r>
          </w:p>
          <w:p w14:paraId="633B90D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▲2.产品铭牌</w:t>
            </w:r>
            <w:r>
              <w:rPr>
                <w:rFonts w:hint="eastAsia" w:ascii="宋体" w:hAnsi="宋体" w:cs="宋体"/>
                <w:b/>
                <w:bCs/>
                <w:color w:val="000000" w:themeColor="text1"/>
                <w:kern w:val="2"/>
                <w:sz w:val="21"/>
                <w:szCs w:val="21"/>
                <w:lang w:val="en-US" w:eastAsia="zh-CN" w:bidi="ar-SA"/>
                <w14:textFill>
                  <w14:solidFill>
                    <w14:schemeClr w14:val="tx1"/>
                  </w14:solidFill>
                </w14:textFill>
              </w:rPr>
              <w:t>或使用说明书</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应清晰注明</w:t>
            </w:r>
            <w:r>
              <w:rPr>
                <w:rFonts w:hint="eastAsia" w:ascii="宋体" w:hAnsi="宋体" w:cs="宋体"/>
                <w:b/>
                <w:bCs/>
                <w:color w:val="000000" w:themeColor="text1"/>
                <w:kern w:val="2"/>
                <w:sz w:val="21"/>
                <w:szCs w:val="21"/>
                <w:lang w:val="en-US" w:eastAsia="zh-CN" w:bidi="ar-SA"/>
                <w14:textFill>
                  <w14:solidFill>
                    <w14:schemeClr w14:val="tx1"/>
                  </w14:solidFill>
                </w14:textFill>
              </w:rPr>
              <w:t>设备</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使用期限，且使用期限</w:t>
            </w:r>
            <w:r>
              <w:rPr>
                <w:rFonts w:hint="eastAsia" w:ascii="宋体" w:hAnsi="宋体" w:cs="宋体"/>
                <w:b/>
                <w:bCs/>
                <w:color w:val="000000" w:themeColor="text1"/>
                <w:kern w:val="2"/>
                <w:sz w:val="21"/>
                <w:szCs w:val="21"/>
                <w:lang w:val="en-US" w:eastAsia="zh-CN" w:bidi="ar-SA"/>
                <w14:textFill>
                  <w14:solidFill>
                    <w14:schemeClr w14:val="tx1"/>
                  </w14:solidFill>
                </w14:textFill>
              </w:rPr>
              <w:t>不低于</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10年。</w:t>
            </w:r>
          </w:p>
          <w:p w14:paraId="51BF1B1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3.采用触摸屏操作，LED高清液晶显示屏≥12英寸，能自动调节屏幕亮度。</w:t>
            </w:r>
          </w:p>
          <w:p w14:paraId="1A4FDF3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4.基本功能模块支持心电，呼吸，心率，无创血压，血氧饱和度，脉搏，双通道体温和双通道有创血压的监测。</w:t>
            </w:r>
          </w:p>
          <w:p w14:paraId="4F9D72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5.并支持穿戴手套操作。</w:t>
            </w:r>
          </w:p>
          <w:p w14:paraId="7BFB36A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6.多参数监测模块为带屏幕的转运监测模块，支持机身前后双屏同时无遮挡显示与操作。</w:t>
            </w:r>
          </w:p>
          <w:p w14:paraId="70DDC7C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7.支持3/5/6/12导心电监测，具有多导同步分析功能</w:t>
            </w:r>
            <w:r>
              <w:rPr>
                <w:rFonts w:hint="eastAsia" w:ascii="宋体" w:hAnsi="宋体" w:cs="宋体"/>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支持</w:t>
            </w:r>
            <w:r>
              <w:rPr>
                <w:rFonts w:hint="eastAsia" w:ascii="宋体" w:hAnsi="宋体" w:cs="宋体"/>
                <w:color w:val="000000" w:themeColor="text1"/>
                <w:kern w:val="2"/>
                <w:sz w:val="21"/>
                <w:szCs w:val="21"/>
                <w:lang w:val="en-US" w:eastAsia="zh-CN" w:bidi="ar-SA"/>
                <w14:textFill>
                  <w14:solidFill>
                    <w14:schemeClr w14:val="tx1"/>
                  </w14:solidFill>
                </w14:textFill>
              </w:rPr>
              <w:t>不少于</w:t>
            </w:r>
            <w:r>
              <w:rPr>
                <w:rFonts w:hint="eastAsia" w:ascii="宋体" w:hAnsi="宋体" w:eastAsia="宋体" w:cs="宋体"/>
                <w:color w:val="000000" w:themeColor="text1"/>
                <w:kern w:val="2"/>
                <w:sz w:val="21"/>
                <w:szCs w:val="21"/>
                <w:lang w:val="en-US" w:eastAsia="zh-CN" w:bidi="ar-SA"/>
                <w14:textFill>
                  <w14:solidFill>
                    <w14:schemeClr w14:val="tx1"/>
                  </w14:solidFill>
                </w14:textFill>
              </w:rPr>
              <w:t>2</w:t>
            </w:r>
            <w:r>
              <w:rPr>
                <w:rFonts w:hint="eastAsia" w:ascii="宋体" w:hAnsi="宋体" w:cs="宋体"/>
                <w:color w:val="000000" w:themeColor="text1"/>
                <w:kern w:val="2"/>
                <w:sz w:val="21"/>
                <w:szCs w:val="21"/>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lang w:val="en-US" w:eastAsia="zh-CN" w:bidi="ar-SA"/>
                <w14:textFill>
                  <w14:solidFill>
                    <w14:schemeClr w14:val="tx1"/>
                  </w14:solidFill>
                </w14:textFill>
              </w:rPr>
              <w:t>种实时心律失常分析，可识别不规则节律停止和房颤停止并报警。</w:t>
            </w:r>
          </w:p>
          <w:p w14:paraId="382C3C1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▲8.具备心拍类型识别功能，可区分正常心拍、异常心拍、起搏心拍，根据心律失常分析结果在每个心拍上进行标注。</w:t>
            </w:r>
          </w:p>
          <w:p w14:paraId="7C37271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▲9.提供ST段分析功能，</w:t>
            </w:r>
            <w:r>
              <w:rPr>
                <w:rFonts w:hint="eastAsia" w:ascii="宋体" w:hAnsi="宋体" w:cs="宋体"/>
                <w:b/>
                <w:bCs/>
                <w:color w:val="000000" w:themeColor="text1"/>
                <w:kern w:val="2"/>
                <w:sz w:val="21"/>
                <w:szCs w:val="21"/>
                <w:lang w:val="en-US" w:eastAsia="zh-CN" w:bidi="ar-SA"/>
                <w14:textFill>
                  <w14:solidFill>
                    <w14:schemeClr w14:val="tx1"/>
                  </w14:solidFill>
                </w14:textFill>
              </w:rPr>
              <w:t>能</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监测ST段抬高或者压低，提供单个或多个ST值报警，并支持相对的报警限设置。导联类型自动识别功能，具备智能导联脱落监测功能，导联脱落的情况下仍能保持监护。</w:t>
            </w:r>
          </w:p>
          <w:p w14:paraId="3292B89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▲10.具有QT/QTc测量功能，提供QT、QTc参数值，QT/QTc监护适用于成人、小儿和新生儿病人。</w:t>
            </w:r>
          </w:p>
          <w:p w14:paraId="4AFEAD0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11.提供ST段分析功能，适用于成人，小儿和新生儿，支持分组显示心脏前壁，下壁 和侧壁的ST实时片段和参考片段。</w:t>
            </w:r>
          </w:p>
          <w:p w14:paraId="73F911B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12.心率报警限范围：HR 高限：17bpm～295bpm、HR低限：16bpm～290bpm、极度心动过速：60bpm～300bpm、极度心动过缓：15bpm～120bpm。</w:t>
            </w:r>
          </w:p>
          <w:p w14:paraId="27E1E63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▲13.具有心率变异性分析功能，提供心率变异性相关参数显示，支持RR间期直方图、RR间期差值直方图、散点图、RR间期趋势图，用于评价心脏自主神经的活动性。</w:t>
            </w:r>
          </w:p>
          <w:p w14:paraId="06F8BF9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14.无创血压适用于成人，小儿和新生儿。</w:t>
            </w:r>
          </w:p>
          <w:p w14:paraId="5C4F653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15.具有动态血压监测界面，分析界面下查看病人测量时间段的收缩压和舒张压的正常数据、低于正常数据以及高于正常数据的百分率，同时还可以看到收缩压和舒张压的平均值、最大值和最小值。</w:t>
            </w:r>
          </w:p>
          <w:p w14:paraId="4649A35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16.支持双通道有创压IBP监测，有创压适用于成人，小儿和新生儿，测量范围：-50～370mmHg。</w:t>
            </w:r>
          </w:p>
          <w:p w14:paraId="17CAAC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▲17.支持</w:t>
            </w:r>
            <w:r>
              <w:rPr>
                <w:rFonts w:hint="eastAsia" w:ascii="宋体" w:hAnsi="宋体" w:cs="宋体"/>
                <w:b/>
                <w:bCs/>
                <w:color w:val="000000" w:themeColor="text1"/>
                <w:kern w:val="2"/>
                <w:sz w:val="21"/>
                <w:szCs w:val="21"/>
                <w:lang w:val="en-US" w:eastAsia="zh-CN" w:bidi="ar-SA"/>
                <w14:textFill>
                  <w14:solidFill>
                    <w14:schemeClr w14:val="tx1"/>
                  </w14:solidFill>
                </w14:textFill>
              </w:rPr>
              <w:t>多个参数不少于</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w:t>
            </w:r>
            <w:r>
              <w:rPr>
                <w:rFonts w:hint="eastAsia" w:ascii="宋体" w:hAnsi="宋体" w:cs="宋体"/>
                <w:b/>
                <w:bCs/>
                <w:color w:val="000000" w:themeColor="text1"/>
                <w:kern w:val="2"/>
                <w:sz w:val="21"/>
                <w:szCs w:val="21"/>
                <w:lang w:val="en-US" w:eastAsia="zh-CN" w:bidi="ar-SA"/>
                <w14:textFill>
                  <w14:solidFill>
                    <w14:schemeClr w14:val="tx1"/>
                  </w14:solidFill>
                </w14:textFill>
              </w:rPr>
              <w:t>2</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0小时趋势表和趋势图回顾。</w:t>
            </w:r>
          </w:p>
          <w:p w14:paraId="42E2ACF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18.支持≥2000组NIBP存储与回顾功能。</w:t>
            </w:r>
          </w:p>
          <w:p w14:paraId="2410F2F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▲19.支持≥48小时全息波形的存储与回顾功能。</w:t>
            </w:r>
          </w:p>
          <w:p w14:paraId="76C5BB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20</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w:t>
            </w:r>
            <w:r>
              <w:rPr>
                <w:rFonts w:hint="eastAsia" w:ascii="宋体" w:hAnsi="宋体" w:eastAsia="宋体" w:cs="宋体"/>
                <w:color w:val="000000" w:themeColor="text1"/>
                <w:kern w:val="2"/>
                <w:sz w:val="21"/>
                <w:szCs w:val="21"/>
                <w:lang w:val="en-US" w:eastAsia="zh-CN" w:bidi="ar-SA"/>
                <w14:textFill>
                  <w14:solidFill>
                    <w14:schemeClr w14:val="tx1"/>
                  </w14:solidFill>
                </w14:textFill>
              </w:rPr>
              <w:t>原厂具有多种监测模块升级，例如Masimo/Nellcor SPO2、CO、AG、麻醉深度、氧浓度、窒息唤醒等监测模块，满足临床的使用需求。</w:t>
            </w:r>
          </w:p>
        </w:tc>
        <w:tc>
          <w:tcPr>
            <w:tcW w:w="1320" w:type="dxa"/>
            <w:shd w:val="clear" w:color="auto" w:fill="auto"/>
            <w:vAlign w:val="center"/>
          </w:tcPr>
          <w:p w14:paraId="50EEB40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4.8</w:t>
            </w:r>
          </w:p>
        </w:tc>
      </w:tr>
      <w:tr w14:paraId="2217A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5012A5F1">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070" w:type="dxa"/>
            <w:gridSpan w:val="2"/>
            <w:shd w:val="clear" w:color="auto" w:fill="auto"/>
            <w:vAlign w:val="center"/>
          </w:tcPr>
          <w:p w14:paraId="3A19B09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便携式监护仪</w:t>
            </w:r>
          </w:p>
        </w:tc>
        <w:tc>
          <w:tcPr>
            <w:tcW w:w="915" w:type="dxa"/>
            <w:shd w:val="clear" w:color="auto" w:fill="auto"/>
            <w:vAlign w:val="center"/>
          </w:tcPr>
          <w:p w14:paraId="3E01CAE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2台</w:t>
            </w:r>
          </w:p>
        </w:tc>
        <w:tc>
          <w:tcPr>
            <w:tcW w:w="780" w:type="dxa"/>
            <w:vAlign w:val="center"/>
          </w:tcPr>
          <w:p w14:paraId="1ABBD51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2684FC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1.适用于成人、小儿、新生儿的监测。</w:t>
            </w:r>
          </w:p>
          <w:p w14:paraId="074C46A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2.转运监护仪，满足救护车，直升飞机和固定翼飞机，通过相关转运标准。</w:t>
            </w:r>
          </w:p>
          <w:p w14:paraId="11D5722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液晶显示屏</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≥5英寸</w:t>
            </w:r>
            <w:r>
              <w:rPr>
                <w:rFonts w:hint="eastAsia" w:ascii="宋体" w:hAnsi="宋体" w:cs="宋体"/>
                <w:b w:val="0"/>
                <w:bCs w:val="0"/>
                <w:color w:val="000000" w:themeColor="text1"/>
                <w:kern w:val="2"/>
                <w:sz w:val="21"/>
                <w:szCs w:val="21"/>
                <w:lang w:val="en-US" w:eastAsia="zh-CN" w:bidi="ar-SA"/>
                <w14:textFill>
                  <w14:solidFill>
                    <w14:schemeClr w14:val="tx1"/>
                  </w14:solidFill>
                </w14:textFill>
              </w:rPr>
              <w:t>，采用</w:t>
            </w: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触摸显示屏。</w:t>
            </w:r>
          </w:p>
          <w:p w14:paraId="73E3743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▲4.</w:t>
            </w:r>
            <w:r>
              <w:rPr>
                <w:rFonts w:hint="eastAsia" w:ascii="宋体" w:hAnsi="宋体" w:cs="宋体"/>
                <w:b/>
                <w:bCs/>
                <w:color w:val="000000" w:themeColor="text1"/>
                <w:kern w:val="2"/>
                <w:sz w:val="21"/>
                <w:szCs w:val="21"/>
                <w:lang w:val="en-US" w:eastAsia="zh-CN" w:bidi="ar-SA"/>
                <w14:textFill>
                  <w14:solidFill>
                    <w14:schemeClr w14:val="tx1"/>
                  </w14:solidFill>
                </w14:textFill>
              </w:rPr>
              <w:t>支持</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IP44</w:t>
            </w:r>
            <w:r>
              <w:rPr>
                <w:rFonts w:hint="eastAsia" w:ascii="宋体" w:hAnsi="宋体" w:cs="宋体"/>
                <w:b/>
                <w:bCs/>
                <w:color w:val="000000" w:themeColor="text1"/>
                <w:kern w:val="2"/>
                <w:sz w:val="21"/>
                <w:szCs w:val="21"/>
                <w:lang w:val="en-US" w:eastAsia="zh-CN" w:bidi="ar-SA"/>
                <w14:textFill>
                  <w14:solidFill>
                    <w14:schemeClr w14:val="tx1"/>
                  </w14:solidFill>
                </w14:textFill>
              </w:rPr>
              <w:t>级别</w:t>
            </w: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防尘防水，易清洁和适用医院内外不同临床救治环境。</w:t>
            </w:r>
          </w:p>
          <w:p w14:paraId="296C49E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▲5.内置锂电池供电，支持≥5小时的持续监测。</w:t>
            </w:r>
          </w:p>
          <w:p w14:paraId="3CE4810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6.内置DC电源接口，可以进行车载充电。</w:t>
            </w:r>
          </w:p>
          <w:p w14:paraId="02A688D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7.整机无风扇设计。</w:t>
            </w:r>
          </w:p>
          <w:p w14:paraId="1FF68C5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8.支持3/5导心电，阻抗呼吸，血氧、无创血压和2通道体温。</w:t>
            </w:r>
          </w:p>
          <w:p w14:paraId="3D4B409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9.具备多导心电监护算法，同步分析至少2通道心电波形，能够良好抗干扰。</w:t>
            </w:r>
          </w:p>
          <w:p w14:paraId="223562D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10.心率测量范围：成人15～300bpm，小儿/新生儿15～350bpm。</w:t>
            </w:r>
          </w:p>
          <w:p w14:paraId="3C2F60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11.波速：提供50mm/s，25mm/s、12.5mm/s、6.25mm/s可选。</w:t>
            </w:r>
          </w:p>
          <w:p w14:paraId="421031D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12.滤波模式：提供诊断模式（0.05～150Hz），监护模式（0.5～40Hz），ST模式（0.05～40Hz），手术模式（1～20Hz）。</w:t>
            </w:r>
          </w:p>
          <w:p w14:paraId="6033208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13.提供≥2</w:t>
            </w:r>
            <w:r>
              <w:rPr>
                <w:rFonts w:hint="eastAsia" w:ascii="宋体" w:hAnsi="宋体" w:cs="宋体"/>
                <w:color w:val="000000" w:themeColor="text1"/>
                <w:kern w:val="2"/>
                <w:sz w:val="21"/>
                <w:szCs w:val="21"/>
                <w:lang w:val="en-US" w:eastAsia="zh-CN" w:bidi="ar-SA"/>
                <w14:textFill>
                  <w14:solidFill>
                    <w14:schemeClr w14:val="tx1"/>
                  </w14:solidFill>
                </w14:textFill>
              </w:rPr>
              <w:t>0</w:t>
            </w:r>
            <w:r>
              <w:rPr>
                <w:rFonts w:hint="eastAsia" w:ascii="宋体" w:hAnsi="宋体" w:eastAsia="宋体" w:cs="宋体"/>
                <w:color w:val="000000" w:themeColor="text1"/>
                <w:kern w:val="2"/>
                <w:sz w:val="21"/>
                <w:szCs w:val="21"/>
                <w:lang w:val="en-US" w:eastAsia="zh-CN" w:bidi="ar-SA"/>
                <w14:textFill>
                  <w14:solidFill>
                    <w14:schemeClr w14:val="tx1"/>
                  </w14:solidFill>
                </w14:textFill>
              </w:rPr>
              <w:t>种心律失常事件的分析。</w:t>
            </w:r>
          </w:p>
          <w:p w14:paraId="55F6D08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14.提供ST段分析，提供显示和存储ST值和每个ST的模板。</w:t>
            </w:r>
          </w:p>
          <w:p w14:paraId="1982BAB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15.具备QT/QTc测量功能，提供QT，QTc和ΔQTc参数值。</w:t>
            </w:r>
          </w:p>
          <w:p w14:paraId="71CAD04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16.具备双通道体温测量，具备两通道体温测量差值显示。</w:t>
            </w:r>
          </w:p>
          <w:p w14:paraId="2128775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▲17.具备手动、自动间隔、连续、序列四种无创血压测量模式。</w:t>
            </w:r>
          </w:p>
          <w:p w14:paraId="4837FA3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18.≥120小时趋势表、趋势图回顾。</w:t>
            </w:r>
          </w:p>
          <w:p w14:paraId="56B70DD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19.≥1000条事件回顾。每条报警事件至少能够存储32秒三道相关波形，以及报警触发时所有测量参数值。</w:t>
            </w:r>
          </w:p>
          <w:p w14:paraId="3CA5767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20.≥800条NIBP测量结果回顾。</w:t>
            </w:r>
          </w:p>
          <w:p w14:paraId="2458CFF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21.≥48小时全息波形回顾。全息波形至少能存储所有测量值，以及至少3道波形。</w:t>
            </w:r>
          </w:p>
        </w:tc>
        <w:tc>
          <w:tcPr>
            <w:tcW w:w="1320" w:type="dxa"/>
            <w:shd w:val="clear" w:color="auto" w:fill="auto"/>
            <w:vAlign w:val="center"/>
          </w:tcPr>
          <w:p w14:paraId="6C2C34E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2.6</w:t>
            </w:r>
          </w:p>
        </w:tc>
      </w:tr>
      <w:tr w14:paraId="45208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7CE6D90">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1070" w:type="dxa"/>
            <w:gridSpan w:val="2"/>
            <w:shd w:val="clear" w:color="auto" w:fill="auto"/>
            <w:vAlign w:val="center"/>
          </w:tcPr>
          <w:p w14:paraId="36268C1C">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全自动打印医用封口机</w:t>
            </w:r>
          </w:p>
        </w:tc>
        <w:tc>
          <w:tcPr>
            <w:tcW w:w="915" w:type="dxa"/>
            <w:shd w:val="clear" w:color="auto" w:fill="auto"/>
            <w:vAlign w:val="center"/>
          </w:tcPr>
          <w:p w14:paraId="34F7F8E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780" w:type="dxa"/>
            <w:vAlign w:val="center"/>
          </w:tcPr>
          <w:p w14:paraId="72BAA5E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4F1917D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1.彩色液晶触控屏≥7寸，采用图形化操作界面，键盘输入控制，内置时钟和参数可以设置并具有自动储存功能。</w:t>
            </w:r>
          </w:p>
          <w:p w14:paraId="4E67EFA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2.自带正序（降序）封口计数器，可以实现0～9999以内的封口数量统计；具有打印边距、打印间隔符号等特殊功能。</w:t>
            </w:r>
          </w:p>
          <w:p w14:paraId="0063334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3.具有快速升温和辅助降温设计：配置有微电脑控制的升温和降温机构，减少封口温度快速从低到高或从高到低的等待时间。</w:t>
            </w:r>
          </w:p>
          <w:p w14:paraId="476CD8A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4.电脑智能温度控制设计，工作温度60～220℃任意设置，温控精度＜±1%；预设四种常用温度，分别为60℃、120℃、180℃、220℃，可以根据用户的日常需求实现快速切换，方便用户快速选择封口温度。</w:t>
            </w:r>
          </w:p>
          <w:p w14:paraId="1483AF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5.封口温度超过工作温度设定值范围±4℃时，机器将会自动停止工作，有效保证封口的质量和设备的安全运行。</w:t>
            </w:r>
          </w:p>
          <w:p w14:paraId="3C7AC90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6.采用浮动式恒定压力压合结构设计，适应立体袋和不同厚度纸袋的封口需要。</w:t>
            </w:r>
          </w:p>
          <w:p w14:paraId="33B53E4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7.故障自动报警指示，可实现工作过程的自动检测，出现的各种故障可自动报警或提示。</w:t>
            </w:r>
          </w:p>
          <w:p w14:paraId="1794B9C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8.待机时间和待机温度可调，智能待机恢复，可高速恢复到工作温度，减少等待时间。</w:t>
            </w:r>
          </w:p>
          <w:p w14:paraId="25B14C8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9.运行检定状态下，可以实现测试时间、封口温度、压力、速度、封口时间、操作人员、设备编号的中英文打印。</w:t>
            </w:r>
          </w:p>
        </w:tc>
        <w:tc>
          <w:tcPr>
            <w:tcW w:w="1320" w:type="dxa"/>
            <w:shd w:val="clear" w:color="auto" w:fill="auto"/>
            <w:vAlign w:val="center"/>
          </w:tcPr>
          <w:p w14:paraId="53B3980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w:t>
            </w:r>
          </w:p>
        </w:tc>
      </w:tr>
      <w:tr w14:paraId="6A4F0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C64675B">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1070" w:type="dxa"/>
            <w:gridSpan w:val="2"/>
            <w:shd w:val="clear" w:color="auto" w:fill="auto"/>
            <w:vAlign w:val="center"/>
          </w:tcPr>
          <w:p w14:paraId="5EEF0398">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医械绝缘检测仪</w:t>
            </w:r>
          </w:p>
        </w:tc>
        <w:tc>
          <w:tcPr>
            <w:tcW w:w="915" w:type="dxa"/>
            <w:shd w:val="clear" w:color="auto" w:fill="auto"/>
            <w:vAlign w:val="center"/>
          </w:tcPr>
          <w:p w14:paraId="183C823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780" w:type="dxa"/>
            <w:vAlign w:val="center"/>
          </w:tcPr>
          <w:p w14:paraId="71693DB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771AB5D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1.功能：对带电源手术器械进行绝缘层无损检测和导通性检测。</w:t>
            </w:r>
          </w:p>
          <w:p w14:paraId="6A509D2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2.电压调节范围：0～10000V可调输出，无档式电压调节，满足带电器械峰值电压条件下检测。</w:t>
            </w:r>
          </w:p>
          <w:p w14:paraId="4F406B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3.输出电压精度：≤±1%。</w:t>
            </w:r>
          </w:p>
          <w:p w14:paraId="466C83D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4.检测方式：台式检测，检测不同规格器械。</w:t>
            </w:r>
          </w:p>
          <w:p w14:paraId="67D606E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5.LCD屏幕：≥3.5寸LCD显示屏。</w:t>
            </w:r>
          </w:p>
          <w:p w14:paraId="4A8A34B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6.视角：≥12点，方便操作者观看。</w:t>
            </w:r>
          </w:p>
          <w:p w14:paraId="5928990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7.报警方式：采用声、光、影、闪烁多种报警方式，漏电检测提示闪烁，检测完成后自动语音播报检测结果。</w:t>
            </w:r>
          </w:p>
          <w:p w14:paraId="3B5070F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8.电池容量：≥20000mAh，待机时间≥90天。</w:t>
            </w:r>
          </w:p>
          <w:p w14:paraId="1E2B8DC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9.自动待机：仪器在停止使用10分钟后，将自动进入待机休眠状态。</w:t>
            </w:r>
          </w:p>
          <w:p w14:paraId="3348D13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10.放电电流：＜0.1mA（检测笔末端）、保障操作者的安全。</w:t>
            </w:r>
          </w:p>
          <w:p w14:paraId="7D2646A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11.放电保护：高压放电连续2秒钟，自动停止高压输出。</w:t>
            </w:r>
          </w:p>
          <w:p w14:paraId="408CCAA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12.导通电阻范围：0～1000Ω。</w:t>
            </w:r>
          </w:p>
          <w:p w14:paraId="466401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13.导通电阻精度：≤±2%，具备导通性检测功能。</w:t>
            </w:r>
          </w:p>
          <w:p w14:paraId="3D74BC8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14.连接端：可连接不同直径的器械接电端口，通过转接件可将探测工具固定到机身上使用。</w:t>
            </w:r>
          </w:p>
          <w:p w14:paraId="5A45B75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15.操作设置：预设≥4个常用测量电压模式，满足常规器械检测需要。</w:t>
            </w:r>
          </w:p>
          <w:p w14:paraId="3688750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16.多功能接口：配备针式探头和特殊器械检测用的多种规格探头。</w:t>
            </w:r>
          </w:p>
          <w:p w14:paraId="2030FD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17.持续工作时间≥72小时。</w:t>
            </w:r>
          </w:p>
        </w:tc>
        <w:tc>
          <w:tcPr>
            <w:tcW w:w="1320" w:type="dxa"/>
            <w:shd w:val="clear" w:color="auto" w:fill="auto"/>
            <w:vAlign w:val="center"/>
          </w:tcPr>
          <w:p w14:paraId="65CD96D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w:t>
            </w:r>
          </w:p>
        </w:tc>
      </w:tr>
      <w:tr w14:paraId="2B2AC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C7BBBA2">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1070" w:type="dxa"/>
            <w:gridSpan w:val="2"/>
            <w:shd w:val="clear" w:color="auto" w:fill="auto"/>
            <w:vAlign w:val="center"/>
          </w:tcPr>
          <w:p w14:paraId="6247B41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一拖六输注工作站</w:t>
            </w:r>
          </w:p>
        </w:tc>
        <w:tc>
          <w:tcPr>
            <w:tcW w:w="915" w:type="dxa"/>
            <w:shd w:val="clear" w:color="auto" w:fill="auto"/>
            <w:vAlign w:val="center"/>
          </w:tcPr>
          <w:p w14:paraId="354B3D6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1套</w:t>
            </w:r>
          </w:p>
        </w:tc>
        <w:tc>
          <w:tcPr>
            <w:tcW w:w="780" w:type="dxa"/>
            <w:vAlign w:val="center"/>
          </w:tcPr>
          <w:p w14:paraId="7D194C8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36AADF1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1.采用触摸屏操作，并支持穿戴手套也能设置操作，屏幕尺寸≥4寸。</w:t>
            </w:r>
          </w:p>
          <w:p w14:paraId="445B91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2.注射模式≥9种，支持速度模式、药物库模式、首剂量模式、微量模式、体重模式、梯度模式、序列模式、间歇模式、中继模式等。</w:t>
            </w:r>
          </w:p>
          <w:p w14:paraId="55E3B26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3.注射量预置范围：0.01～9999.99ml，能以0.01ml步进。</w:t>
            </w:r>
          </w:p>
          <w:p w14:paraId="1DC97F9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4.能自动识别注射器规格：2/3mL、5mL、10mL、20mL、30mL、50/60mL等。</w:t>
            </w:r>
          </w:p>
          <w:p w14:paraId="4E4D913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5.注射量预置范围：0.01～9999.99mL，能以0.01mL步进。并支持显示已注射累积量，支持清除。</w:t>
            </w:r>
          </w:p>
          <w:p w14:paraId="3F058F8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▲6.注射精度：≤±2%。</w:t>
            </w:r>
          </w:p>
          <w:p w14:paraId="4DCEA59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7.注射流速设定范围：</w:t>
            </w:r>
          </w:p>
          <w:p w14:paraId="0C2A782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（1）2/3mL注射器：0.01～100.00mL/h；</w:t>
            </w:r>
          </w:p>
          <w:p w14:paraId="33BB806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（2）5mL注射器：0.01～150.00mL/h；</w:t>
            </w:r>
          </w:p>
          <w:p w14:paraId="329776D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（3）10mL注射器：0.01～400.00mL/h；</w:t>
            </w:r>
          </w:p>
          <w:p w14:paraId="11F796C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（4）20mL注射器：0.01～600.00mL/h；</w:t>
            </w:r>
          </w:p>
          <w:p w14:paraId="3715FFA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（5）30mL注射器：0.01～1000.00mL/h；</w:t>
            </w:r>
          </w:p>
          <w:p w14:paraId="4DA056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（6）50/60mL注射器：0.01～2300.00mL/h；</w:t>
            </w:r>
          </w:p>
          <w:p w14:paraId="57B1B82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上述均可以0.01mL/h步进。</w:t>
            </w:r>
          </w:p>
          <w:p w14:paraId="1B6C7A0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8.时间设定范围：00：00：00～99：59：59，能以00：00：01步进；</w:t>
            </w:r>
          </w:p>
          <w:p w14:paraId="2E348D0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 DERS：内置DERS智能用药系统。</w:t>
            </w:r>
          </w:p>
          <w:p w14:paraId="3B68649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▲10.信息传输：支持WIFI、HL7、有线等方式连接，可连入输注工作站、监护仪等，可接入护理系统、中央监护系统，可与医院HIS系统连接。</w:t>
            </w:r>
          </w:p>
          <w:p w14:paraId="159A355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11.快速推注速度/丸剂速度：</w:t>
            </w:r>
          </w:p>
          <w:p w14:paraId="1BD7613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（1）2/3mL 注射器：1～100mL/h；</w:t>
            </w:r>
          </w:p>
          <w:p w14:paraId="253EC4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（2）5mL注射器：1～150mL/h；</w:t>
            </w:r>
          </w:p>
          <w:p w14:paraId="23252B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（3）10mL注射器：1～400mL/h；</w:t>
            </w:r>
          </w:p>
          <w:p w14:paraId="1DCD49F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（4）20mL注射器：1～600mL/h；</w:t>
            </w:r>
          </w:p>
          <w:p w14:paraId="2A65AB2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（5）30mL注射器：1～1000mL/h；</w:t>
            </w:r>
          </w:p>
          <w:p w14:paraId="0F55DAC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（6）50/60mL注射器：1～2300mL/h；</w:t>
            </w:r>
          </w:p>
          <w:p w14:paraId="0D802AE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以上均以1mL/h步进。</w:t>
            </w:r>
          </w:p>
          <w:p w14:paraId="0AF3D31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 KVO速率：支持定速KVO和变速KVO，以0.01mL/h步进。</w:t>
            </w:r>
          </w:p>
          <w:p w14:paraId="79C9046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13.内置报警功能：≥十九种报警功能。</w:t>
            </w:r>
          </w:p>
          <w:p w14:paraId="6DC4D45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14.内置电池运行时间：≥8小时。</w:t>
            </w:r>
          </w:p>
          <w:p w14:paraId="7BFB5E8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15.阻塞报警压力：最高130kPa±20kPa，最低26kPa±20kPa。</w:t>
            </w:r>
          </w:p>
          <w:p w14:paraId="78BB364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16.可调阻塞压力值：≥9档；注射管路出现阻塞后，采用步进电机反转的方法来释放阻塞后管路中的压力。</w:t>
            </w:r>
          </w:p>
          <w:p w14:paraId="544953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▲17.质保期≥5年。</w:t>
            </w:r>
          </w:p>
          <w:p w14:paraId="224AF49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18.最低设备配置：</w:t>
            </w:r>
          </w:p>
          <w:p w14:paraId="17B828C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工作站主机1台、注射泵6台、移动台车（或支架）1个。</w:t>
            </w:r>
          </w:p>
        </w:tc>
        <w:tc>
          <w:tcPr>
            <w:tcW w:w="1320" w:type="dxa"/>
            <w:shd w:val="clear" w:color="auto" w:fill="auto"/>
            <w:vAlign w:val="center"/>
          </w:tcPr>
          <w:p w14:paraId="644304F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4.8</w:t>
            </w:r>
          </w:p>
        </w:tc>
      </w:tr>
      <w:tr w14:paraId="6DBA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0D777BF">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070" w:type="dxa"/>
            <w:gridSpan w:val="2"/>
            <w:shd w:val="clear" w:color="auto" w:fill="auto"/>
            <w:vAlign w:val="center"/>
          </w:tcPr>
          <w:p w14:paraId="48AED2F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中央监护系统</w:t>
            </w:r>
          </w:p>
        </w:tc>
        <w:tc>
          <w:tcPr>
            <w:tcW w:w="915" w:type="dxa"/>
            <w:shd w:val="clear" w:color="auto" w:fill="auto"/>
            <w:vAlign w:val="center"/>
          </w:tcPr>
          <w:p w14:paraId="378522DF">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1套</w:t>
            </w:r>
          </w:p>
        </w:tc>
        <w:tc>
          <w:tcPr>
            <w:tcW w:w="780" w:type="dxa"/>
            <w:vAlign w:val="center"/>
          </w:tcPr>
          <w:p w14:paraId="176B2D9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523F8EF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1.中央监护系统支持对监护设备心电，ST段，心率，呼吸，血压，血氧，脉率，体温，双有创血压，呼气末二氧化碳等参数值及波形的显示。</w:t>
            </w:r>
          </w:p>
          <w:p w14:paraId="2BBD131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2.软件界面显示适应多种尺寸液晶屏显示，包括宽屏和标准屏，方便根据科室需求进行灵活配置。同时，支持在移动端显示系统界面，包括安卓或IOS系统。</w:t>
            </w:r>
          </w:p>
          <w:p w14:paraId="1B136DE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3.支持各科室同品牌的中央站信息相互访问，可以实现全院多参数监护仪的统一管理，支持数据在院内各科室之间流通。</w:t>
            </w:r>
          </w:p>
          <w:p w14:paraId="536586A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4.为充分保证数据安全性、完整性，系统需要提供基于用户名、密码的用户身份认证和分别基于角色、基于功能、基于项目的用户权限管理功能。</w:t>
            </w:r>
          </w:p>
          <w:p w14:paraId="640F71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5.中央监护系统可以接入HIS系统，在HIS系统可以自动获取中央站的监测数据。</w:t>
            </w:r>
          </w:p>
          <w:p w14:paraId="6EA7A9E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6.采用无线、有线等方式联网通信，支持床边监护仪和遥测设备共用一套网络联网通信，同时接入的监护仪最大台数≥120台。</w:t>
            </w:r>
          </w:p>
          <w:p w14:paraId="76CEF44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7.在护士站，中央监护软件支持扩展四屏显示，同时接入的监护仪最大台数≥120台。</w:t>
            </w:r>
          </w:p>
          <w:p w14:paraId="24EBEF4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▲8.接入的设备须承诺涵盖院内现使用的多个品牌监护仪，具备扩展数据容量的能力。</w:t>
            </w:r>
          </w:p>
          <w:p w14:paraId="6E80E9B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9.最低配置要求：</w:t>
            </w:r>
          </w:p>
          <w:p w14:paraId="29D49AA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工作站主机1台、设备端口10个、软件加密狗1个、路由器1个。</w:t>
            </w:r>
          </w:p>
        </w:tc>
        <w:tc>
          <w:tcPr>
            <w:tcW w:w="1320" w:type="dxa"/>
            <w:shd w:val="clear" w:color="auto" w:fill="auto"/>
            <w:vAlign w:val="center"/>
          </w:tcPr>
          <w:p w14:paraId="62CE989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5</w:t>
            </w:r>
          </w:p>
        </w:tc>
      </w:tr>
      <w:tr w14:paraId="49AA0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6E1A460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w:t>
            </w:r>
          </w:p>
        </w:tc>
        <w:tc>
          <w:tcPr>
            <w:tcW w:w="1070" w:type="dxa"/>
            <w:gridSpan w:val="2"/>
            <w:shd w:val="clear" w:color="auto" w:fill="auto"/>
            <w:vAlign w:val="center"/>
          </w:tcPr>
          <w:p w14:paraId="5C70BF0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血氧饱和度监测仪</w:t>
            </w:r>
          </w:p>
        </w:tc>
        <w:tc>
          <w:tcPr>
            <w:tcW w:w="915" w:type="dxa"/>
            <w:shd w:val="clear" w:color="auto" w:fill="auto"/>
            <w:vAlign w:val="center"/>
          </w:tcPr>
          <w:p w14:paraId="44967E3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5台</w:t>
            </w:r>
          </w:p>
        </w:tc>
        <w:tc>
          <w:tcPr>
            <w:tcW w:w="780" w:type="dxa"/>
            <w:vAlign w:val="center"/>
          </w:tcPr>
          <w:p w14:paraId="20F98723">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3BDF909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▲1.屏幕≥2寸，屏幕分辨率≥320×240，重量≤300g（全配置，含电池）。</w:t>
            </w:r>
          </w:p>
          <w:p w14:paraId="39CD32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2.双色指示报警灯，正常工作状态下供电时间≥36小时。</w:t>
            </w:r>
          </w:p>
          <w:p w14:paraId="608191A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3.存储内容；病人ID，病人类型，血氧饱和度，脉率以及测量时间。</w:t>
            </w:r>
          </w:p>
          <w:p w14:paraId="4F901DD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4.可监测；血氧饱和度（SpO2）、脉率（PR）和脉搏强度。</w:t>
            </w:r>
          </w:p>
          <w:p w14:paraId="471577C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5.血氧测量范围：0%～100%，分辨率：1%，精准度：±2%。</w:t>
            </w:r>
          </w:p>
          <w:p w14:paraId="73F3503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6.脉率测量范围：20～300bpm，分辨率：1bpm，精度：±3bpm。</w:t>
            </w:r>
          </w:p>
          <w:p w14:paraId="0172673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7.数据管理功能：数据存储、数据追加、数据保护。</w:t>
            </w:r>
          </w:p>
          <w:p w14:paraId="10C7BF4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8.数据存储功能，连续监护模式≥96小时数据，分辨率2S；点测模式；4000条数据，30S。</w:t>
            </w:r>
          </w:p>
          <w:p w14:paraId="6DB51BF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9.支持大字体界面和波形界面，兼顾点测和监护两种模式。</w:t>
            </w:r>
          </w:p>
          <w:p w14:paraId="04D85C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▲10.开放的接口，支持红外线数据传输，可连接PC机。</w:t>
            </w:r>
          </w:p>
          <w:p w14:paraId="3917358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11.可通过PC串口下载新版本软件进行更新、升级，可通过病人信息回顾系统查看病人历史数据。</w:t>
            </w:r>
          </w:p>
          <w:p w14:paraId="47117BA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12.普通碱性电池或充电电池均可使用。</w:t>
            </w:r>
          </w:p>
        </w:tc>
        <w:tc>
          <w:tcPr>
            <w:tcW w:w="1320" w:type="dxa"/>
            <w:shd w:val="clear" w:color="auto" w:fill="auto"/>
            <w:vAlign w:val="center"/>
          </w:tcPr>
          <w:p w14:paraId="5D262D6B">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0.5</w:t>
            </w:r>
          </w:p>
        </w:tc>
      </w:tr>
      <w:tr w14:paraId="761AE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F9AEA0C">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070" w:type="dxa"/>
            <w:gridSpan w:val="2"/>
            <w:shd w:val="clear" w:color="auto" w:fill="auto"/>
            <w:vAlign w:val="center"/>
          </w:tcPr>
          <w:p w14:paraId="28D6B03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隔离层流病床</w:t>
            </w:r>
          </w:p>
        </w:tc>
        <w:tc>
          <w:tcPr>
            <w:tcW w:w="915" w:type="dxa"/>
            <w:shd w:val="clear" w:color="auto" w:fill="auto"/>
            <w:vAlign w:val="center"/>
          </w:tcPr>
          <w:p w14:paraId="1A57CA8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1张</w:t>
            </w:r>
          </w:p>
        </w:tc>
        <w:tc>
          <w:tcPr>
            <w:tcW w:w="780" w:type="dxa"/>
            <w:vAlign w:val="center"/>
          </w:tcPr>
          <w:p w14:paraId="4A19157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5EA5292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▲1.洁净度效果：罩内整体百级ISO5级（即医用一类空气环境）过滤效率99.99%；沉降菌：无菌室内沉降菌平均数：≤1cfu/平皿（Φ90mm·0.5h）。</w:t>
            </w:r>
          </w:p>
          <w:p w14:paraId="1A218DB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▲2.净化系统：为确保病床罩内整体百级洁净度，病床罩内空间不少于4块无隔板高效过滤器全覆盖（过滤面积≥1.8平方米）。</w:t>
            </w:r>
          </w:p>
          <w:p w14:paraId="1B6150B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3.配有照明、消毒、杀菌控制器，紫外线灯防误触功能。</w:t>
            </w:r>
          </w:p>
          <w:p w14:paraId="327A09E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4.外形尺寸：2250L×1100W×2300H（mm）（±10mm），可根据门框净高、宽进行定制，配有医用静音脚轮，可随意移动。</w:t>
            </w:r>
          </w:p>
          <w:p w14:paraId="0F2892B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5.产品采用蜂窝式降低噪声装置有效降低噪声，最大噪声：≤53dB（A）</w:t>
            </w:r>
          </w:p>
          <w:p w14:paraId="5AC399B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6.控制系统；电脑板设计，触摸开关、数码显示。风速：0.15～0.35m/s（±0.03m/S）</w:t>
            </w:r>
          </w:p>
          <w:p w14:paraId="056EE50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7.送风系统；送风方式；垂直送风，超静变速风机，双风机设计，单独控制，多档调速，风机免维护时间≥5万小时。</w:t>
            </w:r>
          </w:p>
          <w:p w14:paraId="33E3CC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8.过滤系统；初效、中效、高效三级过滤，有高效过滤器寿命显示和空气洁净度超标提示。</w:t>
            </w:r>
          </w:p>
          <w:p w14:paraId="384AD9A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9.环保围帘：能有效防止罩内洁净空气外流，阻止室内不洁净空气进入，每边可单独更换。</w:t>
            </w:r>
          </w:p>
          <w:p w14:paraId="1000BE8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10.配备输液挂钩至少4个。</w:t>
            </w:r>
          </w:p>
          <w:p w14:paraId="6316B7B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▲11.质保期：≥3年。</w:t>
            </w:r>
          </w:p>
        </w:tc>
        <w:tc>
          <w:tcPr>
            <w:tcW w:w="1320" w:type="dxa"/>
            <w:shd w:val="clear" w:color="auto" w:fill="auto"/>
            <w:vAlign w:val="center"/>
          </w:tcPr>
          <w:p w14:paraId="7654B5A3">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3.4</w:t>
            </w:r>
          </w:p>
        </w:tc>
      </w:tr>
      <w:tr w14:paraId="2E8D4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01CC2A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11</w:t>
            </w:r>
          </w:p>
        </w:tc>
        <w:tc>
          <w:tcPr>
            <w:tcW w:w="1070" w:type="dxa"/>
            <w:gridSpan w:val="2"/>
            <w:shd w:val="clear" w:color="auto" w:fill="auto"/>
            <w:vAlign w:val="center"/>
          </w:tcPr>
          <w:p w14:paraId="27365AB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移动式</w:t>
            </w:r>
            <w:r>
              <w:rPr>
                <w:rFonts w:hint="eastAsia" w:ascii="宋体" w:hAnsi="宋体" w:cs="宋体"/>
                <w:color w:val="auto"/>
                <w:kern w:val="2"/>
                <w:sz w:val="21"/>
                <w:szCs w:val="21"/>
                <w:lang w:val="en-US" w:eastAsia="zh-CN" w:bidi="ar-SA"/>
              </w:rPr>
              <w:t>等离子</w:t>
            </w:r>
            <w:r>
              <w:rPr>
                <w:rFonts w:hint="eastAsia" w:ascii="宋体" w:hAnsi="宋体" w:eastAsia="宋体" w:cs="宋体"/>
                <w:color w:val="auto"/>
                <w:kern w:val="2"/>
                <w:sz w:val="21"/>
                <w:szCs w:val="21"/>
                <w:lang w:val="en-US" w:eastAsia="zh-CN" w:bidi="ar-SA"/>
              </w:rPr>
              <w:t>空气消毒机</w:t>
            </w:r>
          </w:p>
        </w:tc>
        <w:tc>
          <w:tcPr>
            <w:tcW w:w="915" w:type="dxa"/>
            <w:shd w:val="clear" w:color="auto" w:fill="auto"/>
            <w:vAlign w:val="center"/>
          </w:tcPr>
          <w:p w14:paraId="3E6647CA">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2台</w:t>
            </w:r>
          </w:p>
        </w:tc>
        <w:tc>
          <w:tcPr>
            <w:tcW w:w="780" w:type="dxa"/>
            <w:vAlign w:val="center"/>
          </w:tcPr>
          <w:p w14:paraId="48F742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0D78A37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1.适用体积：≤120m</w:t>
            </w:r>
            <w:r>
              <w:rPr>
                <w:rFonts w:hint="eastAsia" w:ascii="宋体" w:hAnsi="宋体" w:eastAsia="宋体" w:cs="宋体"/>
                <w:color w:val="000000" w:themeColor="text1"/>
                <w:kern w:val="2"/>
                <w:sz w:val="21"/>
                <w:szCs w:val="21"/>
                <w:vertAlign w:val="superscript"/>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14:paraId="58FF928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2.消毒方法；等离子体</w:t>
            </w:r>
          </w:p>
          <w:p w14:paraId="3CBD3F6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3.等离子体反应器使用寿命：≥30000小时</w:t>
            </w:r>
          </w:p>
          <w:p w14:paraId="0184D17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vertAlign w:val="superscript"/>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4.等离子体密度值为：5.14×1017—7.66×1017m</w:t>
            </w:r>
            <w:r>
              <w:rPr>
                <w:rFonts w:hint="eastAsia" w:ascii="宋体" w:hAnsi="宋体" w:eastAsia="宋体" w:cs="宋体"/>
                <w:b/>
                <w:bCs/>
                <w:color w:val="000000" w:themeColor="text1"/>
                <w:kern w:val="2"/>
                <w:sz w:val="21"/>
                <w:szCs w:val="21"/>
                <w:vertAlign w:val="superscript"/>
                <w:lang w:val="en-US" w:eastAsia="zh-CN" w:bidi="ar-SA"/>
                <w14:textFill>
                  <w14:solidFill>
                    <w14:schemeClr w14:val="tx1"/>
                  </w14:solidFill>
                </w14:textFill>
              </w:rPr>
              <w:t>-3</w:t>
            </w:r>
          </w:p>
          <w:p w14:paraId="5C1FFC0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5.可在有人的情况下消毒，消毒时无味、无辐射、不腐蚀设备。</w:t>
            </w:r>
          </w:p>
          <w:p w14:paraId="018F872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6.循环风量：≥960m</w:t>
            </w:r>
            <w:r>
              <w:rPr>
                <w:rFonts w:hint="eastAsia" w:ascii="宋体" w:hAnsi="宋体" w:eastAsia="宋体" w:cs="宋体"/>
                <w:color w:val="000000" w:themeColor="text1"/>
                <w:kern w:val="2"/>
                <w:sz w:val="21"/>
                <w:szCs w:val="21"/>
                <w:vertAlign w:val="superscript"/>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/h。</w:t>
            </w:r>
          </w:p>
          <w:p w14:paraId="46072BA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7.模拟实验白色葡萄球菌杀灭率：≥99.98%</w:t>
            </w:r>
          </w:p>
          <w:p w14:paraId="51081EE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8.自然菌消亡率：≥92.12%</w:t>
            </w:r>
          </w:p>
          <w:p w14:paraId="4C6631A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9.工作功率；等离子体发生器最大能耗：≤8W/h。</w:t>
            </w:r>
          </w:p>
          <w:p w14:paraId="29BCC55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10.消毒时空气的臭氧量：≤0.019mg/m</w:t>
            </w:r>
            <w:r>
              <w:rPr>
                <w:rFonts w:hint="eastAsia" w:ascii="宋体" w:hAnsi="宋体" w:eastAsia="宋体" w:cs="宋体"/>
                <w:color w:val="000000" w:themeColor="text1"/>
                <w:kern w:val="2"/>
                <w:sz w:val="21"/>
                <w:szCs w:val="21"/>
                <w:vertAlign w:val="superscript"/>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14:paraId="4F689DC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11.等离子电压：4～6KV。</w:t>
            </w:r>
          </w:p>
          <w:p w14:paraId="4C8C55B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12.负离子浓度：≥1×106个/cm</w:t>
            </w:r>
            <w:r>
              <w:rPr>
                <w:rFonts w:hint="eastAsia" w:ascii="宋体" w:hAnsi="宋体" w:eastAsia="宋体" w:cs="宋体"/>
                <w:color w:val="000000" w:themeColor="text1"/>
                <w:kern w:val="2"/>
                <w:sz w:val="21"/>
                <w:szCs w:val="21"/>
                <w:vertAlign w:val="superscript"/>
                <w:lang w:val="en-US" w:eastAsia="zh-CN" w:bidi="ar-SA"/>
                <w14:textFill>
                  <w14:solidFill>
                    <w14:schemeClr w14:val="tx1"/>
                  </w14:solidFill>
                </w14:textFill>
              </w:rPr>
              <w:t>3</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p w14:paraId="0FAB757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13.等离子体反应器和风机出现故障时能自动报警提示 并有自动关机功能。</w:t>
            </w:r>
          </w:p>
          <w:p w14:paraId="38A83BD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14.可以随意设定不同的工作时段自动开、关机，并循环运行且掉电记忆。工作时间累计记忆功能。</w:t>
            </w:r>
          </w:p>
          <w:p w14:paraId="7ECCE0B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15.过滤网到期自动清洗更换提醒。</w:t>
            </w:r>
          </w:p>
          <w:p w14:paraId="4068C7B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16.超远距离红外线遥控操作（≥5M）。</w:t>
            </w:r>
          </w:p>
          <w:p w14:paraId="18191DA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17.提供手动、自动、定时三种工作模式供用户自由选择。</w:t>
            </w:r>
          </w:p>
          <w:p w14:paraId="680669E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18.采用LCD高清数字动态液晶显示屏。</w:t>
            </w:r>
          </w:p>
          <w:p w14:paraId="19B4E42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19.具有空气质量检测功能，实时监测并显示室内空气 质量情况。</w:t>
            </w:r>
          </w:p>
          <w:p w14:paraId="60452FA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20.具有温湿度监测功能，实时显示室内的温度和湿度情况。</w:t>
            </w:r>
          </w:p>
          <w:p w14:paraId="7E7F49F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21.具有北京时间、年月日星期、消毒剩余时间显示、工作累计时间查询功能。</w:t>
            </w:r>
          </w:p>
        </w:tc>
        <w:tc>
          <w:tcPr>
            <w:tcW w:w="1320" w:type="dxa"/>
            <w:shd w:val="clear" w:color="auto" w:fill="auto"/>
            <w:vAlign w:val="center"/>
          </w:tcPr>
          <w:p w14:paraId="164608AE">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0.9</w:t>
            </w:r>
          </w:p>
        </w:tc>
      </w:tr>
      <w:tr w14:paraId="55A9E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16FB93EB">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070" w:type="dxa"/>
            <w:gridSpan w:val="2"/>
            <w:shd w:val="clear" w:color="auto" w:fill="auto"/>
            <w:vAlign w:val="center"/>
          </w:tcPr>
          <w:p w14:paraId="03E5661B">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全自动洗胃机</w:t>
            </w:r>
          </w:p>
        </w:tc>
        <w:tc>
          <w:tcPr>
            <w:tcW w:w="915" w:type="dxa"/>
            <w:shd w:val="clear" w:color="auto" w:fill="auto"/>
            <w:vAlign w:val="center"/>
          </w:tcPr>
          <w:p w14:paraId="5862208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1台</w:t>
            </w:r>
          </w:p>
        </w:tc>
        <w:tc>
          <w:tcPr>
            <w:tcW w:w="780" w:type="dxa"/>
            <w:vAlign w:val="center"/>
          </w:tcPr>
          <w:p w14:paraId="78CBB785">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5C01A624">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lang w:val="en-US" w:eastAsia="zh-CN" w:bidi="ar-SA"/>
                <w14:textFill>
                  <w14:solidFill>
                    <w14:schemeClr w14:val="tx1"/>
                  </w14:solidFill>
                </w14:textFill>
              </w:rPr>
              <w:t>▲1.采用膜片泵作为冲液和吸液的动力源，通过压力传感器和CPU控制。</w:t>
            </w:r>
          </w:p>
          <w:p w14:paraId="0D4FA28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2.采用定量容积式转换缸，吸出液量和冲入液量更加准确、可靠。</w:t>
            </w:r>
          </w:p>
          <w:p w14:paraId="011AA30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3.面板有洗胃循环次数和压力模拟显示状态，方便操作者掌握洗胃机的工作状态和洗胃的进展。</w:t>
            </w:r>
          </w:p>
          <w:p w14:paraId="4B58963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4.设手动冲、吸液量平衡装置，可以解决由于胃内物质差异所引起地冲、吸液量不平衡状态。</w:t>
            </w:r>
          </w:p>
          <w:p w14:paraId="1F3BE25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5.至少具有“口腔档和鼻腔档”两种洗胃模式。</w:t>
            </w:r>
          </w:p>
          <w:p w14:paraId="443C8EC3">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6．造型轻巧、安全可靠、操作方便、能耗少、噪声低、可连续运行。</w:t>
            </w:r>
          </w:p>
          <w:p w14:paraId="49352B3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7.流量：≥2L/min（口腔插管档）；≥1L/min（鼻腔插管档）。</w:t>
            </w:r>
          </w:p>
          <w:p w14:paraId="7B9B77E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8.自控液量：冲液量（250ml～350ml）/次；吸液量（350ml～450ml）/次；（注：吸液量大于冲液量，应小于150ml/次）。</w:t>
            </w:r>
          </w:p>
          <w:p w14:paraId="42F19BF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9.正、负压力设定范围：47kPa～67kPa。</w:t>
            </w:r>
          </w:p>
          <w:p w14:paraId="4857916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10.洗胃机配置清单：</w:t>
            </w:r>
          </w:p>
          <w:p w14:paraId="0B9AB5D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主机1台、一次性吸引管＞3包、一次性使用胃管＞3根、防尘堵≥4个。</w:t>
            </w:r>
          </w:p>
        </w:tc>
        <w:tc>
          <w:tcPr>
            <w:tcW w:w="1320" w:type="dxa"/>
            <w:shd w:val="clear" w:color="auto" w:fill="auto"/>
            <w:vAlign w:val="center"/>
          </w:tcPr>
          <w:p w14:paraId="1D9D4D5F">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0.8</w:t>
            </w:r>
          </w:p>
        </w:tc>
      </w:tr>
      <w:tr w14:paraId="5B07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17F71AF">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13</w:t>
            </w:r>
          </w:p>
        </w:tc>
        <w:tc>
          <w:tcPr>
            <w:tcW w:w="1070" w:type="dxa"/>
            <w:gridSpan w:val="2"/>
            <w:shd w:val="clear" w:color="auto" w:fill="auto"/>
            <w:vAlign w:val="center"/>
          </w:tcPr>
          <w:p w14:paraId="6B33BCF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四摇分腿倾斜骨科床</w:t>
            </w:r>
          </w:p>
        </w:tc>
        <w:tc>
          <w:tcPr>
            <w:tcW w:w="915" w:type="dxa"/>
            <w:shd w:val="clear" w:color="auto" w:fill="auto"/>
            <w:vAlign w:val="center"/>
          </w:tcPr>
          <w:p w14:paraId="69BCDAF2">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2张</w:t>
            </w:r>
          </w:p>
        </w:tc>
        <w:tc>
          <w:tcPr>
            <w:tcW w:w="780" w:type="dxa"/>
            <w:vAlign w:val="center"/>
          </w:tcPr>
          <w:p w14:paraId="6EA289C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6928498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1.规格：2030×900×500/1860mm（±10mm）。</w:t>
            </w:r>
          </w:p>
          <w:p w14:paraId="6543CC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2.功能：背部升降0～85°±5°，腿部升降0～45°±5°，床体前倾斜0～15°±5°，可左右分腿，头部、腰部、腿部全牵引。</w:t>
            </w:r>
          </w:p>
          <w:p w14:paraId="3A39A70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3.材质及要求：床面、床架、床头、床尾采用优质不锈钢制造，床面不锈钢矩形管焊接，手摇系统具有空转限位结构装置。</w:t>
            </w:r>
          </w:p>
          <w:p w14:paraId="132DA50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4.标准配置：手摇安全限位摇杆4支，插式护栏1付，输液架插孔4个，输液钩2个，引流挂钩2个，病号插卡1个，防滑脚套4个，多功能骨科牵引架1套，杂物架1个，床垫1张。</w:t>
            </w:r>
          </w:p>
        </w:tc>
        <w:tc>
          <w:tcPr>
            <w:tcW w:w="1320" w:type="dxa"/>
            <w:shd w:val="clear" w:color="auto" w:fill="auto"/>
            <w:vAlign w:val="center"/>
          </w:tcPr>
          <w:p w14:paraId="4259A79C">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0.48</w:t>
            </w:r>
          </w:p>
        </w:tc>
      </w:tr>
      <w:tr w14:paraId="40DB5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3F336CC">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070" w:type="dxa"/>
            <w:gridSpan w:val="2"/>
            <w:shd w:val="clear" w:color="auto" w:fill="auto"/>
            <w:vAlign w:val="center"/>
          </w:tcPr>
          <w:p w14:paraId="7FC9B6C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双摇三折护理床</w:t>
            </w:r>
          </w:p>
        </w:tc>
        <w:tc>
          <w:tcPr>
            <w:tcW w:w="915" w:type="dxa"/>
            <w:shd w:val="clear" w:color="auto" w:fill="auto"/>
            <w:vAlign w:val="center"/>
          </w:tcPr>
          <w:p w14:paraId="7C3526A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10张</w:t>
            </w:r>
          </w:p>
        </w:tc>
        <w:tc>
          <w:tcPr>
            <w:tcW w:w="780" w:type="dxa"/>
            <w:vAlign w:val="center"/>
          </w:tcPr>
          <w:p w14:paraId="3FCDC85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705724E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1.规格：2080×970×500mm（±10mm）。</w:t>
            </w:r>
          </w:p>
          <w:p w14:paraId="2EF8DD28">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2.功能：背部升降0～85°±5°，腿部升降0～45°±5°，床头尾板可拆。</w:t>
            </w:r>
          </w:p>
          <w:p w14:paraId="5A817F2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材质及要求：床架、床板碳钢制造，并经二度磷化镀锌后静电抗菌粉体喷涂，ABS强化床头尾板，床面一次冲压成型，有透气长孔，长孔里有软塑胶包裹，具有床垫防滑功能，铝合金护栏、前后侧伏，使用安全、便捷、牢固、不夹手、不积灰尘，手摇系统具有空转限位结构装置。</w:t>
            </w:r>
          </w:p>
          <w:p w14:paraId="117AA1B7">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4.标准配置：ABS床头尾板1对，手摇安全限位摇杆2支，4个防滑脚套，输液架插孔4个，输液杆1支，铝合金护栏1副，引流挂钩2个，病号插卡1个，杂物架1个，床垫1张。</w:t>
            </w:r>
          </w:p>
        </w:tc>
        <w:tc>
          <w:tcPr>
            <w:tcW w:w="1320" w:type="dxa"/>
            <w:shd w:val="clear" w:color="auto" w:fill="auto"/>
            <w:vAlign w:val="center"/>
          </w:tcPr>
          <w:p w14:paraId="4D6D7F1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0.3</w:t>
            </w:r>
          </w:p>
        </w:tc>
      </w:tr>
      <w:tr w14:paraId="20304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D1359F4">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w:t>
            </w:r>
          </w:p>
        </w:tc>
        <w:tc>
          <w:tcPr>
            <w:tcW w:w="1070" w:type="dxa"/>
            <w:gridSpan w:val="2"/>
            <w:shd w:val="clear" w:color="auto" w:fill="auto"/>
            <w:vAlign w:val="center"/>
          </w:tcPr>
          <w:p w14:paraId="112BF79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亚低温冰毯</w:t>
            </w:r>
          </w:p>
        </w:tc>
        <w:tc>
          <w:tcPr>
            <w:tcW w:w="915" w:type="dxa"/>
            <w:shd w:val="clear" w:color="auto" w:fill="auto"/>
            <w:vAlign w:val="center"/>
          </w:tcPr>
          <w:p w14:paraId="4BF74BF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3张</w:t>
            </w:r>
          </w:p>
        </w:tc>
        <w:tc>
          <w:tcPr>
            <w:tcW w:w="780" w:type="dxa"/>
            <w:vAlign w:val="center"/>
          </w:tcPr>
          <w:p w14:paraId="4F576FD0">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460369D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内层采用TPU材质，外层采用耐水解复合布，规格：成人，尺寸：960×575mm（±10mm）。</w:t>
            </w:r>
          </w:p>
        </w:tc>
        <w:tc>
          <w:tcPr>
            <w:tcW w:w="1320" w:type="dxa"/>
            <w:shd w:val="clear" w:color="auto" w:fill="auto"/>
            <w:vAlign w:val="center"/>
          </w:tcPr>
          <w:p w14:paraId="6C034F74">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0.1</w:t>
            </w:r>
          </w:p>
        </w:tc>
      </w:tr>
      <w:tr w14:paraId="63DA7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3D8E15D9">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070" w:type="dxa"/>
            <w:gridSpan w:val="2"/>
            <w:shd w:val="clear" w:color="auto" w:fill="auto"/>
            <w:vAlign w:val="center"/>
          </w:tcPr>
          <w:p w14:paraId="574C6A21">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护理床双摇床垫</w:t>
            </w:r>
          </w:p>
        </w:tc>
        <w:tc>
          <w:tcPr>
            <w:tcW w:w="915" w:type="dxa"/>
            <w:shd w:val="clear" w:color="auto" w:fill="auto"/>
            <w:vAlign w:val="center"/>
          </w:tcPr>
          <w:p w14:paraId="66A9E21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20张</w:t>
            </w:r>
          </w:p>
        </w:tc>
        <w:tc>
          <w:tcPr>
            <w:tcW w:w="780" w:type="dxa"/>
            <w:vAlign w:val="center"/>
          </w:tcPr>
          <w:p w14:paraId="51885B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1F6B8C2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与病床</w:t>
            </w:r>
            <w:r>
              <w:rPr>
                <w:rFonts w:hint="eastAsia" w:ascii="宋体" w:hAnsi="宋体" w:cs="宋体"/>
                <w:color w:val="000000" w:themeColor="text1"/>
                <w:kern w:val="2"/>
                <w:sz w:val="21"/>
                <w:szCs w:val="21"/>
                <w:lang w:val="en-US" w:eastAsia="zh-CN" w:bidi="ar-SA"/>
                <w14:textFill>
                  <w14:solidFill>
                    <w14:schemeClr w14:val="tx1"/>
                  </w14:solidFill>
                </w14:textFill>
              </w:rPr>
              <w:t>（规格：2080×970×500mm）</w:t>
            </w:r>
            <w:r>
              <w:rPr>
                <w:rFonts w:hint="eastAsia" w:ascii="宋体" w:hAnsi="宋体" w:eastAsia="宋体" w:cs="宋体"/>
                <w:color w:val="000000" w:themeColor="text1"/>
                <w:kern w:val="2"/>
                <w:sz w:val="21"/>
                <w:szCs w:val="21"/>
                <w:lang w:val="en-US" w:eastAsia="zh-CN" w:bidi="ar-SA"/>
                <w14:textFill>
                  <w14:solidFill>
                    <w14:schemeClr w14:val="tx1"/>
                  </w14:solidFill>
                </w14:textFill>
              </w:rPr>
              <w:t>配套，可根据床的背部、腿部升降而升降，内层采用海绵和机压棕填充，经防虫处理，规格：2080×970×500mm（±10mm）。</w:t>
            </w:r>
          </w:p>
        </w:tc>
        <w:tc>
          <w:tcPr>
            <w:tcW w:w="1320" w:type="dxa"/>
            <w:shd w:val="clear" w:color="auto" w:fill="auto"/>
            <w:vAlign w:val="center"/>
          </w:tcPr>
          <w:p w14:paraId="46859306">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0.025</w:t>
            </w:r>
          </w:p>
        </w:tc>
      </w:tr>
      <w:tr w14:paraId="5F9FD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0F075CD">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17</w:t>
            </w:r>
          </w:p>
        </w:tc>
        <w:tc>
          <w:tcPr>
            <w:tcW w:w="1070" w:type="dxa"/>
            <w:gridSpan w:val="2"/>
            <w:shd w:val="clear" w:color="auto" w:fill="auto"/>
            <w:vAlign w:val="center"/>
          </w:tcPr>
          <w:p w14:paraId="0D5F1C6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防褥气垫</w:t>
            </w:r>
          </w:p>
        </w:tc>
        <w:tc>
          <w:tcPr>
            <w:tcW w:w="915" w:type="dxa"/>
            <w:shd w:val="clear" w:color="auto" w:fill="auto"/>
            <w:vAlign w:val="center"/>
          </w:tcPr>
          <w:p w14:paraId="74C73F36">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3张</w:t>
            </w:r>
          </w:p>
        </w:tc>
        <w:tc>
          <w:tcPr>
            <w:tcW w:w="780" w:type="dxa"/>
            <w:vAlign w:val="center"/>
          </w:tcPr>
          <w:p w14:paraId="7265D8C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53BCC8A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1.流量：≥8lpm；每分钟≥8升的流量喷出空气。</w:t>
            </w:r>
          </w:p>
          <w:p w14:paraId="4206297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2.波动交替时间：≥8分钟。</w:t>
            </w:r>
          </w:p>
          <w:p w14:paraId="72AEF50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3.压力调整功能：压力范围可低至30～80mmHg超低压。</w:t>
            </w:r>
          </w:p>
          <w:p w14:paraId="6ABD60E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4.最大载重：≥180公斤。</w:t>
            </w:r>
          </w:p>
          <w:p w14:paraId="118B881E">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5.材质：防火型ABS。</w:t>
            </w:r>
          </w:p>
          <w:p w14:paraId="5310785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6.主机静音：≤40dBA；≤40分贝。</w:t>
            </w:r>
          </w:p>
          <w:p w14:paraId="27A785C5">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7.CPR功能；床垫头尾双边CPR泄气装置（CPR拉带式设计）。</w:t>
            </w:r>
          </w:p>
          <w:p w14:paraId="22B03F3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8.头枕功能：头部3管不交替。</w:t>
            </w:r>
          </w:p>
          <w:p w14:paraId="57D8A589">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9.快速接头：床垫接口为有帽子接口便于插拔，另在转运过程可以通过快速接口帽子卡入后保持床垫一段时间饱和。</w:t>
            </w:r>
          </w:p>
          <w:p w14:paraId="0625325C">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10.面板标识：压力调整面板有体重参考值，供使用者参考使用。</w:t>
            </w:r>
          </w:p>
          <w:p w14:paraId="580C5181">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11.激光喷孔：≥18个激光出气孔。</w:t>
            </w:r>
          </w:p>
          <w:p w14:paraId="2BC299A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12.拉链式床罩，银离子上盖。银离子上盖具防水功能，可完全拆卸及清洗特有的抗菌银离子，PU材质具有90%抗金黄葡萄球菌的功能，可以降低交叉感染的风险。通过生物相容性测试：细胞毒性，刺激性，皮肤过敏。</w:t>
            </w:r>
          </w:p>
          <w:p w14:paraId="13E5387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13.低压提示；当产品出气不足或床垫无法达到充饱时会低压提示。具有低压警示灯（黄灯）以确保病患安全。</w:t>
            </w:r>
          </w:p>
          <w:p w14:paraId="72B9491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14.可调式挂钩；坚固的可调式挂钩。可针对不同厚度床垫快速做固定。</w:t>
            </w:r>
          </w:p>
          <w:p w14:paraId="2D529CBF">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15.单管可更换；单管为单体式可更换、维修、清洗方便和快速。</w:t>
            </w:r>
          </w:p>
          <w:p w14:paraId="005A7D12">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16.波动交替方式；持续性且规律地将单管充气与泄气，模拟自然状况的睡眠律动并同时刺激血液循环。</w:t>
            </w:r>
          </w:p>
          <w:p w14:paraId="45CAC4B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17.静态功能；单管不交替，通过较大的接触面积，有效分散身体的压力。</w:t>
            </w:r>
          </w:p>
          <w:p w14:paraId="2E4F39AD">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t>18.质保期；≥3年。</w:t>
            </w:r>
          </w:p>
        </w:tc>
        <w:tc>
          <w:tcPr>
            <w:tcW w:w="1320" w:type="dxa"/>
            <w:shd w:val="clear" w:color="auto" w:fill="auto"/>
            <w:vAlign w:val="center"/>
          </w:tcPr>
          <w:p w14:paraId="31B0DF41">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0.56</w:t>
            </w:r>
          </w:p>
        </w:tc>
      </w:tr>
      <w:tr w14:paraId="76B74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FF28BD6">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070" w:type="dxa"/>
            <w:gridSpan w:val="2"/>
            <w:shd w:val="clear" w:color="auto" w:fill="auto"/>
            <w:vAlign w:val="center"/>
          </w:tcPr>
          <w:p w14:paraId="270CCBB4">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小号仪器车</w:t>
            </w:r>
          </w:p>
        </w:tc>
        <w:tc>
          <w:tcPr>
            <w:tcW w:w="915" w:type="dxa"/>
            <w:shd w:val="clear" w:color="auto" w:fill="auto"/>
            <w:vAlign w:val="center"/>
          </w:tcPr>
          <w:p w14:paraId="72C00E39">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6辆</w:t>
            </w:r>
          </w:p>
        </w:tc>
        <w:tc>
          <w:tcPr>
            <w:tcW w:w="780" w:type="dxa"/>
            <w:vAlign w:val="center"/>
          </w:tcPr>
          <w:p w14:paraId="61B157A1">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2C56823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采用优质不锈钢制成，含抽屉一个，规格：500×400×750mm（±10mm）。</w:t>
            </w:r>
          </w:p>
        </w:tc>
        <w:tc>
          <w:tcPr>
            <w:tcW w:w="1320" w:type="dxa"/>
            <w:shd w:val="clear" w:color="auto" w:fill="auto"/>
            <w:vAlign w:val="center"/>
          </w:tcPr>
          <w:p w14:paraId="4E4B8BB0">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0.06</w:t>
            </w:r>
          </w:p>
        </w:tc>
      </w:tr>
      <w:tr w14:paraId="09C6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719917D5">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19</w:t>
            </w:r>
          </w:p>
        </w:tc>
        <w:tc>
          <w:tcPr>
            <w:tcW w:w="1070" w:type="dxa"/>
            <w:gridSpan w:val="2"/>
            <w:shd w:val="clear" w:color="auto" w:fill="auto"/>
            <w:vAlign w:val="center"/>
          </w:tcPr>
          <w:p w14:paraId="3082174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轮椅</w:t>
            </w:r>
          </w:p>
        </w:tc>
        <w:tc>
          <w:tcPr>
            <w:tcW w:w="915" w:type="dxa"/>
            <w:shd w:val="clear" w:color="auto" w:fill="auto"/>
            <w:vAlign w:val="center"/>
          </w:tcPr>
          <w:p w14:paraId="2923E71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5辆</w:t>
            </w:r>
          </w:p>
        </w:tc>
        <w:tc>
          <w:tcPr>
            <w:tcW w:w="780" w:type="dxa"/>
            <w:vAlign w:val="center"/>
          </w:tcPr>
          <w:p w14:paraId="217084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609F5BFA">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折叠式手推轮椅；钢管电镀车架；护理刹车+伫立刹车；牛津布；实心前后轮；8寸前轮，24寸后轮。免充气轮胎、包箍式踏板锁紧装置；配安全带，座宽：51cm±1cm。</w:t>
            </w:r>
          </w:p>
        </w:tc>
        <w:tc>
          <w:tcPr>
            <w:tcW w:w="1320" w:type="dxa"/>
            <w:shd w:val="clear" w:color="auto" w:fill="auto"/>
            <w:vAlign w:val="center"/>
          </w:tcPr>
          <w:p w14:paraId="1F6F8C58">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0.08</w:t>
            </w:r>
          </w:p>
        </w:tc>
      </w:tr>
      <w:tr w14:paraId="511067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29C3581F">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20</w:t>
            </w:r>
          </w:p>
        </w:tc>
        <w:tc>
          <w:tcPr>
            <w:tcW w:w="1070" w:type="dxa"/>
            <w:gridSpan w:val="2"/>
            <w:shd w:val="clear" w:color="auto" w:fill="auto"/>
            <w:vAlign w:val="center"/>
          </w:tcPr>
          <w:p w14:paraId="78400A8D">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胃肠镜灌流器</w:t>
            </w:r>
          </w:p>
        </w:tc>
        <w:tc>
          <w:tcPr>
            <w:tcW w:w="915" w:type="dxa"/>
            <w:shd w:val="clear" w:color="auto" w:fill="auto"/>
            <w:vAlign w:val="center"/>
          </w:tcPr>
          <w:p w14:paraId="287C48A7">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10只</w:t>
            </w:r>
          </w:p>
        </w:tc>
        <w:tc>
          <w:tcPr>
            <w:tcW w:w="780" w:type="dxa"/>
            <w:vAlign w:val="center"/>
          </w:tcPr>
          <w:p w14:paraId="2EA53A1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009BADE0">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通用型，由管道塞、注射器、连接管路等组成，适用于富士能6系胃肠镜</w:t>
            </w:r>
            <w:r>
              <w:rPr>
                <w:rFonts w:hint="eastAsia" w:ascii="宋体" w:hAnsi="宋体" w:cs="宋体"/>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14:paraId="667184BD">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default"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kern w:val="2"/>
                <w:sz w:val="21"/>
                <w:szCs w:val="21"/>
                <w:lang w:val="en-US" w:eastAsia="zh-CN" w:bidi="ar-SA"/>
                <w14:textFill>
                  <w14:solidFill>
                    <w14:schemeClr w14:val="tx1"/>
                  </w14:solidFill>
                </w14:textFill>
              </w:rPr>
              <w:t>0.21</w:t>
            </w:r>
          </w:p>
        </w:tc>
      </w:tr>
      <w:tr w14:paraId="04CD5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49EA76B2">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21</w:t>
            </w:r>
          </w:p>
        </w:tc>
        <w:tc>
          <w:tcPr>
            <w:tcW w:w="1070" w:type="dxa"/>
            <w:gridSpan w:val="2"/>
            <w:shd w:val="clear" w:color="auto" w:fill="auto"/>
            <w:vAlign w:val="center"/>
          </w:tcPr>
          <w:p w14:paraId="626CC95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胃肠镜空气送水阀</w:t>
            </w:r>
          </w:p>
        </w:tc>
        <w:tc>
          <w:tcPr>
            <w:tcW w:w="915" w:type="dxa"/>
            <w:shd w:val="clear" w:color="auto" w:fill="auto"/>
            <w:vAlign w:val="center"/>
          </w:tcPr>
          <w:p w14:paraId="78014810">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20只</w:t>
            </w:r>
          </w:p>
        </w:tc>
        <w:tc>
          <w:tcPr>
            <w:tcW w:w="780" w:type="dxa"/>
            <w:vAlign w:val="center"/>
          </w:tcPr>
          <w:p w14:paraId="63823079">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66908CEB">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通用型，用于胃肠镜清洗送气送水，适用</w:t>
            </w:r>
            <w:r>
              <w:rPr>
                <w:rFonts w:hint="eastAsia" w:ascii="宋体" w:hAnsi="宋体" w:cs="宋体"/>
                <w:color w:val="000000" w:themeColor="text1"/>
                <w:kern w:val="2"/>
                <w:sz w:val="21"/>
                <w:szCs w:val="21"/>
                <w:lang w:val="en-US" w:eastAsia="zh-CN" w:bidi="ar-SA"/>
                <w14:textFill>
                  <w14:solidFill>
                    <w14:schemeClr w14:val="tx1"/>
                  </w14:solidFill>
                </w14:textFill>
              </w:rPr>
              <w:t>于</w:t>
            </w:r>
            <w:r>
              <w:rPr>
                <w:rFonts w:hint="eastAsia" w:ascii="宋体" w:hAnsi="宋体" w:eastAsia="宋体" w:cs="宋体"/>
                <w:color w:val="000000" w:themeColor="text1"/>
                <w:kern w:val="2"/>
                <w:sz w:val="21"/>
                <w:szCs w:val="21"/>
                <w:lang w:val="en-US" w:eastAsia="zh-CN" w:bidi="ar-SA"/>
                <w14:textFill>
                  <w14:solidFill>
                    <w14:schemeClr w14:val="tx1"/>
                  </w14:solidFill>
                </w14:textFill>
              </w:rPr>
              <w:t>富士能6系胃肠镜</w:t>
            </w:r>
            <w:r>
              <w:rPr>
                <w:rFonts w:hint="eastAsia"/>
                <w:lang w:eastAsia="zh-CN"/>
              </w:rPr>
              <w:t>。</w:t>
            </w:r>
          </w:p>
        </w:tc>
        <w:tc>
          <w:tcPr>
            <w:tcW w:w="1320" w:type="dxa"/>
            <w:shd w:val="clear" w:color="auto" w:fill="auto"/>
            <w:vAlign w:val="center"/>
          </w:tcPr>
          <w:p w14:paraId="395B6949">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0.095</w:t>
            </w:r>
          </w:p>
        </w:tc>
      </w:tr>
      <w:tr w14:paraId="5B1F4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88" w:type="dxa"/>
            <w:vAlign w:val="center"/>
          </w:tcPr>
          <w:p w14:paraId="09F27807">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w:t>
            </w:r>
          </w:p>
        </w:tc>
        <w:tc>
          <w:tcPr>
            <w:tcW w:w="1070" w:type="dxa"/>
            <w:gridSpan w:val="2"/>
            <w:shd w:val="clear" w:color="auto" w:fill="auto"/>
            <w:vAlign w:val="center"/>
          </w:tcPr>
          <w:p w14:paraId="20A6DF03">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立式输液架</w:t>
            </w:r>
          </w:p>
        </w:tc>
        <w:tc>
          <w:tcPr>
            <w:tcW w:w="915" w:type="dxa"/>
            <w:shd w:val="clear" w:color="auto" w:fill="auto"/>
            <w:vAlign w:val="center"/>
          </w:tcPr>
          <w:p w14:paraId="042FF8D5">
            <w:pPr>
              <w:keepNext w:val="0"/>
              <w:keepLines w:val="0"/>
              <w:pageBreakBefore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3支</w:t>
            </w:r>
          </w:p>
        </w:tc>
        <w:tc>
          <w:tcPr>
            <w:tcW w:w="780" w:type="dxa"/>
            <w:shd w:val="clear" w:color="auto" w:fill="auto"/>
            <w:vAlign w:val="center"/>
          </w:tcPr>
          <w:p w14:paraId="3F635BCA">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val="0"/>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val="0"/>
                <w:bCs w:val="0"/>
                <w:color w:val="000000" w:themeColor="text1"/>
                <w:sz w:val="21"/>
                <w:szCs w:val="21"/>
                <w:lang w:eastAsia="zh-CN"/>
                <w14:textFill>
                  <w14:solidFill>
                    <w14:schemeClr w14:val="tx1"/>
                  </w14:solidFill>
                </w14:textFill>
              </w:rPr>
              <w:t>工业</w:t>
            </w:r>
          </w:p>
        </w:tc>
        <w:tc>
          <w:tcPr>
            <w:tcW w:w="5400" w:type="dxa"/>
            <w:shd w:val="clear" w:color="auto" w:fill="auto"/>
            <w:vAlign w:val="center"/>
          </w:tcPr>
          <w:p w14:paraId="1732E916">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kern w:val="2"/>
                <w:sz w:val="21"/>
                <w:szCs w:val="21"/>
                <w:lang w:val="en-US" w:eastAsia="zh-CN" w:bidi="ar-SA"/>
                <w14:textFill>
                  <w14:solidFill>
                    <w14:schemeClr w14:val="tx1"/>
                  </w14:solidFill>
                </w14:textFill>
              </w:rPr>
              <w:t>采用优质不锈钢制成，规格：500×500×1200/2000mm</w:t>
            </w:r>
            <w:r>
              <w:rPr>
                <w:rFonts w:hint="eastAsia" w:ascii="宋体" w:hAnsi="宋体" w:cs="宋体"/>
                <w:color w:val="000000" w:themeColor="text1"/>
                <w:kern w:val="2"/>
                <w:sz w:val="21"/>
                <w:szCs w:val="21"/>
                <w:lang w:val="en-US" w:eastAsia="zh-CN" w:bidi="ar-SA"/>
                <w14:textFill>
                  <w14:solidFill>
                    <w14:schemeClr w14:val="tx1"/>
                  </w14:solidFill>
                </w14:textFill>
              </w:rPr>
              <w:t>，不锈钢三脚4钩</w:t>
            </w:r>
            <w:r>
              <w:rPr>
                <w:rFonts w:hint="eastAsia" w:ascii="宋体" w:hAnsi="宋体" w:eastAsia="宋体" w:cs="宋体"/>
                <w:color w:val="000000" w:themeColor="text1"/>
                <w:kern w:val="2"/>
                <w:sz w:val="21"/>
                <w:szCs w:val="21"/>
                <w:lang w:val="en-US" w:eastAsia="zh-CN" w:bidi="ar-SA"/>
                <w14:textFill>
                  <w14:solidFill>
                    <w14:schemeClr w14:val="tx1"/>
                  </w14:solidFill>
                </w14:textFill>
              </w:rPr>
              <w:t>。</w:t>
            </w:r>
          </w:p>
        </w:tc>
        <w:tc>
          <w:tcPr>
            <w:tcW w:w="1320" w:type="dxa"/>
            <w:shd w:val="clear" w:color="auto" w:fill="auto"/>
            <w:vAlign w:val="center"/>
          </w:tcPr>
          <w:p w14:paraId="4E29651D">
            <w:pPr>
              <w:keepNext w:val="0"/>
              <w:keepLines w:val="0"/>
              <w:pageBreakBefore w:val="0"/>
              <w:widowControl/>
              <w:suppressLineNumbers w:val="0"/>
              <w:kinsoku/>
              <w:wordWrap/>
              <w:overflowPunct/>
              <w:topLinePunct w:val="0"/>
              <w:autoSpaceDE/>
              <w:autoSpaceDN/>
              <w:bidi w:val="0"/>
              <w:adjustRightInd/>
              <w:spacing w:line="400" w:lineRule="exact"/>
              <w:ind w:left="0" w:leftChars="0" w:right="0" w:rightChars="0" w:firstLine="0" w:firstLineChars="0"/>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0.016</w:t>
            </w:r>
          </w:p>
        </w:tc>
      </w:tr>
      <w:bookmarkEnd w:id="75"/>
      <w:tr w14:paraId="2F7C3AF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7"/>
            <w:tcBorders>
              <w:top w:val="single" w:color="auto" w:sz="4" w:space="0"/>
              <w:left w:val="single" w:color="auto" w:sz="4" w:space="0"/>
              <w:bottom w:val="single" w:color="auto" w:sz="4" w:space="0"/>
              <w:right w:val="single" w:color="auto" w:sz="4" w:space="0"/>
            </w:tcBorders>
            <w:vAlign w:val="center"/>
          </w:tcPr>
          <w:p w14:paraId="729FB78F">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kern w:val="0"/>
                <w:sz w:val="21"/>
                <w:szCs w:val="21"/>
                <w:lang w:bidi="ar"/>
              </w:rPr>
              <w:t>▲</w:t>
            </w:r>
            <w:r>
              <w:rPr>
                <w:rFonts w:hint="eastAsia" w:ascii="宋体" w:hAnsi="宋体" w:eastAsia="宋体" w:cs="宋体"/>
                <w:b/>
                <w:color w:val="000000" w:themeColor="text1"/>
                <w:sz w:val="21"/>
                <w:szCs w:val="21"/>
                <w14:textFill>
                  <w14:solidFill>
                    <w14:schemeClr w14:val="tx1"/>
                  </w14:solidFill>
                </w14:textFill>
              </w:rPr>
              <w:t>一、商务要求</w:t>
            </w:r>
          </w:p>
        </w:tc>
      </w:tr>
      <w:tr w14:paraId="54A237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4CAA4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质量保证</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03F0860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按国家有关规定或厂家承诺实行“三包”，质保期从验收合格之日起不少于1年（如采购需求中有特殊要求的，按特殊要求执行</w:t>
            </w:r>
            <w:r>
              <w:rPr>
                <w:rFonts w:hint="eastAsia" w:ascii="宋体" w:hAnsi="宋体" w:eastAsia="宋体" w:cs="宋体"/>
                <w:b/>
                <w:bCs/>
                <w:color w:val="000000" w:themeColor="text1"/>
                <w:sz w:val="21"/>
                <w:szCs w:val="21"/>
                <w:lang w:eastAsia="zh-CN"/>
                <w14:textFill>
                  <w14:solidFill>
                    <w14:schemeClr w14:val="tx1"/>
                  </w14:solidFill>
                </w14:textFill>
              </w:rPr>
              <w:t>，如厂家承诺质保期大于供应商承诺质保期，按厂家质保期执行</w:t>
            </w:r>
            <w:r>
              <w:rPr>
                <w:rFonts w:hint="eastAsia" w:ascii="宋体" w:hAnsi="宋体" w:eastAsia="宋体" w:cs="宋体"/>
                <w:b/>
                <w:bCs/>
                <w:color w:val="000000" w:themeColor="text1"/>
                <w:sz w:val="21"/>
                <w:szCs w:val="21"/>
                <w14:textFill>
                  <w14:solidFill>
                    <w14:schemeClr w14:val="tx1"/>
                  </w14:solidFill>
                </w14:textFill>
              </w:rPr>
              <w:t>），所提供的货物必须是全新的合格产品，质保期内全免费上门维修、免费更换零部件；质保期过后提供终身维护。</w:t>
            </w:r>
          </w:p>
        </w:tc>
      </w:tr>
      <w:tr w14:paraId="13279B0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6C6CCBB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交货时间及地点</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635650DD">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auto"/>
                <w:sz w:val="21"/>
                <w:szCs w:val="21"/>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交货时间</w:t>
            </w:r>
            <w:r>
              <w:rPr>
                <w:rFonts w:hint="eastAsia" w:ascii="宋体" w:hAnsi="宋体" w:eastAsia="宋体" w:cs="宋体"/>
                <w:b/>
                <w:bCs/>
                <w:color w:val="auto"/>
                <w:sz w:val="21"/>
                <w:szCs w:val="21"/>
              </w:rPr>
              <w:t>：</w:t>
            </w:r>
            <w:r>
              <w:rPr>
                <w:rFonts w:hint="eastAsia" w:ascii="宋体" w:hAnsi="宋体" w:eastAsia="宋体" w:cs="宋体"/>
                <w:b/>
                <w:bCs/>
                <w:color w:val="auto"/>
                <w:sz w:val="21"/>
                <w:szCs w:val="21"/>
                <w:lang w:eastAsia="zh-CN"/>
              </w:rPr>
              <w:t>自签订合同之日起30个日历日内交货、安装调试完毕并通过验收。</w:t>
            </w:r>
          </w:p>
          <w:p w14:paraId="097DA6E8">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val="en-US" w:eastAsia="zh-CN"/>
              </w:rPr>
              <w:t>.</w:t>
            </w:r>
            <w:r>
              <w:rPr>
                <w:rFonts w:hint="eastAsia" w:ascii="宋体" w:hAnsi="宋体" w:eastAsia="宋体" w:cs="宋体"/>
                <w:b/>
                <w:bCs/>
                <w:color w:val="auto"/>
                <w:sz w:val="21"/>
                <w:szCs w:val="21"/>
              </w:rPr>
              <w:t>交货地点：</w:t>
            </w:r>
            <w:r>
              <w:rPr>
                <w:rFonts w:hint="eastAsia" w:ascii="宋体" w:hAnsi="宋体" w:eastAsia="宋体" w:cs="宋体"/>
                <w:b/>
                <w:bCs/>
                <w:color w:val="auto"/>
                <w:sz w:val="21"/>
                <w:szCs w:val="21"/>
                <w:lang w:eastAsia="zh-CN"/>
              </w:rPr>
              <w:t>灵山县人民医院</w:t>
            </w:r>
          </w:p>
        </w:tc>
      </w:tr>
      <w:tr w14:paraId="64156C0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5D591A8C">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付款方式</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63A57513">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lang w:val="en-US"/>
                <w14:textFill>
                  <w14:solidFill>
                    <w14:schemeClr w14:val="tx1"/>
                  </w14:solidFill>
                </w14:textFill>
              </w:rPr>
            </w:pPr>
            <w:r>
              <w:rPr>
                <w:rFonts w:hint="eastAsia" w:ascii="宋体" w:hAnsi="宋体" w:eastAsia="宋体" w:cs="宋体"/>
                <w:b/>
                <w:bCs/>
                <w:color w:val="000000" w:themeColor="text1"/>
                <w:sz w:val="21"/>
                <w:szCs w:val="21"/>
                <w:lang w:val="en-US"/>
                <w14:textFill>
                  <w14:solidFill>
                    <w14:schemeClr w14:val="tx1"/>
                  </w14:solidFill>
                </w14:textFill>
              </w:rPr>
              <w:t>项目验收合格正常使用后，成交人10日内开具全额发票给采购人，采购人</w:t>
            </w:r>
            <w:r>
              <w:rPr>
                <w:rFonts w:hint="eastAsia" w:ascii="宋体" w:hAnsi="宋体" w:eastAsia="宋体" w:cs="宋体"/>
                <w:b/>
                <w:bCs/>
                <w:color w:val="000000"/>
                <w:sz w:val="21"/>
                <w:szCs w:val="21"/>
              </w:rPr>
              <w:t>在</w:t>
            </w:r>
            <w:r>
              <w:rPr>
                <w:rFonts w:hint="eastAsia" w:ascii="宋体" w:hAnsi="宋体" w:eastAsia="宋体" w:cs="宋体"/>
                <w:b/>
                <w:bCs/>
                <w:color w:val="000000"/>
                <w:sz w:val="21"/>
                <w:szCs w:val="21"/>
                <w:lang w:val="en-US" w:eastAsia="zh-CN"/>
              </w:rPr>
              <w:t>12</w:t>
            </w:r>
            <w:r>
              <w:rPr>
                <w:rFonts w:hint="eastAsia" w:ascii="宋体" w:hAnsi="宋体" w:eastAsia="宋体" w:cs="宋体"/>
                <w:b/>
                <w:bCs/>
                <w:color w:val="000000"/>
                <w:sz w:val="21"/>
                <w:szCs w:val="21"/>
              </w:rPr>
              <w:t>个月内</w:t>
            </w:r>
            <w:r>
              <w:rPr>
                <w:rFonts w:hint="eastAsia" w:ascii="宋体" w:hAnsi="宋体" w:eastAsia="宋体" w:cs="宋体"/>
                <w:b/>
                <w:bCs/>
                <w:color w:val="000000"/>
                <w:sz w:val="21"/>
                <w:szCs w:val="21"/>
                <w:lang w:eastAsia="zh-CN"/>
              </w:rPr>
              <w:t>平均</w:t>
            </w:r>
            <w:r>
              <w:rPr>
                <w:rFonts w:hint="eastAsia" w:ascii="宋体" w:hAnsi="宋体" w:eastAsia="宋体" w:cs="宋体"/>
                <w:b/>
                <w:bCs/>
                <w:color w:val="000000"/>
                <w:sz w:val="21"/>
                <w:szCs w:val="21"/>
              </w:rPr>
              <w:t>支付</w:t>
            </w:r>
            <w:r>
              <w:rPr>
                <w:rFonts w:hint="eastAsia" w:ascii="宋体" w:hAnsi="宋体" w:eastAsia="宋体" w:cs="宋体"/>
                <w:b/>
                <w:bCs/>
                <w:color w:val="000000"/>
                <w:sz w:val="21"/>
                <w:szCs w:val="21"/>
                <w:lang w:eastAsia="zh-CN"/>
              </w:rPr>
              <w:t>完成交金额的</w:t>
            </w:r>
            <w:r>
              <w:rPr>
                <w:rFonts w:hint="eastAsia" w:ascii="宋体" w:hAnsi="宋体" w:eastAsia="宋体" w:cs="宋体"/>
                <w:b/>
                <w:bCs/>
                <w:color w:val="000000"/>
                <w:sz w:val="21"/>
                <w:szCs w:val="21"/>
                <w:lang w:val="en-US" w:eastAsia="zh-CN"/>
              </w:rPr>
              <w:t>100%</w:t>
            </w:r>
            <w:r>
              <w:rPr>
                <w:rFonts w:hint="eastAsia" w:ascii="宋体" w:hAnsi="宋体" w:eastAsia="宋体" w:cs="宋体"/>
                <w:b/>
                <w:bCs/>
                <w:color w:val="000000" w:themeColor="text1"/>
                <w:sz w:val="21"/>
                <w:szCs w:val="21"/>
                <w:lang w:val="en-US"/>
                <w14:textFill>
                  <w14:solidFill>
                    <w14:schemeClr w14:val="tx1"/>
                  </w14:solidFill>
                </w14:textFill>
              </w:rPr>
              <w:t>。</w:t>
            </w:r>
          </w:p>
        </w:tc>
      </w:tr>
      <w:tr w14:paraId="492BE95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A31AC7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售后服务要求</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790F1106">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竞标产品必须是按厂家出厂标准配置提供的整套具备全新正规合法经销渠道的符合国家各项有关质量标准的合格产品。相关部件及服务须满足本表中各项要求。若产品在运输过程中损坏或擦伤须无偿调换同样产品；</w:t>
            </w:r>
          </w:p>
          <w:p w14:paraId="7F8E473F">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应保证所提供的货物或其任何一部分（包括软件）均为正版，不会侵犯任何第三方的专利权、商标权等着作权，如在使用过程中出现的一切经济和法律责任均由供应商负责，并负责赔偿给使用方造成的一切损失。</w:t>
            </w:r>
          </w:p>
          <w:p w14:paraId="02265B11">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免费送货上门，产品到达现场后，供应商应在采购单位人员在场情况下当面开箱，共同清点、检查外观，作出开箱记录，双方签字确认，成交供应商应保证货物到达采购人指定地点完好无损，如有缺漏、损坏，由供应商负责调换、补齐或赔偿。</w:t>
            </w:r>
          </w:p>
          <w:p w14:paraId="02AE8E52">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供应商负责设备安装调试，直至设备验收合格（期间所需器材及费用均由供应商承担），产品或服务在安装调试井试运行符合要求后，才作为最终验收。</w:t>
            </w:r>
          </w:p>
          <w:p w14:paraId="7710CF6F">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5</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本项目应提供技术援助电话，解答采购人在使用中遇到的问题，及时为采购人提出解决问题的建议：提供专业维保人员不少于1人。</w:t>
            </w:r>
          </w:p>
          <w:p w14:paraId="09D9CC59">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6</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在使用过程中发生质量问题或故障，供应商接到通知后1小时内响应，4小时内到达现场处理，一般故障处理时限不超过12小时修复，如果故障在检修24小时后故障仍无法排除，供应商应在48小时内提供不低于故障设备规格型号档次的备用设备供采购人使用，直至故障设备修复。</w:t>
            </w:r>
          </w:p>
          <w:p w14:paraId="7DBD6616">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7</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对采购人进行设备操作、日常维护等技术培训，</w:t>
            </w:r>
            <w:r>
              <w:rPr>
                <w:rFonts w:hint="eastAsia" w:ascii="宋体" w:hAnsi="宋体" w:eastAsia="宋体" w:cs="宋体"/>
                <w:b/>
                <w:bCs/>
                <w:color w:val="000000" w:themeColor="text1"/>
                <w:sz w:val="21"/>
                <w:szCs w:val="21"/>
                <w:lang w:val="en-US" w:eastAsia="zh-CN"/>
                <w14:textFill>
                  <w14:solidFill>
                    <w14:schemeClr w14:val="tx1"/>
                  </w14:solidFill>
                </w14:textFill>
              </w:rPr>
              <w:t>地点在</w:t>
            </w:r>
            <w:r>
              <w:rPr>
                <w:rFonts w:hint="eastAsia" w:ascii="宋体" w:hAnsi="宋体" w:eastAsia="宋体" w:cs="宋体"/>
                <w:b/>
                <w:bCs/>
                <w:color w:val="000000" w:themeColor="text1"/>
                <w:sz w:val="21"/>
                <w:szCs w:val="21"/>
                <w14:textFill>
                  <w14:solidFill>
                    <w14:schemeClr w14:val="tx1"/>
                  </w14:solidFill>
                </w14:textFill>
              </w:rPr>
              <w:t>采购人</w:t>
            </w:r>
            <w:r>
              <w:rPr>
                <w:rFonts w:hint="eastAsia" w:ascii="宋体" w:hAnsi="宋体" w:eastAsia="宋体" w:cs="宋体"/>
                <w:b/>
                <w:bCs/>
                <w:color w:val="000000" w:themeColor="text1"/>
                <w:sz w:val="21"/>
                <w:szCs w:val="21"/>
                <w:lang w:eastAsia="zh-CN"/>
                <w14:textFill>
                  <w14:solidFill>
                    <w14:schemeClr w14:val="tx1"/>
                  </w14:solidFill>
                </w14:textFill>
              </w:rPr>
              <w:t>指定地点</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时间不少于2天，所有培训所涉及的费用均由供应商承担。</w:t>
            </w:r>
          </w:p>
          <w:p w14:paraId="62A12036">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8</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保修期内非用户原因引起的质量事故供应商应负全部责任；所有非故意性坏以及在要求质量标准范围内的正常使用造成的损坏均要免费维修。</w:t>
            </w:r>
          </w:p>
          <w:p w14:paraId="3ADBBD0D">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9</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设备维修或更换后其保修期相应顺延；</w:t>
            </w:r>
          </w:p>
          <w:p w14:paraId="69F546E2">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10</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对因采购方人员的不正当使用所造成的损坏不归供应商负责保修，但成交人也要积极帮助采购人修理，并保证提供优惠价格的配件和服务。</w:t>
            </w:r>
          </w:p>
          <w:p w14:paraId="3E4B20F9">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售后服务中，维修使用的备品备件及易损件应为原厂配件，未经采购人同意不得使用非原厂配件。</w:t>
            </w:r>
          </w:p>
          <w:p w14:paraId="088A6EAD">
            <w:pPr>
              <w:pStyle w:val="121"/>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供应商验收完成后须提供完整的安装、操作、使用和维护手册及设备位置图等所有技术资料、图纸。</w:t>
            </w:r>
          </w:p>
        </w:tc>
      </w:tr>
      <w:tr w14:paraId="26B666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7630CFB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报价及其他要求</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7D54179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竞标报价为采购人指定地点的现场交货价，包括：</w:t>
            </w:r>
          </w:p>
          <w:p w14:paraId="375AB887">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1</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货物的价格：包括货款、杂配件、安装调试费、验收费；</w:t>
            </w:r>
          </w:p>
          <w:p w14:paraId="269C276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2</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货物的标准附件、备品备件、专用工具的价格。</w:t>
            </w:r>
          </w:p>
          <w:p w14:paraId="14816AEB">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3</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运输、装卸、调试、培训、技术支持、售后服务费。</w:t>
            </w:r>
          </w:p>
          <w:p w14:paraId="1D05EFF9">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4</w:t>
            </w:r>
            <w:r>
              <w:rPr>
                <w:rFonts w:hint="eastAsia" w:ascii="宋体" w:hAnsi="宋体" w:eastAsia="宋体" w:cs="宋体"/>
                <w:b/>
                <w:bCs/>
                <w:color w:val="000000" w:themeColor="text1"/>
                <w:sz w:val="21"/>
                <w:szCs w:val="21"/>
                <w:lang w:val="en-US" w:eastAsia="zh-CN"/>
                <w14:textFill>
                  <w14:solidFill>
                    <w14:schemeClr w14:val="tx1"/>
                  </w14:solidFill>
                </w14:textFill>
              </w:rPr>
              <w:t>.</w:t>
            </w:r>
            <w:r>
              <w:rPr>
                <w:rFonts w:hint="eastAsia" w:ascii="宋体" w:hAnsi="宋体" w:eastAsia="宋体" w:cs="宋体"/>
                <w:b/>
                <w:bCs/>
                <w:color w:val="000000" w:themeColor="text1"/>
                <w:sz w:val="21"/>
                <w:szCs w:val="21"/>
                <w14:textFill>
                  <w14:solidFill>
                    <w14:schemeClr w14:val="tx1"/>
                  </w14:solidFill>
                </w14:textFill>
              </w:rPr>
              <w:t>招标代理服务费、保险费和各项税金。</w:t>
            </w:r>
          </w:p>
          <w:p w14:paraId="47D49345">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注：竞标人自行考虑完成项目所需的辅材、杂配件等数量，竞标报价中应包含全部内容，成交后采购人不再另行支付额外费用。</w:t>
            </w:r>
          </w:p>
        </w:tc>
      </w:tr>
      <w:tr w14:paraId="2808792F">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vAlign w:val="center"/>
          </w:tcPr>
          <w:p w14:paraId="114DFEA5">
            <w:pPr>
              <w:keepNext w:val="0"/>
              <w:keepLines w:val="0"/>
              <w:pageBreakBefore w:val="0"/>
              <w:kinsoku/>
              <w:wordWrap/>
              <w:overflowPunct/>
              <w:topLinePunct w:val="0"/>
              <w:autoSpaceDE/>
              <w:autoSpaceDN/>
              <w:bidi w:val="0"/>
              <w:adjustRightInd/>
              <w:spacing w:line="400" w:lineRule="exact"/>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auto"/>
                <w:sz w:val="21"/>
                <w:szCs w:val="21"/>
              </w:rPr>
              <w:t>验收要求</w:t>
            </w:r>
          </w:p>
        </w:tc>
        <w:tc>
          <w:tcPr>
            <w:tcW w:w="8683" w:type="dxa"/>
            <w:gridSpan w:val="5"/>
            <w:tcBorders>
              <w:top w:val="single" w:color="auto" w:sz="4" w:space="0"/>
              <w:left w:val="single" w:color="auto" w:sz="4" w:space="0"/>
              <w:bottom w:val="single" w:color="auto" w:sz="4" w:space="0"/>
              <w:right w:val="single" w:color="auto" w:sz="4" w:space="0"/>
            </w:tcBorders>
            <w:vAlign w:val="center"/>
          </w:tcPr>
          <w:p w14:paraId="2B07B79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1、验收过程中所产生的一切费用均由</w:t>
            </w:r>
            <w:r>
              <w:rPr>
                <w:rFonts w:hint="eastAsia" w:ascii="宋体" w:hAnsi="宋体" w:eastAsia="宋体" w:cs="宋体"/>
                <w:b/>
                <w:bCs/>
                <w:color w:val="auto"/>
                <w:sz w:val="21"/>
                <w:szCs w:val="21"/>
                <w:lang w:eastAsia="zh-CN"/>
              </w:rPr>
              <w:t>成交人</w:t>
            </w:r>
            <w:r>
              <w:rPr>
                <w:rFonts w:hint="eastAsia" w:ascii="宋体" w:hAnsi="宋体" w:eastAsia="宋体" w:cs="宋体"/>
                <w:b/>
                <w:bCs/>
                <w:color w:val="auto"/>
                <w:sz w:val="21"/>
                <w:szCs w:val="21"/>
              </w:rPr>
              <w:t>承担。报价时应考虑相关费用。</w:t>
            </w:r>
          </w:p>
          <w:p w14:paraId="617A1D0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w:t>
            </w:r>
            <w:r>
              <w:rPr>
                <w:rFonts w:hint="eastAsia" w:ascii="宋体" w:hAnsi="宋体" w:eastAsia="宋体" w:cs="宋体"/>
                <w:b/>
                <w:bCs/>
                <w:color w:val="auto"/>
                <w:sz w:val="21"/>
                <w:szCs w:val="21"/>
                <w:lang w:eastAsia="zh-CN"/>
              </w:rPr>
              <w:t>成交人</w:t>
            </w:r>
            <w:r>
              <w:rPr>
                <w:rFonts w:hint="eastAsia" w:ascii="宋体" w:hAnsi="宋体" w:eastAsia="宋体" w:cs="宋体"/>
                <w:b/>
                <w:bCs/>
                <w:color w:val="auto"/>
                <w:sz w:val="21"/>
                <w:szCs w:val="21"/>
              </w:rPr>
              <w:t>在货物验收时由采购单位对照</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的功能目标及技术指标全面核对检验，包括但不限于提供产品注册检测报告、产品注册技术要求、产品彩页等原件进行核查，如不符合</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的技术需求及要求以及提供虚假承诺的，包括拒不提供的，按相关规定做退货处理及违约处理，同时视为虚假应标。</w:t>
            </w:r>
            <w:r>
              <w:rPr>
                <w:rFonts w:hint="eastAsia" w:ascii="宋体" w:hAnsi="宋体" w:eastAsia="宋体" w:cs="宋体"/>
                <w:b/>
                <w:bCs/>
                <w:color w:val="auto"/>
                <w:sz w:val="21"/>
                <w:szCs w:val="21"/>
                <w:lang w:eastAsia="zh-CN"/>
              </w:rPr>
              <w:t>成交人</w:t>
            </w:r>
            <w:r>
              <w:rPr>
                <w:rFonts w:hint="eastAsia" w:ascii="宋体" w:hAnsi="宋体" w:eastAsia="宋体" w:cs="宋体"/>
                <w:b/>
                <w:bCs/>
                <w:color w:val="auto"/>
                <w:sz w:val="21"/>
                <w:szCs w:val="21"/>
              </w:rPr>
              <w:t>承担所有责任和费用，采购人保留进一步追究责任的权利。</w:t>
            </w:r>
          </w:p>
          <w:p w14:paraId="787083E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验收工作由医学装备科技术人员、设备使用科室负责人、财务科工作人员组成的小组与供应商负责安装的技术人员按照灵山县人民医院医疗验收安装验收合格证标明的内容及技术参数表逐条进行验收。验收标准：采购标的需执行国家标准、行业标准、地方标准或者其他标准、规范，同时也应符合厂家或医疗器械厂家提供的技术资料中各项技术指标和参数要求，参数要求必须符合采购参数规定，不能以“标准配置”、“选购配置”为由与采购参数不符，如有最新的按最新的执行。</w:t>
            </w:r>
          </w:p>
          <w:p w14:paraId="0F9099F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4.招标项目有其他要求的按其要求：</w:t>
            </w:r>
          </w:p>
          <w:p w14:paraId="14FBA12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4.1开箱验收：在设备科技术员、供应商人员、使用科室负责人在场的情况下，才允许开箱。</w:t>
            </w:r>
          </w:p>
          <w:p w14:paraId="12E1627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4.1.1开箱前首先查看包装是否破损，如有破损，应拍照留存或双方签字的文字记录。</w:t>
            </w:r>
          </w:p>
          <w:p w14:paraId="09E6A4E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4.1.2开箱后，检查设备部件有否损伤，如有损伤，拍照留存，并作无条件更换处理。</w:t>
            </w:r>
          </w:p>
          <w:p w14:paraId="1C33441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4.2资料接收：以下资料在验收时由供应商提交医疗设备科查验合格后接收存档；</w:t>
            </w:r>
          </w:p>
          <w:p w14:paraId="1BEAFDA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验收时设备科验收人员应携带纸质合同现场核验以下材料是否与合同一致，供应商需提前提供合同PDF文档1份给设备科技术人员存档，如PDF文档与纸质合同不符的，不予验收。</w:t>
            </w:r>
          </w:p>
          <w:p w14:paraId="544106A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4.2.1设备的合法性证明材料：</w:t>
            </w:r>
          </w:p>
          <w:p w14:paraId="772C9EC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①提供设备的生产许可证明材料（适用于国产品牌）：</w:t>
            </w:r>
          </w:p>
          <w:p w14:paraId="0D71512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②具有医疗器械属性的设备：医疗器械生产企业许可证复印件1份及PDF文档1份。</w:t>
            </w:r>
          </w:p>
          <w:p w14:paraId="2199C9F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③具有特种设备属性的设备：特种设备生产许可复印件1份及PDF文档1份。</w:t>
            </w:r>
          </w:p>
          <w:p w14:paraId="008F597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④具有计量仪器属性的设备：制造计量器具许可证复印件1份及PDF文档1份。</w:t>
            </w:r>
          </w:p>
          <w:p w14:paraId="062BE00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4.2.2提供设备生产合格证明</w:t>
            </w:r>
          </w:p>
          <w:p w14:paraId="1CFFB62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①出厂合格证明：原件及PDF文档各1份</w:t>
            </w:r>
          </w:p>
          <w:p w14:paraId="1D3F037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②特种设备检验合格证：原件及PDF文档各1份（指特种设备整机）</w:t>
            </w:r>
          </w:p>
          <w:p w14:paraId="7D0F272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③特种设备所用材料合格证明：复印件及PDF文档各1份（指特种设备所用的配件）</w:t>
            </w:r>
          </w:p>
          <w:p w14:paraId="1CAA7A8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4.2.3医疗器械市场监管合法证明材料</w:t>
            </w:r>
          </w:p>
          <w:p w14:paraId="5A8F904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①医疗器械注册证（如涉及2类、3类医疗器械时必须提供，1类如有请提供）复印件1件及PDF文档1份。</w:t>
            </w:r>
          </w:p>
          <w:p w14:paraId="5C7E064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②进口产品（</w:t>
            </w:r>
            <w:r>
              <w:rPr>
                <w:rFonts w:hint="eastAsia" w:ascii="宋体" w:hAnsi="宋体" w:eastAsia="宋体" w:cs="宋体"/>
                <w:b/>
                <w:bCs/>
                <w:color w:val="auto"/>
                <w:sz w:val="21"/>
                <w:szCs w:val="21"/>
                <w:lang w:eastAsia="zh-CN"/>
              </w:rPr>
              <w:t>竞标产品</w:t>
            </w:r>
            <w:r>
              <w:rPr>
                <w:rFonts w:hint="eastAsia" w:ascii="宋体" w:hAnsi="宋体" w:eastAsia="宋体" w:cs="宋体"/>
                <w:b/>
                <w:bCs/>
                <w:color w:val="auto"/>
                <w:sz w:val="21"/>
                <w:szCs w:val="21"/>
              </w:rPr>
              <w:t>为进口产品时提供，国产不须提供）：海关进货单复印件1份及PDF文档1份。</w:t>
            </w:r>
          </w:p>
          <w:p w14:paraId="7097751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4.2.4经销商的合法性证明材料：</w:t>
            </w:r>
          </w:p>
          <w:p w14:paraId="53813ED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①营业执照复印件及PDF文档各1份，经营范围必须与所经营的类别相符，并在有效期内。</w:t>
            </w:r>
          </w:p>
          <w:p w14:paraId="3442FC72">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②医疗器械经营企业许可证或属于二类的备案凭证复印件1份及PDF文档1份，经营医疗器械级别及经营类别必须与设备的医疗器械注册证相符（如涉及2类、3类医疗器械时必须提供，1类如有请提供）。</w:t>
            </w:r>
          </w:p>
          <w:p w14:paraId="6698776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③生产厂给经销商的授权书复印件1份及PDF文档1份。</w:t>
            </w:r>
          </w:p>
          <w:p w14:paraId="2B13220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4.2.5.设备随机资料：</w:t>
            </w:r>
          </w:p>
          <w:p w14:paraId="344785B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①《使用说明书》提供原版纸质一式两份，PDF文档一份，一份留使用科室，一份存档案室，不能提供两份原版的，可提供一份原版。</w:t>
            </w:r>
          </w:p>
          <w:p w14:paraId="2553DA82">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②电路图、其它技术文件、软件光盘、系统光盘、视频光盘及其它电子版原件资料，设备安装调试结束后必须存放医疗设备科。</w:t>
            </w:r>
          </w:p>
          <w:p w14:paraId="58FD613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③计量仪器必须提供相关计量仪器检定合格证明材料原件及PDF文档各1份。</w:t>
            </w:r>
          </w:p>
          <w:p w14:paraId="6882873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4.2.6设备装箱单、配置清单</w:t>
            </w:r>
          </w:p>
          <w:p w14:paraId="468F1F94">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①每台设备1份操作规定程序（操作规程）卡片，由厂方制作的质量好耐用纸质版。</w:t>
            </w:r>
          </w:p>
          <w:p w14:paraId="1A4D089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②送货清单，清单包括设备名称、型号、单价，总金额，送货公司与合同公司一致。</w:t>
            </w:r>
          </w:p>
          <w:p w14:paraId="12EC7F6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4.3技术性能验收：</w:t>
            </w:r>
          </w:p>
          <w:p w14:paraId="71F9296F">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4.3.1以采购参数为依据，以满足使用要求为原则，验收由设备使用科室人员负责，</w:t>
            </w:r>
            <w:r>
              <w:rPr>
                <w:rFonts w:hint="eastAsia" w:ascii="宋体" w:hAnsi="宋体" w:cs="宋体"/>
                <w:b/>
                <w:bCs/>
                <w:color w:val="auto"/>
                <w:sz w:val="21"/>
                <w:szCs w:val="21"/>
                <w:lang w:eastAsia="zh-CN"/>
              </w:rPr>
              <w:t>竞标参数</w:t>
            </w:r>
            <w:r>
              <w:rPr>
                <w:rFonts w:hint="eastAsia" w:ascii="宋体" w:hAnsi="宋体" w:eastAsia="宋体" w:cs="宋体"/>
                <w:b/>
                <w:bCs/>
                <w:color w:val="auto"/>
                <w:sz w:val="21"/>
                <w:szCs w:val="21"/>
              </w:rPr>
              <w:t>是否符合采购参数要求以验收实际结果为准。</w:t>
            </w:r>
          </w:p>
          <w:p w14:paraId="0449536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4.3.2设备清单必须与采购参数相符合，如有出入，以</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参数为准。</w:t>
            </w:r>
          </w:p>
          <w:p w14:paraId="0967396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4.3.3验收必须以采购参数为基准，对投标技术响应表逐条进行验收，对于技术响应表与采购技术参数不符的，作如下处理：</w:t>
            </w:r>
          </w:p>
          <w:p w14:paraId="7813903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1.技术响应表与采购参数比较有漏项的，以非实质响应采购要求论处。</w:t>
            </w:r>
          </w:p>
          <w:p w14:paraId="4A9BC234">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2.实际是负偏离的参数，响应表成交为负偏离的，经评标仍然中标的，说明不影响设备质量、使用与档次，验收时以负偏离验收，设备视为接受。如果</w:t>
            </w:r>
            <w:r>
              <w:rPr>
                <w:rFonts w:hint="eastAsia" w:ascii="宋体" w:hAnsi="宋体" w:eastAsia="宋体" w:cs="宋体"/>
                <w:b/>
                <w:bCs/>
                <w:color w:val="auto"/>
                <w:sz w:val="21"/>
                <w:szCs w:val="21"/>
                <w:lang w:eastAsia="zh-CN"/>
              </w:rPr>
              <w:t>合同</w:t>
            </w:r>
            <w:r>
              <w:rPr>
                <w:rFonts w:hint="eastAsia" w:ascii="宋体" w:hAnsi="宋体" w:eastAsia="宋体" w:cs="宋体"/>
                <w:b/>
                <w:bCs/>
                <w:color w:val="auto"/>
                <w:sz w:val="21"/>
                <w:szCs w:val="21"/>
              </w:rPr>
              <w:t>对质量、使用与档次有</w:t>
            </w:r>
            <w:r>
              <w:rPr>
                <w:rFonts w:hint="eastAsia" w:ascii="宋体" w:hAnsi="宋体" w:eastAsia="宋体" w:cs="宋体"/>
                <w:b/>
                <w:bCs/>
                <w:color w:val="auto"/>
                <w:sz w:val="21"/>
                <w:szCs w:val="21"/>
                <w:lang w:eastAsia="zh-CN"/>
              </w:rPr>
              <w:t>相应约定</w:t>
            </w:r>
            <w:r>
              <w:rPr>
                <w:rFonts w:hint="eastAsia" w:ascii="宋体" w:hAnsi="宋体" w:eastAsia="宋体" w:cs="宋体"/>
                <w:b/>
                <w:bCs/>
                <w:color w:val="auto"/>
                <w:sz w:val="21"/>
                <w:szCs w:val="21"/>
              </w:rPr>
              <w:t>的</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rPr>
              <w:t>按合同约定的相关条款来处理。</w:t>
            </w:r>
          </w:p>
          <w:p w14:paraId="41760CF1">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3.实际是负偏离的参数，在响应文件</w:t>
            </w:r>
            <w:r>
              <w:rPr>
                <w:rFonts w:hint="eastAsia" w:ascii="宋体" w:hAnsi="宋体" w:eastAsia="宋体" w:cs="宋体"/>
                <w:b/>
                <w:bCs/>
                <w:color w:val="auto"/>
                <w:sz w:val="21"/>
                <w:szCs w:val="21"/>
                <w:lang w:eastAsia="zh-CN"/>
              </w:rPr>
              <w:t>注明</w:t>
            </w:r>
            <w:r>
              <w:rPr>
                <w:rFonts w:hint="eastAsia" w:ascii="宋体" w:hAnsi="宋体" w:eastAsia="宋体" w:cs="宋体"/>
                <w:b/>
                <w:bCs/>
                <w:color w:val="auto"/>
                <w:sz w:val="21"/>
                <w:szCs w:val="21"/>
              </w:rPr>
              <w:t>为无偏离或正偏离，视为虚假应标。</w:t>
            </w:r>
          </w:p>
          <w:p w14:paraId="1CAAB75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4.实际是正偏离参数，但验收时并没有达到响应表</w:t>
            </w:r>
            <w:r>
              <w:rPr>
                <w:rFonts w:hint="eastAsia" w:ascii="宋体" w:hAnsi="宋体" w:eastAsia="宋体" w:cs="宋体"/>
                <w:b/>
                <w:bCs/>
                <w:color w:val="auto"/>
                <w:sz w:val="21"/>
                <w:szCs w:val="21"/>
                <w:lang w:eastAsia="zh-CN"/>
              </w:rPr>
              <w:t>标</w:t>
            </w:r>
            <w:r>
              <w:rPr>
                <w:rFonts w:hint="eastAsia" w:ascii="宋体" w:hAnsi="宋体" w:eastAsia="宋体" w:cs="宋体"/>
                <w:b/>
                <w:bCs/>
                <w:color w:val="auto"/>
                <w:sz w:val="21"/>
                <w:szCs w:val="21"/>
              </w:rPr>
              <w:t>明的正偏离幅度，视为虚假应标。</w:t>
            </w:r>
          </w:p>
          <w:p w14:paraId="33BF871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5.备用功能。是指设备主机具备相应的功能，但需要增加相应的软件硬件配件才能实现，除非需要在使用期限内升级，本次投标中不设“备用功能”参数，需要这种功能时，</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必须有明确注明“备用功能”。验收时供应商必须携带相关部件进行验收，以证明设备确实具备相关功能，验收完成后相关部件供应商带回，如果拒绝携带相关部件验收，以虚假应标论处。</w:t>
            </w:r>
          </w:p>
          <w:p w14:paraId="554EBD1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6.对于</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只要求具备的功能或性能，但</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没有详细标明硬件配置参数，同时</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也没有注明“ 备用功能”字样，供应商必须无条件配齐相关软件硬件后，予以接受，凡出现“可配”等不明确意义字样，以虚假应标论处。</w:t>
            </w:r>
          </w:p>
          <w:p w14:paraId="6643E272">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如是“可配可不配的必须配”，不得以“必须增购相关软硬件才能具备”或者以此为“选配，必须加钱另买”为由要求医院方额外开支才能达到相应功能项。如果供应商不愿意提供相关软硬件配置，以虚假应标论处。</w:t>
            </w:r>
          </w:p>
          <w:p w14:paraId="4B09E743">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7.对于以采购参数不同的参数概念，应标时出现张冠李戴现象，如以“速度”参数响应“长度”参数等，按虚假应标论处。</w:t>
            </w:r>
          </w:p>
          <w:p w14:paraId="26C933F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8.替代技术或同类技术，指用另一种与采购参数完全不一样的技术应标，验收时必须提供技术白皮书，说明与采购参数原理不同但目的与效果相同，验收时实际使用效果与采购参数一样，并得到使用科室验收专家的认可，才能判定无偏离，否则判定为负偏离，如果达不到相应使用效果，响应文件却以无偏离甚至以正偏离响应，以虚假应标论处。</w:t>
            </w:r>
          </w:p>
          <w:p w14:paraId="2B2AC97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9.对于以含义相同而名字不同的参数名称响应，供应商必须提供白皮书等有效证明材料，并得到医院有关专业人员的认可，以无偏离论处，否则判定为负偏离，负偏离情况下，如果响应文件标明为无偏离或正偏离响应，以虚假应标论处。</w:t>
            </w:r>
          </w:p>
          <w:p w14:paraId="68C8A42E">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10.复合参数，一个参数有多个技术指标，必须全部响应。如果只响应其中一部份指标，以负偏离论处，如果响应文件标明为无偏离或正偏离，以虚假应标论处。</w:t>
            </w:r>
          </w:p>
          <w:p w14:paraId="03D20C1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11.对于区间涵盖值参数，如“频率范围为 x-y，”等，其下界值更低，上界值更高，才能判定正偏离；其中一端负偏离，不管另一端实际情况如何，均判定负偏离，如果响应文件还标明正偏离，以虚假应标论处。</w:t>
            </w:r>
          </w:p>
          <w:p w14:paraId="60880960">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12.对于区间任意值参数，如“a≤××尺寸≤b”，“ ××尺寸”在区间 a-b 内任意一个数值均为无偏离，超出约定区间范围为负偏离，此类参数没有正偏离，如果为负偏离者，如果响应文件仍标明为无偏离以虚假应标论处，此类参数出现正偏离，也以虚假应标论处。</w:t>
            </w:r>
          </w:p>
          <w:p w14:paraId="492EA54A">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13.对于指定值参数：不是大于值也不是小于值，更不是区间值，只有应标数据一致，才能定为无偏离，应标参数不一致，为负偏离，此参数没有正偏离。如果与应标参数不一致，而响应为“无偏离”，以虚假应标论处。</w:t>
            </w:r>
          </w:p>
          <w:p w14:paraId="680659D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14.按常识，设备特殊的工作环境工作条件必须配置的软硬件才能发挥设备效用的，即使采购技术参数表没有表明，供应商也必须提供，不能以采购参数没有要求而拒绝提供。（如：除颤器有可能在远离电源的情况下使用，必须配置电池，即使</w:t>
            </w:r>
            <w:r>
              <w:rPr>
                <w:rFonts w:hint="eastAsia" w:ascii="宋体" w:hAnsi="宋体" w:eastAsia="宋体" w:cs="宋体"/>
                <w:b/>
                <w:bCs/>
                <w:color w:val="auto"/>
                <w:sz w:val="21"/>
                <w:szCs w:val="21"/>
                <w:lang w:eastAsia="zh-CN"/>
              </w:rPr>
              <w:t>采购文件</w:t>
            </w:r>
            <w:r>
              <w:rPr>
                <w:rFonts w:hint="eastAsia" w:ascii="宋体" w:hAnsi="宋体" w:eastAsia="宋体" w:cs="宋体"/>
                <w:b/>
                <w:bCs/>
                <w:color w:val="auto"/>
                <w:sz w:val="21"/>
                <w:szCs w:val="21"/>
              </w:rPr>
              <w:t>没有明确标明电池，供应商也不能以此为由拒绝提供电池）。</w:t>
            </w:r>
          </w:p>
          <w:p w14:paraId="7DF104B5">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15.为防止虚假应标，如有必要，</w:t>
            </w:r>
            <w:r>
              <w:rPr>
                <w:rFonts w:hint="eastAsia" w:ascii="宋体" w:hAnsi="宋体" w:cs="宋体"/>
                <w:b/>
                <w:bCs/>
                <w:color w:val="auto"/>
                <w:sz w:val="21"/>
                <w:szCs w:val="21"/>
                <w:lang w:eastAsia="zh-CN"/>
              </w:rPr>
              <w:t>成交供应商</w:t>
            </w:r>
            <w:r>
              <w:rPr>
                <w:rFonts w:hint="eastAsia" w:ascii="宋体" w:hAnsi="宋体" w:eastAsia="宋体" w:cs="宋体"/>
                <w:b/>
                <w:bCs/>
                <w:color w:val="auto"/>
                <w:sz w:val="21"/>
                <w:szCs w:val="21"/>
              </w:rPr>
              <w:t>需配合院方联合院方指定的第三方或该项目其他</w:t>
            </w:r>
            <w:r>
              <w:rPr>
                <w:rFonts w:hint="eastAsia" w:ascii="宋体" w:hAnsi="宋体" w:cs="宋体"/>
                <w:b/>
                <w:bCs/>
                <w:color w:val="auto"/>
                <w:sz w:val="21"/>
                <w:szCs w:val="21"/>
                <w:lang w:eastAsia="zh-CN"/>
              </w:rPr>
              <w:t>竞标供应商</w:t>
            </w:r>
            <w:r>
              <w:rPr>
                <w:rFonts w:hint="eastAsia" w:ascii="宋体" w:hAnsi="宋体" w:eastAsia="宋体" w:cs="宋体"/>
                <w:b/>
                <w:bCs/>
                <w:color w:val="auto"/>
                <w:sz w:val="21"/>
                <w:szCs w:val="21"/>
              </w:rPr>
              <w:t>对</w:t>
            </w:r>
            <w:r>
              <w:rPr>
                <w:rFonts w:hint="eastAsia" w:ascii="宋体" w:hAnsi="宋体" w:cs="宋体"/>
                <w:b/>
                <w:bCs/>
                <w:color w:val="auto"/>
                <w:sz w:val="21"/>
                <w:szCs w:val="21"/>
                <w:lang w:eastAsia="zh-CN"/>
              </w:rPr>
              <w:t>成交供应商</w:t>
            </w:r>
            <w:r>
              <w:rPr>
                <w:rFonts w:hint="eastAsia" w:ascii="宋体" w:hAnsi="宋体" w:eastAsia="宋体" w:cs="宋体"/>
                <w:b/>
                <w:bCs/>
                <w:color w:val="auto"/>
                <w:sz w:val="21"/>
                <w:szCs w:val="21"/>
              </w:rPr>
              <w:t>提供产品的技术参数逐一验收，如发现提供产品的实际技术参数与</w:t>
            </w:r>
            <w:r>
              <w:rPr>
                <w:rFonts w:hint="eastAsia" w:ascii="宋体" w:hAnsi="宋体" w:cs="宋体"/>
                <w:b/>
                <w:bCs/>
                <w:color w:val="auto"/>
                <w:sz w:val="21"/>
                <w:szCs w:val="21"/>
                <w:lang w:eastAsia="zh-CN"/>
              </w:rPr>
              <w:t>竞标参数</w:t>
            </w:r>
            <w:r>
              <w:rPr>
                <w:rFonts w:hint="eastAsia" w:ascii="宋体" w:hAnsi="宋体" w:eastAsia="宋体" w:cs="宋体"/>
                <w:b/>
                <w:bCs/>
                <w:color w:val="auto"/>
                <w:sz w:val="21"/>
                <w:szCs w:val="21"/>
              </w:rPr>
              <w:t>不符，则视为虚假应标。</w:t>
            </w:r>
          </w:p>
          <w:p w14:paraId="44052314">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4.3.4试运行：设备使用科室验收人员按设备说明书要求在供应商指导下，常规负荷试运行七个工作日，没有出现异常者，为合格。</w:t>
            </w:r>
          </w:p>
          <w:p w14:paraId="145EAAC6">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4.4设备符合下列情形的，不予接收。</w:t>
            </w:r>
          </w:p>
          <w:p w14:paraId="00300934">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①设备部件损伤，影响整机外观或性能，供应商又不愿意更换的不予接收。</w:t>
            </w:r>
          </w:p>
          <w:p w14:paraId="7869211F">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②带▲号的参数，必须百分之百满足，验收发现是负偏离，不予接收。</w:t>
            </w:r>
          </w:p>
          <w:p w14:paraId="425C7ABF">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③对于标准功能或者常规操作所必须的软硬件配置，设备安全必须的软硬件配置，国家相关标准规定配置，行业内认可的配置，如果不配置，即使采购参数没有标明详细配置，供应商必须无条件提供，如不提供，设备不予接收。</w:t>
            </w:r>
          </w:p>
          <w:p w14:paraId="71809A9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④验收时出现一项不实质性响应采购要求或一项验收条款规定的虚假应标情形者，设备不予接收。</w:t>
            </w:r>
          </w:p>
          <w:p w14:paraId="32514909">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⑤设备使用没有完成，使用人员还未能独立使用，供应商必须按合同要求提供培训，否则不予接收。</w:t>
            </w:r>
          </w:p>
          <w:p w14:paraId="5748BFD7">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⑥设备属于不予接收的情形，视为设备没有交接，供应商不得将设备放在医院任何场地，无条件搬走。</w:t>
            </w:r>
          </w:p>
          <w:p w14:paraId="2B272E28">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4.5培训条款验收：设备安装结束后，供应商必须培训使用科室的操作人员，直到熟悉掌握机器性能及操作。</w:t>
            </w:r>
          </w:p>
          <w:p w14:paraId="6BFD1A6D">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4.6验收合格证签署：设备经供应商安装人员、设备科工程技术人员、使用科室负责人、验收人员均认为合格并全部签署验收合格证后，验收合格证生效。</w:t>
            </w:r>
          </w:p>
          <w:p w14:paraId="156B329B">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4.6.1验收合格生效：验收合格日期以最后验收完成项目为准，设备验收时间计算在供货期内，按合同相关规定执行，由于供应商原因造成不按时完成验收造成逾期供货事实，由供应商承担相关合同责任。</w:t>
            </w:r>
          </w:p>
          <w:p w14:paraId="1CAA998C">
            <w:pPr>
              <w:keepNext w:val="0"/>
              <w:keepLines w:val="0"/>
              <w:pageBreakBefore w:val="0"/>
              <w:kinsoku/>
              <w:wordWrap/>
              <w:overflowPunct/>
              <w:topLinePunct w:val="0"/>
              <w:autoSpaceDE/>
              <w:autoSpaceDN/>
              <w:bidi w:val="0"/>
              <w:adjustRightInd/>
              <w:spacing w:line="400" w:lineRule="exact"/>
              <w:jc w:val="lef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auto"/>
                <w:sz w:val="21"/>
                <w:szCs w:val="21"/>
              </w:rPr>
              <w:t>4.6.2设备交接：验收合格后视为设备交接，在验收合格前设备属于供应商，所有运输、仓储、装卸、保管、搬运等其相关责任由供应商负责。</w:t>
            </w:r>
          </w:p>
        </w:tc>
      </w:tr>
      <w:tr w14:paraId="2A69762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7"/>
            <w:tcBorders>
              <w:top w:val="single" w:color="auto" w:sz="4" w:space="0"/>
              <w:left w:val="single" w:color="auto" w:sz="4" w:space="0"/>
              <w:bottom w:val="single" w:color="auto" w:sz="4" w:space="0"/>
              <w:right w:val="single" w:color="auto" w:sz="4" w:space="0"/>
            </w:tcBorders>
            <w:vAlign w:val="center"/>
          </w:tcPr>
          <w:p w14:paraId="1B4E352D">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二、与实现项目目标相关的其他要求</w:t>
            </w:r>
          </w:p>
        </w:tc>
      </w:tr>
      <w:tr w14:paraId="62393D6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3CAFBB4">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一</w:t>
            </w:r>
            <w:r>
              <w:rPr>
                <w:rFonts w:hint="eastAsia" w:ascii="宋体" w:hAnsi="宋体" w:eastAsia="宋体" w:cs="宋体"/>
                <w:b/>
                <w:color w:val="000000" w:themeColor="text1"/>
                <w:sz w:val="21"/>
                <w:szCs w:val="21"/>
                <w14:textFill>
                  <w14:solidFill>
                    <w14:schemeClr w14:val="tx1"/>
                  </w14:solidFill>
                </w14:textFill>
              </w:rPr>
              <w:t>）进口产品说明</w:t>
            </w:r>
          </w:p>
        </w:tc>
      </w:tr>
      <w:tr w14:paraId="482C2C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2CF6F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kern w:val="0"/>
                <w:sz w:val="21"/>
                <w:szCs w:val="21"/>
                <w:lang w:bidi="ar"/>
              </w:rPr>
              <w:t>▲</w:t>
            </w:r>
            <w:r>
              <w:rPr>
                <w:rFonts w:hint="eastAsia" w:ascii="宋体" w:hAnsi="宋体" w:eastAsia="宋体" w:cs="宋体"/>
                <w:b/>
                <w:bCs/>
                <w:color w:val="000000" w:themeColor="text1"/>
                <w:sz w:val="21"/>
                <w:szCs w:val="21"/>
                <w14:textFill>
                  <w14:solidFill>
                    <w14:schemeClr w14:val="tx1"/>
                  </w14:solidFill>
                </w14:textFill>
              </w:rPr>
              <w:t>进口产品说明</w:t>
            </w:r>
          </w:p>
        </w:tc>
        <w:tc>
          <w:tcPr>
            <w:tcW w:w="868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974BAA1">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表的第项货物已按规定办妥进口产品采购审核手续，竞标产品可选用进口产品；但如选用进口产品时必须为全套原装进口产品（即通过中国海关报关验放进入中国境内且产自关境外的产品），同时供应商必须负责办理进口产品所有相关手续并承担所有费用。优先采购向我国企业转让技术、与我国企业签订消化吸收再创新方案的供应商的进口产品。其他货物不接受进口产品参与竞标，否则其响应文件按无效处理。</w:t>
            </w:r>
          </w:p>
          <w:p w14:paraId="7C4E458C">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000000" w:themeColor="text1"/>
                <w:kern w:val="2"/>
                <w:sz w:val="21"/>
                <w:szCs w:val="21"/>
                <w:lang w:val="en-US" w:eastAsia="zh-CN" w:bidi="ar-SA"/>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☑本分标货物不接受进口产品（即通过中国海关报关验放进入中国境内且产自关境外的产品）参与竞标，如有进口产品参与竞标的，其响应文件按无效处理。</w:t>
            </w:r>
          </w:p>
        </w:tc>
      </w:tr>
      <w:tr w14:paraId="700390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7"/>
            <w:tcBorders>
              <w:top w:val="single" w:color="auto" w:sz="4" w:space="0"/>
              <w:left w:val="single" w:color="auto" w:sz="4" w:space="0"/>
              <w:bottom w:val="single" w:color="auto" w:sz="4" w:space="0"/>
              <w:right w:val="single" w:color="auto" w:sz="4" w:space="0"/>
            </w:tcBorders>
            <w:vAlign w:val="center"/>
          </w:tcPr>
          <w:p w14:paraId="45E1F1FF">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w:t>
            </w:r>
            <w:r>
              <w:rPr>
                <w:rFonts w:hint="eastAsia" w:ascii="宋体" w:hAnsi="宋体" w:eastAsia="宋体" w:cs="宋体"/>
                <w:b/>
                <w:color w:val="000000" w:themeColor="text1"/>
                <w:sz w:val="21"/>
                <w:szCs w:val="21"/>
                <w:lang w:eastAsia="zh-CN"/>
                <w14:textFill>
                  <w14:solidFill>
                    <w14:schemeClr w14:val="tx1"/>
                  </w14:solidFill>
                </w14:textFill>
              </w:rPr>
              <w:t>二</w:t>
            </w:r>
            <w:r>
              <w:rPr>
                <w:rFonts w:hint="eastAsia" w:ascii="宋体" w:hAnsi="宋体" w:eastAsia="宋体" w:cs="宋体"/>
                <w:b/>
                <w:color w:val="000000" w:themeColor="text1"/>
                <w:sz w:val="21"/>
                <w:szCs w:val="21"/>
                <w14:textFill>
                  <w14:solidFill>
                    <w14:schemeClr w14:val="tx1"/>
                  </w14:solidFill>
                </w14:textFill>
              </w:rPr>
              <w:t>）其他要求</w:t>
            </w:r>
          </w:p>
        </w:tc>
      </w:tr>
      <w:tr w14:paraId="6EF5A5C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073" w:type="dxa"/>
            <w:gridSpan w:val="7"/>
            <w:tcBorders>
              <w:top w:val="single" w:color="auto" w:sz="4" w:space="0"/>
              <w:left w:val="single" w:color="auto" w:sz="4" w:space="0"/>
              <w:bottom w:val="single" w:color="auto" w:sz="4" w:space="0"/>
              <w:right w:val="single" w:color="auto" w:sz="4" w:space="0"/>
            </w:tcBorders>
            <w:vAlign w:val="center"/>
          </w:tcPr>
          <w:p w14:paraId="1798E0C9">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产品证明文件</w:t>
            </w:r>
          </w:p>
          <w:p w14:paraId="2F972908">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b/>
                <w:bCs/>
                <w:color w:val="000000"/>
                <w:sz w:val="21"/>
                <w:szCs w:val="21"/>
                <w:lang w:eastAsia="zh-CN"/>
              </w:rPr>
            </w:pPr>
            <w:r>
              <w:rPr>
                <w:rFonts w:hint="eastAsia" w:ascii="宋体" w:hAnsi="宋体" w:eastAsia="宋体" w:cs="宋体"/>
                <w:b/>
                <w:bCs/>
                <w:kern w:val="0"/>
                <w:sz w:val="21"/>
                <w:szCs w:val="21"/>
                <w:lang w:bidi="ar"/>
              </w:rPr>
              <w:t>▲</w:t>
            </w:r>
            <w:r>
              <w:rPr>
                <w:rFonts w:hint="eastAsia" w:ascii="宋体" w:hAnsi="宋体" w:eastAsia="宋体" w:cs="宋体"/>
                <w:b/>
                <w:bCs/>
                <w:color w:val="000000"/>
                <w:sz w:val="21"/>
                <w:szCs w:val="21"/>
                <w:lang w:eastAsia="zh-CN"/>
              </w:rPr>
              <w:t>（</w:t>
            </w: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lang w:eastAsia="zh-CN"/>
              </w:rPr>
              <w:t>）以上货物供应商所竞产品属于第二、三类医疗器械产品的，响应文件中须按《医疗器械注册管理办法》（国家食品药品监督管理总局令第4号）提供该设备有效的医疗器械注册证或医疗器械经营备案凭证复印件，否则竞标无效；</w:t>
            </w:r>
          </w:p>
          <w:p w14:paraId="0475D3FB">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）竞标时，如各分项要求必须提供产品认证证书复印件、相关证明复印件的，须在响应文件中相应提供</w:t>
            </w:r>
            <w:r>
              <w:rPr>
                <w:rFonts w:hint="eastAsia" w:ascii="宋体" w:hAnsi="宋体" w:eastAsia="宋体" w:cs="宋体"/>
                <w:color w:val="000000"/>
                <w:sz w:val="21"/>
                <w:szCs w:val="21"/>
                <w:lang w:eastAsia="zh-CN"/>
              </w:rPr>
              <w:t>；</w:t>
            </w:r>
          </w:p>
          <w:p w14:paraId="551FF478">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竞标</w:t>
            </w:r>
            <w:r>
              <w:rPr>
                <w:rFonts w:hint="eastAsia" w:ascii="宋体" w:hAnsi="宋体" w:eastAsia="宋体" w:cs="宋体"/>
                <w:color w:val="000000"/>
                <w:sz w:val="21"/>
                <w:szCs w:val="21"/>
              </w:rPr>
              <w:t>时若有，请提供由产品厂家编写的、完整的、中文版的性能参数描述等有关说明文件或产品彩页（各分项另有要求的以各分项要求为准）。当投标时承诺的设备性能参数与该设备厂家提供的性能参数不符合时，以厂家出具的为准。符合要求的产品说明文件必须是出厂装箱的产品说明书，或厂家编写的公开发行宣传册，或厂家编写由供应商自行打印的彩色说明文件；符合要求的产品彩页必须是厂家编写印刷的公开发行宣传铜版彩页，或从产品厂家官方网页下载的相关的PDF、HTML文件或产品彩页的彩打文件（打印时必须保留页面页脚的网址链接内容）。</w:t>
            </w:r>
          </w:p>
          <w:p w14:paraId="5041C04B">
            <w:pPr>
              <w:pStyle w:val="10"/>
              <w:keepNext w:val="0"/>
              <w:keepLines w:val="0"/>
              <w:pageBreakBefore w:val="0"/>
              <w:widowControl w:val="0"/>
              <w:kinsoku/>
              <w:wordWrap/>
              <w:overflowPunct/>
              <w:topLinePunct w:val="0"/>
              <w:autoSpaceDE/>
              <w:autoSpaceDN/>
              <w:bidi w:val="0"/>
              <w:adjustRightInd/>
              <w:snapToGrid/>
              <w:spacing w:after="0" w:line="400" w:lineRule="exact"/>
              <w:ind w:left="0" w:firstLine="0" w:firstLineChars="0"/>
              <w:textAlignment w:val="auto"/>
              <w:rPr>
                <w:rFonts w:hint="eastAsia" w:ascii="宋体" w:hAnsi="宋体" w:eastAsia="宋体" w:cs="宋体"/>
                <w:b/>
                <w:bCs/>
                <w:color w:val="000000"/>
                <w:sz w:val="21"/>
                <w:szCs w:val="21"/>
              </w:rPr>
            </w:pPr>
            <w:r>
              <w:rPr>
                <w:rFonts w:hint="eastAsia" w:ascii="宋体" w:hAnsi="宋体" w:eastAsia="宋体" w:cs="宋体"/>
                <w:b/>
                <w:bCs/>
                <w:kern w:val="0"/>
                <w:sz w:val="21"/>
                <w:szCs w:val="21"/>
                <w:lang w:bidi="ar"/>
              </w:rPr>
              <w:t>▲</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）供应商必须应对照</w:t>
            </w:r>
            <w:r>
              <w:rPr>
                <w:rFonts w:hint="eastAsia" w:ascii="宋体" w:hAnsi="宋体" w:eastAsia="宋体" w:cs="宋体"/>
                <w:b/>
                <w:bCs/>
                <w:color w:val="000000"/>
                <w:sz w:val="21"/>
                <w:szCs w:val="21"/>
                <w:lang w:eastAsia="zh-CN"/>
              </w:rPr>
              <w:t>谈判</w:t>
            </w:r>
            <w:r>
              <w:rPr>
                <w:rFonts w:hint="eastAsia" w:ascii="宋体" w:hAnsi="宋体" w:eastAsia="宋体" w:cs="宋体"/>
                <w:b/>
                <w:bCs/>
                <w:color w:val="000000"/>
                <w:sz w:val="21"/>
                <w:szCs w:val="21"/>
              </w:rPr>
              <w:t>文件“技术需求”的采购项目技术规格、技术参数及要求，在技术响应表中逐条说明所提供货物和服务已对招标采购文件的技术要求做出了实质性的响应，并如实申明与技术要求条文的响应和偏离情况。</w:t>
            </w:r>
          </w:p>
          <w:p w14:paraId="369AAEC6">
            <w:pPr>
              <w:keepNext w:val="0"/>
              <w:keepLines w:val="0"/>
              <w:pageBreakBefore w:val="0"/>
              <w:widowControl w:val="0"/>
              <w:tabs>
                <w:tab w:val="left" w:pos="180"/>
                <w:tab w:val="left" w:pos="1620"/>
              </w:tabs>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产品验收达不到采购文件要求的视为产品不合格，有权按虚假应标上报财政监督管理部门并有权解除采购合同。追究成交供应商的一切相关责任，造成的损失及一切费用由成交人负责。</w:t>
            </w:r>
          </w:p>
        </w:tc>
      </w:tr>
    </w:tbl>
    <w:p w14:paraId="68248C1F">
      <w:pPr>
        <w:pStyle w:val="1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87A9823">
      <w:pPr>
        <w:spacing w:line="428" w:lineRule="exact"/>
        <w:ind w:left="119"/>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附件1：</w:t>
      </w:r>
    </w:p>
    <w:p w14:paraId="4F01FBC4">
      <w:pPr>
        <w:spacing w:before="7"/>
        <w:rPr>
          <w:rFonts w:hint="eastAsia" w:ascii="宋体" w:hAnsi="宋体" w:eastAsia="宋体" w:cs="宋体"/>
          <w:color w:val="000000" w:themeColor="text1"/>
          <w:sz w:val="17"/>
          <w:szCs w:val="17"/>
          <w14:textFill>
            <w14:solidFill>
              <w14:schemeClr w14:val="tx1"/>
            </w14:solidFill>
          </w14:textFill>
        </w:rPr>
      </w:pPr>
    </w:p>
    <w:p w14:paraId="72437B0E">
      <w:pPr>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节能产品政府采购品目清单</w:t>
      </w:r>
    </w:p>
    <w:p w14:paraId="0DBBD48B">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447040</wp:posOffset>
                </wp:positionH>
                <wp:positionV relativeFrom="paragraph">
                  <wp:posOffset>100965</wp:posOffset>
                </wp:positionV>
                <wp:extent cx="6403975" cy="7479030"/>
                <wp:effectExtent l="0" t="0" r="0" b="0"/>
                <wp:wrapNone/>
                <wp:docPr id="1" name="文本框 2"/>
                <wp:cNvGraphicFramePr/>
                <a:graphic xmlns:a="http://schemas.openxmlformats.org/drawingml/2006/main">
                  <a:graphicData uri="http://schemas.microsoft.com/office/word/2010/wordprocessingShape">
                    <wps:wsp>
                      <wps:cNvSpPr txBox="1"/>
                      <wps:spPr>
                        <a:xfrm>
                          <a:off x="0" y="0"/>
                          <a:ext cx="6403975" cy="7479030"/>
                        </a:xfrm>
                        <a:prstGeom prst="rect">
                          <a:avLst/>
                        </a:prstGeom>
                        <a:noFill/>
                        <a:ln>
                          <a:noFill/>
                        </a:ln>
                        <a:effectLst/>
                      </wps:spPr>
                      <wps:txbx>
                        <w:txbxContent>
                          <w:tbl>
                            <w:tblPr>
                              <w:tblStyle w:val="24"/>
                              <w:tblW w:w="9125" w:type="dxa"/>
                              <w:jc w:val="center"/>
                              <w:tblLayout w:type="fixed"/>
                              <w:tblCellMar>
                                <w:top w:w="0" w:type="dxa"/>
                                <w:left w:w="0" w:type="dxa"/>
                                <w:bottom w:w="0" w:type="dxa"/>
                                <w:right w:w="0" w:type="dxa"/>
                              </w:tblCellMar>
                            </w:tblPr>
                            <w:tblGrid>
                              <w:gridCol w:w="574"/>
                              <w:gridCol w:w="1166"/>
                              <w:gridCol w:w="1800"/>
                              <w:gridCol w:w="1823"/>
                              <w:gridCol w:w="3762"/>
                            </w:tblGrid>
                            <w:tr w14:paraId="648B2D9C">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330395F8">
                                  <w:pPr>
                                    <w:pStyle w:val="54"/>
                                    <w:spacing w:before="57" w:line="254" w:lineRule="auto"/>
                                    <w:ind w:left="59" w:right="60"/>
                                    <w:rPr>
                                      <w:rFonts w:hint="eastAsia" w:ascii="宋体" w:hAnsi="宋体" w:eastAsia="宋体" w:cs="宋体"/>
                                    </w:rPr>
                                  </w:pPr>
                                  <w:r>
                                    <w:rPr>
                                      <w:rFonts w:hint="eastAsia" w:ascii="宋体" w:hAnsi="宋体" w:eastAsia="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6423481F">
                                  <w:pPr>
                                    <w:pStyle w:val="54"/>
                                    <w:spacing w:before="4"/>
                                    <w:rPr>
                                      <w:rFonts w:hint="eastAsia" w:ascii="宋体" w:hAnsi="宋体" w:eastAsia="宋体" w:cs="宋体"/>
                                      <w:sz w:val="16"/>
                                      <w:szCs w:val="16"/>
                                    </w:rPr>
                                  </w:pPr>
                                </w:p>
                                <w:p w14:paraId="2B2F56EB">
                                  <w:pPr>
                                    <w:pStyle w:val="54"/>
                                    <w:jc w:val="center"/>
                                    <w:rPr>
                                      <w:rFonts w:hint="eastAsia" w:ascii="宋体" w:hAnsi="宋体" w:eastAsia="宋体" w:cs="宋体"/>
                                    </w:rPr>
                                  </w:pPr>
                                  <w:r>
                                    <w:rPr>
                                      <w:rFonts w:hint="eastAsia" w:ascii="宋体" w:hAnsi="宋体" w:eastAsia="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0141BF94">
                                  <w:pPr>
                                    <w:pStyle w:val="54"/>
                                    <w:spacing w:before="4"/>
                                    <w:rPr>
                                      <w:rFonts w:hint="eastAsia" w:ascii="宋体" w:hAnsi="宋体" w:eastAsia="宋体" w:cs="宋体"/>
                                      <w:sz w:val="16"/>
                                      <w:szCs w:val="16"/>
                                    </w:rPr>
                                  </w:pPr>
                                </w:p>
                                <w:p w14:paraId="08A1FB22">
                                  <w:pPr>
                                    <w:pStyle w:val="54"/>
                                    <w:ind w:left="926"/>
                                    <w:rPr>
                                      <w:rFonts w:hint="eastAsia" w:ascii="宋体" w:hAnsi="宋体" w:eastAsia="宋体" w:cs="宋体"/>
                                    </w:rPr>
                                  </w:pPr>
                                  <w:r>
                                    <w:rPr>
                                      <w:rFonts w:hint="eastAsia" w:ascii="宋体" w:hAnsi="宋体" w:eastAsia="宋体" w:cs="宋体"/>
                                      <w:b/>
                                      <w:bCs/>
                                      <w:w w:val="99"/>
                                    </w:rPr>
                                    <w:t>依据的标准</w:t>
                                  </w:r>
                                </w:p>
                              </w:tc>
                            </w:tr>
                            <w:tr w14:paraId="1B1AEAF5">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5F2075C2">
                                  <w:pPr>
                                    <w:pStyle w:val="54"/>
                                    <w:rPr>
                                      <w:rFonts w:hint="eastAsia" w:ascii="宋体" w:hAnsi="宋体" w:eastAsia="宋体" w:cs="宋体"/>
                                      <w:sz w:val="20"/>
                                      <w:szCs w:val="20"/>
                                    </w:rPr>
                                  </w:pPr>
                                </w:p>
                                <w:p w14:paraId="301CA68A">
                                  <w:pPr>
                                    <w:pStyle w:val="54"/>
                                    <w:rPr>
                                      <w:rFonts w:hint="eastAsia" w:ascii="宋体" w:hAnsi="宋体" w:eastAsia="宋体" w:cs="宋体"/>
                                      <w:sz w:val="20"/>
                                      <w:szCs w:val="20"/>
                                    </w:rPr>
                                  </w:pPr>
                                </w:p>
                                <w:p w14:paraId="3E976571">
                                  <w:pPr>
                                    <w:pStyle w:val="54"/>
                                    <w:rPr>
                                      <w:rFonts w:hint="eastAsia" w:ascii="宋体" w:hAnsi="宋体" w:eastAsia="宋体" w:cs="宋体"/>
                                      <w:sz w:val="20"/>
                                      <w:szCs w:val="20"/>
                                    </w:rPr>
                                  </w:pPr>
                                </w:p>
                                <w:p w14:paraId="7AE6B775">
                                  <w:pPr>
                                    <w:pStyle w:val="54"/>
                                    <w:spacing w:before="11"/>
                                    <w:rPr>
                                      <w:rFonts w:hint="eastAsia" w:ascii="宋体" w:hAnsi="宋体" w:eastAsia="宋体" w:cs="宋体"/>
                                      <w:sz w:val="15"/>
                                      <w:szCs w:val="15"/>
                                    </w:rPr>
                                  </w:pPr>
                                </w:p>
                                <w:p w14:paraId="46A78062">
                                  <w:pPr>
                                    <w:pStyle w:val="54"/>
                                    <w:ind w:right="1"/>
                                    <w:jc w:val="center"/>
                                    <w:rPr>
                                      <w:rFonts w:hint="eastAsia" w:ascii="宋体" w:hAnsi="宋体" w:eastAsia="宋体" w:cs="宋体"/>
                                      <w:sz w:val="20"/>
                                      <w:szCs w:val="20"/>
                                    </w:rPr>
                                  </w:pPr>
                                  <w:r>
                                    <w:rPr>
                                      <w:rFonts w:hint="eastAsia" w:ascii="宋体" w:hAnsi="宋体" w:eastAsia="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288D93BE">
                                  <w:pPr>
                                    <w:pStyle w:val="54"/>
                                    <w:rPr>
                                      <w:rFonts w:hint="eastAsia" w:ascii="宋体" w:hAnsi="宋体" w:eastAsia="宋体" w:cs="宋体"/>
                                      <w:sz w:val="20"/>
                                      <w:szCs w:val="20"/>
                                    </w:rPr>
                                  </w:pPr>
                                </w:p>
                                <w:p w14:paraId="40D8F744">
                                  <w:pPr>
                                    <w:pStyle w:val="54"/>
                                    <w:rPr>
                                      <w:rFonts w:hint="eastAsia" w:ascii="宋体" w:hAnsi="宋体" w:eastAsia="宋体" w:cs="宋体"/>
                                      <w:sz w:val="20"/>
                                      <w:szCs w:val="20"/>
                                    </w:rPr>
                                  </w:pPr>
                                </w:p>
                                <w:p w14:paraId="27E6B959">
                                  <w:pPr>
                                    <w:pStyle w:val="54"/>
                                    <w:spacing w:before="12"/>
                                    <w:rPr>
                                      <w:rFonts w:hint="eastAsia" w:ascii="宋体" w:hAnsi="宋体" w:eastAsia="宋体" w:cs="宋体"/>
                                      <w:sz w:val="23"/>
                                      <w:szCs w:val="23"/>
                                    </w:rPr>
                                  </w:pPr>
                                </w:p>
                                <w:p w14:paraId="59A6EAD7">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1计算</w:t>
                                  </w:r>
                                </w:p>
                                <w:p w14:paraId="4F151E96">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7361A842">
                                  <w:pPr>
                                    <w:pStyle w:val="54"/>
                                    <w:spacing w:before="93"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0A40E045">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0C81CDC">
                                  <w:pPr>
                                    <w:pStyle w:val="54"/>
                                    <w:spacing w:before="93"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79C05876">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6E81262">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F22D85">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CB31FB9">
                                  <w:pPr>
                                    <w:pStyle w:val="54"/>
                                    <w:spacing w:before="44"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073A6C30">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4CD1885">
                                  <w:pPr>
                                    <w:pStyle w:val="54"/>
                                    <w:spacing w:before="4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31A71EB2">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AB7E8E">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6A53B42">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AD490D1">
                                  <w:pPr>
                                    <w:pStyle w:val="54"/>
                                    <w:spacing w:before="64" w:line="280" w:lineRule="auto"/>
                                    <w:ind w:left="7" w:right="5"/>
                                    <w:rPr>
                                      <w:rFonts w:hint="eastAsia" w:ascii="宋体" w:hAnsi="宋体" w:eastAsia="宋体" w:cs="宋体"/>
                                      <w:sz w:val="20"/>
                                      <w:szCs w:val="20"/>
                                      <w:lang w:eastAsia="zh-CN"/>
                                    </w:rPr>
                                  </w:pPr>
                                  <w:r>
                                    <w:rPr>
                                      <w:rFonts w:hint="eastAsia" w:ascii="宋体" w:hAnsi="宋体" w:eastAsia="宋体" w:cs="宋体"/>
                                      <w:spacing w:val="1"/>
                                      <w:w w:val="99"/>
                                      <w:sz w:val="20"/>
                                      <w:szCs w:val="20"/>
                                    </w:rPr>
                                    <w:t>★</w:t>
                                  </w:r>
                                  <w:r>
                                    <w:rPr>
                                      <w:rFonts w:hint="eastAsia" w:ascii="宋体" w:hAnsi="宋体" w:eastAsia="宋体" w:cs="宋体"/>
                                      <w:spacing w:val="1"/>
                                      <w:w w:val="99"/>
                                      <w:sz w:val="20"/>
                                      <w:szCs w:val="20"/>
                                      <w:lang w:eastAsia="zh-CN"/>
                                    </w:rPr>
                                    <w:t>A020</w:t>
                                  </w:r>
                                  <w:r>
                                    <w:rPr>
                                      <w:rFonts w:hint="eastAsia" w:ascii="宋体" w:hAnsi="宋体" w:eastAsia="宋体" w:cs="宋体"/>
                                      <w:w w:val="99"/>
                                      <w:sz w:val="20"/>
                                      <w:szCs w:val="20"/>
                                      <w:lang w:eastAsia="zh-CN"/>
                                    </w:rPr>
                                    <w:t>10</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07平板式微型计</w:t>
                                  </w:r>
                                  <w:r>
                                    <w:rPr>
                                      <w:rFonts w:hint="eastAsia" w:ascii="宋体" w:hAnsi="宋体" w:eastAsia="宋体" w:cs="宋体"/>
                                      <w:spacing w:val="2"/>
                                      <w:w w:val="99"/>
                                      <w:sz w:val="20"/>
                                      <w:szCs w:val="20"/>
                                      <w:lang w:eastAsia="zh-CN"/>
                                    </w:rPr>
                                    <w:t>算</w:t>
                                  </w:r>
                                  <w:r>
                                    <w:rPr>
                                      <w:rFonts w:hint="eastAsia" w:ascii="宋体" w:hAnsi="宋体" w:eastAsia="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5B0381FB">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C1EEE5E">
                                  <w:pPr>
                                    <w:pStyle w:val="54"/>
                                    <w:spacing w:before="6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1E9A872E">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D35ADC3">
                                  <w:pPr>
                                    <w:pStyle w:val="54"/>
                                    <w:rPr>
                                      <w:rFonts w:hint="eastAsia" w:ascii="宋体" w:hAnsi="宋体" w:eastAsia="宋体" w:cs="宋体"/>
                                      <w:sz w:val="20"/>
                                      <w:szCs w:val="20"/>
                                      <w:lang w:eastAsia="zh-CN"/>
                                    </w:rPr>
                                  </w:pPr>
                                </w:p>
                                <w:p w14:paraId="3CC1D2E1">
                                  <w:pPr>
                                    <w:pStyle w:val="54"/>
                                    <w:rPr>
                                      <w:rFonts w:hint="eastAsia" w:ascii="宋体" w:hAnsi="宋体" w:eastAsia="宋体" w:cs="宋体"/>
                                      <w:sz w:val="20"/>
                                      <w:szCs w:val="20"/>
                                      <w:lang w:eastAsia="zh-CN"/>
                                    </w:rPr>
                                  </w:pPr>
                                </w:p>
                                <w:p w14:paraId="603C43E8">
                                  <w:pPr>
                                    <w:pStyle w:val="54"/>
                                    <w:rPr>
                                      <w:rFonts w:hint="eastAsia" w:ascii="宋体" w:hAnsi="宋体" w:eastAsia="宋体" w:cs="宋体"/>
                                      <w:sz w:val="20"/>
                                      <w:szCs w:val="20"/>
                                      <w:lang w:eastAsia="zh-CN"/>
                                    </w:rPr>
                                  </w:pPr>
                                </w:p>
                                <w:p w14:paraId="011E8AAA">
                                  <w:pPr>
                                    <w:pStyle w:val="54"/>
                                    <w:rPr>
                                      <w:rFonts w:hint="eastAsia" w:ascii="宋体" w:hAnsi="宋体" w:eastAsia="宋体" w:cs="宋体"/>
                                      <w:sz w:val="20"/>
                                      <w:szCs w:val="20"/>
                                      <w:lang w:eastAsia="zh-CN"/>
                                    </w:rPr>
                                  </w:pPr>
                                </w:p>
                                <w:p w14:paraId="1127B086">
                                  <w:pPr>
                                    <w:pStyle w:val="54"/>
                                    <w:rPr>
                                      <w:rFonts w:hint="eastAsia" w:ascii="宋体" w:hAnsi="宋体" w:eastAsia="宋体" w:cs="宋体"/>
                                      <w:sz w:val="20"/>
                                      <w:szCs w:val="20"/>
                                      <w:lang w:eastAsia="zh-CN"/>
                                    </w:rPr>
                                  </w:pPr>
                                </w:p>
                                <w:p w14:paraId="7B47457D">
                                  <w:pPr>
                                    <w:pStyle w:val="54"/>
                                    <w:rPr>
                                      <w:rFonts w:hint="eastAsia" w:ascii="宋体" w:hAnsi="宋体" w:eastAsia="宋体" w:cs="宋体"/>
                                      <w:sz w:val="20"/>
                                      <w:szCs w:val="20"/>
                                      <w:lang w:eastAsia="zh-CN"/>
                                    </w:rPr>
                                  </w:pPr>
                                </w:p>
                                <w:p w14:paraId="1C232863">
                                  <w:pPr>
                                    <w:pStyle w:val="54"/>
                                    <w:rPr>
                                      <w:rFonts w:hint="eastAsia" w:ascii="宋体" w:hAnsi="宋体" w:eastAsia="宋体" w:cs="宋体"/>
                                      <w:sz w:val="20"/>
                                      <w:szCs w:val="20"/>
                                      <w:lang w:eastAsia="zh-CN"/>
                                    </w:rPr>
                                  </w:pPr>
                                </w:p>
                                <w:p w14:paraId="0E732911">
                                  <w:pPr>
                                    <w:pStyle w:val="54"/>
                                    <w:spacing w:before="2"/>
                                    <w:rPr>
                                      <w:rFonts w:hint="eastAsia" w:ascii="宋体" w:hAnsi="宋体" w:eastAsia="宋体" w:cs="宋体"/>
                                      <w:sz w:val="14"/>
                                      <w:szCs w:val="14"/>
                                      <w:lang w:eastAsia="zh-CN"/>
                                    </w:rPr>
                                  </w:pPr>
                                </w:p>
                                <w:p w14:paraId="31E15E92">
                                  <w:pPr>
                                    <w:pStyle w:val="54"/>
                                    <w:ind w:right="1"/>
                                    <w:jc w:val="center"/>
                                    <w:rPr>
                                      <w:rFonts w:hint="eastAsia" w:ascii="宋体" w:hAnsi="宋体" w:eastAsia="宋体" w:cs="宋体"/>
                                      <w:sz w:val="20"/>
                                      <w:szCs w:val="20"/>
                                    </w:rPr>
                                  </w:pPr>
                                  <w:r>
                                    <w:rPr>
                                      <w:rFonts w:hint="eastAsia" w:ascii="宋体" w:hAnsi="宋体" w:eastAsia="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55C876D4">
                                  <w:pPr>
                                    <w:pStyle w:val="54"/>
                                    <w:rPr>
                                      <w:rFonts w:hint="eastAsia" w:ascii="宋体" w:hAnsi="宋体" w:eastAsia="宋体" w:cs="宋体"/>
                                      <w:sz w:val="20"/>
                                      <w:szCs w:val="20"/>
                                    </w:rPr>
                                  </w:pPr>
                                </w:p>
                                <w:p w14:paraId="0174E6D5">
                                  <w:pPr>
                                    <w:pStyle w:val="54"/>
                                    <w:rPr>
                                      <w:rFonts w:hint="eastAsia" w:ascii="宋体" w:hAnsi="宋体" w:eastAsia="宋体" w:cs="宋体"/>
                                      <w:sz w:val="20"/>
                                      <w:szCs w:val="20"/>
                                    </w:rPr>
                                  </w:pPr>
                                </w:p>
                                <w:p w14:paraId="30BCE604">
                                  <w:pPr>
                                    <w:pStyle w:val="54"/>
                                    <w:rPr>
                                      <w:rFonts w:hint="eastAsia" w:ascii="宋体" w:hAnsi="宋体" w:eastAsia="宋体" w:cs="宋体"/>
                                      <w:sz w:val="20"/>
                                      <w:szCs w:val="20"/>
                                    </w:rPr>
                                  </w:pPr>
                                </w:p>
                                <w:p w14:paraId="50EEABF2">
                                  <w:pPr>
                                    <w:pStyle w:val="54"/>
                                    <w:rPr>
                                      <w:rFonts w:hint="eastAsia" w:ascii="宋体" w:hAnsi="宋体" w:eastAsia="宋体" w:cs="宋体"/>
                                      <w:sz w:val="20"/>
                                      <w:szCs w:val="20"/>
                                    </w:rPr>
                                  </w:pPr>
                                </w:p>
                                <w:p w14:paraId="6873C18A">
                                  <w:pPr>
                                    <w:pStyle w:val="54"/>
                                    <w:rPr>
                                      <w:rFonts w:hint="eastAsia" w:ascii="宋体" w:hAnsi="宋体" w:eastAsia="宋体" w:cs="宋体"/>
                                      <w:sz w:val="20"/>
                                      <w:szCs w:val="20"/>
                                    </w:rPr>
                                  </w:pPr>
                                </w:p>
                                <w:p w14:paraId="6C4CBD21">
                                  <w:pPr>
                                    <w:pStyle w:val="54"/>
                                    <w:rPr>
                                      <w:rFonts w:hint="eastAsia" w:ascii="宋体" w:hAnsi="宋体" w:eastAsia="宋体" w:cs="宋体"/>
                                      <w:sz w:val="20"/>
                                      <w:szCs w:val="20"/>
                                    </w:rPr>
                                  </w:pPr>
                                </w:p>
                                <w:p w14:paraId="45B10DE1">
                                  <w:pPr>
                                    <w:pStyle w:val="54"/>
                                    <w:spacing w:before="3"/>
                                    <w:rPr>
                                      <w:rFonts w:hint="eastAsia" w:ascii="宋体" w:hAnsi="宋体" w:eastAsia="宋体" w:cs="宋体"/>
                                    </w:rPr>
                                  </w:pPr>
                                </w:p>
                                <w:p w14:paraId="199A0C9B">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6输入</w:t>
                                  </w:r>
                                </w:p>
                                <w:p w14:paraId="407B42EE">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7D873DF">
                                  <w:pPr>
                                    <w:pStyle w:val="54"/>
                                    <w:rPr>
                                      <w:rFonts w:hint="eastAsia" w:ascii="宋体" w:hAnsi="宋体" w:eastAsia="宋体" w:cs="宋体"/>
                                      <w:sz w:val="20"/>
                                      <w:szCs w:val="20"/>
                                    </w:rPr>
                                  </w:pPr>
                                </w:p>
                                <w:p w14:paraId="34C5D481">
                                  <w:pPr>
                                    <w:pStyle w:val="54"/>
                                    <w:rPr>
                                      <w:rFonts w:hint="eastAsia" w:ascii="宋体" w:hAnsi="宋体" w:eastAsia="宋体" w:cs="宋体"/>
                                      <w:sz w:val="20"/>
                                      <w:szCs w:val="20"/>
                                    </w:rPr>
                                  </w:pPr>
                                </w:p>
                                <w:p w14:paraId="49153334">
                                  <w:pPr>
                                    <w:pStyle w:val="54"/>
                                    <w:rPr>
                                      <w:rFonts w:hint="eastAsia" w:ascii="宋体" w:hAnsi="宋体" w:eastAsia="宋体" w:cs="宋体"/>
                                      <w:sz w:val="20"/>
                                      <w:szCs w:val="20"/>
                                    </w:rPr>
                                  </w:pPr>
                                </w:p>
                                <w:p w14:paraId="7534BF7A">
                                  <w:pPr>
                                    <w:pStyle w:val="54"/>
                                    <w:spacing w:before="16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5F7EDF1F">
                                  <w:pPr>
                                    <w:pStyle w:val="54"/>
                                    <w:spacing w:before="52"/>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10</w:t>
                                  </w:r>
                                  <w:r>
                                    <w:rPr>
                                      <w:rFonts w:hint="eastAsia" w:ascii="宋体" w:hAnsi="宋体" w:eastAsia="宋体" w:cs="宋体"/>
                                      <w:w w:val="99"/>
                                      <w:sz w:val="20"/>
                                      <w:szCs w:val="20"/>
                                    </w:rPr>
                                    <w:t>1喷墨打</w:t>
                                  </w:r>
                                </w:p>
                                <w:p w14:paraId="0B00B8F3">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6203C9E7">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76319A43">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29A4A88">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A4A48E1">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C8066A9">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2B30A187">
                                  <w:pPr>
                                    <w:pStyle w:val="54"/>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02激光</w:t>
                                  </w:r>
                                </w:p>
                                <w:p w14:paraId="0B88643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292C9FD1">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3AEA7336">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0254C9">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CAB321">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F544A9">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19F058D">
                                  <w:pPr>
                                    <w:pStyle w:val="54"/>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04针式</w:t>
                                  </w:r>
                                </w:p>
                                <w:p w14:paraId="6C20F81F">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EEA906A">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0EC03763">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BC5893">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03B41E">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7A0EEF4">
                                  <w:pPr>
                                    <w:pStyle w:val="54"/>
                                    <w:spacing w:before="2"/>
                                    <w:rPr>
                                      <w:rFonts w:hint="eastAsia" w:ascii="宋体" w:hAnsi="宋体" w:eastAsia="宋体" w:cs="宋体"/>
                                      <w:sz w:val="17"/>
                                      <w:szCs w:val="17"/>
                                      <w:lang w:eastAsia="zh-CN"/>
                                    </w:rPr>
                                  </w:pPr>
                                </w:p>
                                <w:p w14:paraId="3A7E99DB">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5406F0DA">
                                  <w:pPr>
                                    <w:pStyle w:val="54"/>
                                    <w:spacing w:before="68"/>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4</w:t>
                                  </w:r>
                                  <w:r>
                                    <w:rPr>
                                      <w:rFonts w:hint="eastAsia" w:ascii="宋体" w:hAnsi="宋体" w:eastAsia="宋体" w:cs="宋体"/>
                                      <w:w w:val="99"/>
                                      <w:sz w:val="20"/>
                                      <w:szCs w:val="20"/>
                                    </w:rPr>
                                    <w:t>01液晶</w:t>
                                  </w:r>
                                </w:p>
                                <w:p w14:paraId="78ADB1E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073F73EB">
                                  <w:pPr>
                                    <w:pStyle w:val="54"/>
                                    <w:spacing w:before="68"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《计算机显示器能效限</w:t>
                                  </w:r>
                                  <w:r>
                                    <w:rPr>
                                      <w:rFonts w:hint="eastAsia" w:ascii="宋体" w:hAnsi="宋体" w:eastAsia="宋体" w:cs="宋体"/>
                                      <w:spacing w:val="9"/>
                                      <w:w w:val="99"/>
                                      <w:sz w:val="20"/>
                                      <w:szCs w:val="20"/>
                                      <w:lang w:eastAsia="zh-CN"/>
                                    </w:rPr>
                                    <w:t>定</w:t>
                                  </w:r>
                                  <w:r>
                                    <w:rPr>
                                      <w:rFonts w:hint="eastAsia" w:ascii="宋体" w:hAnsi="宋体" w:eastAsia="宋体" w:cs="宋体"/>
                                      <w:spacing w:val="12"/>
                                      <w:w w:val="99"/>
                                      <w:sz w:val="20"/>
                                      <w:szCs w:val="20"/>
                                      <w:lang w:eastAsia="zh-CN"/>
                                    </w:rPr>
                                    <w:t>值及</w:t>
                                  </w:r>
                                  <w:r>
                                    <w:rPr>
                                      <w:rFonts w:hint="eastAsia" w:ascii="宋体" w:hAnsi="宋体" w:eastAsia="宋体" w:cs="宋体"/>
                                      <w:w w:val="99"/>
                                      <w:sz w:val="20"/>
                                      <w:szCs w:val="20"/>
                                      <w:lang w:eastAsia="zh-CN"/>
                                    </w:rPr>
                                    <w:t>能效等级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0</w:t>
                                  </w:r>
                                  <w:r>
                                    <w:rPr>
                                      <w:rFonts w:hint="eastAsia" w:ascii="宋体" w:hAnsi="宋体" w:eastAsia="宋体" w:cs="宋体"/>
                                      <w:w w:val="99"/>
                                      <w:sz w:val="20"/>
                                      <w:szCs w:val="20"/>
                                      <w:lang w:eastAsia="zh-CN"/>
                                    </w:rPr>
                                    <w:t>）</w:t>
                                  </w:r>
                                </w:p>
                              </w:tc>
                            </w:tr>
                            <w:tr w14:paraId="272ACCC8">
                              <w:tblPrEx>
                                <w:tblCellMar>
                                  <w:top w:w="0" w:type="dxa"/>
                                  <w:left w:w="0" w:type="dxa"/>
                                  <w:bottom w:w="0" w:type="dxa"/>
                                  <w:right w:w="0" w:type="dxa"/>
                                </w:tblCellMar>
                              </w:tblPrEx>
                              <w:trPr>
                                <w:trHeight w:val="11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54A84CC">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FEBDC40">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71082E7">
                                  <w:pPr>
                                    <w:pStyle w:val="54"/>
                                    <w:spacing w:before="8"/>
                                    <w:rPr>
                                      <w:rFonts w:hint="eastAsia" w:ascii="宋体" w:hAnsi="宋体" w:eastAsia="宋体" w:cs="宋体"/>
                                      <w:sz w:val="27"/>
                                      <w:szCs w:val="27"/>
                                      <w:lang w:eastAsia="zh-CN"/>
                                    </w:rPr>
                                  </w:pPr>
                                </w:p>
                                <w:p w14:paraId="15687A4C">
                                  <w:pPr>
                                    <w:pStyle w:val="54"/>
                                    <w:spacing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1C52E1D9">
                                  <w:pPr>
                                    <w:pStyle w:val="54"/>
                                    <w:rPr>
                                      <w:rFonts w:hint="eastAsia" w:ascii="宋体" w:hAnsi="宋体" w:eastAsia="宋体" w:cs="宋体"/>
                                      <w:sz w:val="20"/>
                                      <w:szCs w:val="20"/>
                                    </w:rPr>
                                  </w:pPr>
                                </w:p>
                                <w:p w14:paraId="04566CC7">
                                  <w:pPr>
                                    <w:pStyle w:val="54"/>
                                    <w:spacing w:before="7"/>
                                    <w:rPr>
                                      <w:rFonts w:hint="eastAsia" w:ascii="宋体" w:hAnsi="宋体" w:eastAsia="宋体" w:cs="宋体"/>
                                      <w:sz w:val="19"/>
                                      <w:szCs w:val="19"/>
                                    </w:rPr>
                                  </w:pPr>
                                </w:p>
                                <w:p w14:paraId="7DF306EC">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9</w:t>
                                  </w:r>
                                  <w:r>
                                    <w:rPr>
                                      <w:rFonts w:hint="eastAsia" w:ascii="宋体" w:hAnsi="宋体" w:eastAsia="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0C8BACA5">
                                  <w:pPr>
                                    <w:pStyle w:val="54"/>
                                    <w:spacing w:before="49"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参</w:t>
                                  </w:r>
                                  <w:r>
                                    <w:rPr>
                                      <w:rFonts w:hint="eastAsia" w:ascii="宋体" w:hAnsi="宋体" w:eastAsia="宋体" w:cs="宋体"/>
                                      <w:spacing w:val="-29"/>
                                      <w:w w:val="99"/>
                                      <w:sz w:val="20"/>
                                      <w:szCs w:val="20"/>
                                      <w:lang w:eastAsia="zh-CN"/>
                                    </w:rPr>
                                    <w:t>照</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复</w:t>
                                  </w:r>
                                  <w:r>
                                    <w:rPr>
                                      <w:rFonts w:hint="eastAsia" w:ascii="宋体" w:hAnsi="宋体" w:eastAsia="宋体" w:cs="宋体"/>
                                      <w:w w:val="99"/>
                                      <w:sz w:val="20"/>
                                      <w:szCs w:val="20"/>
                                      <w:lang w:eastAsia="zh-CN"/>
                                    </w:rPr>
                                    <w:t>印</w:t>
                                  </w:r>
                                  <w:r>
                                    <w:rPr>
                                      <w:rFonts w:hint="eastAsia" w:ascii="宋体" w:hAnsi="宋体" w:eastAsia="宋体" w:cs="宋体"/>
                                      <w:spacing w:val="2"/>
                                      <w:w w:val="99"/>
                                      <w:sz w:val="20"/>
                                      <w:szCs w:val="20"/>
                                      <w:lang w:eastAsia="zh-CN"/>
                                    </w:rPr>
                                    <w:t>机</w:t>
                                  </w:r>
                                  <w:r>
                                    <w:rPr>
                                      <w:rFonts w:hint="eastAsia" w:ascii="宋体" w:hAnsi="宋体" w:eastAsia="宋体" w:cs="宋体"/>
                                      <w:spacing w:val="-29"/>
                                      <w:w w:val="99"/>
                                      <w:sz w:val="20"/>
                                      <w:szCs w:val="20"/>
                                      <w:lang w:eastAsia="zh-CN"/>
                                    </w:rPr>
                                    <w:t>、</w:t>
                                  </w:r>
                                  <w:r>
                                    <w:rPr>
                                      <w:rFonts w:hint="eastAsia" w:ascii="宋体" w:hAnsi="宋体" w:eastAsia="宋体" w:cs="宋体"/>
                                      <w:w w:val="99"/>
                                      <w:sz w:val="20"/>
                                      <w:szCs w:val="20"/>
                                      <w:lang w:eastAsia="zh-CN"/>
                                    </w:rPr>
                                    <w:t>打</w:t>
                                  </w:r>
                                  <w:r>
                                    <w:rPr>
                                      <w:rFonts w:hint="eastAsia" w:ascii="宋体" w:hAnsi="宋体" w:eastAsia="宋体" w:cs="宋体"/>
                                      <w:spacing w:val="2"/>
                                      <w:w w:val="99"/>
                                      <w:sz w:val="20"/>
                                      <w:szCs w:val="20"/>
                                      <w:lang w:eastAsia="zh-CN"/>
                                    </w:rPr>
                                    <w:t>印</w:t>
                                  </w:r>
                                  <w:r>
                                    <w:rPr>
                                      <w:rFonts w:hint="eastAsia" w:ascii="宋体" w:hAnsi="宋体" w:eastAsia="宋体" w:cs="宋体"/>
                                      <w:w w:val="99"/>
                                      <w:sz w:val="20"/>
                                      <w:szCs w:val="20"/>
                                      <w:lang w:eastAsia="zh-CN"/>
                                    </w:rPr>
                                    <w:t>机和</w:t>
                                  </w:r>
                                  <w:r>
                                    <w:rPr>
                                      <w:rFonts w:hint="eastAsia" w:ascii="宋体" w:hAnsi="宋体" w:eastAsia="宋体" w:cs="宋体"/>
                                      <w:spacing w:val="2"/>
                                      <w:w w:val="99"/>
                                      <w:sz w:val="20"/>
                                      <w:szCs w:val="20"/>
                                      <w:lang w:eastAsia="zh-CN"/>
                                    </w:rPr>
                                    <w:t>传</w:t>
                                  </w:r>
                                  <w:r>
                                    <w:rPr>
                                      <w:rFonts w:hint="eastAsia" w:ascii="宋体" w:hAnsi="宋体" w:eastAsia="宋体" w:cs="宋体"/>
                                      <w:w w:val="99"/>
                                      <w:sz w:val="20"/>
                                      <w:szCs w:val="20"/>
                                      <w:lang w:eastAsia="zh-CN"/>
                                    </w:rPr>
                                    <w:t>真机能效限定</w:t>
                                  </w:r>
                                  <w:r>
                                    <w:rPr>
                                      <w:rFonts w:hint="eastAsia" w:ascii="宋体" w:hAnsi="宋体" w:eastAsia="宋体" w:cs="宋体"/>
                                      <w:spacing w:val="2"/>
                                      <w:w w:val="99"/>
                                      <w:sz w:val="20"/>
                                      <w:szCs w:val="20"/>
                                      <w:lang w:eastAsia="zh-CN"/>
                                    </w:rPr>
                                    <w:t>值</w:t>
                                  </w:r>
                                  <w:r>
                                    <w:rPr>
                                      <w:rFonts w:hint="eastAsia" w:ascii="宋体" w:hAnsi="宋体" w:eastAsia="宋体" w:cs="宋体"/>
                                      <w:w w:val="99"/>
                                      <w:sz w:val="20"/>
                                      <w:szCs w:val="20"/>
                                      <w:lang w:eastAsia="zh-CN"/>
                                    </w:rPr>
                                    <w:t>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06"/>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2152</w:t>
                                  </w:r>
                                  <w:r>
                                    <w:rPr>
                                      <w:rFonts w:hint="eastAsia" w:ascii="宋体" w:hAnsi="宋体" w:eastAsia="宋体" w:cs="宋体"/>
                                      <w:w w:val="99"/>
                                      <w:sz w:val="20"/>
                                      <w:szCs w:val="20"/>
                                      <w:lang w:eastAsia="zh-CN"/>
                                    </w:rPr>
                                    <w:t>1）</w:t>
                                  </w:r>
                                  <w:r>
                                    <w:rPr>
                                      <w:rFonts w:hint="eastAsia" w:ascii="宋体" w:hAnsi="宋体" w:eastAsia="宋体" w:cs="宋体"/>
                                      <w:spacing w:val="2"/>
                                      <w:w w:val="99"/>
                                      <w:sz w:val="20"/>
                                      <w:szCs w:val="20"/>
                                      <w:lang w:eastAsia="zh-CN"/>
                                    </w:rPr>
                                    <w:t>中</w:t>
                                  </w:r>
                                  <w:r>
                                    <w:rPr>
                                      <w:rFonts w:hint="eastAsia" w:ascii="宋体" w:hAnsi="宋体" w:eastAsia="宋体" w:cs="宋体"/>
                                      <w:spacing w:val="4"/>
                                      <w:w w:val="99"/>
                                      <w:sz w:val="20"/>
                                      <w:szCs w:val="20"/>
                                      <w:lang w:eastAsia="zh-CN"/>
                                    </w:rPr>
                                    <w:t>打印速</w:t>
                                  </w:r>
                                  <w:r>
                                    <w:rPr>
                                      <w:rFonts w:hint="eastAsia" w:ascii="宋体" w:hAnsi="宋体" w:eastAsia="宋体" w:cs="宋体"/>
                                      <w:spacing w:val="2"/>
                                      <w:w w:val="99"/>
                                      <w:sz w:val="20"/>
                                      <w:szCs w:val="20"/>
                                      <w:lang w:eastAsia="zh-CN"/>
                                    </w:rPr>
                                    <w:t>度</w:t>
                                  </w:r>
                                  <w:r>
                                    <w:rPr>
                                      <w:rFonts w:hint="eastAsia" w:ascii="宋体" w:hAnsi="宋体" w:eastAsia="宋体" w:cs="宋体"/>
                                      <w:w w:val="99"/>
                                      <w:sz w:val="20"/>
                                      <w:szCs w:val="20"/>
                                      <w:lang w:eastAsia="zh-CN"/>
                                    </w:rPr>
                                    <w:t>为</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5</w:t>
                                  </w:r>
                                  <w:r>
                                    <w:rPr>
                                      <w:rFonts w:hint="eastAsia" w:ascii="宋体" w:hAnsi="宋体" w:eastAsia="宋体" w:cs="宋体"/>
                                      <w:spacing w:val="2"/>
                                      <w:w w:val="99"/>
                                      <w:sz w:val="20"/>
                                      <w:szCs w:val="20"/>
                                      <w:lang w:eastAsia="zh-CN"/>
                                    </w:rPr>
                                    <w:t>页</w:t>
                                  </w:r>
                                  <w:r>
                                    <w:rPr>
                                      <w:rFonts w:hint="eastAsia" w:ascii="宋体" w:hAnsi="宋体" w:eastAsia="宋体" w:cs="宋体"/>
                                      <w:spacing w:val="5"/>
                                      <w:w w:val="99"/>
                                      <w:sz w:val="20"/>
                                      <w:szCs w:val="20"/>
                                      <w:lang w:eastAsia="zh-CN"/>
                                    </w:rPr>
                                    <w:t>/</w:t>
                                  </w:r>
                                  <w:r>
                                    <w:rPr>
                                      <w:rFonts w:hint="eastAsia" w:ascii="宋体" w:hAnsi="宋体" w:eastAsia="宋体" w:cs="宋体"/>
                                      <w:spacing w:val="4"/>
                                      <w:w w:val="99"/>
                                      <w:sz w:val="20"/>
                                      <w:szCs w:val="20"/>
                                      <w:lang w:eastAsia="zh-CN"/>
                                    </w:rPr>
                                    <w:t>分的</w:t>
                                  </w:r>
                                  <w:r>
                                    <w:rPr>
                                      <w:rFonts w:hint="eastAsia" w:ascii="宋体" w:hAnsi="宋体" w:eastAsia="宋体" w:cs="宋体"/>
                                      <w:spacing w:val="2"/>
                                      <w:w w:val="99"/>
                                      <w:sz w:val="20"/>
                                      <w:szCs w:val="20"/>
                                      <w:lang w:eastAsia="zh-CN"/>
                                    </w:rPr>
                                    <w:t>针</w:t>
                                  </w:r>
                                  <w:r>
                                    <w:rPr>
                                      <w:rFonts w:hint="eastAsia" w:ascii="宋体" w:hAnsi="宋体" w:eastAsia="宋体" w:cs="宋体"/>
                                      <w:spacing w:val="4"/>
                                      <w:w w:val="99"/>
                                      <w:sz w:val="20"/>
                                      <w:szCs w:val="20"/>
                                      <w:lang w:eastAsia="zh-CN"/>
                                    </w:rPr>
                                    <w:t>式</w:t>
                                  </w:r>
                                  <w:r>
                                    <w:rPr>
                                      <w:rFonts w:hint="eastAsia" w:ascii="宋体" w:hAnsi="宋体" w:eastAsia="宋体" w:cs="宋体"/>
                                      <w:w w:val="99"/>
                                      <w:sz w:val="20"/>
                                      <w:szCs w:val="20"/>
                                      <w:lang w:eastAsia="zh-CN"/>
                                    </w:rPr>
                                    <w:t>打印机相</w:t>
                                  </w:r>
                                  <w:r>
                                    <w:rPr>
                                      <w:rFonts w:hint="eastAsia" w:ascii="宋体" w:hAnsi="宋体" w:eastAsia="宋体" w:cs="宋体"/>
                                      <w:spacing w:val="2"/>
                                      <w:w w:val="99"/>
                                      <w:sz w:val="20"/>
                                      <w:szCs w:val="20"/>
                                      <w:lang w:eastAsia="zh-CN"/>
                                    </w:rPr>
                                    <w:t>关</w:t>
                                  </w:r>
                                  <w:r>
                                    <w:rPr>
                                      <w:rFonts w:hint="eastAsia" w:ascii="宋体" w:hAnsi="宋体" w:eastAsia="宋体" w:cs="宋体"/>
                                      <w:w w:val="99"/>
                                      <w:sz w:val="20"/>
                                      <w:szCs w:val="20"/>
                                      <w:lang w:eastAsia="zh-CN"/>
                                    </w:rPr>
                                    <w:t>要求</w:t>
                                  </w:r>
                                </w:p>
                              </w:tc>
                            </w:tr>
                            <w:tr w14:paraId="6D07BEEE">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19DB0172">
                                  <w:pPr>
                                    <w:pStyle w:val="54"/>
                                    <w:spacing w:before="179"/>
                                    <w:ind w:right="1"/>
                                    <w:jc w:val="center"/>
                                    <w:rPr>
                                      <w:rFonts w:hint="eastAsia" w:ascii="宋体" w:hAnsi="宋体" w:eastAsia="宋体" w:cs="宋体"/>
                                      <w:sz w:val="20"/>
                                      <w:szCs w:val="20"/>
                                    </w:rPr>
                                  </w:pPr>
                                  <w:r>
                                    <w:rPr>
                                      <w:rFonts w:hint="eastAsia" w:ascii="宋体" w:hAnsi="宋体" w:eastAsia="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2845F236">
                                  <w:pPr>
                                    <w:pStyle w:val="54"/>
                                    <w:spacing w:before="23"/>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2投影</w:t>
                                  </w:r>
                                </w:p>
                                <w:p w14:paraId="6062FB8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5ED6B65B">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1FA45420">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3B7AB4B7">
                                  <w:pPr>
                                    <w:pStyle w:val="54"/>
                                    <w:spacing w:before="23"/>
                                    <w:ind w:left="7"/>
                                    <w:rPr>
                                      <w:rFonts w:hint="eastAsia" w:ascii="宋体" w:hAnsi="宋体" w:eastAsia="宋体" w:cs="宋体"/>
                                      <w:sz w:val="20"/>
                                      <w:szCs w:val="20"/>
                                      <w:lang w:eastAsia="zh-CN"/>
                                    </w:rPr>
                                  </w:pPr>
                                  <w:r>
                                    <w:rPr>
                                      <w:rFonts w:hint="eastAsia" w:ascii="宋体" w:hAnsi="宋体" w:eastAsia="宋体" w:cs="宋体"/>
                                      <w:w w:val="99"/>
                                      <w:sz w:val="20"/>
                                      <w:szCs w:val="20"/>
                                      <w:lang w:eastAsia="zh-CN"/>
                                    </w:rPr>
                                    <w:t>《投影</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w:t>
                                  </w:r>
                                  <w:r>
                                    <w:rPr>
                                      <w:rFonts w:hint="eastAsia" w:ascii="宋体" w:hAnsi="宋体" w:eastAsia="宋体" w:cs="宋体"/>
                                      <w:spacing w:val="2"/>
                                      <w:w w:val="99"/>
                                      <w:sz w:val="20"/>
                                      <w:szCs w:val="20"/>
                                      <w:lang w:eastAsia="zh-CN"/>
                                    </w:rPr>
                                    <w:t>限</w:t>
                                  </w:r>
                                  <w:r>
                                    <w:rPr>
                                      <w:rFonts w:hint="eastAsia" w:ascii="宋体" w:hAnsi="宋体" w:eastAsia="宋体" w:cs="宋体"/>
                                      <w:w w:val="99"/>
                                      <w:sz w:val="20"/>
                                      <w:szCs w:val="20"/>
                                      <w:lang w:eastAsia="zh-CN"/>
                                    </w:rPr>
                                    <w:t>定值</w:t>
                                  </w:r>
                                  <w:r>
                                    <w:rPr>
                                      <w:rFonts w:hint="eastAsia" w:ascii="宋体" w:hAnsi="宋体" w:eastAsia="宋体" w:cs="宋体"/>
                                      <w:spacing w:val="2"/>
                                      <w:w w:val="99"/>
                                      <w:sz w:val="20"/>
                                      <w:szCs w:val="20"/>
                                      <w:lang w:eastAsia="zh-CN"/>
                                    </w:rPr>
                                    <w:t>及</w:t>
                                  </w:r>
                                  <w:r>
                                    <w:rPr>
                                      <w:rFonts w:hint="eastAsia" w:ascii="宋体" w:hAnsi="宋体" w:eastAsia="宋体" w:cs="宋体"/>
                                      <w:w w:val="99"/>
                                      <w:sz w:val="20"/>
                                      <w:szCs w:val="20"/>
                                      <w:lang w:eastAsia="zh-CN"/>
                                    </w:rPr>
                                    <w:t>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w:t>
                                  </w:r>
                                  <w:r>
                                    <w:rPr>
                                      <w:rFonts w:hint="eastAsia" w:ascii="宋体" w:hAnsi="宋体" w:eastAsia="宋体" w:cs="宋体"/>
                                      <w:w w:val="99"/>
                                      <w:sz w:val="20"/>
                                      <w:szCs w:val="20"/>
                                      <w:lang w:eastAsia="zh-CN"/>
                                    </w:rPr>
                                    <w:t>20</w:t>
                                  </w:r>
                                  <w:r>
                                    <w:rPr>
                                      <w:rFonts w:hint="eastAsia" w:ascii="宋体" w:hAnsi="宋体" w:eastAsia="宋体" w:cs="宋体"/>
                                      <w:spacing w:val="1"/>
                                      <w:w w:val="99"/>
                                      <w:sz w:val="20"/>
                                      <w:szCs w:val="20"/>
                                      <w:lang w:eastAsia="zh-CN"/>
                                    </w:rPr>
                                    <w:t>28</w:t>
                                  </w:r>
                                  <w:r>
                                    <w:rPr>
                                      <w:rFonts w:hint="eastAsia" w:ascii="宋体" w:hAnsi="宋体" w:eastAsia="宋体" w:cs="宋体"/>
                                      <w:w w:val="99"/>
                                      <w:sz w:val="20"/>
                                      <w:szCs w:val="20"/>
                                      <w:lang w:eastAsia="zh-CN"/>
                                    </w:rPr>
                                    <w:t>）</w:t>
                                  </w:r>
                                </w:p>
                              </w:tc>
                            </w:tr>
                            <w:tr w14:paraId="7B9F3833">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515B49D8">
                                  <w:pPr>
                                    <w:pStyle w:val="54"/>
                                    <w:spacing w:before="13"/>
                                    <w:rPr>
                                      <w:rFonts w:hint="eastAsia" w:ascii="宋体" w:hAnsi="宋体" w:eastAsia="宋体" w:cs="宋体"/>
                                      <w:sz w:val="16"/>
                                      <w:szCs w:val="16"/>
                                      <w:lang w:eastAsia="zh-CN"/>
                                    </w:rPr>
                                  </w:pPr>
                                </w:p>
                                <w:p w14:paraId="72152A85">
                                  <w:pPr>
                                    <w:pStyle w:val="54"/>
                                    <w:ind w:right="1"/>
                                    <w:jc w:val="center"/>
                                    <w:rPr>
                                      <w:rFonts w:hint="eastAsia" w:ascii="宋体" w:hAnsi="宋体" w:eastAsia="宋体" w:cs="宋体"/>
                                      <w:sz w:val="20"/>
                                      <w:szCs w:val="20"/>
                                    </w:rPr>
                                  </w:pPr>
                                  <w:r>
                                    <w:rPr>
                                      <w:rFonts w:hint="eastAsia" w:ascii="宋体" w:hAnsi="宋体" w:eastAsia="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A562077">
                                  <w:pPr>
                                    <w:pStyle w:val="54"/>
                                    <w:spacing w:before="66"/>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4多功</w:t>
                                  </w:r>
                                </w:p>
                                <w:p w14:paraId="7EE345AA">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5B62A6E6">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0815CD34">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3C27CA42">
                                  <w:pPr>
                                    <w:pStyle w:val="54"/>
                                    <w:spacing w:before="66"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6F3ABA83">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4B27641B">
                                  <w:pPr>
                                    <w:pStyle w:val="54"/>
                                    <w:spacing w:before="160"/>
                                    <w:ind w:right="1"/>
                                    <w:jc w:val="center"/>
                                    <w:rPr>
                                      <w:rFonts w:hint="eastAsia" w:ascii="宋体" w:hAnsi="宋体" w:eastAsia="宋体" w:cs="宋体"/>
                                      <w:sz w:val="20"/>
                                      <w:szCs w:val="20"/>
                                    </w:rPr>
                                  </w:pPr>
                                  <w:r>
                                    <w:rPr>
                                      <w:rFonts w:hint="eastAsia" w:ascii="宋体" w:hAnsi="宋体" w:eastAsia="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790249C8">
                                  <w:pPr>
                                    <w:pStyle w:val="54"/>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75D1DC34">
                                  <w:pPr>
                                    <w:pStyle w:val="54"/>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4F55D403">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BB685EE">
                                  <w:pPr>
                                    <w:pStyle w:val="54"/>
                                    <w:spacing w:before="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《清水离心泵能效限定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及节</w:t>
                                  </w:r>
                                  <w:r>
                                    <w:rPr>
                                      <w:rFonts w:hint="eastAsia" w:ascii="宋体" w:hAnsi="宋体" w:eastAsia="宋体" w:cs="宋体"/>
                                      <w:w w:val="99"/>
                                      <w:sz w:val="20"/>
                                      <w:szCs w:val="20"/>
                                      <w:lang w:eastAsia="zh-CN"/>
                                    </w:rPr>
                                    <w:t>能评价值</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w:t>
                                  </w:r>
                                  <w:r>
                                    <w:rPr>
                                      <w:rFonts w:hint="eastAsia" w:ascii="宋体" w:hAnsi="宋体" w:eastAsia="宋体" w:cs="宋体"/>
                                      <w:w w:val="99"/>
                                      <w:sz w:val="20"/>
                                      <w:szCs w:val="20"/>
                                      <w:lang w:eastAsia="zh-CN"/>
                                    </w:rPr>
                                    <w:t>76</w:t>
                                  </w:r>
                                  <w:r>
                                    <w:rPr>
                                      <w:rFonts w:hint="eastAsia" w:ascii="宋体" w:hAnsi="宋体" w:eastAsia="宋体" w:cs="宋体"/>
                                      <w:spacing w:val="1"/>
                                      <w:w w:val="99"/>
                                      <w:sz w:val="20"/>
                                      <w:szCs w:val="20"/>
                                      <w:lang w:eastAsia="zh-CN"/>
                                    </w:rPr>
                                    <w:t>2</w:t>
                                  </w:r>
                                  <w:r>
                                    <w:rPr>
                                      <w:rFonts w:hint="eastAsia" w:ascii="宋体" w:hAnsi="宋体" w:eastAsia="宋体" w:cs="宋体"/>
                                      <w:w w:val="99"/>
                                      <w:sz w:val="20"/>
                                      <w:szCs w:val="20"/>
                                      <w:lang w:eastAsia="zh-CN"/>
                                    </w:rPr>
                                    <w:t>）</w:t>
                                  </w:r>
                                </w:p>
                              </w:tc>
                            </w:tr>
                            <w:tr w14:paraId="39B75FD5">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EA6FE95">
                                  <w:pPr>
                                    <w:pStyle w:val="54"/>
                                    <w:rPr>
                                      <w:rFonts w:hint="eastAsia" w:ascii="宋体" w:hAnsi="宋体" w:eastAsia="宋体" w:cs="宋体"/>
                                      <w:sz w:val="20"/>
                                      <w:szCs w:val="20"/>
                                      <w:lang w:eastAsia="zh-CN"/>
                                    </w:rPr>
                                  </w:pPr>
                                </w:p>
                                <w:p w14:paraId="3907299F">
                                  <w:pPr>
                                    <w:pStyle w:val="54"/>
                                    <w:rPr>
                                      <w:rFonts w:hint="eastAsia" w:ascii="宋体" w:hAnsi="宋体" w:eastAsia="宋体" w:cs="宋体"/>
                                      <w:sz w:val="20"/>
                                      <w:szCs w:val="20"/>
                                      <w:lang w:eastAsia="zh-CN"/>
                                    </w:rPr>
                                  </w:pPr>
                                </w:p>
                                <w:p w14:paraId="054B2E3B">
                                  <w:pPr>
                                    <w:pStyle w:val="54"/>
                                    <w:spacing w:before="7"/>
                                    <w:rPr>
                                      <w:rFonts w:hint="eastAsia" w:ascii="宋体" w:hAnsi="宋体" w:eastAsia="宋体" w:cs="宋体"/>
                                      <w:sz w:val="26"/>
                                      <w:szCs w:val="26"/>
                                      <w:lang w:eastAsia="zh-CN"/>
                                    </w:rPr>
                                  </w:pPr>
                                </w:p>
                                <w:p w14:paraId="4C08614B">
                                  <w:pPr>
                                    <w:pStyle w:val="54"/>
                                    <w:ind w:right="1"/>
                                    <w:jc w:val="center"/>
                                    <w:rPr>
                                      <w:rFonts w:hint="eastAsia" w:ascii="宋体" w:hAnsi="宋体" w:eastAsia="宋体" w:cs="宋体"/>
                                      <w:sz w:val="20"/>
                                      <w:szCs w:val="20"/>
                                    </w:rPr>
                                  </w:pPr>
                                  <w:r>
                                    <w:rPr>
                                      <w:rFonts w:hint="eastAsia" w:ascii="宋体" w:hAnsi="宋体" w:eastAsia="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1993371B">
                                  <w:pPr>
                                    <w:pStyle w:val="54"/>
                                    <w:rPr>
                                      <w:rFonts w:hint="eastAsia" w:ascii="宋体" w:hAnsi="宋体" w:eastAsia="宋体" w:cs="宋体"/>
                                      <w:sz w:val="20"/>
                                      <w:szCs w:val="20"/>
                                    </w:rPr>
                                  </w:pPr>
                                </w:p>
                                <w:p w14:paraId="38BB1323">
                                  <w:pPr>
                                    <w:pStyle w:val="54"/>
                                    <w:rPr>
                                      <w:rFonts w:hint="eastAsia" w:ascii="宋体" w:hAnsi="宋体" w:eastAsia="宋体" w:cs="宋体"/>
                                      <w:sz w:val="20"/>
                                      <w:szCs w:val="20"/>
                                    </w:rPr>
                                  </w:pPr>
                                </w:p>
                                <w:p w14:paraId="1B62CA0D">
                                  <w:pPr>
                                    <w:pStyle w:val="54"/>
                                    <w:spacing w:before="8"/>
                                    <w:rPr>
                                      <w:rFonts w:hint="eastAsia" w:ascii="宋体" w:hAnsi="宋体" w:eastAsia="宋体" w:cs="宋体"/>
                                      <w:sz w:val="14"/>
                                      <w:szCs w:val="14"/>
                                    </w:rPr>
                                  </w:pPr>
                                </w:p>
                                <w:p w14:paraId="7A2108DD">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2</w:t>
                                  </w:r>
                                  <w:r>
                                    <w:rPr>
                                      <w:rFonts w:hint="eastAsia" w:ascii="宋体" w:hAnsi="宋体" w:eastAsia="宋体" w:cs="宋体"/>
                                      <w:w w:val="99"/>
                                      <w:sz w:val="20"/>
                                      <w:szCs w:val="20"/>
                                    </w:rPr>
                                    <w:t>3制冷</w:t>
                                  </w:r>
                                </w:p>
                                <w:p w14:paraId="14091B4C">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F502632">
                                  <w:pPr>
                                    <w:pStyle w:val="54"/>
                                    <w:rPr>
                                      <w:rFonts w:hint="eastAsia" w:ascii="宋体" w:hAnsi="宋体" w:eastAsia="宋体" w:cs="宋体"/>
                                      <w:sz w:val="20"/>
                                      <w:szCs w:val="20"/>
                                    </w:rPr>
                                  </w:pPr>
                                </w:p>
                                <w:p w14:paraId="1D50B6B5">
                                  <w:pPr>
                                    <w:pStyle w:val="54"/>
                                    <w:rPr>
                                      <w:rFonts w:hint="eastAsia" w:ascii="宋体" w:hAnsi="宋体" w:eastAsia="宋体" w:cs="宋体"/>
                                      <w:sz w:val="20"/>
                                      <w:szCs w:val="20"/>
                                    </w:rPr>
                                  </w:pPr>
                                </w:p>
                                <w:p w14:paraId="67029A53">
                                  <w:pPr>
                                    <w:pStyle w:val="54"/>
                                    <w:spacing w:before="8"/>
                                    <w:rPr>
                                      <w:rFonts w:hint="eastAsia" w:ascii="宋体" w:hAnsi="宋体" w:eastAsia="宋体" w:cs="宋体"/>
                                      <w:sz w:val="14"/>
                                      <w:szCs w:val="14"/>
                                    </w:rPr>
                                  </w:pPr>
                                </w:p>
                                <w:p w14:paraId="3E253819">
                                  <w:pPr>
                                    <w:pStyle w:val="54"/>
                                    <w:spacing w:line="280" w:lineRule="auto"/>
                                    <w:ind w:left="7" w:right="5"/>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A020</w:t>
                                  </w:r>
                                  <w:r>
                                    <w:rPr>
                                      <w:rFonts w:hint="eastAsia" w:ascii="宋体" w:hAnsi="宋体" w:eastAsia="宋体" w:cs="宋体"/>
                                      <w:w w:val="99"/>
                                      <w:sz w:val="20"/>
                                      <w:szCs w:val="20"/>
                                    </w:rPr>
                                    <w:t>52</w:t>
                                  </w:r>
                                  <w:r>
                                    <w:rPr>
                                      <w:rFonts w:hint="eastAsia" w:ascii="宋体" w:hAnsi="宋体" w:eastAsia="宋体" w:cs="宋体"/>
                                      <w:spacing w:val="1"/>
                                      <w:w w:val="99"/>
                                      <w:sz w:val="20"/>
                                      <w:szCs w:val="20"/>
                                    </w:rPr>
                                    <w:t>3</w:t>
                                  </w:r>
                                  <w:r>
                                    <w:rPr>
                                      <w:rFonts w:hint="eastAsia" w:ascii="宋体" w:hAnsi="宋体" w:eastAsia="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011A555B">
                                  <w:pPr>
                                    <w:pStyle w:val="54"/>
                                    <w:rPr>
                                      <w:rFonts w:hint="eastAsia" w:ascii="宋体" w:hAnsi="宋体" w:eastAsia="宋体" w:cs="宋体"/>
                                      <w:sz w:val="20"/>
                                      <w:szCs w:val="20"/>
                                    </w:rPr>
                                  </w:pPr>
                                </w:p>
                                <w:p w14:paraId="5D1E1395">
                                  <w:pPr>
                                    <w:pStyle w:val="54"/>
                                    <w:spacing w:before="1"/>
                                    <w:rPr>
                                      <w:rFonts w:hint="eastAsia" w:ascii="宋体" w:hAnsi="宋体" w:eastAsia="宋体" w:cs="宋体"/>
                                      <w:sz w:val="18"/>
                                      <w:szCs w:val="18"/>
                                    </w:rPr>
                                  </w:pPr>
                                </w:p>
                                <w:p w14:paraId="59046523">
                                  <w:pPr>
                                    <w:pStyle w:val="54"/>
                                    <w:ind w:left="7"/>
                                    <w:rPr>
                                      <w:rFonts w:hint="eastAsia" w:ascii="宋体" w:hAnsi="宋体" w:eastAsia="宋体" w:cs="宋体"/>
                                      <w:sz w:val="20"/>
                                      <w:szCs w:val="20"/>
                                    </w:rPr>
                                  </w:pPr>
                                  <w:r>
                                    <w:rPr>
                                      <w:rFonts w:hint="eastAsia" w:ascii="宋体" w:hAnsi="宋体" w:eastAsia="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70A349A8">
                                  <w:pPr>
                                    <w:pStyle w:val="54"/>
                                    <w:spacing w:before="30" w:line="280" w:lineRule="auto"/>
                                    <w:ind w:left="7" w:right="4"/>
                                    <w:jc w:val="both"/>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《冷水机组能效限定值</w:t>
                                  </w:r>
                                  <w:r>
                                    <w:rPr>
                                      <w:rFonts w:hint="eastAsia" w:ascii="宋体" w:hAnsi="宋体" w:eastAsia="宋体" w:cs="宋体"/>
                                      <w:spacing w:val="9"/>
                                      <w:w w:val="99"/>
                                      <w:sz w:val="20"/>
                                      <w:szCs w:val="20"/>
                                      <w:lang w:eastAsia="zh-CN"/>
                                    </w:rPr>
                                    <w:t>及</w:t>
                                  </w:r>
                                  <w:r>
                                    <w:rPr>
                                      <w:rFonts w:hint="eastAsia" w:ascii="宋体" w:hAnsi="宋体" w:eastAsia="宋体" w:cs="宋体"/>
                                      <w:spacing w:val="12"/>
                                      <w:w w:val="99"/>
                                      <w:sz w:val="20"/>
                                      <w:szCs w:val="20"/>
                                      <w:lang w:eastAsia="zh-CN"/>
                                    </w:rPr>
                                    <w:t>能效</w:t>
                                  </w:r>
                                  <w:r>
                                    <w:rPr>
                                      <w:rFonts w:hint="eastAsia" w:ascii="宋体" w:hAnsi="宋体" w:eastAsia="宋体" w:cs="宋体"/>
                                      <w:w w:val="99"/>
                                      <w:sz w:val="20"/>
                                      <w:szCs w:val="20"/>
                                      <w:lang w:eastAsia="zh-CN"/>
                                    </w:rPr>
                                    <w:t>等级</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195</w:t>
                                  </w:r>
                                  <w:r>
                                    <w:rPr>
                                      <w:rFonts w:hint="eastAsia" w:ascii="宋体" w:hAnsi="宋体" w:eastAsia="宋体" w:cs="宋体"/>
                                      <w:w w:val="99"/>
                                      <w:sz w:val="20"/>
                                      <w:szCs w:val="20"/>
                                      <w:lang w:eastAsia="zh-CN"/>
                                    </w:rPr>
                                    <w:t>77</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《低</w:t>
                                  </w:r>
                                  <w:r>
                                    <w:rPr>
                                      <w:rFonts w:hint="eastAsia" w:ascii="宋体" w:hAnsi="宋体" w:eastAsia="宋体" w:cs="宋体"/>
                                      <w:spacing w:val="2"/>
                                      <w:w w:val="99"/>
                                      <w:sz w:val="20"/>
                                      <w:szCs w:val="20"/>
                                      <w:lang w:eastAsia="zh-CN"/>
                                    </w:rPr>
                                    <w:t>环</w:t>
                                  </w:r>
                                  <w:r>
                                    <w:rPr>
                                      <w:rFonts w:hint="eastAsia" w:ascii="宋体" w:hAnsi="宋体" w:eastAsia="宋体" w:cs="宋体"/>
                                      <w:w w:val="99"/>
                                      <w:sz w:val="20"/>
                                      <w:szCs w:val="20"/>
                                      <w:lang w:eastAsia="zh-CN"/>
                                    </w:rPr>
                                    <w:t>境温度空气源</w:t>
                                  </w:r>
                                  <w:r>
                                    <w:rPr>
                                      <w:rFonts w:hint="eastAsia" w:ascii="宋体" w:hAnsi="宋体" w:eastAsia="宋体" w:cs="宋体"/>
                                      <w:spacing w:val="2"/>
                                      <w:w w:val="99"/>
                                      <w:sz w:val="20"/>
                                      <w:szCs w:val="20"/>
                                      <w:lang w:eastAsia="zh-CN"/>
                                    </w:rPr>
                                    <w:t>热</w:t>
                                  </w:r>
                                  <w:r>
                                    <w:rPr>
                                      <w:rFonts w:hint="eastAsia" w:ascii="宋体" w:hAnsi="宋体" w:eastAsia="宋体" w:cs="宋体"/>
                                      <w:spacing w:val="-29"/>
                                      <w:w w:val="99"/>
                                      <w:sz w:val="20"/>
                                      <w:szCs w:val="20"/>
                                      <w:lang w:eastAsia="zh-CN"/>
                                    </w:rPr>
                                    <w:t>泵</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冷水</w:t>
                                  </w:r>
                                  <w:r>
                                    <w:rPr>
                                      <w:rFonts w:hint="eastAsia" w:ascii="宋体" w:hAnsi="宋体" w:eastAsia="宋体" w:cs="宋体"/>
                                      <w:spacing w:val="-27"/>
                                      <w:w w:val="99"/>
                                      <w:sz w:val="20"/>
                                      <w:szCs w:val="20"/>
                                      <w:lang w:eastAsia="zh-CN"/>
                                    </w:rPr>
                                    <w:t>）</w:t>
                                  </w:r>
                                  <w:r>
                                    <w:rPr>
                                      <w:rFonts w:hint="eastAsia" w:ascii="宋体" w:hAnsi="宋体" w:eastAsia="宋体" w:cs="宋体"/>
                                      <w:w w:val="99"/>
                                      <w:sz w:val="20"/>
                                      <w:szCs w:val="20"/>
                                      <w:lang w:eastAsia="zh-CN"/>
                                    </w:rPr>
                                    <w:t>机组</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效限定值及能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37</w:t>
                                  </w:r>
                                  <w:r>
                                    <w:rPr>
                                      <w:rFonts w:hint="eastAsia" w:ascii="宋体" w:hAnsi="宋体" w:eastAsia="宋体" w:cs="宋体"/>
                                      <w:w w:val="99"/>
                                      <w:sz w:val="20"/>
                                      <w:szCs w:val="20"/>
                                      <w:lang w:eastAsia="zh-CN"/>
                                    </w:rPr>
                                    <w:t>48</w:t>
                                  </w:r>
                                  <w:r>
                                    <w:rPr>
                                      <w:rFonts w:hint="eastAsia" w:ascii="宋体" w:hAnsi="宋体" w:eastAsia="宋体" w:cs="宋体"/>
                                      <w:spacing w:val="-2"/>
                                      <w:w w:val="99"/>
                                      <w:sz w:val="20"/>
                                      <w:szCs w:val="20"/>
                                      <w:lang w:eastAsia="zh-CN"/>
                                    </w:rPr>
                                    <w:t>0</w:t>
                                  </w:r>
                                  <w:r>
                                    <w:rPr>
                                      <w:rFonts w:hint="eastAsia" w:ascii="宋体" w:hAnsi="宋体" w:eastAsia="宋体" w:cs="宋体"/>
                                      <w:w w:val="99"/>
                                      <w:sz w:val="20"/>
                                      <w:szCs w:val="20"/>
                                      <w:lang w:eastAsia="zh-CN"/>
                                    </w:rPr>
                                    <w:t>）</w:t>
                                  </w:r>
                                </w:p>
                              </w:tc>
                            </w:tr>
                            <w:tr w14:paraId="3848A0F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576BE4">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AB79A19">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8E348DF">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47DD9B01">
                                  <w:pPr>
                                    <w:pStyle w:val="54"/>
                                    <w:spacing w:before="12"/>
                                    <w:rPr>
                                      <w:rFonts w:hint="eastAsia" w:ascii="宋体" w:hAnsi="宋体" w:eastAsia="宋体" w:cs="宋体"/>
                                      <w:sz w:val="15"/>
                                      <w:szCs w:val="15"/>
                                      <w:lang w:eastAsia="zh-CN"/>
                                    </w:rPr>
                                  </w:pPr>
                                </w:p>
                                <w:p w14:paraId="71C90048">
                                  <w:pPr>
                                    <w:pStyle w:val="54"/>
                                    <w:ind w:left="7"/>
                                    <w:rPr>
                                      <w:rFonts w:hint="eastAsia" w:ascii="宋体" w:hAnsi="宋体" w:eastAsia="宋体" w:cs="宋体"/>
                                      <w:sz w:val="20"/>
                                      <w:szCs w:val="20"/>
                                    </w:rPr>
                                  </w:pPr>
                                  <w:r>
                                    <w:rPr>
                                      <w:rFonts w:hint="eastAsia" w:ascii="宋体" w:hAnsi="宋体" w:eastAsia="宋体" w:cs="宋体"/>
                                      <w:w w:val="99"/>
                                      <w:sz w:val="20"/>
                                      <w:szCs w:val="20"/>
                                    </w:rPr>
                                    <w:t>水源热</w:t>
                                  </w:r>
                                  <w:r>
                                    <w:rPr>
                                      <w:rFonts w:hint="eastAsia" w:ascii="宋体" w:hAnsi="宋体" w:eastAsia="宋体" w:cs="宋体"/>
                                      <w:spacing w:val="2"/>
                                      <w:w w:val="99"/>
                                      <w:sz w:val="20"/>
                                      <w:szCs w:val="20"/>
                                    </w:rPr>
                                    <w:t>泵</w:t>
                                  </w:r>
                                  <w:r>
                                    <w:rPr>
                                      <w:rFonts w:hint="eastAsia" w:ascii="宋体" w:hAnsi="宋体" w:eastAsia="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351AEA83">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w:t>
                                  </w:r>
                                  <w:r>
                                    <w:rPr>
                                      <w:rFonts w:hint="eastAsia" w:ascii="宋体" w:hAnsi="宋体" w:eastAsia="宋体" w:cs="宋体"/>
                                      <w:spacing w:val="-29"/>
                                      <w:w w:val="99"/>
                                      <w:sz w:val="20"/>
                                      <w:szCs w:val="20"/>
                                      <w:lang w:eastAsia="zh-CN"/>
                                    </w:rPr>
                                    <w:t>水</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地</w:t>
                                  </w:r>
                                  <w:r>
                                    <w:rPr>
                                      <w:rFonts w:hint="eastAsia" w:ascii="宋体" w:hAnsi="宋体" w:eastAsia="宋体" w:cs="宋体"/>
                                      <w:spacing w:val="-29"/>
                                      <w:w w:val="99"/>
                                      <w:sz w:val="20"/>
                                      <w:szCs w:val="20"/>
                                      <w:lang w:eastAsia="zh-CN"/>
                                    </w:rPr>
                                    <w:t>）</w:t>
                                  </w:r>
                                  <w:r>
                                    <w:rPr>
                                      <w:rFonts w:hint="eastAsia" w:ascii="宋体" w:hAnsi="宋体" w:eastAsia="宋体" w:cs="宋体"/>
                                      <w:spacing w:val="2"/>
                                      <w:w w:val="99"/>
                                      <w:sz w:val="20"/>
                                      <w:szCs w:val="20"/>
                                      <w:lang w:eastAsia="zh-CN"/>
                                    </w:rPr>
                                    <w:t>源</w:t>
                                  </w:r>
                                  <w:r>
                                    <w:rPr>
                                      <w:rFonts w:hint="eastAsia" w:ascii="宋体" w:hAnsi="宋体" w:eastAsia="宋体" w:cs="宋体"/>
                                      <w:w w:val="99"/>
                                      <w:sz w:val="20"/>
                                      <w:szCs w:val="20"/>
                                      <w:lang w:eastAsia="zh-CN"/>
                                    </w:rPr>
                                    <w:t>热泵</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组能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限定值及能效</w:t>
                                  </w:r>
                                  <w:r>
                                    <w:rPr>
                                      <w:rFonts w:hint="eastAsia" w:ascii="宋体" w:hAnsi="宋体" w:eastAsia="宋体" w:cs="宋体"/>
                                      <w:spacing w:val="2"/>
                                      <w:w w:val="99"/>
                                      <w:sz w:val="20"/>
                                      <w:szCs w:val="20"/>
                                      <w:lang w:eastAsia="zh-CN"/>
                                    </w:rPr>
                                    <w:t>等</w:t>
                                  </w:r>
                                  <w:r>
                                    <w:rPr>
                                      <w:rFonts w:hint="eastAsia" w:ascii="宋体" w:hAnsi="宋体" w:eastAsia="宋体" w:cs="宋体"/>
                                      <w:w w:val="99"/>
                                      <w:sz w:val="20"/>
                                      <w:szCs w:val="20"/>
                                      <w:lang w:eastAsia="zh-CN"/>
                                    </w:rPr>
                                    <w:t>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30721</w:t>
                                  </w:r>
                                  <w:r>
                                    <w:rPr>
                                      <w:rFonts w:hint="eastAsia" w:ascii="宋体" w:hAnsi="宋体" w:eastAsia="宋体" w:cs="宋体"/>
                                      <w:w w:val="99"/>
                                      <w:sz w:val="20"/>
                                      <w:szCs w:val="20"/>
                                      <w:lang w:eastAsia="zh-CN"/>
                                    </w:rPr>
                                    <w:t>）</w:t>
                                  </w:r>
                                </w:p>
                              </w:tc>
                            </w:tr>
                          </w:tbl>
                          <w:p w14:paraId="05DB07F6">
                            <w:pPr>
                              <w:rPr>
                                <w:rFonts w:ascii="Calibri" w:hAnsi="Calibri"/>
                                <w:sz w:val="22"/>
                                <w:szCs w:val="22"/>
                              </w:rPr>
                            </w:pPr>
                          </w:p>
                        </w:txbxContent>
                      </wps:txbx>
                      <wps:bodyPr lIns="0" tIns="0" rIns="0" bIns="0" upright="1"/>
                    </wps:wsp>
                  </a:graphicData>
                </a:graphic>
              </wp:anchor>
            </w:drawing>
          </mc:Choice>
          <mc:Fallback>
            <w:pict>
              <v:shape id="文本框 2" o:spid="_x0000_s1026" o:spt="202" type="#_x0000_t202" style="position:absolute;left:0pt;margin-left:35.2pt;margin-top:7.95pt;height:588.9pt;width:504.25pt;mso-position-horizontal-relative:page;z-index:251659264;mso-width-relative:page;mso-height-relative:page;" filled="f" stroked="f" coordsize="21600,21600" o:gfxdata="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2334rtkAAAALAQAADwAAAAAAAAABACAAAAAiAAAAZHJzL2Rvd25yZXYu&#10;eG1sUEsBAhQAFAAAAAgAh07iQCN5NrrBAQAAgQMAAA4AAAAAAAAAAQAgAAAAKAEAAGRycy9lMm9E&#10;b2MueG1sUEsFBgAAAAAGAAYAWQEAAFsFAAAAAA==&#10;">
                <v:fill on="f" focussize="0,0"/>
                <v:stroke on="f"/>
                <v:imagedata o:title=""/>
                <o:lock v:ext="edit" aspectratio="f"/>
                <v:textbox inset="0mm,0mm,0mm,0mm">
                  <w:txbxContent>
                    <w:tbl>
                      <w:tblPr>
                        <w:tblStyle w:val="24"/>
                        <w:tblW w:w="9125" w:type="dxa"/>
                        <w:jc w:val="center"/>
                        <w:tblLayout w:type="fixed"/>
                        <w:tblCellMar>
                          <w:top w:w="0" w:type="dxa"/>
                          <w:left w:w="0" w:type="dxa"/>
                          <w:bottom w:w="0" w:type="dxa"/>
                          <w:right w:w="0" w:type="dxa"/>
                        </w:tblCellMar>
                      </w:tblPr>
                      <w:tblGrid>
                        <w:gridCol w:w="574"/>
                        <w:gridCol w:w="1166"/>
                        <w:gridCol w:w="1800"/>
                        <w:gridCol w:w="1823"/>
                        <w:gridCol w:w="3762"/>
                      </w:tblGrid>
                      <w:tr w14:paraId="648B2D9C">
                        <w:tblPrEx>
                          <w:tblCellMar>
                            <w:top w:w="0" w:type="dxa"/>
                            <w:left w:w="0" w:type="dxa"/>
                            <w:bottom w:w="0" w:type="dxa"/>
                            <w:right w:w="0" w:type="dxa"/>
                          </w:tblCellMar>
                        </w:tblPrEx>
                        <w:trPr>
                          <w:trHeight w:val="782" w:hRule="exact"/>
                          <w:jc w:val="center"/>
                        </w:trPr>
                        <w:tc>
                          <w:tcPr>
                            <w:tcW w:w="574" w:type="dxa"/>
                            <w:tcBorders>
                              <w:top w:val="single" w:color="000000" w:sz="4" w:space="0"/>
                              <w:left w:val="single" w:color="000000" w:sz="4" w:space="0"/>
                              <w:bottom w:val="single" w:color="000000" w:sz="4" w:space="0"/>
                              <w:right w:val="single" w:color="000000" w:sz="4" w:space="0"/>
                            </w:tcBorders>
                          </w:tcPr>
                          <w:p w14:paraId="330395F8">
                            <w:pPr>
                              <w:pStyle w:val="54"/>
                              <w:spacing w:before="57" w:line="254" w:lineRule="auto"/>
                              <w:ind w:left="59" w:right="60"/>
                              <w:rPr>
                                <w:rFonts w:hint="eastAsia" w:ascii="宋体" w:hAnsi="宋体" w:eastAsia="宋体" w:cs="宋体"/>
                              </w:rPr>
                            </w:pPr>
                            <w:r>
                              <w:rPr>
                                <w:rFonts w:hint="eastAsia" w:ascii="宋体" w:hAnsi="宋体" w:eastAsia="宋体" w:cs="宋体"/>
                                <w:b/>
                                <w:bCs/>
                                <w:w w:val="99"/>
                              </w:rPr>
                              <w:t>品目序号</w:t>
                            </w:r>
                          </w:p>
                        </w:tc>
                        <w:tc>
                          <w:tcPr>
                            <w:tcW w:w="4789" w:type="dxa"/>
                            <w:gridSpan w:val="3"/>
                            <w:tcBorders>
                              <w:top w:val="single" w:color="000000" w:sz="4" w:space="0"/>
                              <w:left w:val="single" w:color="000000" w:sz="4" w:space="0"/>
                              <w:bottom w:val="single" w:color="000000" w:sz="4" w:space="0"/>
                              <w:right w:val="single" w:color="000000" w:sz="4" w:space="0"/>
                            </w:tcBorders>
                          </w:tcPr>
                          <w:p w14:paraId="6423481F">
                            <w:pPr>
                              <w:pStyle w:val="54"/>
                              <w:spacing w:before="4"/>
                              <w:rPr>
                                <w:rFonts w:hint="eastAsia" w:ascii="宋体" w:hAnsi="宋体" w:eastAsia="宋体" w:cs="宋体"/>
                                <w:sz w:val="16"/>
                                <w:szCs w:val="16"/>
                              </w:rPr>
                            </w:pPr>
                          </w:p>
                          <w:p w14:paraId="2B2F56EB">
                            <w:pPr>
                              <w:pStyle w:val="54"/>
                              <w:jc w:val="center"/>
                              <w:rPr>
                                <w:rFonts w:hint="eastAsia" w:ascii="宋体" w:hAnsi="宋体" w:eastAsia="宋体" w:cs="宋体"/>
                              </w:rPr>
                            </w:pPr>
                            <w:r>
                              <w:rPr>
                                <w:rFonts w:hint="eastAsia" w:ascii="宋体" w:hAnsi="宋体" w:eastAsia="宋体" w:cs="宋体"/>
                                <w:b/>
                                <w:bCs/>
                                <w:w w:val="99"/>
                              </w:rPr>
                              <w:t>名称</w:t>
                            </w:r>
                          </w:p>
                        </w:tc>
                        <w:tc>
                          <w:tcPr>
                            <w:tcW w:w="3762" w:type="dxa"/>
                            <w:tcBorders>
                              <w:top w:val="single" w:color="000000" w:sz="4" w:space="0"/>
                              <w:left w:val="single" w:color="000000" w:sz="4" w:space="0"/>
                              <w:bottom w:val="single" w:color="000000" w:sz="4" w:space="0"/>
                              <w:right w:val="single" w:color="000000" w:sz="4" w:space="0"/>
                            </w:tcBorders>
                          </w:tcPr>
                          <w:p w14:paraId="0141BF94">
                            <w:pPr>
                              <w:pStyle w:val="54"/>
                              <w:spacing w:before="4"/>
                              <w:rPr>
                                <w:rFonts w:hint="eastAsia" w:ascii="宋体" w:hAnsi="宋体" w:eastAsia="宋体" w:cs="宋体"/>
                                <w:sz w:val="16"/>
                                <w:szCs w:val="16"/>
                              </w:rPr>
                            </w:pPr>
                          </w:p>
                          <w:p w14:paraId="08A1FB22">
                            <w:pPr>
                              <w:pStyle w:val="54"/>
                              <w:ind w:left="926"/>
                              <w:rPr>
                                <w:rFonts w:hint="eastAsia" w:ascii="宋体" w:hAnsi="宋体" w:eastAsia="宋体" w:cs="宋体"/>
                              </w:rPr>
                            </w:pPr>
                            <w:r>
                              <w:rPr>
                                <w:rFonts w:hint="eastAsia" w:ascii="宋体" w:hAnsi="宋体" w:eastAsia="宋体" w:cs="宋体"/>
                                <w:b/>
                                <w:bCs/>
                                <w:w w:val="99"/>
                              </w:rPr>
                              <w:t>依据的标准</w:t>
                            </w:r>
                          </w:p>
                        </w:tc>
                      </w:tr>
                      <w:tr w14:paraId="1B1AEAF5">
                        <w:tblPrEx>
                          <w:tblCellMar>
                            <w:top w:w="0" w:type="dxa"/>
                            <w:left w:w="0" w:type="dxa"/>
                            <w:bottom w:w="0" w:type="dxa"/>
                            <w:right w:w="0" w:type="dxa"/>
                          </w:tblCellMar>
                        </w:tblPrEx>
                        <w:trPr>
                          <w:trHeight w:val="821"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5F2075C2">
                            <w:pPr>
                              <w:pStyle w:val="54"/>
                              <w:rPr>
                                <w:rFonts w:hint="eastAsia" w:ascii="宋体" w:hAnsi="宋体" w:eastAsia="宋体" w:cs="宋体"/>
                                <w:sz w:val="20"/>
                                <w:szCs w:val="20"/>
                              </w:rPr>
                            </w:pPr>
                          </w:p>
                          <w:p w14:paraId="301CA68A">
                            <w:pPr>
                              <w:pStyle w:val="54"/>
                              <w:rPr>
                                <w:rFonts w:hint="eastAsia" w:ascii="宋体" w:hAnsi="宋体" w:eastAsia="宋体" w:cs="宋体"/>
                                <w:sz w:val="20"/>
                                <w:szCs w:val="20"/>
                              </w:rPr>
                            </w:pPr>
                          </w:p>
                          <w:p w14:paraId="3E976571">
                            <w:pPr>
                              <w:pStyle w:val="54"/>
                              <w:rPr>
                                <w:rFonts w:hint="eastAsia" w:ascii="宋体" w:hAnsi="宋体" w:eastAsia="宋体" w:cs="宋体"/>
                                <w:sz w:val="20"/>
                                <w:szCs w:val="20"/>
                              </w:rPr>
                            </w:pPr>
                          </w:p>
                          <w:p w14:paraId="7AE6B775">
                            <w:pPr>
                              <w:pStyle w:val="54"/>
                              <w:spacing w:before="11"/>
                              <w:rPr>
                                <w:rFonts w:hint="eastAsia" w:ascii="宋体" w:hAnsi="宋体" w:eastAsia="宋体" w:cs="宋体"/>
                                <w:sz w:val="15"/>
                                <w:szCs w:val="15"/>
                              </w:rPr>
                            </w:pPr>
                          </w:p>
                          <w:p w14:paraId="46A78062">
                            <w:pPr>
                              <w:pStyle w:val="54"/>
                              <w:ind w:right="1"/>
                              <w:jc w:val="center"/>
                              <w:rPr>
                                <w:rFonts w:hint="eastAsia" w:ascii="宋体" w:hAnsi="宋体" w:eastAsia="宋体" w:cs="宋体"/>
                                <w:sz w:val="20"/>
                                <w:szCs w:val="20"/>
                              </w:rPr>
                            </w:pPr>
                            <w:r>
                              <w:rPr>
                                <w:rFonts w:hint="eastAsia" w:ascii="宋体" w:hAnsi="宋体" w:eastAsia="宋体" w:cs="宋体"/>
                                <w:w w:val="99"/>
                                <w:sz w:val="20"/>
                              </w:rPr>
                              <w:t>1</w:t>
                            </w:r>
                          </w:p>
                        </w:tc>
                        <w:tc>
                          <w:tcPr>
                            <w:tcW w:w="1166" w:type="dxa"/>
                            <w:vMerge w:val="restart"/>
                            <w:tcBorders>
                              <w:top w:val="single" w:color="000000" w:sz="4" w:space="0"/>
                              <w:left w:val="single" w:color="000000" w:sz="4" w:space="0"/>
                              <w:bottom w:val="single" w:color="000000" w:sz="4" w:space="0"/>
                              <w:right w:val="single" w:color="000000" w:sz="4" w:space="0"/>
                            </w:tcBorders>
                          </w:tcPr>
                          <w:p w14:paraId="288D93BE">
                            <w:pPr>
                              <w:pStyle w:val="54"/>
                              <w:rPr>
                                <w:rFonts w:hint="eastAsia" w:ascii="宋体" w:hAnsi="宋体" w:eastAsia="宋体" w:cs="宋体"/>
                                <w:sz w:val="20"/>
                                <w:szCs w:val="20"/>
                              </w:rPr>
                            </w:pPr>
                          </w:p>
                          <w:p w14:paraId="40D8F744">
                            <w:pPr>
                              <w:pStyle w:val="54"/>
                              <w:rPr>
                                <w:rFonts w:hint="eastAsia" w:ascii="宋体" w:hAnsi="宋体" w:eastAsia="宋体" w:cs="宋体"/>
                                <w:sz w:val="20"/>
                                <w:szCs w:val="20"/>
                              </w:rPr>
                            </w:pPr>
                          </w:p>
                          <w:p w14:paraId="27E6B959">
                            <w:pPr>
                              <w:pStyle w:val="54"/>
                              <w:spacing w:before="12"/>
                              <w:rPr>
                                <w:rFonts w:hint="eastAsia" w:ascii="宋体" w:hAnsi="宋体" w:eastAsia="宋体" w:cs="宋体"/>
                                <w:sz w:val="23"/>
                                <w:szCs w:val="23"/>
                              </w:rPr>
                            </w:pPr>
                          </w:p>
                          <w:p w14:paraId="59A6EAD7">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1计算</w:t>
                            </w:r>
                          </w:p>
                          <w:p w14:paraId="4F151E96">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机设备</w:t>
                            </w:r>
                          </w:p>
                        </w:tc>
                        <w:tc>
                          <w:tcPr>
                            <w:tcW w:w="1800" w:type="dxa"/>
                            <w:tcBorders>
                              <w:top w:val="single" w:color="000000" w:sz="4" w:space="0"/>
                              <w:left w:val="single" w:color="000000" w:sz="4" w:space="0"/>
                              <w:bottom w:val="single" w:color="000000" w:sz="4" w:space="0"/>
                              <w:right w:val="single" w:color="000000" w:sz="4" w:space="0"/>
                            </w:tcBorders>
                          </w:tcPr>
                          <w:p w14:paraId="7361A842">
                            <w:pPr>
                              <w:pStyle w:val="54"/>
                              <w:spacing w:before="93"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04台式计算机</w:t>
                            </w:r>
                          </w:p>
                        </w:tc>
                        <w:tc>
                          <w:tcPr>
                            <w:tcW w:w="1823" w:type="dxa"/>
                            <w:tcBorders>
                              <w:top w:val="single" w:color="000000" w:sz="4" w:space="0"/>
                              <w:left w:val="single" w:color="000000" w:sz="4" w:space="0"/>
                              <w:bottom w:val="single" w:color="000000" w:sz="4" w:space="0"/>
                              <w:right w:val="single" w:color="000000" w:sz="4" w:space="0"/>
                            </w:tcBorders>
                          </w:tcPr>
                          <w:p w14:paraId="0A40E045">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0C81CDC">
                            <w:pPr>
                              <w:pStyle w:val="54"/>
                              <w:spacing w:before="93"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79C05876">
                        <w:tblPrEx>
                          <w:tblCellMar>
                            <w:top w:w="0" w:type="dxa"/>
                            <w:left w:w="0" w:type="dxa"/>
                            <w:bottom w:w="0" w:type="dxa"/>
                            <w:right w:w="0" w:type="dxa"/>
                          </w:tblCellMar>
                        </w:tblPrEx>
                        <w:trPr>
                          <w:trHeight w:val="727"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66E81262">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DF22D85">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7CB31FB9">
                            <w:pPr>
                              <w:pStyle w:val="54"/>
                              <w:spacing w:before="44"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★A020</w:t>
                            </w:r>
                            <w:r>
                              <w:rPr>
                                <w:rFonts w:hint="eastAsia" w:ascii="宋体" w:hAnsi="宋体" w:eastAsia="宋体" w:cs="宋体"/>
                                <w:w w:val="99"/>
                                <w:sz w:val="20"/>
                                <w:szCs w:val="20"/>
                              </w:rPr>
                              <w:t>10</w:t>
                            </w:r>
                            <w:r>
                              <w:rPr>
                                <w:rFonts w:hint="eastAsia" w:ascii="宋体" w:hAnsi="宋体" w:eastAsia="宋体" w:cs="宋体"/>
                                <w:spacing w:val="1"/>
                                <w:w w:val="99"/>
                                <w:sz w:val="20"/>
                                <w:szCs w:val="20"/>
                              </w:rPr>
                              <w:t>1</w:t>
                            </w:r>
                            <w:r>
                              <w:rPr>
                                <w:rFonts w:hint="eastAsia" w:ascii="宋体" w:hAnsi="宋体" w:eastAsia="宋体" w:cs="宋体"/>
                                <w:w w:val="99"/>
                                <w:sz w:val="20"/>
                                <w:szCs w:val="20"/>
                              </w:rPr>
                              <w:t>05便携式计算机</w:t>
                            </w:r>
                          </w:p>
                        </w:tc>
                        <w:tc>
                          <w:tcPr>
                            <w:tcW w:w="1823" w:type="dxa"/>
                            <w:tcBorders>
                              <w:top w:val="single" w:color="000000" w:sz="4" w:space="0"/>
                              <w:left w:val="single" w:color="000000" w:sz="4" w:space="0"/>
                              <w:bottom w:val="single" w:color="000000" w:sz="4" w:space="0"/>
                              <w:right w:val="single" w:color="000000" w:sz="4" w:space="0"/>
                            </w:tcBorders>
                          </w:tcPr>
                          <w:p w14:paraId="073A6C30">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04CD1885">
                            <w:pPr>
                              <w:pStyle w:val="54"/>
                              <w:spacing w:before="4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31A71EB2">
                        <w:tblPrEx>
                          <w:tblCellMar>
                            <w:top w:w="0" w:type="dxa"/>
                            <w:left w:w="0" w:type="dxa"/>
                            <w:bottom w:w="0" w:type="dxa"/>
                            <w:right w:w="0" w:type="dxa"/>
                          </w:tblCellMar>
                        </w:tblPrEx>
                        <w:trPr>
                          <w:trHeight w:val="76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BAB7E8E">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6A53B42">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AD490D1">
                            <w:pPr>
                              <w:pStyle w:val="54"/>
                              <w:spacing w:before="64" w:line="280" w:lineRule="auto"/>
                              <w:ind w:left="7" w:right="5"/>
                              <w:rPr>
                                <w:rFonts w:hint="eastAsia" w:ascii="宋体" w:hAnsi="宋体" w:eastAsia="宋体" w:cs="宋体"/>
                                <w:sz w:val="20"/>
                                <w:szCs w:val="20"/>
                                <w:lang w:eastAsia="zh-CN"/>
                              </w:rPr>
                            </w:pPr>
                            <w:r>
                              <w:rPr>
                                <w:rFonts w:hint="eastAsia" w:ascii="宋体" w:hAnsi="宋体" w:eastAsia="宋体" w:cs="宋体"/>
                                <w:spacing w:val="1"/>
                                <w:w w:val="99"/>
                                <w:sz w:val="20"/>
                                <w:szCs w:val="20"/>
                              </w:rPr>
                              <w:t>★</w:t>
                            </w:r>
                            <w:r>
                              <w:rPr>
                                <w:rFonts w:hint="eastAsia" w:ascii="宋体" w:hAnsi="宋体" w:eastAsia="宋体" w:cs="宋体"/>
                                <w:spacing w:val="1"/>
                                <w:w w:val="99"/>
                                <w:sz w:val="20"/>
                                <w:szCs w:val="20"/>
                                <w:lang w:eastAsia="zh-CN"/>
                              </w:rPr>
                              <w:t>A020</w:t>
                            </w:r>
                            <w:r>
                              <w:rPr>
                                <w:rFonts w:hint="eastAsia" w:ascii="宋体" w:hAnsi="宋体" w:eastAsia="宋体" w:cs="宋体"/>
                                <w:w w:val="99"/>
                                <w:sz w:val="20"/>
                                <w:szCs w:val="20"/>
                                <w:lang w:eastAsia="zh-CN"/>
                              </w:rPr>
                              <w:t>10</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07平板式微型计</w:t>
                            </w:r>
                            <w:r>
                              <w:rPr>
                                <w:rFonts w:hint="eastAsia" w:ascii="宋体" w:hAnsi="宋体" w:eastAsia="宋体" w:cs="宋体"/>
                                <w:spacing w:val="2"/>
                                <w:w w:val="99"/>
                                <w:sz w:val="20"/>
                                <w:szCs w:val="20"/>
                                <w:lang w:eastAsia="zh-CN"/>
                              </w:rPr>
                              <w:t>算</w:t>
                            </w:r>
                            <w:r>
                              <w:rPr>
                                <w:rFonts w:hint="eastAsia" w:ascii="宋体" w:hAnsi="宋体" w:eastAsia="宋体" w:cs="宋体"/>
                                <w:w w:val="99"/>
                                <w:sz w:val="20"/>
                                <w:szCs w:val="20"/>
                                <w:lang w:eastAsia="zh-CN"/>
                              </w:rPr>
                              <w:t>机</w:t>
                            </w:r>
                          </w:p>
                        </w:tc>
                        <w:tc>
                          <w:tcPr>
                            <w:tcW w:w="1823" w:type="dxa"/>
                            <w:tcBorders>
                              <w:top w:val="single" w:color="000000" w:sz="4" w:space="0"/>
                              <w:left w:val="single" w:color="000000" w:sz="4" w:space="0"/>
                              <w:bottom w:val="single" w:color="000000" w:sz="4" w:space="0"/>
                              <w:right w:val="single" w:color="000000" w:sz="4" w:space="0"/>
                            </w:tcBorders>
                          </w:tcPr>
                          <w:p w14:paraId="5B0381FB">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5C1EEE5E">
                            <w:pPr>
                              <w:pStyle w:val="54"/>
                              <w:spacing w:before="6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《微型计算机能效限定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及能</w:t>
                            </w:r>
                            <w:r>
                              <w:rPr>
                                <w:rFonts w:hint="eastAsia" w:ascii="宋体" w:hAnsi="宋体" w:eastAsia="宋体" w:cs="宋体"/>
                                <w:w w:val="99"/>
                                <w:sz w:val="20"/>
                                <w:szCs w:val="20"/>
                                <w:lang w:eastAsia="zh-CN"/>
                              </w:rPr>
                              <w:t>效等级》（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28380</w:t>
                            </w:r>
                            <w:r>
                              <w:rPr>
                                <w:rFonts w:hint="eastAsia" w:ascii="宋体" w:hAnsi="宋体" w:eastAsia="宋体" w:cs="宋体"/>
                                <w:w w:val="99"/>
                                <w:sz w:val="20"/>
                                <w:szCs w:val="20"/>
                                <w:lang w:eastAsia="zh-CN"/>
                              </w:rPr>
                              <w:t>）</w:t>
                            </w:r>
                          </w:p>
                        </w:tc>
                      </w:tr>
                      <w:tr w14:paraId="1E9A872E">
                        <w:tblPrEx>
                          <w:tblCellMar>
                            <w:top w:w="0" w:type="dxa"/>
                            <w:left w:w="0" w:type="dxa"/>
                            <w:bottom w:w="0" w:type="dxa"/>
                            <w:right w:w="0" w:type="dxa"/>
                          </w:tblCellMar>
                        </w:tblPrEx>
                        <w:trPr>
                          <w:trHeight w:val="74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D35ADC3">
                            <w:pPr>
                              <w:pStyle w:val="54"/>
                              <w:rPr>
                                <w:rFonts w:hint="eastAsia" w:ascii="宋体" w:hAnsi="宋体" w:eastAsia="宋体" w:cs="宋体"/>
                                <w:sz w:val="20"/>
                                <w:szCs w:val="20"/>
                                <w:lang w:eastAsia="zh-CN"/>
                              </w:rPr>
                            </w:pPr>
                          </w:p>
                          <w:p w14:paraId="3CC1D2E1">
                            <w:pPr>
                              <w:pStyle w:val="54"/>
                              <w:rPr>
                                <w:rFonts w:hint="eastAsia" w:ascii="宋体" w:hAnsi="宋体" w:eastAsia="宋体" w:cs="宋体"/>
                                <w:sz w:val="20"/>
                                <w:szCs w:val="20"/>
                                <w:lang w:eastAsia="zh-CN"/>
                              </w:rPr>
                            </w:pPr>
                          </w:p>
                          <w:p w14:paraId="603C43E8">
                            <w:pPr>
                              <w:pStyle w:val="54"/>
                              <w:rPr>
                                <w:rFonts w:hint="eastAsia" w:ascii="宋体" w:hAnsi="宋体" w:eastAsia="宋体" w:cs="宋体"/>
                                <w:sz w:val="20"/>
                                <w:szCs w:val="20"/>
                                <w:lang w:eastAsia="zh-CN"/>
                              </w:rPr>
                            </w:pPr>
                          </w:p>
                          <w:p w14:paraId="011E8AAA">
                            <w:pPr>
                              <w:pStyle w:val="54"/>
                              <w:rPr>
                                <w:rFonts w:hint="eastAsia" w:ascii="宋体" w:hAnsi="宋体" w:eastAsia="宋体" w:cs="宋体"/>
                                <w:sz w:val="20"/>
                                <w:szCs w:val="20"/>
                                <w:lang w:eastAsia="zh-CN"/>
                              </w:rPr>
                            </w:pPr>
                          </w:p>
                          <w:p w14:paraId="1127B086">
                            <w:pPr>
                              <w:pStyle w:val="54"/>
                              <w:rPr>
                                <w:rFonts w:hint="eastAsia" w:ascii="宋体" w:hAnsi="宋体" w:eastAsia="宋体" w:cs="宋体"/>
                                <w:sz w:val="20"/>
                                <w:szCs w:val="20"/>
                                <w:lang w:eastAsia="zh-CN"/>
                              </w:rPr>
                            </w:pPr>
                          </w:p>
                          <w:p w14:paraId="7B47457D">
                            <w:pPr>
                              <w:pStyle w:val="54"/>
                              <w:rPr>
                                <w:rFonts w:hint="eastAsia" w:ascii="宋体" w:hAnsi="宋体" w:eastAsia="宋体" w:cs="宋体"/>
                                <w:sz w:val="20"/>
                                <w:szCs w:val="20"/>
                                <w:lang w:eastAsia="zh-CN"/>
                              </w:rPr>
                            </w:pPr>
                          </w:p>
                          <w:p w14:paraId="1C232863">
                            <w:pPr>
                              <w:pStyle w:val="54"/>
                              <w:rPr>
                                <w:rFonts w:hint="eastAsia" w:ascii="宋体" w:hAnsi="宋体" w:eastAsia="宋体" w:cs="宋体"/>
                                <w:sz w:val="20"/>
                                <w:szCs w:val="20"/>
                                <w:lang w:eastAsia="zh-CN"/>
                              </w:rPr>
                            </w:pPr>
                          </w:p>
                          <w:p w14:paraId="0E732911">
                            <w:pPr>
                              <w:pStyle w:val="54"/>
                              <w:spacing w:before="2"/>
                              <w:rPr>
                                <w:rFonts w:hint="eastAsia" w:ascii="宋体" w:hAnsi="宋体" w:eastAsia="宋体" w:cs="宋体"/>
                                <w:sz w:val="14"/>
                                <w:szCs w:val="14"/>
                                <w:lang w:eastAsia="zh-CN"/>
                              </w:rPr>
                            </w:pPr>
                          </w:p>
                          <w:p w14:paraId="31E15E92">
                            <w:pPr>
                              <w:pStyle w:val="54"/>
                              <w:ind w:right="1"/>
                              <w:jc w:val="center"/>
                              <w:rPr>
                                <w:rFonts w:hint="eastAsia" w:ascii="宋体" w:hAnsi="宋体" w:eastAsia="宋体" w:cs="宋体"/>
                                <w:sz w:val="20"/>
                                <w:szCs w:val="20"/>
                              </w:rPr>
                            </w:pPr>
                            <w:r>
                              <w:rPr>
                                <w:rFonts w:hint="eastAsia" w:ascii="宋体" w:hAnsi="宋体" w:eastAsia="宋体" w:cs="宋体"/>
                                <w:w w:val="99"/>
                                <w:sz w:val="20"/>
                              </w:rPr>
                              <w:t>2</w:t>
                            </w:r>
                          </w:p>
                        </w:tc>
                        <w:tc>
                          <w:tcPr>
                            <w:tcW w:w="1166" w:type="dxa"/>
                            <w:vMerge w:val="restart"/>
                            <w:tcBorders>
                              <w:top w:val="single" w:color="000000" w:sz="4" w:space="0"/>
                              <w:left w:val="single" w:color="000000" w:sz="4" w:space="0"/>
                              <w:bottom w:val="single" w:color="000000" w:sz="4" w:space="0"/>
                              <w:right w:val="single" w:color="000000" w:sz="4" w:space="0"/>
                            </w:tcBorders>
                          </w:tcPr>
                          <w:p w14:paraId="55C876D4">
                            <w:pPr>
                              <w:pStyle w:val="54"/>
                              <w:rPr>
                                <w:rFonts w:hint="eastAsia" w:ascii="宋体" w:hAnsi="宋体" w:eastAsia="宋体" w:cs="宋体"/>
                                <w:sz w:val="20"/>
                                <w:szCs w:val="20"/>
                              </w:rPr>
                            </w:pPr>
                          </w:p>
                          <w:p w14:paraId="0174E6D5">
                            <w:pPr>
                              <w:pStyle w:val="54"/>
                              <w:rPr>
                                <w:rFonts w:hint="eastAsia" w:ascii="宋体" w:hAnsi="宋体" w:eastAsia="宋体" w:cs="宋体"/>
                                <w:sz w:val="20"/>
                                <w:szCs w:val="20"/>
                              </w:rPr>
                            </w:pPr>
                          </w:p>
                          <w:p w14:paraId="30BCE604">
                            <w:pPr>
                              <w:pStyle w:val="54"/>
                              <w:rPr>
                                <w:rFonts w:hint="eastAsia" w:ascii="宋体" w:hAnsi="宋体" w:eastAsia="宋体" w:cs="宋体"/>
                                <w:sz w:val="20"/>
                                <w:szCs w:val="20"/>
                              </w:rPr>
                            </w:pPr>
                          </w:p>
                          <w:p w14:paraId="50EEABF2">
                            <w:pPr>
                              <w:pStyle w:val="54"/>
                              <w:rPr>
                                <w:rFonts w:hint="eastAsia" w:ascii="宋体" w:hAnsi="宋体" w:eastAsia="宋体" w:cs="宋体"/>
                                <w:sz w:val="20"/>
                                <w:szCs w:val="20"/>
                              </w:rPr>
                            </w:pPr>
                          </w:p>
                          <w:p w14:paraId="6873C18A">
                            <w:pPr>
                              <w:pStyle w:val="54"/>
                              <w:rPr>
                                <w:rFonts w:hint="eastAsia" w:ascii="宋体" w:hAnsi="宋体" w:eastAsia="宋体" w:cs="宋体"/>
                                <w:sz w:val="20"/>
                                <w:szCs w:val="20"/>
                              </w:rPr>
                            </w:pPr>
                          </w:p>
                          <w:p w14:paraId="6C4CBD21">
                            <w:pPr>
                              <w:pStyle w:val="54"/>
                              <w:rPr>
                                <w:rFonts w:hint="eastAsia" w:ascii="宋体" w:hAnsi="宋体" w:eastAsia="宋体" w:cs="宋体"/>
                                <w:sz w:val="20"/>
                                <w:szCs w:val="20"/>
                              </w:rPr>
                            </w:pPr>
                          </w:p>
                          <w:p w14:paraId="45B10DE1">
                            <w:pPr>
                              <w:pStyle w:val="54"/>
                              <w:spacing w:before="3"/>
                              <w:rPr>
                                <w:rFonts w:hint="eastAsia" w:ascii="宋体" w:hAnsi="宋体" w:eastAsia="宋体" w:cs="宋体"/>
                              </w:rPr>
                            </w:pPr>
                          </w:p>
                          <w:p w14:paraId="199A0C9B">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6输入</w:t>
                            </w:r>
                          </w:p>
                          <w:p w14:paraId="407B42EE">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输出设备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77D873DF">
                            <w:pPr>
                              <w:pStyle w:val="54"/>
                              <w:rPr>
                                <w:rFonts w:hint="eastAsia" w:ascii="宋体" w:hAnsi="宋体" w:eastAsia="宋体" w:cs="宋体"/>
                                <w:sz w:val="20"/>
                                <w:szCs w:val="20"/>
                              </w:rPr>
                            </w:pPr>
                          </w:p>
                          <w:p w14:paraId="34C5D481">
                            <w:pPr>
                              <w:pStyle w:val="54"/>
                              <w:rPr>
                                <w:rFonts w:hint="eastAsia" w:ascii="宋体" w:hAnsi="宋体" w:eastAsia="宋体" w:cs="宋体"/>
                                <w:sz w:val="20"/>
                                <w:szCs w:val="20"/>
                              </w:rPr>
                            </w:pPr>
                          </w:p>
                          <w:p w14:paraId="49153334">
                            <w:pPr>
                              <w:pStyle w:val="54"/>
                              <w:rPr>
                                <w:rFonts w:hint="eastAsia" w:ascii="宋体" w:hAnsi="宋体" w:eastAsia="宋体" w:cs="宋体"/>
                                <w:sz w:val="20"/>
                                <w:szCs w:val="20"/>
                              </w:rPr>
                            </w:pPr>
                          </w:p>
                          <w:p w14:paraId="7534BF7A">
                            <w:pPr>
                              <w:pStyle w:val="54"/>
                              <w:spacing w:before="16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601打印设备</w:t>
                            </w:r>
                          </w:p>
                        </w:tc>
                        <w:tc>
                          <w:tcPr>
                            <w:tcW w:w="1823" w:type="dxa"/>
                            <w:tcBorders>
                              <w:top w:val="single" w:color="000000" w:sz="4" w:space="0"/>
                              <w:left w:val="single" w:color="000000" w:sz="4" w:space="0"/>
                              <w:bottom w:val="single" w:color="000000" w:sz="4" w:space="0"/>
                              <w:right w:val="single" w:color="000000" w:sz="4" w:space="0"/>
                            </w:tcBorders>
                          </w:tcPr>
                          <w:p w14:paraId="5F7EDF1F">
                            <w:pPr>
                              <w:pStyle w:val="54"/>
                              <w:spacing w:before="52"/>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10</w:t>
                            </w:r>
                            <w:r>
                              <w:rPr>
                                <w:rFonts w:hint="eastAsia" w:ascii="宋体" w:hAnsi="宋体" w:eastAsia="宋体" w:cs="宋体"/>
                                <w:w w:val="99"/>
                                <w:sz w:val="20"/>
                                <w:szCs w:val="20"/>
                              </w:rPr>
                              <w:t>1喷墨打</w:t>
                            </w:r>
                          </w:p>
                          <w:p w14:paraId="0B00B8F3">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印机</w:t>
                            </w:r>
                          </w:p>
                        </w:tc>
                        <w:tc>
                          <w:tcPr>
                            <w:tcW w:w="3762" w:type="dxa"/>
                            <w:tcBorders>
                              <w:top w:val="single" w:color="000000" w:sz="4" w:space="0"/>
                              <w:left w:val="single" w:color="000000" w:sz="4" w:space="0"/>
                              <w:bottom w:val="single" w:color="000000" w:sz="4" w:space="0"/>
                              <w:right w:val="single" w:color="000000" w:sz="4" w:space="0"/>
                            </w:tcBorders>
                          </w:tcPr>
                          <w:p w14:paraId="6203C9E7">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76319A43">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029A4A88">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0A4A48E1">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3C8066A9">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2B30A187">
                            <w:pPr>
                              <w:pStyle w:val="54"/>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02激光</w:t>
                            </w:r>
                          </w:p>
                          <w:p w14:paraId="0B88643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292C9FD1">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3AEA7336">
                        <w:tblPrEx>
                          <w:tblCellMar>
                            <w:top w:w="0" w:type="dxa"/>
                            <w:left w:w="0" w:type="dxa"/>
                            <w:bottom w:w="0" w:type="dxa"/>
                            <w:right w:w="0" w:type="dxa"/>
                          </w:tblCellMar>
                        </w:tblPrEx>
                        <w:trPr>
                          <w:trHeight w:val="742"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4E0254C9">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7ECAB321">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8F544A9">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619F058D">
                            <w:pPr>
                              <w:pStyle w:val="54"/>
                              <w:spacing w:before="52"/>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1</w:t>
                            </w:r>
                            <w:r>
                              <w:rPr>
                                <w:rFonts w:hint="eastAsia" w:ascii="宋体" w:hAnsi="宋体" w:eastAsia="宋体" w:cs="宋体"/>
                                <w:w w:val="99"/>
                                <w:sz w:val="20"/>
                                <w:szCs w:val="20"/>
                              </w:rPr>
                              <w:t>04针式</w:t>
                            </w:r>
                          </w:p>
                          <w:p w14:paraId="6C20F81F">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打印机</w:t>
                            </w:r>
                          </w:p>
                        </w:tc>
                        <w:tc>
                          <w:tcPr>
                            <w:tcW w:w="3762" w:type="dxa"/>
                            <w:tcBorders>
                              <w:top w:val="single" w:color="000000" w:sz="4" w:space="0"/>
                              <w:left w:val="single" w:color="000000" w:sz="4" w:space="0"/>
                              <w:bottom w:val="single" w:color="000000" w:sz="4" w:space="0"/>
                              <w:right w:val="single" w:color="000000" w:sz="4" w:space="0"/>
                            </w:tcBorders>
                          </w:tcPr>
                          <w:p w14:paraId="1EEA906A">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0EC03763">
                        <w:tblPrEx>
                          <w:tblCellMar>
                            <w:top w:w="0" w:type="dxa"/>
                            <w:left w:w="0" w:type="dxa"/>
                            <w:bottom w:w="0" w:type="dxa"/>
                            <w:right w:w="0" w:type="dxa"/>
                          </w:tblCellMar>
                        </w:tblPrEx>
                        <w:trPr>
                          <w:trHeight w:val="773"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24BC5893">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1A03B41E">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47A0EEF4">
                            <w:pPr>
                              <w:pStyle w:val="54"/>
                              <w:spacing w:before="2"/>
                              <w:rPr>
                                <w:rFonts w:hint="eastAsia" w:ascii="宋体" w:hAnsi="宋体" w:eastAsia="宋体" w:cs="宋体"/>
                                <w:sz w:val="17"/>
                                <w:szCs w:val="17"/>
                                <w:lang w:eastAsia="zh-CN"/>
                              </w:rPr>
                            </w:pPr>
                          </w:p>
                          <w:p w14:paraId="3A7E99DB">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604显示设备</w:t>
                            </w:r>
                          </w:p>
                        </w:tc>
                        <w:tc>
                          <w:tcPr>
                            <w:tcW w:w="1823" w:type="dxa"/>
                            <w:tcBorders>
                              <w:top w:val="single" w:color="000000" w:sz="4" w:space="0"/>
                              <w:left w:val="single" w:color="000000" w:sz="4" w:space="0"/>
                              <w:bottom w:val="single" w:color="000000" w:sz="4" w:space="0"/>
                              <w:right w:val="single" w:color="000000" w:sz="4" w:space="0"/>
                            </w:tcBorders>
                          </w:tcPr>
                          <w:p w14:paraId="5406F0DA">
                            <w:pPr>
                              <w:pStyle w:val="54"/>
                              <w:spacing w:before="68"/>
                              <w:ind w:left="7"/>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4</w:t>
                            </w:r>
                            <w:r>
                              <w:rPr>
                                <w:rFonts w:hint="eastAsia" w:ascii="宋体" w:hAnsi="宋体" w:eastAsia="宋体" w:cs="宋体"/>
                                <w:w w:val="99"/>
                                <w:sz w:val="20"/>
                                <w:szCs w:val="20"/>
                              </w:rPr>
                              <w:t>01液晶</w:t>
                            </w:r>
                          </w:p>
                          <w:p w14:paraId="78ADB1E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显示器</w:t>
                            </w:r>
                          </w:p>
                        </w:tc>
                        <w:tc>
                          <w:tcPr>
                            <w:tcW w:w="3762" w:type="dxa"/>
                            <w:tcBorders>
                              <w:top w:val="single" w:color="000000" w:sz="4" w:space="0"/>
                              <w:left w:val="single" w:color="000000" w:sz="4" w:space="0"/>
                              <w:bottom w:val="single" w:color="000000" w:sz="4" w:space="0"/>
                              <w:right w:val="single" w:color="000000" w:sz="4" w:space="0"/>
                            </w:tcBorders>
                          </w:tcPr>
                          <w:p w14:paraId="073F73EB">
                            <w:pPr>
                              <w:pStyle w:val="54"/>
                              <w:spacing w:before="68"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《计算机显示器能效限</w:t>
                            </w:r>
                            <w:r>
                              <w:rPr>
                                <w:rFonts w:hint="eastAsia" w:ascii="宋体" w:hAnsi="宋体" w:eastAsia="宋体" w:cs="宋体"/>
                                <w:spacing w:val="9"/>
                                <w:w w:val="99"/>
                                <w:sz w:val="20"/>
                                <w:szCs w:val="20"/>
                                <w:lang w:eastAsia="zh-CN"/>
                              </w:rPr>
                              <w:t>定</w:t>
                            </w:r>
                            <w:r>
                              <w:rPr>
                                <w:rFonts w:hint="eastAsia" w:ascii="宋体" w:hAnsi="宋体" w:eastAsia="宋体" w:cs="宋体"/>
                                <w:spacing w:val="12"/>
                                <w:w w:val="99"/>
                                <w:sz w:val="20"/>
                                <w:szCs w:val="20"/>
                                <w:lang w:eastAsia="zh-CN"/>
                              </w:rPr>
                              <w:t>值及</w:t>
                            </w:r>
                            <w:r>
                              <w:rPr>
                                <w:rFonts w:hint="eastAsia" w:ascii="宋体" w:hAnsi="宋体" w:eastAsia="宋体" w:cs="宋体"/>
                                <w:w w:val="99"/>
                                <w:sz w:val="20"/>
                                <w:szCs w:val="20"/>
                                <w:lang w:eastAsia="zh-CN"/>
                              </w:rPr>
                              <w:t>能效等级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0</w:t>
                            </w:r>
                            <w:r>
                              <w:rPr>
                                <w:rFonts w:hint="eastAsia" w:ascii="宋体" w:hAnsi="宋体" w:eastAsia="宋体" w:cs="宋体"/>
                                <w:w w:val="99"/>
                                <w:sz w:val="20"/>
                                <w:szCs w:val="20"/>
                                <w:lang w:eastAsia="zh-CN"/>
                              </w:rPr>
                              <w:t>）</w:t>
                            </w:r>
                          </w:p>
                        </w:tc>
                      </w:tr>
                      <w:tr w14:paraId="272ACCC8">
                        <w:tblPrEx>
                          <w:tblCellMar>
                            <w:top w:w="0" w:type="dxa"/>
                            <w:left w:w="0" w:type="dxa"/>
                            <w:bottom w:w="0" w:type="dxa"/>
                            <w:right w:w="0" w:type="dxa"/>
                          </w:tblCellMar>
                        </w:tblPrEx>
                        <w:trPr>
                          <w:trHeight w:val="1161"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154A84CC">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FEBDC40">
                            <w:pPr>
                              <w:widowControl/>
                              <w:jc w:val="left"/>
                              <w:rPr>
                                <w:rFonts w:hint="eastAsia" w:ascii="宋体" w:hAnsi="宋体" w:eastAsia="宋体" w:cs="宋体"/>
                                <w:kern w:val="0"/>
                                <w:sz w:val="20"/>
                                <w:szCs w:val="20"/>
                              </w:rPr>
                            </w:pPr>
                          </w:p>
                        </w:tc>
                        <w:tc>
                          <w:tcPr>
                            <w:tcW w:w="1800" w:type="dxa"/>
                            <w:tcBorders>
                              <w:top w:val="single" w:color="000000" w:sz="4" w:space="0"/>
                              <w:left w:val="single" w:color="000000" w:sz="4" w:space="0"/>
                              <w:bottom w:val="single" w:color="000000" w:sz="4" w:space="0"/>
                              <w:right w:val="single" w:color="000000" w:sz="4" w:space="0"/>
                            </w:tcBorders>
                          </w:tcPr>
                          <w:p w14:paraId="571082E7">
                            <w:pPr>
                              <w:pStyle w:val="54"/>
                              <w:spacing w:before="8"/>
                              <w:rPr>
                                <w:rFonts w:hint="eastAsia" w:ascii="宋体" w:hAnsi="宋体" w:eastAsia="宋体" w:cs="宋体"/>
                                <w:sz w:val="27"/>
                                <w:szCs w:val="27"/>
                                <w:lang w:eastAsia="zh-CN"/>
                              </w:rPr>
                            </w:pPr>
                          </w:p>
                          <w:p w14:paraId="15687A4C">
                            <w:pPr>
                              <w:pStyle w:val="54"/>
                              <w:spacing w:line="280" w:lineRule="auto"/>
                              <w:ind w:left="7" w:right="5"/>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609图形图像输入设备</w:t>
                            </w:r>
                          </w:p>
                        </w:tc>
                        <w:tc>
                          <w:tcPr>
                            <w:tcW w:w="1823" w:type="dxa"/>
                            <w:tcBorders>
                              <w:top w:val="single" w:color="000000" w:sz="4" w:space="0"/>
                              <w:left w:val="single" w:color="000000" w:sz="4" w:space="0"/>
                              <w:bottom w:val="single" w:color="000000" w:sz="4" w:space="0"/>
                              <w:right w:val="single" w:color="000000" w:sz="4" w:space="0"/>
                            </w:tcBorders>
                          </w:tcPr>
                          <w:p w14:paraId="1C52E1D9">
                            <w:pPr>
                              <w:pStyle w:val="54"/>
                              <w:rPr>
                                <w:rFonts w:hint="eastAsia" w:ascii="宋体" w:hAnsi="宋体" w:eastAsia="宋体" w:cs="宋体"/>
                                <w:sz w:val="20"/>
                                <w:szCs w:val="20"/>
                              </w:rPr>
                            </w:pPr>
                          </w:p>
                          <w:p w14:paraId="04566CC7">
                            <w:pPr>
                              <w:pStyle w:val="54"/>
                              <w:spacing w:before="7"/>
                              <w:rPr>
                                <w:rFonts w:hint="eastAsia" w:ascii="宋体" w:hAnsi="宋体" w:eastAsia="宋体" w:cs="宋体"/>
                                <w:sz w:val="19"/>
                                <w:szCs w:val="19"/>
                              </w:rPr>
                            </w:pPr>
                          </w:p>
                          <w:p w14:paraId="7DF306EC">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01</w:t>
                            </w:r>
                            <w:r>
                              <w:rPr>
                                <w:rFonts w:hint="eastAsia" w:ascii="宋体" w:hAnsi="宋体" w:eastAsia="宋体" w:cs="宋体"/>
                                <w:spacing w:val="1"/>
                                <w:w w:val="99"/>
                                <w:sz w:val="20"/>
                                <w:szCs w:val="20"/>
                              </w:rPr>
                              <w:t>0</w:t>
                            </w:r>
                            <w:r>
                              <w:rPr>
                                <w:rFonts w:hint="eastAsia" w:ascii="宋体" w:hAnsi="宋体" w:eastAsia="宋体" w:cs="宋体"/>
                                <w:w w:val="99"/>
                                <w:sz w:val="20"/>
                                <w:szCs w:val="20"/>
                              </w:rPr>
                              <w:t>60</w:t>
                            </w:r>
                            <w:r>
                              <w:rPr>
                                <w:rFonts w:hint="eastAsia" w:ascii="宋体" w:hAnsi="宋体" w:eastAsia="宋体" w:cs="宋体"/>
                                <w:spacing w:val="1"/>
                                <w:w w:val="99"/>
                                <w:sz w:val="20"/>
                                <w:szCs w:val="20"/>
                              </w:rPr>
                              <w:t>9</w:t>
                            </w:r>
                            <w:r>
                              <w:rPr>
                                <w:rFonts w:hint="eastAsia" w:ascii="宋体" w:hAnsi="宋体" w:eastAsia="宋体" w:cs="宋体"/>
                                <w:w w:val="99"/>
                                <w:sz w:val="20"/>
                                <w:szCs w:val="20"/>
                              </w:rPr>
                              <w:t>01扫描仪</w:t>
                            </w:r>
                          </w:p>
                        </w:tc>
                        <w:tc>
                          <w:tcPr>
                            <w:tcW w:w="3762" w:type="dxa"/>
                            <w:tcBorders>
                              <w:top w:val="single" w:color="000000" w:sz="4" w:space="0"/>
                              <w:left w:val="single" w:color="000000" w:sz="4" w:space="0"/>
                              <w:bottom w:val="single" w:color="000000" w:sz="4" w:space="0"/>
                              <w:right w:val="single" w:color="000000" w:sz="4" w:space="0"/>
                            </w:tcBorders>
                          </w:tcPr>
                          <w:p w14:paraId="0C8BACA5">
                            <w:pPr>
                              <w:pStyle w:val="54"/>
                              <w:spacing w:before="49"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参</w:t>
                            </w:r>
                            <w:r>
                              <w:rPr>
                                <w:rFonts w:hint="eastAsia" w:ascii="宋体" w:hAnsi="宋体" w:eastAsia="宋体" w:cs="宋体"/>
                                <w:spacing w:val="-29"/>
                                <w:w w:val="99"/>
                                <w:sz w:val="20"/>
                                <w:szCs w:val="20"/>
                                <w:lang w:eastAsia="zh-CN"/>
                              </w:rPr>
                              <w:t>照</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复</w:t>
                            </w:r>
                            <w:r>
                              <w:rPr>
                                <w:rFonts w:hint="eastAsia" w:ascii="宋体" w:hAnsi="宋体" w:eastAsia="宋体" w:cs="宋体"/>
                                <w:w w:val="99"/>
                                <w:sz w:val="20"/>
                                <w:szCs w:val="20"/>
                                <w:lang w:eastAsia="zh-CN"/>
                              </w:rPr>
                              <w:t>印</w:t>
                            </w:r>
                            <w:r>
                              <w:rPr>
                                <w:rFonts w:hint="eastAsia" w:ascii="宋体" w:hAnsi="宋体" w:eastAsia="宋体" w:cs="宋体"/>
                                <w:spacing w:val="2"/>
                                <w:w w:val="99"/>
                                <w:sz w:val="20"/>
                                <w:szCs w:val="20"/>
                                <w:lang w:eastAsia="zh-CN"/>
                              </w:rPr>
                              <w:t>机</w:t>
                            </w:r>
                            <w:r>
                              <w:rPr>
                                <w:rFonts w:hint="eastAsia" w:ascii="宋体" w:hAnsi="宋体" w:eastAsia="宋体" w:cs="宋体"/>
                                <w:spacing w:val="-29"/>
                                <w:w w:val="99"/>
                                <w:sz w:val="20"/>
                                <w:szCs w:val="20"/>
                                <w:lang w:eastAsia="zh-CN"/>
                              </w:rPr>
                              <w:t>、</w:t>
                            </w:r>
                            <w:r>
                              <w:rPr>
                                <w:rFonts w:hint="eastAsia" w:ascii="宋体" w:hAnsi="宋体" w:eastAsia="宋体" w:cs="宋体"/>
                                <w:w w:val="99"/>
                                <w:sz w:val="20"/>
                                <w:szCs w:val="20"/>
                                <w:lang w:eastAsia="zh-CN"/>
                              </w:rPr>
                              <w:t>打</w:t>
                            </w:r>
                            <w:r>
                              <w:rPr>
                                <w:rFonts w:hint="eastAsia" w:ascii="宋体" w:hAnsi="宋体" w:eastAsia="宋体" w:cs="宋体"/>
                                <w:spacing w:val="2"/>
                                <w:w w:val="99"/>
                                <w:sz w:val="20"/>
                                <w:szCs w:val="20"/>
                                <w:lang w:eastAsia="zh-CN"/>
                              </w:rPr>
                              <w:t>印</w:t>
                            </w:r>
                            <w:r>
                              <w:rPr>
                                <w:rFonts w:hint="eastAsia" w:ascii="宋体" w:hAnsi="宋体" w:eastAsia="宋体" w:cs="宋体"/>
                                <w:w w:val="99"/>
                                <w:sz w:val="20"/>
                                <w:szCs w:val="20"/>
                                <w:lang w:eastAsia="zh-CN"/>
                              </w:rPr>
                              <w:t>机和</w:t>
                            </w:r>
                            <w:r>
                              <w:rPr>
                                <w:rFonts w:hint="eastAsia" w:ascii="宋体" w:hAnsi="宋体" w:eastAsia="宋体" w:cs="宋体"/>
                                <w:spacing w:val="2"/>
                                <w:w w:val="99"/>
                                <w:sz w:val="20"/>
                                <w:szCs w:val="20"/>
                                <w:lang w:eastAsia="zh-CN"/>
                              </w:rPr>
                              <w:t>传</w:t>
                            </w:r>
                            <w:r>
                              <w:rPr>
                                <w:rFonts w:hint="eastAsia" w:ascii="宋体" w:hAnsi="宋体" w:eastAsia="宋体" w:cs="宋体"/>
                                <w:w w:val="99"/>
                                <w:sz w:val="20"/>
                                <w:szCs w:val="20"/>
                                <w:lang w:eastAsia="zh-CN"/>
                              </w:rPr>
                              <w:t>真机能效限定</w:t>
                            </w:r>
                            <w:r>
                              <w:rPr>
                                <w:rFonts w:hint="eastAsia" w:ascii="宋体" w:hAnsi="宋体" w:eastAsia="宋体" w:cs="宋体"/>
                                <w:spacing w:val="2"/>
                                <w:w w:val="99"/>
                                <w:sz w:val="20"/>
                                <w:szCs w:val="20"/>
                                <w:lang w:eastAsia="zh-CN"/>
                              </w:rPr>
                              <w:t>值</w:t>
                            </w:r>
                            <w:r>
                              <w:rPr>
                                <w:rFonts w:hint="eastAsia" w:ascii="宋体" w:hAnsi="宋体" w:eastAsia="宋体" w:cs="宋体"/>
                                <w:w w:val="99"/>
                                <w:sz w:val="20"/>
                                <w:szCs w:val="20"/>
                                <w:lang w:eastAsia="zh-CN"/>
                              </w:rPr>
                              <w:t>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06"/>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2152</w:t>
                            </w:r>
                            <w:r>
                              <w:rPr>
                                <w:rFonts w:hint="eastAsia" w:ascii="宋体" w:hAnsi="宋体" w:eastAsia="宋体" w:cs="宋体"/>
                                <w:w w:val="99"/>
                                <w:sz w:val="20"/>
                                <w:szCs w:val="20"/>
                                <w:lang w:eastAsia="zh-CN"/>
                              </w:rPr>
                              <w:t>1）</w:t>
                            </w:r>
                            <w:r>
                              <w:rPr>
                                <w:rFonts w:hint="eastAsia" w:ascii="宋体" w:hAnsi="宋体" w:eastAsia="宋体" w:cs="宋体"/>
                                <w:spacing w:val="2"/>
                                <w:w w:val="99"/>
                                <w:sz w:val="20"/>
                                <w:szCs w:val="20"/>
                                <w:lang w:eastAsia="zh-CN"/>
                              </w:rPr>
                              <w:t>中</w:t>
                            </w:r>
                            <w:r>
                              <w:rPr>
                                <w:rFonts w:hint="eastAsia" w:ascii="宋体" w:hAnsi="宋体" w:eastAsia="宋体" w:cs="宋体"/>
                                <w:spacing w:val="4"/>
                                <w:w w:val="99"/>
                                <w:sz w:val="20"/>
                                <w:szCs w:val="20"/>
                                <w:lang w:eastAsia="zh-CN"/>
                              </w:rPr>
                              <w:t>打印速</w:t>
                            </w:r>
                            <w:r>
                              <w:rPr>
                                <w:rFonts w:hint="eastAsia" w:ascii="宋体" w:hAnsi="宋体" w:eastAsia="宋体" w:cs="宋体"/>
                                <w:spacing w:val="2"/>
                                <w:w w:val="99"/>
                                <w:sz w:val="20"/>
                                <w:szCs w:val="20"/>
                                <w:lang w:eastAsia="zh-CN"/>
                              </w:rPr>
                              <w:t>度</w:t>
                            </w:r>
                            <w:r>
                              <w:rPr>
                                <w:rFonts w:hint="eastAsia" w:ascii="宋体" w:hAnsi="宋体" w:eastAsia="宋体" w:cs="宋体"/>
                                <w:w w:val="99"/>
                                <w:sz w:val="20"/>
                                <w:szCs w:val="20"/>
                                <w:lang w:eastAsia="zh-CN"/>
                              </w:rPr>
                              <w:t>为</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5</w:t>
                            </w:r>
                            <w:r>
                              <w:rPr>
                                <w:rFonts w:hint="eastAsia" w:ascii="宋体" w:hAnsi="宋体" w:eastAsia="宋体" w:cs="宋体"/>
                                <w:spacing w:val="2"/>
                                <w:w w:val="99"/>
                                <w:sz w:val="20"/>
                                <w:szCs w:val="20"/>
                                <w:lang w:eastAsia="zh-CN"/>
                              </w:rPr>
                              <w:t>页</w:t>
                            </w:r>
                            <w:r>
                              <w:rPr>
                                <w:rFonts w:hint="eastAsia" w:ascii="宋体" w:hAnsi="宋体" w:eastAsia="宋体" w:cs="宋体"/>
                                <w:spacing w:val="5"/>
                                <w:w w:val="99"/>
                                <w:sz w:val="20"/>
                                <w:szCs w:val="20"/>
                                <w:lang w:eastAsia="zh-CN"/>
                              </w:rPr>
                              <w:t>/</w:t>
                            </w:r>
                            <w:r>
                              <w:rPr>
                                <w:rFonts w:hint="eastAsia" w:ascii="宋体" w:hAnsi="宋体" w:eastAsia="宋体" w:cs="宋体"/>
                                <w:spacing w:val="4"/>
                                <w:w w:val="99"/>
                                <w:sz w:val="20"/>
                                <w:szCs w:val="20"/>
                                <w:lang w:eastAsia="zh-CN"/>
                              </w:rPr>
                              <w:t>分的</w:t>
                            </w:r>
                            <w:r>
                              <w:rPr>
                                <w:rFonts w:hint="eastAsia" w:ascii="宋体" w:hAnsi="宋体" w:eastAsia="宋体" w:cs="宋体"/>
                                <w:spacing w:val="2"/>
                                <w:w w:val="99"/>
                                <w:sz w:val="20"/>
                                <w:szCs w:val="20"/>
                                <w:lang w:eastAsia="zh-CN"/>
                              </w:rPr>
                              <w:t>针</w:t>
                            </w:r>
                            <w:r>
                              <w:rPr>
                                <w:rFonts w:hint="eastAsia" w:ascii="宋体" w:hAnsi="宋体" w:eastAsia="宋体" w:cs="宋体"/>
                                <w:spacing w:val="4"/>
                                <w:w w:val="99"/>
                                <w:sz w:val="20"/>
                                <w:szCs w:val="20"/>
                                <w:lang w:eastAsia="zh-CN"/>
                              </w:rPr>
                              <w:t>式</w:t>
                            </w:r>
                            <w:r>
                              <w:rPr>
                                <w:rFonts w:hint="eastAsia" w:ascii="宋体" w:hAnsi="宋体" w:eastAsia="宋体" w:cs="宋体"/>
                                <w:w w:val="99"/>
                                <w:sz w:val="20"/>
                                <w:szCs w:val="20"/>
                                <w:lang w:eastAsia="zh-CN"/>
                              </w:rPr>
                              <w:t>打印机相</w:t>
                            </w:r>
                            <w:r>
                              <w:rPr>
                                <w:rFonts w:hint="eastAsia" w:ascii="宋体" w:hAnsi="宋体" w:eastAsia="宋体" w:cs="宋体"/>
                                <w:spacing w:val="2"/>
                                <w:w w:val="99"/>
                                <w:sz w:val="20"/>
                                <w:szCs w:val="20"/>
                                <w:lang w:eastAsia="zh-CN"/>
                              </w:rPr>
                              <w:t>关</w:t>
                            </w:r>
                            <w:r>
                              <w:rPr>
                                <w:rFonts w:hint="eastAsia" w:ascii="宋体" w:hAnsi="宋体" w:eastAsia="宋体" w:cs="宋体"/>
                                <w:w w:val="99"/>
                                <w:sz w:val="20"/>
                                <w:szCs w:val="20"/>
                                <w:lang w:eastAsia="zh-CN"/>
                              </w:rPr>
                              <w:t>要求</w:t>
                            </w:r>
                          </w:p>
                        </w:tc>
                      </w:tr>
                      <w:tr w14:paraId="6D07BEEE">
                        <w:tblPrEx>
                          <w:tblCellMar>
                            <w:top w:w="0" w:type="dxa"/>
                            <w:left w:w="0" w:type="dxa"/>
                            <w:bottom w:w="0" w:type="dxa"/>
                            <w:right w:w="0" w:type="dxa"/>
                          </w:tblCellMar>
                        </w:tblPrEx>
                        <w:trPr>
                          <w:trHeight w:val="684" w:hRule="exact"/>
                          <w:jc w:val="center"/>
                        </w:trPr>
                        <w:tc>
                          <w:tcPr>
                            <w:tcW w:w="574" w:type="dxa"/>
                            <w:tcBorders>
                              <w:top w:val="single" w:color="000000" w:sz="4" w:space="0"/>
                              <w:left w:val="single" w:color="000000" w:sz="4" w:space="0"/>
                              <w:bottom w:val="single" w:color="000000" w:sz="4" w:space="0"/>
                              <w:right w:val="single" w:color="000000" w:sz="4" w:space="0"/>
                            </w:tcBorders>
                          </w:tcPr>
                          <w:p w14:paraId="19DB0172">
                            <w:pPr>
                              <w:pStyle w:val="54"/>
                              <w:spacing w:before="179"/>
                              <w:ind w:right="1"/>
                              <w:jc w:val="center"/>
                              <w:rPr>
                                <w:rFonts w:hint="eastAsia" w:ascii="宋体" w:hAnsi="宋体" w:eastAsia="宋体" w:cs="宋体"/>
                                <w:sz w:val="20"/>
                                <w:szCs w:val="20"/>
                              </w:rPr>
                            </w:pPr>
                            <w:r>
                              <w:rPr>
                                <w:rFonts w:hint="eastAsia" w:ascii="宋体" w:hAnsi="宋体" w:eastAsia="宋体" w:cs="宋体"/>
                                <w:w w:val="99"/>
                                <w:sz w:val="20"/>
                              </w:rPr>
                              <w:t>3</w:t>
                            </w:r>
                          </w:p>
                        </w:tc>
                        <w:tc>
                          <w:tcPr>
                            <w:tcW w:w="1166" w:type="dxa"/>
                            <w:tcBorders>
                              <w:top w:val="single" w:color="000000" w:sz="4" w:space="0"/>
                              <w:left w:val="single" w:color="000000" w:sz="4" w:space="0"/>
                              <w:bottom w:val="single" w:color="000000" w:sz="4" w:space="0"/>
                              <w:right w:val="single" w:color="000000" w:sz="4" w:space="0"/>
                            </w:tcBorders>
                          </w:tcPr>
                          <w:p w14:paraId="2845F236">
                            <w:pPr>
                              <w:pStyle w:val="54"/>
                              <w:spacing w:before="23"/>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2投影</w:t>
                            </w:r>
                          </w:p>
                          <w:p w14:paraId="6062FB87">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仪</w:t>
                            </w:r>
                          </w:p>
                        </w:tc>
                        <w:tc>
                          <w:tcPr>
                            <w:tcW w:w="1800" w:type="dxa"/>
                            <w:tcBorders>
                              <w:top w:val="single" w:color="000000" w:sz="4" w:space="0"/>
                              <w:left w:val="single" w:color="000000" w:sz="4" w:space="0"/>
                              <w:bottom w:val="single" w:color="000000" w:sz="4" w:space="0"/>
                              <w:right w:val="single" w:color="000000" w:sz="4" w:space="0"/>
                            </w:tcBorders>
                          </w:tcPr>
                          <w:p w14:paraId="5ED6B65B">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1FA45420">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3B7AB4B7">
                            <w:pPr>
                              <w:pStyle w:val="54"/>
                              <w:spacing w:before="23"/>
                              <w:ind w:left="7"/>
                              <w:rPr>
                                <w:rFonts w:hint="eastAsia" w:ascii="宋体" w:hAnsi="宋体" w:eastAsia="宋体" w:cs="宋体"/>
                                <w:sz w:val="20"/>
                                <w:szCs w:val="20"/>
                                <w:lang w:eastAsia="zh-CN"/>
                              </w:rPr>
                            </w:pPr>
                            <w:r>
                              <w:rPr>
                                <w:rFonts w:hint="eastAsia" w:ascii="宋体" w:hAnsi="宋体" w:eastAsia="宋体" w:cs="宋体"/>
                                <w:w w:val="99"/>
                                <w:sz w:val="20"/>
                                <w:szCs w:val="20"/>
                                <w:lang w:eastAsia="zh-CN"/>
                              </w:rPr>
                              <w:t>《投影</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w:t>
                            </w:r>
                            <w:r>
                              <w:rPr>
                                <w:rFonts w:hint="eastAsia" w:ascii="宋体" w:hAnsi="宋体" w:eastAsia="宋体" w:cs="宋体"/>
                                <w:spacing w:val="2"/>
                                <w:w w:val="99"/>
                                <w:sz w:val="20"/>
                                <w:szCs w:val="20"/>
                                <w:lang w:eastAsia="zh-CN"/>
                              </w:rPr>
                              <w:t>限</w:t>
                            </w:r>
                            <w:r>
                              <w:rPr>
                                <w:rFonts w:hint="eastAsia" w:ascii="宋体" w:hAnsi="宋体" w:eastAsia="宋体" w:cs="宋体"/>
                                <w:w w:val="99"/>
                                <w:sz w:val="20"/>
                                <w:szCs w:val="20"/>
                                <w:lang w:eastAsia="zh-CN"/>
                              </w:rPr>
                              <w:t>定值</w:t>
                            </w:r>
                            <w:r>
                              <w:rPr>
                                <w:rFonts w:hint="eastAsia" w:ascii="宋体" w:hAnsi="宋体" w:eastAsia="宋体" w:cs="宋体"/>
                                <w:spacing w:val="2"/>
                                <w:w w:val="99"/>
                                <w:sz w:val="20"/>
                                <w:szCs w:val="20"/>
                                <w:lang w:eastAsia="zh-CN"/>
                              </w:rPr>
                              <w:t>及</w:t>
                            </w:r>
                            <w:r>
                              <w:rPr>
                                <w:rFonts w:hint="eastAsia" w:ascii="宋体" w:hAnsi="宋体" w:eastAsia="宋体" w:cs="宋体"/>
                                <w:w w:val="99"/>
                                <w:sz w:val="20"/>
                                <w:szCs w:val="20"/>
                                <w:lang w:eastAsia="zh-CN"/>
                              </w:rPr>
                              <w:t>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w:t>
                            </w:r>
                            <w:r>
                              <w:rPr>
                                <w:rFonts w:hint="eastAsia" w:ascii="宋体" w:hAnsi="宋体" w:eastAsia="宋体" w:cs="宋体"/>
                                <w:w w:val="99"/>
                                <w:sz w:val="20"/>
                                <w:szCs w:val="20"/>
                                <w:lang w:eastAsia="zh-CN"/>
                              </w:rPr>
                              <w:t>20</w:t>
                            </w:r>
                            <w:r>
                              <w:rPr>
                                <w:rFonts w:hint="eastAsia" w:ascii="宋体" w:hAnsi="宋体" w:eastAsia="宋体" w:cs="宋体"/>
                                <w:spacing w:val="1"/>
                                <w:w w:val="99"/>
                                <w:sz w:val="20"/>
                                <w:szCs w:val="20"/>
                                <w:lang w:eastAsia="zh-CN"/>
                              </w:rPr>
                              <w:t>28</w:t>
                            </w:r>
                            <w:r>
                              <w:rPr>
                                <w:rFonts w:hint="eastAsia" w:ascii="宋体" w:hAnsi="宋体" w:eastAsia="宋体" w:cs="宋体"/>
                                <w:w w:val="99"/>
                                <w:sz w:val="20"/>
                                <w:szCs w:val="20"/>
                                <w:lang w:eastAsia="zh-CN"/>
                              </w:rPr>
                              <w:t>）</w:t>
                            </w:r>
                          </w:p>
                        </w:tc>
                      </w:tr>
                      <w:tr w14:paraId="7B9F3833">
                        <w:tblPrEx>
                          <w:tblCellMar>
                            <w:top w:w="0" w:type="dxa"/>
                            <w:left w:w="0" w:type="dxa"/>
                            <w:bottom w:w="0" w:type="dxa"/>
                            <w:right w:w="0" w:type="dxa"/>
                          </w:tblCellMar>
                        </w:tblPrEx>
                        <w:trPr>
                          <w:trHeight w:val="770" w:hRule="exact"/>
                          <w:jc w:val="center"/>
                        </w:trPr>
                        <w:tc>
                          <w:tcPr>
                            <w:tcW w:w="574" w:type="dxa"/>
                            <w:tcBorders>
                              <w:top w:val="single" w:color="000000" w:sz="4" w:space="0"/>
                              <w:left w:val="single" w:color="000000" w:sz="4" w:space="0"/>
                              <w:bottom w:val="single" w:color="000000" w:sz="4" w:space="0"/>
                              <w:right w:val="single" w:color="000000" w:sz="4" w:space="0"/>
                            </w:tcBorders>
                          </w:tcPr>
                          <w:p w14:paraId="515B49D8">
                            <w:pPr>
                              <w:pStyle w:val="54"/>
                              <w:spacing w:before="13"/>
                              <w:rPr>
                                <w:rFonts w:hint="eastAsia" w:ascii="宋体" w:hAnsi="宋体" w:eastAsia="宋体" w:cs="宋体"/>
                                <w:sz w:val="16"/>
                                <w:szCs w:val="16"/>
                                <w:lang w:eastAsia="zh-CN"/>
                              </w:rPr>
                            </w:pPr>
                          </w:p>
                          <w:p w14:paraId="72152A85">
                            <w:pPr>
                              <w:pStyle w:val="54"/>
                              <w:ind w:right="1"/>
                              <w:jc w:val="center"/>
                              <w:rPr>
                                <w:rFonts w:hint="eastAsia" w:ascii="宋体" w:hAnsi="宋体" w:eastAsia="宋体" w:cs="宋体"/>
                                <w:sz w:val="20"/>
                                <w:szCs w:val="20"/>
                              </w:rPr>
                            </w:pPr>
                            <w:r>
                              <w:rPr>
                                <w:rFonts w:hint="eastAsia" w:ascii="宋体" w:hAnsi="宋体" w:eastAsia="宋体" w:cs="宋体"/>
                                <w:w w:val="99"/>
                                <w:sz w:val="20"/>
                              </w:rPr>
                              <w:t>4</w:t>
                            </w:r>
                          </w:p>
                        </w:tc>
                        <w:tc>
                          <w:tcPr>
                            <w:tcW w:w="1166" w:type="dxa"/>
                            <w:tcBorders>
                              <w:top w:val="single" w:color="000000" w:sz="4" w:space="0"/>
                              <w:left w:val="single" w:color="000000" w:sz="4" w:space="0"/>
                              <w:bottom w:val="single" w:color="000000" w:sz="4" w:space="0"/>
                              <w:right w:val="single" w:color="000000" w:sz="4" w:space="0"/>
                            </w:tcBorders>
                          </w:tcPr>
                          <w:p w14:paraId="5A562077">
                            <w:pPr>
                              <w:pStyle w:val="54"/>
                              <w:spacing w:before="66"/>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02</w:t>
                            </w:r>
                            <w:r>
                              <w:rPr>
                                <w:rFonts w:hint="eastAsia" w:ascii="宋体" w:hAnsi="宋体" w:eastAsia="宋体" w:cs="宋体"/>
                                <w:spacing w:val="1"/>
                                <w:w w:val="99"/>
                                <w:sz w:val="20"/>
                                <w:szCs w:val="20"/>
                              </w:rPr>
                              <w:t>0</w:t>
                            </w:r>
                            <w:r>
                              <w:rPr>
                                <w:rFonts w:hint="eastAsia" w:ascii="宋体" w:hAnsi="宋体" w:eastAsia="宋体" w:cs="宋体"/>
                                <w:w w:val="99"/>
                                <w:sz w:val="20"/>
                                <w:szCs w:val="20"/>
                              </w:rPr>
                              <w:t>4多功</w:t>
                            </w:r>
                          </w:p>
                          <w:p w14:paraId="7EE345AA">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能一体机</w:t>
                            </w:r>
                          </w:p>
                        </w:tc>
                        <w:tc>
                          <w:tcPr>
                            <w:tcW w:w="1800" w:type="dxa"/>
                            <w:tcBorders>
                              <w:top w:val="single" w:color="000000" w:sz="4" w:space="0"/>
                              <w:left w:val="single" w:color="000000" w:sz="4" w:space="0"/>
                              <w:bottom w:val="single" w:color="000000" w:sz="4" w:space="0"/>
                              <w:right w:val="single" w:color="000000" w:sz="4" w:space="0"/>
                            </w:tcBorders>
                          </w:tcPr>
                          <w:p w14:paraId="5B62A6E6">
                            <w:pPr>
                              <w:rPr>
                                <w:rFonts w:hint="eastAsia" w:ascii="宋体" w:hAnsi="宋体" w:eastAsia="宋体" w:cs="宋体"/>
                                <w:sz w:val="22"/>
                                <w:szCs w:val="22"/>
                              </w:rPr>
                            </w:pPr>
                          </w:p>
                        </w:tc>
                        <w:tc>
                          <w:tcPr>
                            <w:tcW w:w="1823" w:type="dxa"/>
                            <w:tcBorders>
                              <w:top w:val="single" w:color="000000" w:sz="4" w:space="0"/>
                              <w:left w:val="single" w:color="000000" w:sz="4" w:space="0"/>
                              <w:bottom w:val="single" w:color="000000" w:sz="4" w:space="0"/>
                              <w:right w:val="single" w:color="000000" w:sz="4" w:space="0"/>
                            </w:tcBorders>
                          </w:tcPr>
                          <w:p w14:paraId="0815CD34">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3C27CA42">
                            <w:pPr>
                              <w:pStyle w:val="54"/>
                              <w:spacing w:before="66"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《复印</w:t>
                            </w:r>
                            <w:r>
                              <w:rPr>
                                <w:rFonts w:hint="eastAsia" w:ascii="宋体" w:hAnsi="宋体" w:eastAsia="宋体" w:cs="宋体"/>
                                <w:spacing w:val="2"/>
                                <w:w w:val="99"/>
                                <w:sz w:val="20"/>
                                <w:szCs w:val="20"/>
                                <w:lang w:eastAsia="zh-CN"/>
                              </w:rPr>
                              <w:t>机</w:t>
                            </w:r>
                            <w:r>
                              <w:rPr>
                                <w:rFonts w:hint="eastAsia" w:ascii="宋体" w:hAnsi="宋体" w:eastAsia="宋体" w:cs="宋体"/>
                                <w:spacing w:val="-58"/>
                                <w:w w:val="99"/>
                                <w:sz w:val="20"/>
                                <w:szCs w:val="20"/>
                                <w:lang w:eastAsia="zh-CN"/>
                              </w:rPr>
                              <w:t>、</w:t>
                            </w:r>
                            <w:r>
                              <w:rPr>
                                <w:rFonts w:hint="eastAsia" w:ascii="宋体" w:hAnsi="宋体" w:eastAsia="宋体" w:cs="宋体"/>
                                <w:spacing w:val="2"/>
                                <w:w w:val="99"/>
                                <w:sz w:val="20"/>
                                <w:szCs w:val="20"/>
                                <w:lang w:eastAsia="zh-CN"/>
                              </w:rPr>
                              <w:t>打</w:t>
                            </w:r>
                            <w:r>
                              <w:rPr>
                                <w:rFonts w:hint="eastAsia" w:ascii="宋体" w:hAnsi="宋体" w:eastAsia="宋体" w:cs="宋体"/>
                                <w:w w:val="99"/>
                                <w:sz w:val="20"/>
                                <w:szCs w:val="20"/>
                                <w:lang w:eastAsia="zh-CN"/>
                              </w:rPr>
                              <w:t>印机</w:t>
                            </w:r>
                            <w:r>
                              <w:rPr>
                                <w:rFonts w:hint="eastAsia" w:ascii="宋体" w:hAnsi="宋体" w:eastAsia="宋体" w:cs="宋体"/>
                                <w:spacing w:val="2"/>
                                <w:w w:val="99"/>
                                <w:sz w:val="20"/>
                                <w:szCs w:val="20"/>
                                <w:lang w:eastAsia="zh-CN"/>
                              </w:rPr>
                              <w:t>和</w:t>
                            </w:r>
                            <w:r>
                              <w:rPr>
                                <w:rFonts w:hint="eastAsia" w:ascii="宋体" w:hAnsi="宋体" w:eastAsia="宋体" w:cs="宋体"/>
                                <w:w w:val="99"/>
                                <w:sz w:val="20"/>
                                <w:szCs w:val="20"/>
                                <w:lang w:eastAsia="zh-CN"/>
                              </w:rPr>
                              <w:t>传真</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能效限定值及</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效等</w:t>
                            </w:r>
                            <w:r>
                              <w:rPr>
                                <w:rFonts w:hint="eastAsia" w:ascii="宋体" w:hAnsi="宋体" w:eastAsia="宋体" w:cs="宋体"/>
                                <w:spacing w:val="2"/>
                                <w:w w:val="99"/>
                                <w:sz w:val="20"/>
                                <w:szCs w:val="20"/>
                                <w:lang w:eastAsia="zh-CN"/>
                              </w:rPr>
                              <w:t>级</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21</w:t>
                            </w:r>
                            <w:r>
                              <w:rPr>
                                <w:rFonts w:hint="eastAsia" w:ascii="宋体" w:hAnsi="宋体" w:eastAsia="宋体" w:cs="宋体"/>
                                <w:w w:val="99"/>
                                <w:sz w:val="20"/>
                                <w:szCs w:val="20"/>
                                <w:lang w:eastAsia="zh-CN"/>
                              </w:rPr>
                              <w:t>52</w:t>
                            </w:r>
                            <w:r>
                              <w:rPr>
                                <w:rFonts w:hint="eastAsia" w:ascii="宋体" w:hAnsi="宋体" w:eastAsia="宋体" w:cs="宋体"/>
                                <w:spacing w:val="1"/>
                                <w:w w:val="99"/>
                                <w:sz w:val="20"/>
                                <w:szCs w:val="20"/>
                                <w:lang w:eastAsia="zh-CN"/>
                              </w:rPr>
                              <w:t>1</w:t>
                            </w:r>
                            <w:r>
                              <w:rPr>
                                <w:rFonts w:hint="eastAsia" w:ascii="宋体" w:hAnsi="宋体" w:eastAsia="宋体" w:cs="宋体"/>
                                <w:w w:val="99"/>
                                <w:sz w:val="20"/>
                                <w:szCs w:val="20"/>
                                <w:lang w:eastAsia="zh-CN"/>
                              </w:rPr>
                              <w:t>）</w:t>
                            </w:r>
                          </w:p>
                        </w:tc>
                      </w:tr>
                      <w:tr w14:paraId="6F3ABA83">
                        <w:tblPrEx>
                          <w:tblCellMar>
                            <w:top w:w="0" w:type="dxa"/>
                            <w:left w:w="0" w:type="dxa"/>
                            <w:bottom w:w="0" w:type="dxa"/>
                            <w:right w:w="0" w:type="dxa"/>
                          </w:tblCellMar>
                        </w:tblPrEx>
                        <w:trPr>
                          <w:trHeight w:val="646" w:hRule="exact"/>
                          <w:jc w:val="center"/>
                        </w:trPr>
                        <w:tc>
                          <w:tcPr>
                            <w:tcW w:w="574" w:type="dxa"/>
                            <w:tcBorders>
                              <w:top w:val="single" w:color="000000" w:sz="4" w:space="0"/>
                              <w:left w:val="single" w:color="000000" w:sz="4" w:space="0"/>
                              <w:bottom w:val="single" w:color="000000" w:sz="4" w:space="0"/>
                              <w:right w:val="single" w:color="000000" w:sz="4" w:space="0"/>
                            </w:tcBorders>
                          </w:tcPr>
                          <w:p w14:paraId="4B27641B">
                            <w:pPr>
                              <w:pStyle w:val="54"/>
                              <w:spacing w:before="160"/>
                              <w:ind w:right="1"/>
                              <w:jc w:val="center"/>
                              <w:rPr>
                                <w:rFonts w:hint="eastAsia" w:ascii="宋体" w:hAnsi="宋体" w:eastAsia="宋体" w:cs="宋体"/>
                                <w:sz w:val="20"/>
                                <w:szCs w:val="20"/>
                              </w:rPr>
                            </w:pPr>
                            <w:r>
                              <w:rPr>
                                <w:rFonts w:hint="eastAsia" w:ascii="宋体" w:hAnsi="宋体" w:eastAsia="宋体" w:cs="宋体"/>
                                <w:w w:val="99"/>
                                <w:sz w:val="20"/>
                              </w:rPr>
                              <w:t>5</w:t>
                            </w:r>
                          </w:p>
                        </w:tc>
                        <w:tc>
                          <w:tcPr>
                            <w:tcW w:w="1166" w:type="dxa"/>
                            <w:tcBorders>
                              <w:top w:val="single" w:color="000000" w:sz="4" w:space="0"/>
                              <w:left w:val="single" w:color="000000" w:sz="4" w:space="0"/>
                              <w:bottom w:val="single" w:color="000000" w:sz="4" w:space="0"/>
                              <w:right w:val="single" w:color="000000" w:sz="4" w:space="0"/>
                            </w:tcBorders>
                          </w:tcPr>
                          <w:p w14:paraId="790249C8">
                            <w:pPr>
                              <w:pStyle w:val="54"/>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9泵</w:t>
                            </w:r>
                          </w:p>
                        </w:tc>
                        <w:tc>
                          <w:tcPr>
                            <w:tcW w:w="1800" w:type="dxa"/>
                            <w:tcBorders>
                              <w:top w:val="single" w:color="000000" w:sz="4" w:space="0"/>
                              <w:left w:val="single" w:color="000000" w:sz="4" w:space="0"/>
                              <w:bottom w:val="single" w:color="000000" w:sz="4" w:space="0"/>
                              <w:right w:val="single" w:color="000000" w:sz="4" w:space="0"/>
                            </w:tcBorders>
                          </w:tcPr>
                          <w:p w14:paraId="75D1DC34">
                            <w:pPr>
                              <w:pStyle w:val="54"/>
                              <w:spacing w:before="160"/>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1</w:t>
                            </w:r>
                            <w:r>
                              <w:rPr>
                                <w:rFonts w:hint="eastAsia" w:ascii="宋体" w:hAnsi="宋体" w:eastAsia="宋体" w:cs="宋体"/>
                                <w:w w:val="99"/>
                                <w:sz w:val="20"/>
                                <w:szCs w:val="20"/>
                              </w:rPr>
                              <w:t>901离心泵</w:t>
                            </w:r>
                          </w:p>
                        </w:tc>
                        <w:tc>
                          <w:tcPr>
                            <w:tcW w:w="1823" w:type="dxa"/>
                            <w:tcBorders>
                              <w:top w:val="single" w:color="000000" w:sz="4" w:space="0"/>
                              <w:left w:val="single" w:color="000000" w:sz="4" w:space="0"/>
                              <w:bottom w:val="single" w:color="000000" w:sz="4" w:space="0"/>
                              <w:right w:val="single" w:color="000000" w:sz="4" w:space="0"/>
                            </w:tcBorders>
                          </w:tcPr>
                          <w:p w14:paraId="4F55D403">
                            <w:pPr>
                              <w:rPr>
                                <w:rFonts w:hint="eastAsia" w:ascii="宋体" w:hAnsi="宋体" w:eastAsia="宋体" w:cs="宋体"/>
                                <w:sz w:val="22"/>
                                <w:szCs w:val="22"/>
                              </w:rPr>
                            </w:pPr>
                          </w:p>
                        </w:tc>
                        <w:tc>
                          <w:tcPr>
                            <w:tcW w:w="3762" w:type="dxa"/>
                            <w:tcBorders>
                              <w:top w:val="single" w:color="000000" w:sz="4" w:space="0"/>
                              <w:left w:val="single" w:color="000000" w:sz="4" w:space="0"/>
                              <w:bottom w:val="single" w:color="000000" w:sz="4" w:space="0"/>
                              <w:right w:val="single" w:color="000000" w:sz="4" w:space="0"/>
                            </w:tcBorders>
                          </w:tcPr>
                          <w:p w14:paraId="7BB685EE">
                            <w:pPr>
                              <w:pStyle w:val="54"/>
                              <w:spacing w:before="4" w:line="280" w:lineRule="auto"/>
                              <w:ind w:left="7" w:right="4"/>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《清水离心泵能效限定</w:t>
                            </w:r>
                            <w:r>
                              <w:rPr>
                                <w:rFonts w:hint="eastAsia" w:ascii="宋体" w:hAnsi="宋体" w:eastAsia="宋体" w:cs="宋体"/>
                                <w:spacing w:val="9"/>
                                <w:w w:val="99"/>
                                <w:sz w:val="20"/>
                                <w:szCs w:val="20"/>
                                <w:lang w:eastAsia="zh-CN"/>
                              </w:rPr>
                              <w:t>值</w:t>
                            </w:r>
                            <w:r>
                              <w:rPr>
                                <w:rFonts w:hint="eastAsia" w:ascii="宋体" w:hAnsi="宋体" w:eastAsia="宋体" w:cs="宋体"/>
                                <w:spacing w:val="12"/>
                                <w:w w:val="99"/>
                                <w:sz w:val="20"/>
                                <w:szCs w:val="20"/>
                                <w:lang w:eastAsia="zh-CN"/>
                              </w:rPr>
                              <w:t>及节</w:t>
                            </w:r>
                            <w:r>
                              <w:rPr>
                                <w:rFonts w:hint="eastAsia" w:ascii="宋体" w:hAnsi="宋体" w:eastAsia="宋体" w:cs="宋体"/>
                                <w:w w:val="99"/>
                                <w:sz w:val="20"/>
                                <w:szCs w:val="20"/>
                                <w:lang w:eastAsia="zh-CN"/>
                              </w:rPr>
                              <w:t>能评价值</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w:t>
                            </w:r>
                            <w:r>
                              <w:rPr>
                                <w:rFonts w:hint="eastAsia" w:ascii="宋体" w:hAnsi="宋体" w:eastAsia="宋体" w:cs="宋体"/>
                                <w:w w:val="99"/>
                                <w:sz w:val="20"/>
                                <w:szCs w:val="20"/>
                                <w:lang w:eastAsia="zh-CN"/>
                              </w:rPr>
                              <w:t>76</w:t>
                            </w:r>
                            <w:r>
                              <w:rPr>
                                <w:rFonts w:hint="eastAsia" w:ascii="宋体" w:hAnsi="宋体" w:eastAsia="宋体" w:cs="宋体"/>
                                <w:spacing w:val="1"/>
                                <w:w w:val="99"/>
                                <w:sz w:val="20"/>
                                <w:szCs w:val="20"/>
                                <w:lang w:eastAsia="zh-CN"/>
                              </w:rPr>
                              <w:t>2</w:t>
                            </w:r>
                            <w:r>
                              <w:rPr>
                                <w:rFonts w:hint="eastAsia" w:ascii="宋体" w:hAnsi="宋体" w:eastAsia="宋体" w:cs="宋体"/>
                                <w:w w:val="99"/>
                                <w:sz w:val="20"/>
                                <w:szCs w:val="20"/>
                                <w:lang w:eastAsia="zh-CN"/>
                              </w:rPr>
                              <w:t>）</w:t>
                            </w:r>
                          </w:p>
                        </w:tc>
                      </w:tr>
                      <w:tr w14:paraId="39B75FD5">
                        <w:tblPrEx>
                          <w:tblCellMar>
                            <w:top w:w="0" w:type="dxa"/>
                            <w:left w:w="0" w:type="dxa"/>
                            <w:bottom w:w="0" w:type="dxa"/>
                            <w:right w:w="0" w:type="dxa"/>
                          </w:tblCellMar>
                        </w:tblPrEx>
                        <w:trPr>
                          <w:trHeight w:val="1322" w:hRule="exact"/>
                          <w:jc w:val="center"/>
                        </w:trPr>
                        <w:tc>
                          <w:tcPr>
                            <w:tcW w:w="574" w:type="dxa"/>
                            <w:vMerge w:val="restart"/>
                            <w:tcBorders>
                              <w:top w:val="single" w:color="000000" w:sz="4" w:space="0"/>
                              <w:left w:val="single" w:color="000000" w:sz="4" w:space="0"/>
                              <w:bottom w:val="single" w:color="000000" w:sz="4" w:space="0"/>
                              <w:right w:val="single" w:color="000000" w:sz="4" w:space="0"/>
                            </w:tcBorders>
                          </w:tcPr>
                          <w:p w14:paraId="6EA6FE95">
                            <w:pPr>
                              <w:pStyle w:val="54"/>
                              <w:rPr>
                                <w:rFonts w:hint="eastAsia" w:ascii="宋体" w:hAnsi="宋体" w:eastAsia="宋体" w:cs="宋体"/>
                                <w:sz w:val="20"/>
                                <w:szCs w:val="20"/>
                                <w:lang w:eastAsia="zh-CN"/>
                              </w:rPr>
                            </w:pPr>
                          </w:p>
                          <w:p w14:paraId="3907299F">
                            <w:pPr>
                              <w:pStyle w:val="54"/>
                              <w:rPr>
                                <w:rFonts w:hint="eastAsia" w:ascii="宋体" w:hAnsi="宋体" w:eastAsia="宋体" w:cs="宋体"/>
                                <w:sz w:val="20"/>
                                <w:szCs w:val="20"/>
                                <w:lang w:eastAsia="zh-CN"/>
                              </w:rPr>
                            </w:pPr>
                          </w:p>
                          <w:p w14:paraId="054B2E3B">
                            <w:pPr>
                              <w:pStyle w:val="54"/>
                              <w:spacing w:before="7"/>
                              <w:rPr>
                                <w:rFonts w:hint="eastAsia" w:ascii="宋体" w:hAnsi="宋体" w:eastAsia="宋体" w:cs="宋体"/>
                                <w:sz w:val="26"/>
                                <w:szCs w:val="26"/>
                                <w:lang w:eastAsia="zh-CN"/>
                              </w:rPr>
                            </w:pPr>
                          </w:p>
                          <w:p w14:paraId="4C08614B">
                            <w:pPr>
                              <w:pStyle w:val="54"/>
                              <w:ind w:right="1"/>
                              <w:jc w:val="center"/>
                              <w:rPr>
                                <w:rFonts w:hint="eastAsia" w:ascii="宋体" w:hAnsi="宋体" w:eastAsia="宋体" w:cs="宋体"/>
                                <w:sz w:val="20"/>
                                <w:szCs w:val="20"/>
                              </w:rPr>
                            </w:pPr>
                            <w:r>
                              <w:rPr>
                                <w:rFonts w:hint="eastAsia" w:ascii="宋体" w:hAnsi="宋体" w:eastAsia="宋体" w:cs="宋体"/>
                                <w:w w:val="99"/>
                                <w:sz w:val="20"/>
                              </w:rPr>
                              <w:t>6</w:t>
                            </w:r>
                          </w:p>
                        </w:tc>
                        <w:tc>
                          <w:tcPr>
                            <w:tcW w:w="1166" w:type="dxa"/>
                            <w:vMerge w:val="restart"/>
                            <w:tcBorders>
                              <w:top w:val="single" w:color="000000" w:sz="4" w:space="0"/>
                              <w:left w:val="single" w:color="000000" w:sz="4" w:space="0"/>
                              <w:bottom w:val="single" w:color="000000" w:sz="4" w:space="0"/>
                              <w:right w:val="single" w:color="000000" w:sz="4" w:space="0"/>
                            </w:tcBorders>
                          </w:tcPr>
                          <w:p w14:paraId="1993371B">
                            <w:pPr>
                              <w:pStyle w:val="54"/>
                              <w:rPr>
                                <w:rFonts w:hint="eastAsia" w:ascii="宋体" w:hAnsi="宋体" w:eastAsia="宋体" w:cs="宋体"/>
                                <w:sz w:val="20"/>
                                <w:szCs w:val="20"/>
                              </w:rPr>
                            </w:pPr>
                          </w:p>
                          <w:p w14:paraId="38BB1323">
                            <w:pPr>
                              <w:pStyle w:val="54"/>
                              <w:rPr>
                                <w:rFonts w:hint="eastAsia" w:ascii="宋体" w:hAnsi="宋体" w:eastAsia="宋体" w:cs="宋体"/>
                                <w:sz w:val="20"/>
                                <w:szCs w:val="20"/>
                              </w:rPr>
                            </w:pPr>
                          </w:p>
                          <w:p w14:paraId="1B62CA0D">
                            <w:pPr>
                              <w:pStyle w:val="54"/>
                              <w:spacing w:before="8"/>
                              <w:rPr>
                                <w:rFonts w:hint="eastAsia" w:ascii="宋体" w:hAnsi="宋体" w:eastAsia="宋体" w:cs="宋体"/>
                                <w:sz w:val="14"/>
                                <w:szCs w:val="14"/>
                              </w:rPr>
                            </w:pPr>
                          </w:p>
                          <w:p w14:paraId="7A2108DD">
                            <w:pPr>
                              <w:pStyle w:val="54"/>
                              <w:ind w:left="7"/>
                              <w:rPr>
                                <w:rFonts w:hint="eastAsia" w:ascii="宋体" w:hAnsi="宋体" w:eastAsia="宋体" w:cs="宋体"/>
                                <w:sz w:val="20"/>
                                <w:szCs w:val="20"/>
                              </w:rPr>
                            </w:pPr>
                            <w:r>
                              <w:rPr>
                                <w:rFonts w:hint="eastAsia" w:ascii="宋体" w:hAnsi="宋体" w:eastAsia="宋体" w:cs="宋体"/>
                                <w:spacing w:val="1"/>
                                <w:w w:val="99"/>
                                <w:sz w:val="20"/>
                                <w:szCs w:val="20"/>
                              </w:rPr>
                              <w:t>A02</w:t>
                            </w:r>
                            <w:r>
                              <w:rPr>
                                <w:rFonts w:hint="eastAsia" w:ascii="宋体" w:hAnsi="宋体" w:eastAsia="宋体" w:cs="宋体"/>
                                <w:w w:val="99"/>
                                <w:sz w:val="20"/>
                                <w:szCs w:val="20"/>
                              </w:rPr>
                              <w:t>05</w:t>
                            </w:r>
                            <w:r>
                              <w:rPr>
                                <w:rFonts w:hint="eastAsia" w:ascii="宋体" w:hAnsi="宋体" w:eastAsia="宋体" w:cs="宋体"/>
                                <w:spacing w:val="1"/>
                                <w:w w:val="99"/>
                                <w:sz w:val="20"/>
                                <w:szCs w:val="20"/>
                              </w:rPr>
                              <w:t>2</w:t>
                            </w:r>
                            <w:r>
                              <w:rPr>
                                <w:rFonts w:hint="eastAsia" w:ascii="宋体" w:hAnsi="宋体" w:eastAsia="宋体" w:cs="宋体"/>
                                <w:w w:val="99"/>
                                <w:sz w:val="20"/>
                                <w:szCs w:val="20"/>
                              </w:rPr>
                              <w:t>3制冷</w:t>
                            </w:r>
                          </w:p>
                          <w:p w14:paraId="14091B4C">
                            <w:pPr>
                              <w:pStyle w:val="54"/>
                              <w:spacing w:before="50"/>
                              <w:ind w:left="7"/>
                              <w:rPr>
                                <w:rFonts w:hint="eastAsia" w:ascii="宋体" w:hAnsi="宋体" w:eastAsia="宋体" w:cs="宋体"/>
                                <w:sz w:val="20"/>
                                <w:szCs w:val="20"/>
                              </w:rPr>
                            </w:pPr>
                            <w:r>
                              <w:rPr>
                                <w:rFonts w:hint="eastAsia" w:ascii="宋体" w:hAnsi="宋体" w:eastAsia="宋体" w:cs="宋体"/>
                                <w:w w:val="99"/>
                                <w:sz w:val="20"/>
                                <w:szCs w:val="20"/>
                              </w:rPr>
                              <w:t>空调设备</w:t>
                            </w:r>
                          </w:p>
                        </w:tc>
                        <w:tc>
                          <w:tcPr>
                            <w:tcW w:w="1800" w:type="dxa"/>
                            <w:vMerge w:val="restart"/>
                            <w:tcBorders>
                              <w:top w:val="single" w:color="000000" w:sz="4" w:space="0"/>
                              <w:left w:val="single" w:color="000000" w:sz="4" w:space="0"/>
                              <w:bottom w:val="single" w:color="000000" w:sz="4" w:space="0"/>
                              <w:right w:val="single" w:color="000000" w:sz="4" w:space="0"/>
                            </w:tcBorders>
                          </w:tcPr>
                          <w:p w14:paraId="2F502632">
                            <w:pPr>
                              <w:pStyle w:val="54"/>
                              <w:rPr>
                                <w:rFonts w:hint="eastAsia" w:ascii="宋体" w:hAnsi="宋体" w:eastAsia="宋体" w:cs="宋体"/>
                                <w:sz w:val="20"/>
                                <w:szCs w:val="20"/>
                              </w:rPr>
                            </w:pPr>
                          </w:p>
                          <w:p w14:paraId="1D50B6B5">
                            <w:pPr>
                              <w:pStyle w:val="54"/>
                              <w:rPr>
                                <w:rFonts w:hint="eastAsia" w:ascii="宋体" w:hAnsi="宋体" w:eastAsia="宋体" w:cs="宋体"/>
                                <w:sz w:val="20"/>
                                <w:szCs w:val="20"/>
                              </w:rPr>
                            </w:pPr>
                          </w:p>
                          <w:p w14:paraId="67029A53">
                            <w:pPr>
                              <w:pStyle w:val="54"/>
                              <w:spacing w:before="8"/>
                              <w:rPr>
                                <w:rFonts w:hint="eastAsia" w:ascii="宋体" w:hAnsi="宋体" w:eastAsia="宋体" w:cs="宋体"/>
                                <w:sz w:val="14"/>
                                <w:szCs w:val="14"/>
                              </w:rPr>
                            </w:pPr>
                          </w:p>
                          <w:p w14:paraId="3E253819">
                            <w:pPr>
                              <w:pStyle w:val="54"/>
                              <w:spacing w:line="280" w:lineRule="auto"/>
                              <w:ind w:left="7" w:right="5"/>
                              <w:rPr>
                                <w:rFonts w:hint="eastAsia" w:ascii="宋体" w:hAnsi="宋体" w:eastAsia="宋体" w:cs="宋体"/>
                                <w:sz w:val="20"/>
                                <w:szCs w:val="20"/>
                              </w:rPr>
                            </w:pPr>
                            <w:r>
                              <w:rPr>
                                <w:rFonts w:hint="eastAsia" w:ascii="宋体" w:hAnsi="宋体" w:cs="宋体"/>
                                <w:w w:val="99"/>
                                <w:sz w:val="20"/>
                                <w:szCs w:val="20"/>
                                <w:lang w:eastAsia="zh-CN"/>
                              </w:rPr>
                              <w:t>★</w:t>
                            </w:r>
                            <w:r>
                              <w:rPr>
                                <w:rFonts w:hint="eastAsia" w:ascii="宋体" w:hAnsi="宋体" w:eastAsia="宋体" w:cs="宋体"/>
                                <w:spacing w:val="1"/>
                                <w:w w:val="99"/>
                                <w:sz w:val="20"/>
                                <w:szCs w:val="20"/>
                              </w:rPr>
                              <w:t>A020</w:t>
                            </w:r>
                            <w:r>
                              <w:rPr>
                                <w:rFonts w:hint="eastAsia" w:ascii="宋体" w:hAnsi="宋体" w:eastAsia="宋体" w:cs="宋体"/>
                                <w:w w:val="99"/>
                                <w:sz w:val="20"/>
                                <w:szCs w:val="20"/>
                              </w:rPr>
                              <w:t>52</w:t>
                            </w:r>
                            <w:r>
                              <w:rPr>
                                <w:rFonts w:hint="eastAsia" w:ascii="宋体" w:hAnsi="宋体" w:eastAsia="宋体" w:cs="宋体"/>
                                <w:spacing w:val="1"/>
                                <w:w w:val="99"/>
                                <w:sz w:val="20"/>
                                <w:szCs w:val="20"/>
                              </w:rPr>
                              <w:t>3</w:t>
                            </w:r>
                            <w:r>
                              <w:rPr>
                                <w:rFonts w:hint="eastAsia" w:ascii="宋体" w:hAnsi="宋体" w:eastAsia="宋体" w:cs="宋体"/>
                                <w:w w:val="99"/>
                                <w:sz w:val="20"/>
                                <w:szCs w:val="20"/>
                              </w:rPr>
                              <w:t>01制冷压缩机</w:t>
                            </w:r>
                          </w:p>
                        </w:tc>
                        <w:tc>
                          <w:tcPr>
                            <w:tcW w:w="1823" w:type="dxa"/>
                            <w:tcBorders>
                              <w:top w:val="single" w:color="000000" w:sz="4" w:space="0"/>
                              <w:left w:val="single" w:color="000000" w:sz="4" w:space="0"/>
                              <w:bottom w:val="single" w:color="000000" w:sz="4" w:space="0"/>
                              <w:right w:val="single" w:color="000000" w:sz="4" w:space="0"/>
                            </w:tcBorders>
                          </w:tcPr>
                          <w:p w14:paraId="011A555B">
                            <w:pPr>
                              <w:pStyle w:val="54"/>
                              <w:rPr>
                                <w:rFonts w:hint="eastAsia" w:ascii="宋体" w:hAnsi="宋体" w:eastAsia="宋体" w:cs="宋体"/>
                                <w:sz w:val="20"/>
                                <w:szCs w:val="20"/>
                              </w:rPr>
                            </w:pPr>
                          </w:p>
                          <w:p w14:paraId="5D1E1395">
                            <w:pPr>
                              <w:pStyle w:val="54"/>
                              <w:spacing w:before="1"/>
                              <w:rPr>
                                <w:rFonts w:hint="eastAsia" w:ascii="宋体" w:hAnsi="宋体" w:eastAsia="宋体" w:cs="宋体"/>
                                <w:sz w:val="18"/>
                                <w:szCs w:val="18"/>
                              </w:rPr>
                            </w:pPr>
                          </w:p>
                          <w:p w14:paraId="59046523">
                            <w:pPr>
                              <w:pStyle w:val="54"/>
                              <w:ind w:left="7"/>
                              <w:rPr>
                                <w:rFonts w:hint="eastAsia" w:ascii="宋体" w:hAnsi="宋体" w:eastAsia="宋体" w:cs="宋体"/>
                                <w:sz w:val="20"/>
                                <w:szCs w:val="20"/>
                              </w:rPr>
                            </w:pPr>
                            <w:r>
                              <w:rPr>
                                <w:rFonts w:hint="eastAsia" w:ascii="宋体" w:hAnsi="宋体" w:eastAsia="宋体" w:cs="宋体"/>
                                <w:w w:val="99"/>
                                <w:sz w:val="20"/>
                                <w:szCs w:val="20"/>
                              </w:rPr>
                              <w:t>冷水机组</w:t>
                            </w:r>
                          </w:p>
                        </w:tc>
                        <w:tc>
                          <w:tcPr>
                            <w:tcW w:w="3762" w:type="dxa"/>
                            <w:tcBorders>
                              <w:top w:val="single" w:color="000000" w:sz="4" w:space="0"/>
                              <w:left w:val="single" w:color="000000" w:sz="4" w:space="0"/>
                              <w:bottom w:val="single" w:color="000000" w:sz="4" w:space="0"/>
                              <w:right w:val="single" w:color="000000" w:sz="4" w:space="0"/>
                            </w:tcBorders>
                          </w:tcPr>
                          <w:p w14:paraId="70A349A8">
                            <w:pPr>
                              <w:pStyle w:val="54"/>
                              <w:spacing w:before="30" w:line="280" w:lineRule="auto"/>
                              <w:ind w:left="7" w:right="4"/>
                              <w:jc w:val="both"/>
                              <w:rPr>
                                <w:rFonts w:hint="eastAsia" w:ascii="宋体" w:hAnsi="宋体" w:eastAsia="宋体" w:cs="宋体"/>
                                <w:sz w:val="20"/>
                                <w:szCs w:val="20"/>
                                <w:lang w:eastAsia="zh-CN"/>
                              </w:rPr>
                            </w:pPr>
                            <w:r>
                              <w:rPr>
                                <w:rFonts w:hint="eastAsia" w:ascii="宋体" w:hAnsi="宋体" w:eastAsia="宋体" w:cs="宋体"/>
                                <w:spacing w:val="12"/>
                                <w:w w:val="99"/>
                                <w:sz w:val="20"/>
                                <w:szCs w:val="20"/>
                                <w:lang w:eastAsia="zh-CN"/>
                              </w:rPr>
                              <w:t>《冷水机组能效限定值</w:t>
                            </w:r>
                            <w:r>
                              <w:rPr>
                                <w:rFonts w:hint="eastAsia" w:ascii="宋体" w:hAnsi="宋体" w:eastAsia="宋体" w:cs="宋体"/>
                                <w:spacing w:val="9"/>
                                <w:w w:val="99"/>
                                <w:sz w:val="20"/>
                                <w:szCs w:val="20"/>
                                <w:lang w:eastAsia="zh-CN"/>
                              </w:rPr>
                              <w:t>及</w:t>
                            </w:r>
                            <w:r>
                              <w:rPr>
                                <w:rFonts w:hint="eastAsia" w:ascii="宋体" w:hAnsi="宋体" w:eastAsia="宋体" w:cs="宋体"/>
                                <w:spacing w:val="12"/>
                                <w:w w:val="99"/>
                                <w:sz w:val="20"/>
                                <w:szCs w:val="20"/>
                                <w:lang w:eastAsia="zh-CN"/>
                              </w:rPr>
                              <w:t>能效</w:t>
                            </w:r>
                            <w:r>
                              <w:rPr>
                                <w:rFonts w:hint="eastAsia" w:ascii="宋体" w:hAnsi="宋体" w:eastAsia="宋体" w:cs="宋体"/>
                                <w:w w:val="99"/>
                                <w:sz w:val="20"/>
                                <w:szCs w:val="20"/>
                                <w:lang w:eastAsia="zh-CN"/>
                              </w:rPr>
                              <w:t>等级</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195</w:t>
                            </w:r>
                            <w:r>
                              <w:rPr>
                                <w:rFonts w:hint="eastAsia" w:ascii="宋体" w:hAnsi="宋体" w:eastAsia="宋体" w:cs="宋体"/>
                                <w:w w:val="99"/>
                                <w:sz w:val="20"/>
                                <w:szCs w:val="20"/>
                                <w:lang w:eastAsia="zh-CN"/>
                              </w:rPr>
                              <w:t>77</w:t>
                            </w:r>
                            <w:r>
                              <w:rPr>
                                <w:rFonts w:hint="eastAsia" w:ascii="宋体" w:hAnsi="宋体" w:eastAsia="宋体" w:cs="宋体"/>
                                <w:spacing w:val="-3"/>
                                <w:w w:val="99"/>
                                <w:sz w:val="20"/>
                                <w:szCs w:val="20"/>
                                <w:lang w:eastAsia="zh-CN"/>
                              </w:rPr>
                              <w:t>），</w:t>
                            </w:r>
                            <w:r>
                              <w:rPr>
                                <w:rFonts w:hint="eastAsia" w:ascii="宋体" w:hAnsi="宋体" w:eastAsia="宋体" w:cs="宋体"/>
                                <w:w w:val="99"/>
                                <w:sz w:val="20"/>
                                <w:szCs w:val="20"/>
                                <w:lang w:eastAsia="zh-CN"/>
                              </w:rPr>
                              <w:t>《低</w:t>
                            </w:r>
                            <w:r>
                              <w:rPr>
                                <w:rFonts w:hint="eastAsia" w:ascii="宋体" w:hAnsi="宋体" w:eastAsia="宋体" w:cs="宋体"/>
                                <w:spacing w:val="2"/>
                                <w:w w:val="99"/>
                                <w:sz w:val="20"/>
                                <w:szCs w:val="20"/>
                                <w:lang w:eastAsia="zh-CN"/>
                              </w:rPr>
                              <w:t>环</w:t>
                            </w:r>
                            <w:r>
                              <w:rPr>
                                <w:rFonts w:hint="eastAsia" w:ascii="宋体" w:hAnsi="宋体" w:eastAsia="宋体" w:cs="宋体"/>
                                <w:w w:val="99"/>
                                <w:sz w:val="20"/>
                                <w:szCs w:val="20"/>
                                <w:lang w:eastAsia="zh-CN"/>
                              </w:rPr>
                              <w:t>境温度空气源</w:t>
                            </w:r>
                            <w:r>
                              <w:rPr>
                                <w:rFonts w:hint="eastAsia" w:ascii="宋体" w:hAnsi="宋体" w:eastAsia="宋体" w:cs="宋体"/>
                                <w:spacing w:val="2"/>
                                <w:w w:val="99"/>
                                <w:sz w:val="20"/>
                                <w:szCs w:val="20"/>
                                <w:lang w:eastAsia="zh-CN"/>
                              </w:rPr>
                              <w:t>热</w:t>
                            </w:r>
                            <w:r>
                              <w:rPr>
                                <w:rFonts w:hint="eastAsia" w:ascii="宋体" w:hAnsi="宋体" w:eastAsia="宋体" w:cs="宋体"/>
                                <w:spacing w:val="-29"/>
                                <w:w w:val="99"/>
                                <w:sz w:val="20"/>
                                <w:szCs w:val="20"/>
                                <w:lang w:eastAsia="zh-CN"/>
                              </w:rPr>
                              <w:t>泵</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冷水</w:t>
                            </w:r>
                            <w:r>
                              <w:rPr>
                                <w:rFonts w:hint="eastAsia" w:ascii="宋体" w:hAnsi="宋体" w:eastAsia="宋体" w:cs="宋体"/>
                                <w:spacing w:val="-27"/>
                                <w:w w:val="99"/>
                                <w:sz w:val="20"/>
                                <w:szCs w:val="20"/>
                                <w:lang w:eastAsia="zh-CN"/>
                              </w:rPr>
                              <w:t>）</w:t>
                            </w:r>
                            <w:r>
                              <w:rPr>
                                <w:rFonts w:hint="eastAsia" w:ascii="宋体" w:hAnsi="宋体" w:eastAsia="宋体" w:cs="宋体"/>
                                <w:w w:val="99"/>
                                <w:sz w:val="20"/>
                                <w:szCs w:val="20"/>
                                <w:lang w:eastAsia="zh-CN"/>
                              </w:rPr>
                              <w:t>机组</w:t>
                            </w:r>
                            <w:r>
                              <w:rPr>
                                <w:rFonts w:hint="eastAsia" w:ascii="宋体" w:hAnsi="宋体" w:eastAsia="宋体" w:cs="宋体"/>
                                <w:spacing w:val="2"/>
                                <w:w w:val="99"/>
                                <w:sz w:val="20"/>
                                <w:szCs w:val="20"/>
                                <w:lang w:eastAsia="zh-CN"/>
                              </w:rPr>
                              <w:t>能</w:t>
                            </w:r>
                            <w:r>
                              <w:rPr>
                                <w:rFonts w:hint="eastAsia" w:ascii="宋体" w:hAnsi="宋体" w:eastAsia="宋体" w:cs="宋体"/>
                                <w:w w:val="99"/>
                                <w:sz w:val="20"/>
                                <w:szCs w:val="20"/>
                                <w:lang w:eastAsia="zh-CN"/>
                              </w:rPr>
                              <w:t>效限定值及能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等级</w:t>
                            </w:r>
                            <w:r>
                              <w:rPr>
                                <w:rFonts w:hint="eastAsia" w:ascii="宋体" w:hAnsi="宋体" w:eastAsia="宋体" w:cs="宋体"/>
                                <w:spacing w:val="2"/>
                                <w:w w:val="99"/>
                                <w:sz w:val="20"/>
                                <w:szCs w:val="20"/>
                                <w:lang w:eastAsia="zh-CN"/>
                              </w:rPr>
                              <w:t>》</w:t>
                            </w:r>
                            <w:r>
                              <w:rPr>
                                <w:rFonts w:hint="eastAsia" w:ascii="宋体" w:hAnsi="宋体" w:eastAsia="宋体" w:cs="宋体"/>
                                <w:w w:val="99"/>
                                <w:sz w:val="20"/>
                                <w:szCs w:val="20"/>
                                <w:lang w:eastAsia="zh-CN"/>
                              </w:rPr>
                              <w:t>（</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37</w:t>
                            </w:r>
                            <w:r>
                              <w:rPr>
                                <w:rFonts w:hint="eastAsia" w:ascii="宋体" w:hAnsi="宋体" w:eastAsia="宋体" w:cs="宋体"/>
                                <w:w w:val="99"/>
                                <w:sz w:val="20"/>
                                <w:szCs w:val="20"/>
                                <w:lang w:eastAsia="zh-CN"/>
                              </w:rPr>
                              <w:t>48</w:t>
                            </w:r>
                            <w:r>
                              <w:rPr>
                                <w:rFonts w:hint="eastAsia" w:ascii="宋体" w:hAnsi="宋体" w:eastAsia="宋体" w:cs="宋体"/>
                                <w:spacing w:val="-2"/>
                                <w:w w:val="99"/>
                                <w:sz w:val="20"/>
                                <w:szCs w:val="20"/>
                                <w:lang w:eastAsia="zh-CN"/>
                              </w:rPr>
                              <w:t>0</w:t>
                            </w:r>
                            <w:r>
                              <w:rPr>
                                <w:rFonts w:hint="eastAsia" w:ascii="宋体" w:hAnsi="宋体" w:eastAsia="宋体" w:cs="宋体"/>
                                <w:w w:val="99"/>
                                <w:sz w:val="20"/>
                                <w:szCs w:val="20"/>
                                <w:lang w:eastAsia="zh-CN"/>
                              </w:rPr>
                              <w:t>）</w:t>
                            </w:r>
                          </w:p>
                        </w:tc>
                      </w:tr>
                      <w:tr w14:paraId="3848A0F6">
                        <w:tblPrEx>
                          <w:tblCellMar>
                            <w:top w:w="0" w:type="dxa"/>
                            <w:left w:w="0" w:type="dxa"/>
                            <w:bottom w:w="0" w:type="dxa"/>
                            <w:right w:w="0" w:type="dxa"/>
                          </w:tblCellMar>
                        </w:tblPrEx>
                        <w:trPr>
                          <w:trHeight w:val="744" w:hRule="exact"/>
                          <w:jc w:val="center"/>
                        </w:trPr>
                        <w:tc>
                          <w:tcPr>
                            <w:tcW w:w="574" w:type="dxa"/>
                            <w:vMerge w:val="continue"/>
                            <w:tcBorders>
                              <w:top w:val="single" w:color="000000" w:sz="4" w:space="0"/>
                              <w:left w:val="single" w:color="000000" w:sz="4" w:space="0"/>
                              <w:bottom w:val="single" w:color="000000" w:sz="4" w:space="0"/>
                              <w:right w:val="single" w:color="000000" w:sz="4" w:space="0"/>
                            </w:tcBorders>
                            <w:vAlign w:val="center"/>
                          </w:tcPr>
                          <w:p w14:paraId="3A576BE4">
                            <w:pPr>
                              <w:widowControl/>
                              <w:jc w:val="left"/>
                              <w:rPr>
                                <w:rFonts w:hint="eastAsia" w:ascii="宋体" w:hAnsi="宋体" w:eastAsia="宋体" w:cs="宋体"/>
                                <w:kern w:val="0"/>
                                <w:sz w:val="20"/>
                                <w:szCs w:val="20"/>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14:paraId="4AB79A19">
                            <w:pPr>
                              <w:widowControl/>
                              <w:jc w:val="left"/>
                              <w:rPr>
                                <w:rFonts w:hint="eastAsia" w:ascii="宋体" w:hAnsi="宋体" w:eastAsia="宋体"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8E348DF">
                            <w:pPr>
                              <w:widowControl/>
                              <w:jc w:val="left"/>
                              <w:rPr>
                                <w:rFonts w:hint="eastAsia" w:ascii="宋体" w:hAnsi="宋体" w:eastAsia="宋体" w:cs="宋体"/>
                                <w:kern w:val="0"/>
                                <w:sz w:val="20"/>
                                <w:szCs w:val="20"/>
                              </w:rPr>
                            </w:pPr>
                          </w:p>
                        </w:tc>
                        <w:tc>
                          <w:tcPr>
                            <w:tcW w:w="1823" w:type="dxa"/>
                            <w:tcBorders>
                              <w:top w:val="single" w:color="000000" w:sz="4" w:space="0"/>
                              <w:left w:val="single" w:color="000000" w:sz="4" w:space="0"/>
                              <w:bottom w:val="single" w:color="000000" w:sz="4" w:space="0"/>
                              <w:right w:val="single" w:color="000000" w:sz="4" w:space="0"/>
                            </w:tcBorders>
                          </w:tcPr>
                          <w:p w14:paraId="47DD9B01">
                            <w:pPr>
                              <w:pStyle w:val="54"/>
                              <w:spacing w:before="12"/>
                              <w:rPr>
                                <w:rFonts w:hint="eastAsia" w:ascii="宋体" w:hAnsi="宋体" w:eastAsia="宋体" w:cs="宋体"/>
                                <w:sz w:val="15"/>
                                <w:szCs w:val="15"/>
                                <w:lang w:eastAsia="zh-CN"/>
                              </w:rPr>
                            </w:pPr>
                          </w:p>
                          <w:p w14:paraId="71C90048">
                            <w:pPr>
                              <w:pStyle w:val="54"/>
                              <w:ind w:left="7"/>
                              <w:rPr>
                                <w:rFonts w:hint="eastAsia" w:ascii="宋体" w:hAnsi="宋体" w:eastAsia="宋体" w:cs="宋体"/>
                                <w:sz w:val="20"/>
                                <w:szCs w:val="20"/>
                              </w:rPr>
                            </w:pPr>
                            <w:r>
                              <w:rPr>
                                <w:rFonts w:hint="eastAsia" w:ascii="宋体" w:hAnsi="宋体" w:eastAsia="宋体" w:cs="宋体"/>
                                <w:w w:val="99"/>
                                <w:sz w:val="20"/>
                                <w:szCs w:val="20"/>
                              </w:rPr>
                              <w:t>水源热</w:t>
                            </w:r>
                            <w:r>
                              <w:rPr>
                                <w:rFonts w:hint="eastAsia" w:ascii="宋体" w:hAnsi="宋体" w:eastAsia="宋体" w:cs="宋体"/>
                                <w:spacing w:val="2"/>
                                <w:w w:val="99"/>
                                <w:sz w:val="20"/>
                                <w:szCs w:val="20"/>
                              </w:rPr>
                              <w:t>泵</w:t>
                            </w:r>
                            <w:r>
                              <w:rPr>
                                <w:rFonts w:hint="eastAsia" w:ascii="宋体" w:hAnsi="宋体" w:eastAsia="宋体" w:cs="宋体"/>
                                <w:w w:val="99"/>
                                <w:sz w:val="20"/>
                                <w:szCs w:val="20"/>
                              </w:rPr>
                              <w:t>机组</w:t>
                            </w:r>
                          </w:p>
                        </w:tc>
                        <w:tc>
                          <w:tcPr>
                            <w:tcW w:w="3762" w:type="dxa"/>
                            <w:tcBorders>
                              <w:top w:val="single" w:color="000000" w:sz="4" w:space="0"/>
                              <w:left w:val="single" w:color="000000" w:sz="4" w:space="0"/>
                              <w:bottom w:val="single" w:color="000000" w:sz="4" w:space="0"/>
                              <w:right w:val="single" w:color="000000" w:sz="4" w:space="0"/>
                            </w:tcBorders>
                          </w:tcPr>
                          <w:p w14:paraId="351AEA83">
                            <w:pPr>
                              <w:pStyle w:val="54"/>
                              <w:spacing w:before="52" w:line="280" w:lineRule="auto"/>
                              <w:ind w:left="7" w:right="7"/>
                              <w:rPr>
                                <w:rFonts w:hint="eastAsia" w:ascii="宋体" w:hAnsi="宋体" w:eastAsia="宋体" w:cs="宋体"/>
                                <w:sz w:val="20"/>
                                <w:szCs w:val="20"/>
                                <w:lang w:eastAsia="zh-CN"/>
                              </w:rPr>
                            </w:pPr>
                            <w:r>
                              <w:rPr>
                                <w:rFonts w:hint="eastAsia" w:ascii="宋体" w:hAnsi="宋体" w:eastAsia="宋体" w:cs="宋体"/>
                                <w:w w:val="99"/>
                                <w:sz w:val="20"/>
                                <w:szCs w:val="20"/>
                                <w:lang w:eastAsia="zh-CN"/>
                              </w:rPr>
                              <w:t>《</w:t>
                            </w:r>
                            <w:r>
                              <w:rPr>
                                <w:rFonts w:hint="eastAsia" w:ascii="宋体" w:hAnsi="宋体" w:eastAsia="宋体" w:cs="宋体"/>
                                <w:spacing w:val="-29"/>
                                <w:w w:val="99"/>
                                <w:sz w:val="20"/>
                                <w:szCs w:val="20"/>
                                <w:lang w:eastAsia="zh-CN"/>
                              </w:rPr>
                              <w:t>水</w:t>
                            </w:r>
                            <w:r>
                              <w:rPr>
                                <w:rFonts w:hint="eastAsia" w:ascii="宋体" w:hAnsi="宋体" w:eastAsia="宋体" w:cs="宋体"/>
                                <w:w w:val="99"/>
                                <w:sz w:val="20"/>
                                <w:szCs w:val="20"/>
                                <w:lang w:eastAsia="zh-CN"/>
                              </w:rPr>
                              <w:t>（</w:t>
                            </w:r>
                            <w:r>
                              <w:rPr>
                                <w:rFonts w:hint="eastAsia" w:ascii="宋体" w:hAnsi="宋体" w:eastAsia="宋体" w:cs="宋体"/>
                                <w:spacing w:val="2"/>
                                <w:w w:val="99"/>
                                <w:sz w:val="20"/>
                                <w:szCs w:val="20"/>
                                <w:lang w:eastAsia="zh-CN"/>
                              </w:rPr>
                              <w:t>地</w:t>
                            </w:r>
                            <w:r>
                              <w:rPr>
                                <w:rFonts w:hint="eastAsia" w:ascii="宋体" w:hAnsi="宋体" w:eastAsia="宋体" w:cs="宋体"/>
                                <w:spacing w:val="-29"/>
                                <w:w w:val="99"/>
                                <w:sz w:val="20"/>
                                <w:szCs w:val="20"/>
                                <w:lang w:eastAsia="zh-CN"/>
                              </w:rPr>
                              <w:t>）</w:t>
                            </w:r>
                            <w:r>
                              <w:rPr>
                                <w:rFonts w:hint="eastAsia" w:ascii="宋体" w:hAnsi="宋体" w:eastAsia="宋体" w:cs="宋体"/>
                                <w:spacing w:val="2"/>
                                <w:w w:val="99"/>
                                <w:sz w:val="20"/>
                                <w:szCs w:val="20"/>
                                <w:lang w:eastAsia="zh-CN"/>
                              </w:rPr>
                              <w:t>源</w:t>
                            </w:r>
                            <w:r>
                              <w:rPr>
                                <w:rFonts w:hint="eastAsia" w:ascii="宋体" w:hAnsi="宋体" w:eastAsia="宋体" w:cs="宋体"/>
                                <w:w w:val="99"/>
                                <w:sz w:val="20"/>
                                <w:szCs w:val="20"/>
                                <w:lang w:eastAsia="zh-CN"/>
                              </w:rPr>
                              <w:t>热泵</w:t>
                            </w:r>
                            <w:r>
                              <w:rPr>
                                <w:rFonts w:hint="eastAsia" w:ascii="宋体" w:hAnsi="宋体" w:eastAsia="宋体" w:cs="宋体"/>
                                <w:spacing w:val="2"/>
                                <w:w w:val="99"/>
                                <w:sz w:val="20"/>
                                <w:szCs w:val="20"/>
                                <w:lang w:eastAsia="zh-CN"/>
                              </w:rPr>
                              <w:t>机</w:t>
                            </w:r>
                            <w:r>
                              <w:rPr>
                                <w:rFonts w:hint="eastAsia" w:ascii="宋体" w:hAnsi="宋体" w:eastAsia="宋体" w:cs="宋体"/>
                                <w:w w:val="99"/>
                                <w:sz w:val="20"/>
                                <w:szCs w:val="20"/>
                                <w:lang w:eastAsia="zh-CN"/>
                              </w:rPr>
                              <w:t>组能</w:t>
                            </w:r>
                            <w:r>
                              <w:rPr>
                                <w:rFonts w:hint="eastAsia" w:ascii="宋体" w:hAnsi="宋体" w:eastAsia="宋体" w:cs="宋体"/>
                                <w:spacing w:val="2"/>
                                <w:w w:val="99"/>
                                <w:sz w:val="20"/>
                                <w:szCs w:val="20"/>
                                <w:lang w:eastAsia="zh-CN"/>
                              </w:rPr>
                              <w:t>效</w:t>
                            </w:r>
                            <w:r>
                              <w:rPr>
                                <w:rFonts w:hint="eastAsia" w:ascii="宋体" w:hAnsi="宋体" w:eastAsia="宋体" w:cs="宋体"/>
                                <w:w w:val="99"/>
                                <w:sz w:val="20"/>
                                <w:szCs w:val="20"/>
                                <w:lang w:eastAsia="zh-CN"/>
                              </w:rPr>
                              <w:t>限定值及能效</w:t>
                            </w:r>
                            <w:r>
                              <w:rPr>
                                <w:rFonts w:hint="eastAsia" w:ascii="宋体" w:hAnsi="宋体" w:eastAsia="宋体" w:cs="宋体"/>
                                <w:spacing w:val="2"/>
                                <w:w w:val="99"/>
                                <w:sz w:val="20"/>
                                <w:szCs w:val="20"/>
                                <w:lang w:eastAsia="zh-CN"/>
                              </w:rPr>
                              <w:t>等</w:t>
                            </w:r>
                            <w:r>
                              <w:rPr>
                                <w:rFonts w:hint="eastAsia" w:ascii="宋体" w:hAnsi="宋体" w:eastAsia="宋体" w:cs="宋体"/>
                                <w:w w:val="99"/>
                                <w:sz w:val="20"/>
                                <w:szCs w:val="20"/>
                                <w:lang w:eastAsia="zh-CN"/>
                              </w:rPr>
                              <w:t>级》（</w:t>
                            </w:r>
                            <w:r>
                              <w:rPr>
                                <w:rFonts w:hint="eastAsia" w:ascii="宋体" w:hAnsi="宋体" w:eastAsia="宋体" w:cs="宋体"/>
                                <w:spacing w:val="1"/>
                                <w:w w:val="99"/>
                                <w:sz w:val="20"/>
                                <w:szCs w:val="20"/>
                                <w:lang w:eastAsia="zh-CN"/>
                              </w:rPr>
                              <w:t>G</w:t>
                            </w:r>
                            <w:r>
                              <w:rPr>
                                <w:rFonts w:hint="eastAsia" w:ascii="宋体" w:hAnsi="宋体" w:eastAsia="宋体" w:cs="宋体"/>
                                <w:w w:val="99"/>
                                <w:sz w:val="20"/>
                                <w:szCs w:val="20"/>
                                <w:lang w:eastAsia="zh-CN"/>
                              </w:rPr>
                              <w:t>B</w:t>
                            </w:r>
                            <w:r>
                              <w:rPr>
                                <w:rFonts w:hint="eastAsia" w:ascii="宋体" w:hAnsi="宋体" w:eastAsia="宋体" w:cs="宋体"/>
                                <w:spacing w:val="1"/>
                                <w:w w:val="99"/>
                                <w:sz w:val="20"/>
                                <w:szCs w:val="20"/>
                                <w:lang w:eastAsia="zh-CN"/>
                              </w:rPr>
                              <w:t>30721</w:t>
                            </w:r>
                            <w:r>
                              <w:rPr>
                                <w:rFonts w:hint="eastAsia" w:ascii="宋体" w:hAnsi="宋体" w:eastAsia="宋体" w:cs="宋体"/>
                                <w:w w:val="99"/>
                                <w:sz w:val="20"/>
                                <w:szCs w:val="20"/>
                                <w:lang w:eastAsia="zh-CN"/>
                              </w:rPr>
                              <w:t>）</w:t>
                            </w:r>
                          </w:p>
                        </w:tc>
                      </w:tr>
                    </w:tbl>
                    <w:p w14:paraId="05DB07F6">
                      <w:pPr>
                        <w:rPr>
                          <w:rFonts w:ascii="Calibri" w:hAnsi="Calibri"/>
                          <w:sz w:val="22"/>
                          <w:szCs w:val="22"/>
                        </w:rPr>
                      </w:pPr>
                    </w:p>
                  </w:txbxContent>
                </v:textbox>
              </v:shape>
            </w:pict>
          </mc:Fallback>
        </mc:AlternateContent>
      </w:r>
    </w:p>
    <w:p w14:paraId="681114F7">
      <w:pPr>
        <w:rPr>
          <w:rFonts w:hint="eastAsia" w:ascii="宋体" w:hAnsi="宋体" w:eastAsia="宋体" w:cs="宋体"/>
          <w:color w:val="000000" w:themeColor="text1"/>
          <w:sz w:val="20"/>
          <w:szCs w:val="20"/>
          <w14:textFill>
            <w14:solidFill>
              <w14:schemeClr w14:val="tx1"/>
            </w14:solidFill>
          </w14:textFill>
        </w:rPr>
      </w:pPr>
    </w:p>
    <w:p w14:paraId="472C466B">
      <w:pPr>
        <w:rPr>
          <w:rFonts w:hint="eastAsia" w:ascii="宋体" w:hAnsi="宋体" w:eastAsia="宋体" w:cs="宋体"/>
          <w:color w:val="000000" w:themeColor="text1"/>
          <w:sz w:val="20"/>
          <w:szCs w:val="20"/>
          <w14:textFill>
            <w14:solidFill>
              <w14:schemeClr w14:val="tx1"/>
            </w14:solidFill>
          </w14:textFill>
        </w:rPr>
      </w:pPr>
    </w:p>
    <w:p w14:paraId="128E6190">
      <w:pPr>
        <w:rPr>
          <w:rFonts w:hint="eastAsia" w:ascii="宋体" w:hAnsi="宋体" w:eastAsia="宋体" w:cs="宋体"/>
          <w:color w:val="000000" w:themeColor="text1"/>
          <w:sz w:val="20"/>
          <w:szCs w:val="20"/>
          <w14:textFill>
            <w14:solidFill>
              <w14:schemeClr w14:val="tx1"/>
            </w14:solidFill>
          </w14:textFill>
        </w:rPr>
      </w:pPr>
    </w:p>
    <w:p w14:paraId="6AD8939E">
      <w:pPr>
        <w:rPr>
          <w:rFonts w:hint="eastAsia" w:ascii="宋体" w:hAnsi="宋体" w:eastAsia="宋体" w:cs="宋体"/>
          <w:color w:val="000000" w:themeColor="text1"/>
          <w:sz w:val="20"/>
          <w:szCs w:val="20"/>
          <w14:textFill>
            <w14:solidFill>
              <w14:schemeClr w14:val="tx1"/>
            </w14:solidFill>
          </w14:textFill>
        </w:rPr>
      </w:pPr>
    </w:p>
    <w:p w14:paraId="44FED98E">
      <w:pPr>
        <w:rPr>
          <w:rFonts w:hint="eastAsia" w:ascii="宋体" w:hAnsi="宋体" w:eastAsia="宋体" w:cs="宋体"/>
          <w:color w:val="000000" w:themeColor="text1"/>
          <w:sz w:val="20"/>
          <w:szCs w:val="20"/>
          <w14:textFill>
            <w14:solidFill>
              <w14:schemeClr w14:val="tx1"/>
            </w14:solidFill>
          </w14:textFill>
        </w:rPr>
      </w:pPr>
    </w:p>
    <w:p w14:paraId="2B129593">
      <w:pPr>
        <w:rPr>
          <w:rFonts w:hint="eastAsia" w:ascii="宋体" w:hAnsi="宋体" w:eastAsia="宋体" w:cs="宋体"/>
          <w:color w:val="000000" w:themeColor="text1"/>
          <w:sz w:val="20"/>
          <w:szCs w:val="20"/>
          <w14:textFill>
            <w14:solidFill>
              <w14:schemeClr w14:val="tx1"/>
            </w14:solidFill>
          </w14:textFill>
        </w:rPr>
      </w:pPr>
    </w:p>
    <w:p w14:paraId="24957624">
      <w:pPr>
        <w:rPr>
          <w:rFonts w:hint="eastAsia" w:ascii="宋体" w:hAnsi="宋体" w:eastAsia="宋体" w:cs="宋体"/>
          <w:color w:val="000000" w:themeColor="text1"/>
          <w:sz w:val="20"/>
          <w:szCs w:val="20"/>
          <w14:textFill>
            <w14:solidFill>
              <w14:schemeClr w14:val="tx1"/>
            </w14:solidFill>
          </w14:textFill>
        </w:rPr>
      </w:pPr>
    </w:p>
    <w:p w14:paraId="348642EB">
      <w:pPr>
        <w:rPr>
          <w:rFonts w:hint="eastAsia" w:ascii="宋体" w:hAnsi="宋体" w:eastAsia="宋体" w:cs="宋体"/>
          <w:color w:val="000000" w:themeColor="text1"/>
          <w:sz w:val="20"/>
          <w:szCs w:val="20"/>
          <w14:textFill>
            <w14:solidFill>
              <w14:schemeClr w14:val="tx1"/>
            </w14:solidFill>
          </w14:textFill>
        </w:rPr>
      </w:pPr>
    </w:p>
    <w:p w14:paraId="1B8C4D41">
      <w:pPr>
        <w:rPr>
          <w:rFonts w:hint="eastAsia" w:ascii="宋体" w:hAnsi="宋体" w:eastAsia="宋体" w:cs="宋体"/>
          <w:color w:val="000000" w:themeColor="text1"/>
          <w:sz w:val="20"/>
          <w:szCs w:val="20"/>
          <w14:textFill>
            <w14:solidFill>
              <w14:schemeClr w14:val="tx1"/>
            </w14:solidFill>
          </w14:textFill>
        </w:rPr>
      </w:pPr>
    </w:p>
    <w:p w14:paraId="54AD50C4">
      <w:pPr>
        <w:rPr>
          <w:rFonts w:hint="eastAsia" w:ascii="宋体" w:hAnsi="宋体" w:eastAsia="宋体" w:cs="宋体"/>
          <w:color w:val="000000" w:themeColor="text1"/>
          <w:sz w:val="20"/>
          <w:szCs w:val="20"/>
          <w14:textFill>
            <w14:solidFill>
              <w14:schemeClr w14:val="tx1"/>
            </w14:solidFill>
          </w14:textFill>
        </w:rPr>
      </w:pPr>
    </w:p>
    <w:p w14:paraId="028C741C">
      <w:pPr>
        <w:rPr>
          <w:rFonts w:hint="eastAsia" w:ascii="宋体" w:hAnsi="宋体" w:eastAsia="宋体" w:cs="宋体"/>
          <w:color w:val="000000" w:themeColor="text1"/>
          <w:sz w:val="20"/>
          <w:szCs w:val="20"/>
          <w14:textFill>
            <w14:solidFill>
              <w14:schemeClr w14:val="tx1"/>
            </w14:solidFill>
          </w14:textFill>
        </w:rPr>
      </w:pPr>
    </w:p>
    <w:p w14:paraId="3AF6F854">
      <w:pPr>
        <w:rPr>
          <w:rFonts w:hint="eastAsia" w:ascii="宋体" w:hAnsi="宋体" w:eastAsia="宋体" w:cs="宋体"/>
          <w:color w:val="000000" w:themeColor="text1"/>
          <w:sz w:val="20"/>
          <w:szCs w:val="20"/>
          <w14:textFill>
            <w14:solidFill>
              <w14:schemeClr w14:val="tx1"/>
            </w14:solidFill>
          </w14:textFill>
        </w:rPr>
      </w:pPr>
    </w:p>
    <w:p w14:paraId="721FDB81">
      <w:pPr>
        <w:rPr>
          <w:rFonts w:hint="eastAsia" w:ascii="宋体" w:hAnsi="宋体" w:eastAsia="宋体" w:cs="宋体"/>
          <w:color w:val="000000" w:themeColor="text1"/>
          <w:sz w:val="20"/>
          <w:szCs w:val="20"/>
          <w14:textFill>
            <w14:solidFill>
              <w14:schemeClr w14:val="tx1"/>
            </w14:solidFill>
          </w14:textFill>
        </w:rPr>
      </w:pPr>
    </w:p>
    <w:p w14:paraId="75406FB2">
      <w:pPr>
        <w:rPr>
          <w:rFonts w:hint="eastAsia" w:ascii="宋体" w:hAnsi="宋体" w:eastAsia="宋体" w:cs="宋体"/>
          <w:color w:val="000000" w:themeColor="text1"/>
          <w:sz w:val="20"/>
          <w:szCs w:val="20"/>
          <w14:textFill>
            <w14:solidFill>
              <w14:schemeClr w14:val="tx1"/>
            </w14:solidFill>
          </w14:textFill>
        </w:rPr>
      </w:pPr>
    </w:p>
    <w:p w14:paraId="78EF977A">
      <w:pPr>
        <w:rPr>
          <w:rFonts w:hint="eastAsia" w:ascii="宋体" w:hAnsi="宋体" w:eastAsia="宋体" w:cs="宋体"/>
          <w:color w:val="000000" w:themeColor="text1"/>
          <w:sz w:val="20"/>
          <w:szCs w:val="20"/>
          <w14:textFill>
            <w14:solidFill>
              <w14:schemeClr w14:val="tx1"/>
            </w14:solidFill>
          </w14:textFill>
        </w:rPr>
      </w:pPr>
    </w:p>
    <w:p w14:paraId="64B3A567">
      <w:pPr>
        <w:rPr>
          <w:rFonts w:hint="eastAsia" w:ascii="宋体" w:hAnsi="宋体" w:eastAsia="宋体" w:cs="宋体"/>
          <w:color w:val="000000" w:themeColor="text1"/>
          <w:sz w:val="20"/>
          <w:szCs w:val="20"/>
          <w14:textFill>
            <w14:solidFill>
              <w14:schemeClr w14:val="tx1"/>
            </w14:solidFill>
          </w14:textFill>
        </w:rPr>
      </w:pPr>
    </w:p>
    <w:p w14:paraId="0D10B36D">
      <w:pPr>
        <w:rPr>
          <w:rFonts w:hint="eastAsia" w:ascii="宋体" w:hAnsi="宋体" w:eastAsia="宋体" w:cs="宋体"/>
          <w:color w:val="000000" w:themeColor="text1"/>
          <w:sz w:val="20"/>
          <w:szCs w:val="20"/>
          <w14:textFill>
            <w14:solidFill>
              <w14:schemeClr w14:val="tx1"/>
            </w14:solidFill>
          </w14:textFill>
        </w:rPr>
      </w:pPr>
    </w:p>
    <w:p w14:paraId="7817ADD5">
      <w:pPr>
        <w:spacing w:before="16"/>
        <w:rPr>
          <w:rFonts w:hint="eastAsia" w:ascii="宋体" w:hAnsi="宋体" w:eastAsia="宋体" w:cs="宋体"/>
          <w:color w:val="000000" w:themeColor="text1"/>
          <w:sz w:val="17"/>
          <w:szCs w:val="17"/>
          <w14:textFill>
            <w14:solidFill>
              <w14:schemeClr w14:val="tx1"/>
            </w14:solidFill>
          </w14:textFill>
        </w:rPr>
      </w:pPr>
    </w:p>
    <w:p w14:paraId="7E013B7D">
      <w:pPr>
        <w:rPr>
          <w:rFonts w:hint="eastAsia" w:ascii="宋体" w:hAnsi="宋体" w:eastAsia="宋体" w:cs="宋体"/>
          <w:color w:val="000000" w:themeColor="text1"/>
          <w:sz w:val="20"/>
          <w:szCs w:val="20"/>
          <w14:textFill>
            <w14:solidFill>
              <w14:schemeClr w14:val="tx1"/>
            </w14:solidFill>
          </w14:textFill>
        </w:rPr>
      </w:pPr>
    </w:p>
    <w:p w14:paraId="16B9B5B2">
      <w:pPr>
        <w:rPr>
          <w:rFonts w:hint="eastAsia" w:ascii="宋体" w:hAnsi="宋体" w:eastAsia="宋体" w:cs="宋体"/>
          <w:color w:val="000000" w:themeColor="text1"/>
          <w:sz w:val="20"/>
          <w:szCs w:val="20"/>
          <w14:textFill>
            <w14:solidFill>
              <w14:schemeClr w14:val="tx1"/>
            </w14:solidFill>
          </w14:textFill>
        </w:rPr>
      </w:pPr>
    </w:p>
    <w:p w14:paraId="2F4311D9">
      <w:pPr>
        <w:spacing w:before="3"/>
        <w:rPr>
          <w:rFonts w:hint="eastAsia" w:ascii="宋体" w:hAnsi="宋体" w:eastAsia="宋体" w:cs="宋体"/>
          <w:color w:val="000000" w:themeColor="text1"/>
          <w:sz w:val="15"/>
          <w:szCs w:val="15"/>
          <w14:textFill>
            <w14:solidFill>
              <w14:schemeClr w14:val="tx1"/>
            </w14:solidFill>
          </w14:textFill>
        </w:rPr>
      </w:pPr>
    </w:p>
    <w:p w14:paraId="2991A11B">
      <w:pPr>
        <w:widowControl/>
        <w:jc w:val="left"/>
        <w:rPr>
          <w:rFonts w:hint="eastAsia" w:ascii="宋体" w:hAnsi="宋体" w:eastAsia="宋体" w:cs="宋体"/>
          <w:color w:val="000000" w:themeColor="text1"/>
          <w:sz w:val="20"/>
          <w:szCs w:val="20"/>
          <w14:textFill>
            <w14:solidFill>
              <w14:schemeClr w14:val="tx1"/>
            </w14:solidFill>
          </w14:textFill>
        </w:rPr>
        <w:sectPr>
          <w:pgSz w:w="11910" w:h="16840"/>
          <w:pgMar w:top="1134" w:right="1134" w:bottom="1134" w:left="1134" w:header="720" w:footer="720" w:gutter="0"/>
          <w:cols w:space="720" w:num="1"/>
        </w:sectPr>
      </w:pPr>
    </w:p>
    <w:p w14:paraId="28C2E993">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856615</wp:posOffset>
                </wp:positionH>
                <wp:positionV relativeFrom="paragraph">
                  <wp:posOffset>43815</wp:posOffset>
                </wp:positionV>
                <wp:extent cx="6165850" cy="8524240"/>
                <wp:effectExtent l="0" t="0" r="0" b="0"/>
                <wp:wrapNone/>
                <wp:docPr id="2" name="文本框 3"/>
                <wp:cNvGraphicFramePr/>
                <a:graphic xmlns:a="http://schemas.openxmlformats.org/drawingml/2006/main">
                  <a:graphicData uri="http://schemas.microsoft.com/office/word/2010/wordprocessingShape">
                    <wps:wsp>
                      <wps:cNvSpPr txBox="1"/>
                      <wps:spPr>
                        <a:xfrm>
                          <a:off x="0" y="0"/>
                          <a:ext cx="6165850" cy="8524240"/>
                        </a:xfrm>
                        <a:prstGeom prst="rect">
                          <a:avLst/>
                        </a:prstGeom>
                        <a:noFill/>
                        <a:ln>
                          <a:noFill/>
                        </a:ln>
                        <a:effectLst/>
                      </wps:spPr>
                      <wps:txbx>
                        <w:txbxContent>
                          <w:tbl>
                            <w:tblPr>
                              <w:tblStyle w:val="24"/>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6F29905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BD8607C">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0BAE21C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F45A6F0">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712CA692">
                                  <w:pPr>
                                    <w:pStyle w:val="54"/>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B02E7AB">
                                  <w:pPr>
                                    <w:pStyle w:val="54"/>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3C4C492E">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55099B3E">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3A95E0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4A955C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84424C">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74E1B44B">
                                  <w:pPr>
                                    <w:pStyle w:val="54"/>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247EDEBA">
                                  <w:pPr>
                                    <w:pStyle w:val="54"/>
                                    <w:spacing w:line="256" w:lineRule="exact"/>
                                    <w:ind w:left="7"/>
                                    <w:rPr>
                                      <w:rFonts w:ascii="宋体" w:hAnsi="宋体" w:cs="宋体"/>
                                      <w:sz w:val="20"/>
                                      <w:szCs w:val="20"/>
                                      <w:lang w:eastAsia="zh-CN"/>
                                    </w:rPr>
                                  </w:pPr>
                                </w:p>
                              </w:tc>
                            </w:tr>
                            <w:tr w14:paraId="1155792D">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8138895">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528500E">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D09E033">
                                  <w:pPr>
                                    <w:pStyle w:val="54"/>
                                    <w:rPr>
                                      <w:rFonts w:ascii="宋体" w:hAnsi="宋体" w:cs="宋体"/>
                                      <w:sz w:val="20"/>
                                      <w:szCs w:val="20"/>
                                      <w:lang w:eastAsia="zh-CN"/>
                                    </w:rPr>
                                  </w:pPr>
                                </w:p>
                                <w:p w14:paraId="3559EB05">
                                  <w:pPr>
                                    <w:pStyle w:val="54"/>
                                    <w:rPr>
                                      <w:rFonts w:ascii="宋体" w:hAnsi="宋体" w:cs="宋体"/>
                                      <w:sz w:val="20"/>
                                      <w:szCs w:val="20"/>
                                      <w:lang w:eastAsia="zh-CN"/>
                                    </w:rPr>
                                  </w:pPr>
                                </w:p>
                                <w:p w14:paraId="38BF4D07">
                                  <w:pPr>
                                    <w:pStyle w:val="54"/>
                                    <w:spacing w:before="3"/>
                                    <w:rPr>
                                      <w:rFonts w:ascii="宋体" w:hAnsi="宋体" w:cs="宋体"/>
                                      <w:sz w:val="21"/>
                                      <w:szCs w:val="21"/>
                                      <w:lang w:eastAsia="zh-CN"/>
                                    </w:rPr>
                                  </w:pPr>
                                </w:p>
                                <w:p w14:paraId="0AEE7D23">
                                  <w:pPr>
                                    <w:pStyle w:val="54"/>
                                    <w:spacing w:line="280" w:lineRule="auto"/>
                                    <w:ind w:left="7" w:right="5"/>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1FA18622">
                                  <w:pPr>
                                    <w:pStyle w:val="54"/>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36224874">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117B28A6">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EC22AE8">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C94777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F85B456">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47FF1E2">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33D47CAE">
                                  <w:pPr>
                                    <w:pStyle w:val="54"/>
                                    <w:spacing w:before="7"/>
                                    <w:rPr>
                                      <w:rFonts w:ascii="宋体" w:hAnsi="宋体" w:cs="宋体"/>
                                      <w:sz w:val="24"/>
                                      <w:szCs w:val="24"/>
                                      <w:lang w:eastAsia="zh-CN"/>
                                    </w:rPr>
                                  </w:pPr>
                                </w:p>
                                <w:p w14:paraId="0CE6468A">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E34FB66">
                                  <w:pPr>
                                    <w:pStyle w:val="54"/>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6CFC0C2B">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B1317C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7D3511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87657D">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35405EC">
                                  <w:pPr>
                                    <w:pStyle w:val="54"/>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2A6B3598">
                                  <w:pPr>
                                    <w:pStyle w:val="54"/>
                                    <w:spacing w:line="256" w:lineRule="exact"/>
                                    <w:rPr>
                                      <w:rFonts w:ascii="宋体" w:hAnsi="宋体" w:cs="宋体"/>
                                      <w:sz w:val="20"/>
                                      <w:szCs w:val="20"/>
                                      <w:lang w:eastAsia="zh-CN"/>
                                    </w:rPr>
                                  </w:pPr>
                                </w:p>
                              </w:tc>
                            </w:tr>
                            <w:tr w14:paraId="5B9D7DB7">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3CFCDB5">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6AAE55">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5F0DF24A">
                                  <w:pPr>
                                    <w:pStyle w:val="54"/>
                                    <w:spacing w:before="83"/>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40468953">
                                  <w:pPr>
                                    <w:pStyle w:val="54"/>
                                    <w:spacing w:before="1"/>
                                    <w:rPr>
                                      <w:rFonts w:ascii="宋体" w:hAnsi="宋体" w:cs="宋体"/>
                                      <w:sz w:val="18"/>
                                      <w:szCs w:val="18"/>
                                    </w:rPr>
                                  </w:pPr>
                                </w:p>
                                <w:p w14:paraId="6D2F5A07">
                                  <w:pPr>
                                    <w:pStyle w:val="54"/>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8DBCB49">
                                  <w:pPr>
                                    <w:pStyle w:val="54"/>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57392E79">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D7A958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5E0E07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0D037193">
                                  <w:pPr>
                                    <w:pStyle w:val="54"/>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6C2A01B">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60050C9E">
                                  <w:pPr>
                                    <w:pStyle w:val="54"/>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29DE86B0">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8D1510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99D30C5">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20823BEC">
                                  <w:pPr>
                                    <w:pStyle w:val="54"/>
                                    <w:rPr>
                                      <w:rFonts w:ascii="宋体" w:hAnsi="宋体" w:cs="宋体"/>
                                      <w:sz w:val="20"/>
                                      <w:szCs w:val="20"/>
                                      <w:lang w:eastAsia="zh-CN"/>
                                    </w:rPr>
                                  </w:pPr>
                                </w:p>
                                <w:p w14:paraId="19157C3A">
                                  <w:pPr>
                                    <w:pStyle w:val="54"/>
                                    <w:spacing w:before="9"/>
                                    <w:rPr>
                                      <w:rFonts w:ascii="宋体" w:hAnsi="宋体" w:cs="宋体"/>
                                      <w:sz w:val="20"/>
                                      <w:szCs w:val="20"/>
                                      <w:lang w:eastAsia="zh-CN"/>
                                    </w:rPr>
                                  </w:pPr>
                                </w:p>
                                <w:p w14:paraId="2D845E3E">
                                  <w:pPr>
                                    <w:pStyle w:val="54"/>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0D778DB8">
                                  <w:pPr>
                                    <w:pStyle w:val="54"/>
                                    <w:rPr>
                                      <w:rFonts w:ascii="宋体" w:hAnsi="宋体" w:cs="宋体"/>
                                      <w:sz w:val="20"/>
                                      <w:szCs w:val="20"/>
                                    </w:rPr>
                                  </w:pPr>
                                </w:p>
                                <w:p w14:paraId="19B32C78">
                                  <w:pPr>
                                    <w:pStyle w:val="54"/>
                                    <w:rPr>
                                      <w:rFonts w:ascii="宋体" w:hAnsi="宋体" w:cs="宋体"/>
                                      <w:sz w:val="20"/>
                                      <w:szCs w:val="20"/>
                                    </w:rPr>
                                  </w:pPr>
                                </w:p>
                                <w:p w14:paraId="26B26B35">
                                  <w:pPr>
                                    <w:pStyle w:val="54"/>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4ED4CBE6">
                                  <w:pPr>
                                    <w:pStyle w:val="54"/>
                                    <w:spacing w:before="11"/>
                                    <w:rPr>
                                      <w:rFonts w:ascii="宋体" w:hAnsi="宋体" w:cs="宋体"/>
                                      <w:sz w:val="16"/>
                                      <w:szCs w:val="16"/>
                                      <w:lang w:eastAsia="zh-CN"/>
                                    </w:rPr>
                                  </w:pPr>
                                </w:p>
                                <w:p w14:paraId="150DEC10">
                                  <w:pPr>
                                    <w:pStyle w:val="54"/>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09678035">
                                  <w:pPr>
                                    <w:pStyle w:val="54"/>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37722C42">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FB20F8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E3B1E7F">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1678E035">
                                  <w:pPr>
                                    <w:pStyle w:val="54"/>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F67C07E">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3493BD69">
                                  <w:pPr>
                                    <w:pStyle w:val="54"/>
                                    <w:spacing w:line="256" w:lineRule="exact"/>
                                    <w:ind w:left="7"/>
                                    <w:rPr>
                                      <w:rFonts w:ascii="宋体" w:hAnsi="宋体" w:cs="宋体"/>
                                      <w:sz w:val="20"/>
                                      <w:szCs w:val="20"/>
                                      <w:lang w:eastAsia="zh-CN"/>
                                    </w:rPr>
                                  </w:pPr>
                                </w:p>
                              </w:tc>
                            </w:tr>
                            <w:tr w14:paraId="343C76B2">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F607FC0">
                                  <w:pPr>
                                    <w:pStyle w:val="54"/>
                                    <w:spacing w:before="12"/>
                                    <w:rPr>
                                      <w:rFonts w:ascii="宋体" w:hAnsi="宋体" w:cs="宋体"/>
                                      <w:sz w:val="15"/>
                                      <w:szCs w:val="15"/>
                                      <w:lang w:eastAsia="zh-CN"/>
                                    </w:rPr>
                                  </w:pPr>
                                </w:p>
                                <w:p w14:paraId="0B3C9F0F">
                                  <w:pPr>
                                    <w:pStyle w:val="54"/>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7C0CDA61">
                                  <w:pPr>
                                    <w:pStyle w:val="54"/>
                                    <w:spacing w:before="12"/>
                                    <w:rPr>
                                      <w:rFonts w:ascii="宋体" w:hAnsi="宋体" w:cs="宋体"/>
                                      <w:sz w:val="15"/>
                                      <w:szCs w:val="15"/>
                                    </w:rPr>
                                  </w:pPr>
                                </w:p>
                                <w:p w14:paraId="02684DCF">
                                  <w:pPr>
                                    <w:pStyle w:val="54"/>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044646AE">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3BFDB01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C27A476">
                                  <w:pPr>
                                    <w:pStyle w:val="54"/>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07F32E12">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CC76D97">
                                  <w:pPr>
                                    <w:pStyle w:val="54"/>
                                    <w:spacing w:before="3"/>
                                    <w:rPr>
                                      <w:rFonts w:ascii="宋体" w:hAnsi="宋体" w:cs="宋体"/>
                                      <w:sz w:val="14"/>
                                      <w:szCs w:val="14"/>
                                      <w:lang w:eastAsia="zh-CN"/>
                                    </w:rPr>
                                  </w:pPr>
                                </w:p>
                                <w:p w14:paraId="68306118">
                                  <w:pPr>
                                    <w:pStyle w:val="54"/>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D17F7F7">
                                  <w:pPr>
                                    <w:pStyle w:val="54"/>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1D57CB66">
                                  <w:pPr>
                                    <w:pStyle w:val="54"/>
                                    <w:spacing w:before="3"/>
                                    <w:rPr>
                                      <w:rFonts w:ascii="宋体" w:hAnsi="宋体" w:cs="宋体"/>
                                      <w:sz w:val="14"/>
                                      <w:szCs w:val="14"/>
                                    </w:rPr>
                                  </w:pPr>
                                </w:p>
                                <w:p w14:paraId="30FD2175">
                                  <w:pPr>
                                    <w:pStyle w:val="54"/>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794AF375">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6488DE8A">
                                  <w:pPr>
                                    <w:pStyle w:val="54"/>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3903356C">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2188EA9">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59A06941">
                                  <w:pPr>
                                    <w:pStyle w:val="54"/>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5074538">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6621C1F">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222E386C">
                                  <w:pPr>
                                    <w:pStyle w:val="54"/>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5C8DA1B8">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1A9DE62A">
                                  <w:pPr>
                                    <w:pStyle w:val="54"/>
                                    <w:spacing w:before="8"/>
                                    <w:rPr>
                                      <w:rFonts w:ascii="宋体" w:hAnsi="宋体" w:cs="宋体"/>
                                      <w:sz w:val="21"/>
                                      <w:szCs w:val="21"/>
                                    </w:rPr>
                                  </w:pPr>
                                </w:p>
                                <w:p w14:paraId="094F605B">
                                  <w:pPr>
                                    <w:pStyle w:val="54"/>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1D968F44">
                                  <w:pPr>
                                    <w:pStyle w:val="54"/>
                                    <w:spacing w:before="126"/>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81F7394">
                                  <w:pPr>
                                    <w:pStyle w:val="54"/>
                                    <w:spacing w:before="8"/>
                                    <w:rPr>
                                      <w:rFonts w:ascii="宋体" w:hAnsi="宋体" w:cs="宋体"/>
                                      <w:sz w:val="21"/>
                                      <w:szCs w:val="21"/>
                                    </w:rPr>
                                  </w:pPr>
                                </w:p>
                                <w:p w14:paraId="2963F7D7">
                                  <w:pPr>
                                    <w:pStyle w:val="54"/>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70C5F94">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19B5B2B1">
                                  <w:pPr>
                                    <w:pStyle w:val="54"/>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636F6F4B">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B7D1413">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0FC66B47">
                                  <w:pPr>
                                    <w:pStyle w:val="54"/>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2687C8C">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AFFF15B">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5CBF9487">
                                  <w:pPr>
                                    <w:pStyle w:val="54"/>
                                    <w:spacing w:line="256" w:lineRule="exact"/>
                                    <w:ind w:left="7"/>
                                    <w:rPr>
                                      <w:rFonts w:ascii="宋体" w:hAnsi="宋体" w:cs="宋体"/>
                                      <w:sz w:val="20"/>
                                      <w:szCs w:val="20"/>
                                      <w:lang w:eastAsia="zh-CN"/>
                                    </w:rPr>
                                  </w:pPr>
                                </w:p>
                              </w:tc>
                            </w:tr>
                            <w:tr w14:paraId="146F1F22">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29A52EA">
                                  <w:pPr>
                                    <w:pStyle w:val="54"/>
                                    <w:rPr>
                                      <w:rFonts w:ascii="宋体" w:hAnsi="宋体" w:cs="宋体"/>
                                      <w:sz w:val="20"/>
                                      <w:szCs w:val="20"/>
                                      <w:lang w:eastAsia="zh-CN"/>
                                    </w:rPr>
                                  </w:pPr>
                                </w:p>
                                <w:p w14:paraId="138BBE2D">
                                  <w:pPr>
                                    <w:pStyle w:val="54"/>
                                    <w:rPr>
                                      <w:rFonts w:ascii="宋体" w:hAnsi="宋体" w:cs="宋体"/>
                                      <w:sz w:val="20"/>
                                      <w:szCs w:val="20"/>
                                      <w:lang w:eastAsia="zh-CN"/>
                                    </w:rPr>
                                  </w:pPr>
                                </w:p>
                                <w:p w14:paraId="56F60722">
                                  <w:pPr>
                                    <w:pStyle w:val="54"/>
                                    <w:rPr>
                                      <w:rFonts w:ascii="宋体" w:hAnsi="宋体" w:cs="宋体"/>
                                      <w:sz w:val="20"/>
                                      <w:szCs w:val="20"/>
                                      <w:lang w:eastAsia="zh-CN"/>
                                    </w:rPr>
                                  </w:pPr>
                                </w:p>
                                <w:p w14:paraId="6B1C2814">
                                  <w:pPr>
                                    <w:pStyle w:val="54"/>
                                    <w:rPr>
                                      <w:rFonts w:ascii="宋体" w:hAnsi="宋体" w:cs="宋体"/>
                                      <w:sz w:val="20"/>
                                      <w:szCs w:val="20"/>
                                      <w:lang w:eastAsia="zh-CN"/>
                                    </w:rPr>
                                  </w:pPr>
                                </w:p>
                                <w:p w14:paraId="56592A92">
                                  <w:pPr>
                                    <w:pStyle w:val="54"/>
                                    <w:rPr>
                                      <w:rFonts w:ascii="宋体" w:hAnsi="宋体" w:cs="宋体"/>
                                      <w:sz w:val="20"/>
                                      <w:szCs w:val="20"/>
                                      <w:lang w:eastAsia="zh-CN"/>
                                    </w:rPr>
                                  </w:pPr>
                                </w:p>
                                <w:p w14:paraId="0C4777F3">
                                  <w:pPr>
                                    <w:pStyle w:val="54"/>
                                    <w:rPr>
                                      <w:rFonts w:ascii="宋体" w:hAnsi="宋体" w:cs="宋体"/>
                                      <w:sz w:val="20"/>
                                      <w:szCs w:val="20"/>
                                      <w:lang w:eastAsia="zh-CN"/>
                                    </w:rPr>
                                  </w:pPr>
                                </w:p>
                                <w:p w14:paraId="6BE5EA4D">
                                  <w:pPr>
                                    <w:pStyle w:val="54"/>
                                    <w:rPr>
                                      <w:rFonts w:ascii="宋体" w:hAnsi="宋体" w:cs="宋体"/>
                                      <w:sz w:val="20"/>
                                      <w:szCs w:val="20"/>
                                      <w:lang w:eastAsia="zh-CN"/>
                                    </w:rPr>
                                  </w:pPr>
                                </w:p>
                                <w:p w14:paraId="72EFC50E">
                                  <w:pPr>
                                    <w:pStyle w:val="54"/>
                                    <w:rPr>
                                      <w:rFonts w:ascii="宋体" w:hAnsi="宋体" w:cs="宋体"/>
                                      <w:sz w:val="20"/>
                                      <w:szCs w:val="20"/>
                                      <w:lang w:eastAsia="zh-CN"/>
                                    </w:rPr>
                                  </w:pPr>
                                </w:p>
                                <w:p w14:paraId="79B0060C">
                                  <w:pPr>
                                    <w:pStyle w:val="54"/>
                                    <w:rPr>
                                      <w:rFonts w:ascii="宋体" w:hAnsi="宋体" w:cs="宋体"/>
                                      <w:sz w:val="20"/>
                                      <w:szCs w:val="20"/>
                                      <w:lang w:eastAsia="zh-CN"/>
                                    </w:rPr>
                                  </w:pPr>
                                </w:p>
                                <w:p w14:paraId="53D91450">
                                  <w:pPr>
                                    <w:pStyle w:val="54"/>
                                    <w:spacing w:before="5"/>
                                    <w:rPr>
                                      <w:rFonts w:ascii="宋体" w:hAnsi="宋体" w:cs="宋体"/>
                                      <w:sz w:val="18"/>
                                      <w:szCs w:val="18"/>
                                      <w:lang w:eastAsia="zh-CN"/>
                                    </w:rPr>
                                  </w:pPr>
                                </w:p>
                                <w:p w14:paraId="04F1EB1B">
                                  <w:pPr>
                                    <w:pStyle w:val="54"/>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25930A46">
                                  <w:pPr>
                                    <w:pStyle w:val="54"/>
                                    <w:rPr>
                                      <w:rFonts w:ascii="宋体" w:hAnsi="宋体" w:cs="宋体"/>
                                      <w:sz w:val="20"/>
                                      <w:szCs w:val="20"/>
                                    </w:rPr>
                                  </w:pPr>
                                </w:p>
                                <w:p w14:paraId="5DA8B768">
                                  <w:pPr>
                                    <w:pStyle w:val="54"/>
                                    <w:rPr>
                                      <w:rFonts w:ascii="宋体" w:hAnsi="宋体" w:cs="宋体"/>
                                      <w:sz w:val="20"/>
                                      <w:szCs w:val="20"/>
                                    </w:rPr>
                                  </w:pPr>
                                </w:p>
                                <w:p w14:paraId="6FFDE992">
                                  <w:pPr>
                                    <w:pStyle w:val="54"/>
                                    <w:rPr>
                                      <w:rFonts w:ascii="宋体" w:hAnsi="宋体" w:cs="宋体"/>
                                      <w:sz w:val="20"/>
                                      <w:szCs w:val="20"/>
                                    </w:rPr>
                                  </w:pPr>
                                </w:p>
                                <w:p w14:paraId="73CAF92F">
                                  <w:pPr>
                                    <w:pStyle w:val="54"/>
                                    <w:rPr>
                                      <w:rFonts w:ascii="宋体" w:hAnsi="宋体" w:cs="宋体"/>
                                      <w:sz w:val="20"/>
                                      <w:szCs w:val="20"/>
                                    </w:rPr>
                                  </w:pPr>
                                </w:p>
                                <w:p w14:paraId="59C1F859">
                                  <w:pPr>
                                    <w:pStyle w:val="54"/>
                                    <w:rPr>
                                      <w:rFonts w:ascii="宋体" w:hAnsi="宋体" w:cs="宋体"/>
                                      <w:sz w:val="20"/>
                                      <w:szCs w:val="20"/>
                                    </w:rPr>
                                  </w:pPr>
                                </w:p>
                                <w:p w14:paraId="3C6DFA5E">
                                  <w:pPr>
                                    <w:pStyle w:val="54"/>
                                    <w:rPr>
                                      <w:rFonts w:ascii="宋体" w:hAnsi="宋体" w:cs="宋体"/>
                                      <w:sz w:val="20"/>
                                      <w:szCs w:val="20"/>
                                    </w:rPr>
                                  </w:pPr>
                                </w:p>
                                <w:p w14:paraId="60F23FAD">
                                  <w:pPr>
                                    <w:pStyle w:val="54"/>
                                    <w:rPr>
                                      <w:rFonts w:ascii="宋体" w:hAnsi="宋体" w:cs="宋体"/>
                                      <w:sz w:val="20"/>
                                      <w:szCs w:val="20"/>
                                    </w:rPr>
                                  </w:pPr>
                                </w:p>
                                <w:p w14:paraId="641930E1">
                                  <w:pPr>
                                    <w:pStyle w:val="54"/>
                                    <w:rPr>
                                      <w:rFonts w:ascii="宋体" w:hAnsi="宋体" w:cs="宋体"/>
                                      <w:sz w:val="20"/>
                                      <w:szCs w:val="20"/>
                                    </w:rPr>
                                  </w:pPr>
                                </w:p>
                                <w:p w14:paraId="0243843C">
                                  <w:pPr>
                                    <w:pStyle w:val="54"/>
                                    <w:spacing w:before="6"/>
                                    <w:rPr>
                                      <w:rFonts w:ascii="宋体" w:hAnsi="宋体" w:cs="宋体"/>
                                      <w:sz w:val="26"/>
                                      <w:szCs w:val="26"/>
                                    </w:rPr>
                                  </w:pPr>
                                </w:p>
                                <w:p w14:paraId="30D6E7F9">
                                  <w:pPr>
                                    <w:pStyle w:val="54"/>
                                    <w:ind w:left="7"/>
                                    <w:rPr>
                                      <w:rFonts w:ascii="宋体" w:hAnsi="宋体" w:cs="宋体"/>
                                      <w:sz w:val="20"/>
                                      <w:szCs w:val="20"/>
                                    </w:rPr>
                                  </w:pPr>
                                  <w:r>
                                    <w:rPr>
                                      <w:rFonts w:hint="eastAsia" w:ascii="宋体" w:hAnsi="宋体" w:cs="宋体"/>
                                      <w:w w:val="99"/>
                                      <w:sz w:val="20"/>
                                      <w:szCs w:val="20"/>
                                    </w:rPr>
                                    <w:t>A020618生活</w:t>
                                  </w:r>
                                </w:p>
                                <w:p w14:paraId="4B095885">
                                  <w:pPr>
                                    <w:pStyle w:val="54"/>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564F0382">
                                  <w:pPr>
                                    <w:pStyle w:val="54"/>
                                    <w:spacing w:before="1"/>
                                    <w:rPr>
                                      <w:rFonts w:ascii="宋体" w:hAnsi="宋体" w:cs="宋体"/>
                                      <w:sz w:val="16"/>
                                      <w:szCs w:val="16"/>
                                    </w:rPr>
                                  </w:pPr>
                                </w:p>
                                <w:p w14:paraId="79DD98D6">
                                  <w:pPr>
                                    <w:pStyle w:val="54"/>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06C6FD5D">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69E80C9">
                                  <w:pPr>
                                    <w:pStyle w:val="54"/>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2B37EE97">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5F6BD7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08817C2">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9AFA4B1">
                                  <w:pPr>
                                    <w:pStyle w:val="54"/>
                                    <w:rPr>
                                      <w:rFonts w:ascii="宋体" w:hAnsi="宋体" w:cs="宋体"/>
                                      <w:sz w:val="20"/>
                                      <w:szCs w:val="20"/>
                                      <w:lang w:eastAsia="zh-CN"/>
                                    </w:rPr>
                                  </w:pPr>
                                </w:p>
                                <w:p w14:paraId="64F9773A">
                                  <w:pPr>
                                    <w:pStyle w:val="54"/>
                                    <w:rPr>
                                      <w:rFonts w:ascii="宋体" w:hAnsi="宋体" w:cs="宋体"/>
                                      <w:sz w:val="20"/>
                                      <w:szCs w:val="20"/>
                                      <w:lang w:eastAsia="zh-CN"/>
                                    </w:rPr>
                                  </w:pPr>
                                </w:p>
                                <w:p w14:paraId="018D0E4D">
                                  <w:pPr>
                                    <w:pStyle w:val="54"/>
                                    <w:rPr>
                                      <w:rFonts w:ascii="宋体" w:hAnsi="宋体" w:cs="宋体"/>
                                      <w:sz w:val="20"/>
                                      <w:szCs w:val="20"/>
                                      <w:lang w:eastAsia="zh-CN"/>
                                    </w:rPr>
                                  </w:pPr>
                                </w:p>
                                <w:p w14:paraId="55172755">
                                  <w:pPr>
                                    <w:pStyle w:val="54"/>
                                    <w:rPr>
                                      <w:rFonts w:ascii="宋体" w:hAnsi="宋体" w:cs="宋体"/>
                                      <w:sz w:val="20"/>
                                      <w:szCs w:val="20"/>
                                      <w:lang w:eastAsia="zh-CN"/>
                                    </w:rPr>
                                  </w:pPr>
                                </w:p>
                                <w:p w14:paraId="179A1FEC">
                                  <w:pPr>
                                    <w:pStyle w:val="54"/>
                                    <w:rPr>
                                      <w:rFonts w:ascii="宋体" w:hAnsi="宋体" w:cs="宋体"/>
                                      <w:sz w:val="20"/>
                                      <w:szCs w:val="20"/>
                                      <w:lang w:eastAsia="zh-CN"/>
                                    </w:rPr>
                                  </w:pPr>
                                </w:p>
                                <w:p w14:paraId="2E2139AD">
                                  <w:pPr>
                                    <w:pStyle w:val="54"/>
                                    <w:rPr>
                                      <w:rFonts w:ascii="宋体" w:hAnsi="宋体" w:cs="宋体"/>
                                      <w:sz w:val="20"/>
                                      <w:szCs w:val="20"/>
                                      <w:lang w:eastAsia="zh-CN"/>
                                    </w:rPr>
                                  </w:pPr>
                                </w:p>
                                <w:p w14:paraId="44A8B980">
                                  <w:pPr>
                                    <w:pStyle w:val="54"/>
                                    <w:spacing w:before="17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A0206180203空调</w:t>
                                  </w:r>
                                </w:p>
                                <w:p w14:paraId="618FEAEF">
                                  <w:pPr>
                                    <w:pStyle w:val="54"/>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0AAE8189">
                                  <w:pPr>
                                    <w:pStyle w:val="54"/>
                                    <w:rPr>
                                      <w:rFonts w:ascii="宋体" w:hAnsi="宋体" w:cs="宋体"/>
                                      <w:sz w:val="20"/>
                                      <w:szCs w:val="20"/>
                                    </w:rPr>
                                  </w:pPr>
                                </w:p>
                                <w:p w14:paraId="1F240061">
                                  <w:pPr>
                                    <w:pStyle w:val="54"/>
                                    <w:rPr>
                                      <w:rFonts w:ascii="宋体" w:hAnsi="宋体" w:cs="宋体"/>
                                      <w:sz w:val="20"/>
                                      <w:szCs w:val="20"/>
                                    </w:rPr>
                                  </w:pPr>
                                </w:p>
                                <w:p w14:paraId="224B37E9">
                                  <w:pPr>
                                    <w:pStyle w:val="54"/>
                                    <w:spacing w:before="12"/>
                                    <w:rPr>
                                      <w:rFonts w:ascii="宋体" w:hAnsi="宋体" w:cs="宋体"/>
                                      <w:sz w:val="19"/>
                                      <w:szCs w:val="19"/>
                                    </w:rPr>
                                  </w:pPr>
                                </w:p>
                                <w:p w14:paraId="101B9589">
                                  <w:pPr>
                                    <w:pStyle w:val="54"/>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4B6B6E1F">
                                  <w:pPr>
                                    <w:pStyle w:val="54"/>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74FAABC7">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0F213702">
                                  <w:pPr>
                                    <w:pStyle w:val="54"/>
                                    <w:spacing w:line="256" w:lineRule="exact"/>
                                    <w:ind w:left="7"/>
                                    <w:rPr>
                                      <w:rFonts w:ascii="宋体" w:hAnsi="宋体" w:cs="宋体"/>
                                      <w:sz w:val="20"/>
                                      <w:szCs w:val="20"/>
                                    </w:rPr>
                                  </w:pPr>
                                  <w:r>
                                    <w:rPr>
                                      <w:rFonts w:hint="eastAsia" w:ascii="宋体" w:hAnsi="宋体" w:cs="宋体"/>
                                      <w:w w:val="99"/>
                                      <w:sz w:val="20"/>
                                      <w:szCs w:val="20"/>
                                    </w:rPr>
                                    <w:t>实施。</w:t>
                                  </w:r>
                                </w:p>
                              </w:tc>
                            </w:tr>
                            <w:tr w14:paraId="389D295D">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43600B9">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4B77F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EC71F34">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6EDF29C5">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53F9824">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77B57450">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4CD9217">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A987AD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9FD7A5F">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645C3AF9">
                                  <w:pPr>
                                    <w:pStyle w:val="54"/>
                                    <w:spacing w:before="2"/>
                                    <w:rPr>
                                      <w:rFonts w:ascii="宋体" w:hAnsi="宋体" w:cs="宋体"/>
                                      <w:sz w:val="24"/>
                                      <w:szCs w:val="24"/>
                                      <w:lang w:eastAsia="zh-CN"/>
                                    </w:rPr>
                                  </w:pPr>
                                </w:p>
                                <w:p w14:paraId="5EFDB7DC">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FEA2FEA">
                                  <w:pPr>
                                    <w:pStyle w:val="54"/>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1EE64675">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4BC3B31">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385D86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2453B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2D7B618B">
                                  <w:pPr>
                                    <w:pStyle w:val="54"/>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521CC9D6">
                                  <w:pPr>
                                    <w:pStyle w:val="54"/>
                                    <w:spacing w:line="256" w:lineRule="exact"/>
                                    <w:ind w:left="7"/>
                                    <w:rPr>
                                      <w:rFonts w:ascii="宋体" w:hAnsi="宋体" w:cs="宋体"/>
                                      <w:sz w:val="20"/>
                                      <w:szCs w:val="20"/>
                                      <w:lang w:eastAsia="zh-CN"/>
                                    </w:rPr>
                                  </w:pPr>
                                </w:p>
                              </w:tc>
                            </w:tr>
                            <w:tr w14:paraId="731D4E18">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5DE5EE8">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7D0FF2B">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43F33E07">
                                  <w:pPr>
                                    <w:pStyle w:val="54"/>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131273F7">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CACE4E5">
                                  <w:pPr>
                                    <w:pStyle w:val="54"/>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0C1D2122">
                            <w:pPr>
                              <w:rPr>
                                <w:rFonts w:ascii="Calibri" w:hAnsi="Calibri"/>
                                <w:sz w:val="22"/>
                                <w:szCs w:val="22"/>
                              </w:rPr>
                            </w:pPr>
                          </w:p>
                        </w:txbxContent>
                      </wps:txbx>
                      <wps:bodyPr lIns="0" tIns="0" rIns="0" bIns="0" upright="1"/>
                    </wps:wsp>
                  </a:graphicData>
                </a:graphic>
              </wp:anchor>
            </w:drawing>
          </mc:Choice>
          <mc:Fallback>
            <w:pict>
              <v:shape id="文本框 3" o:spid="_x0000_s1026" o:spt="202" type="#_x0000_t202" style="position:absolute;left:0pt;margin-left:67.45pt;margin-top:3.45pt;height:671.2pt;width:485.5pt;mso-position-horizontal-relative:page;z-index:251660288;mso-width-relative:page;mso-height-relative:page;" filled="f" stroked="f" coordsize="21600,21600" o:gfxdata="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NMj9s7XAAAACwEAAA8AAAAAAAAAAQAgAAAAIgAAAGRycy9kb3ducmV2Lnht&#10;bFBLAQIUABQAAAAIAIdO4kDZK/kmwQEAAIEDAAAOAAAAAAAAAAEAIAAAACYBAABkcnMvZTJvRG9j&#10;LnhtbFBLBQYAAAAABgAGAFkBAABZBQAAAAA=&#10;">
                <v:fill on="f" focussize="0,0"/>
                <v:stroke on="f"/>
                <v:imagedata o:title=""/>
                <o:lock v:ext="edit" aspectratio="f"/>
                <v:textbox inset="0mm,0mm,0mm,0mm">
                  <w:txbxContent>
                    <w:tbl>
                      <w:tblPr>
                        <w:tblStyle w:val="24"/>
                        <w:tblW w:w="9105" w:type="dxa"/>
                        <w:tblInd w:w="7" w:type="dxa"/>
                        <w:tblLayout w:type="fixed"/>
                        <w:tblCellMar>
                          <w:top w:w="0" w:type="dxa"/>
                          <w:left w:w="0" w:type="dxa"/>
                          <w:bottom w:w="0" w:type="dxa"/>
                          <w:right w:w="0" w:type="dxa"/>
                        </w:tblCellMar>
                      </w:tblPr>
                      <w:tblGrid>
                        <w:gridCol w:w="570"/>
                        <w:gridCol w:w="1163"/>
                        <w:gridCol w:w="1800"/>
                        <w:gridCol w:w="1792"/>
                        <w:gridCol w:w="3780"/>
                      </w:tblGrid>
                      <w:tr w14:paraId="6F299053">
                        <w:tblPrEx>
                          <w:tblCellMar>
                            <w:top w:w="0" w:type="dxa"/>
                            <w:left w:w="0" w:type="dxa"/>
                            <w:bottom w:w="0" w:type="dxa"/>
                            <w:right w:w="0" w:type="dxa"/>
                          </w:tblCellMar>
                        </w:tblPrEx>
                        <w:trPr>
                          <w:trHeight w:val="416"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BD8607C">
                            <w:pPr>
                              <w:rPr>
                                <w:rFonts w:ascii="Calibri" w:hAnsi="Calibri"/>
                                <w:sz w:val="22"/>
                                <w:szCs w:val="22"/>
                              </w:rPr>
                            </w:pPr>
                          </w:p>
                        </w:tc>
                        <w:tc>
                          <w:tcPr>
                            <w:tcW w:w="1163" w:type="dxa"/>
                            <w:vMerge w:val="restart"/>
                            <w:tcBorders>
                              <w:top w:val="single" w:color="000000" w:sz="4" w:space="0"/>
                              <w:left w:val="single" w:color="000000" w:sz="4" w:space="0"/>
                              <w:bottom w:val="single" w:color="000000" w:sz="4" w:space="0"/>
                              <w:right w:val="single" w:color="000000" w:sz="4" w:space="0"/>
                            </w:tcBorders>
                          </w:tcPr>
                          <w:p w14:paraId="0BAE21CE">
                            <w:pPr>
                              <w:rPr>
                                <w:rFonts w:ascii="Calibri" w:hAnsi="Calibri"/>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0F45A6F0">
                            <w:pPr>
                              <w:rPr>
                                <w:rFonts w:ascii="Calibri" w:hAnsi="Calibri"/>
                                <w:sz w:val="22"/>
                                <w:szCs w:val="22"/>
                              </w:rPr>
                            </w:pPr>
                          </w:p>
                        </w:tc>
                        <w:tc>
                          <w:tcPr>
                            <w:tcW w:w="1792" w:type="dxa"/>
                            <w:tcBorders>
                              <w:top w:val="single" w:color="000000" w:sz="4" w:space="0"/>
                              <w:left w:val="single" w:color="000000" w:sz="4" w:space="0"/>
                              <w:bottom w:val="nil"/>
                              <w:right w:val="single" w:color="000000" w:sz="4" w:space="0"/>
                            </w:tcBorders>
                          </w:tcPr>
                          <w:p w14:paraId="712CA692">
                            <w:pPr>
                              <w:pStyle w:val="54"/>
                              <w:spacing w:before="93"/>
                              <w:ind w:left="7"/>
                              <w:rPr>
                                <w:rFonts w:ascii="宋体" w:hAnsi="宋体" w:cs="宋体"/>
                                <w:sz w:val="20"/>
                                <w:szCs w:val="20"/>
                              </w:rPr>
                            </w:pPr>
                            <w:r>
                              <w:rPr>
                                <w:rFonts w:hint="eastAsia" w:ascii="宋体" w:hAnsi="宋体" w:cs="宋体"/>
                                <w:w w:val="99"/>
                                <w:sz w:val="20"/>
                                <w:szCs w:val="20"/>
                              </w:rPr>
                              <w:t>溴化锂吸收式冷水机</w:t>
                            </w:r>
                          </w:p>
                        </w:tc>
                        <w:tc>
                          <w:tcPr>
                            <w:tcW w:w="3780" w:type="dxa"/>
                            <w:vMerge w:val="restart"/>
                            <w:tcBorders>
                              <w:top w:val="single" w:color="000000" w:sz="4" w:space="0"/>
                              <w:left w:val="single" w:color="000000" w:sz="4" w:space="0"/>
                              <w:right w:val="single" w:color="000000" w:sz="4" w:space="0"/>
                            </w:tcBorders>
                          </w:tcPr>
                          <w:p w14:paraId="2B02E7AB">
                            <w:pPr>
                              <w:pStyle w:val="54"/>
                              <w:spacing w:before="93"/>
                              <w:ind w:left="7"/>
                              <w:rPr>
                                <w:rFonts w:ascii="宋体" w:hAnsi="宋体" w:cs="宋体"/>
                                <w:w w:val="99"/>
                                <w:sz w:val="20"/>
                                <w:szCs w:val="20"/>
                                <w:lang w:eastAsia="zh-CN"/>
                              </w:rPr>
                            </w:pPr>
                            <w:r>
                              <w:rPr>
                                <w:rFonts w:hint="eastAsia" w:ascii="宋体" w:hAnsi="宋体" w:cs="宋体"/>
                                <w:w w:val="99"/>
                                <w:sz w:val="20"/>
                                <w:szCs w:val="20"/>
                                <w:lang w:eastAsia="zh-CN"/>
                              </w:rPr>
                              <w:t>《溴化锂吸收式冷水机组能效限</w:t>
                            </w:r>
                          </w:p>
                          <w:p w14:paraId="3C4C492E">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定值及能效等级》（GB29540）</w:t>
                            </w:r>
                          </w:p>
                        </w:tc>
                      </w:tr>
                      <w:tr w14:paraId="55099B3E">
                        <w:tblPrEx>
                          <w:tblCellMar>
                            <w:top w:w="0" w:type="dxa"/>
                            <w:left w:w="0" w:type="dxa"/>
                            <w:bottom w:w="0" w:type="dxa"/>
                            <w:right w:w="0" w:type="dxa"/>
                          </w:tblCellMar>
                        </w:tblPrEx>
                        <w:trPr>
                          <w:trHeight w:val="40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3A95E0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64A955C2">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E84424C">
                            <w:pPr>
                              <w:widowControl/>
                              <w:jc w:val="left"/>
                              <w:rPr>
                                <w:rFonts w:ascii="Calibri" w:hAnsi="Calibri" w:eastAsia="Times New Roman"/>
                                <w:sz w:val="22"/>
                                <w:szCs w:val="22"/>
                              </w:rPr>
                            </w:pPr>
                          </w:p>
                        </w:tc>
                        <w:tc>
                          <w:tcPr>
                            <w:tcW w:w="1792" w:type="dxa"/>
                            <w:tcBorders>
                              <w:top w:val="nil"/>
                              <w:left w:val="single" w:color="000000" w:sz="4" w:space="0"/>
                              <w:bottom w:val="single" w:color="000000" w:sz="4" w:space="0"/>
                              <w:right w:val="single" w:color="000000" w:sz="4" w:space="0"/>
                            </w:tcBorders>
                          </w:tcPr>
                          <w:p w14:paraId="74E1B44B">
                            <w:pPr>
                              <w:pStyle w:val="54"/>
                              <w:spacing w:line="256" w:lineRule="exact"/>
                              <w:ind w:left="7"/>
                              <w:rPr>
                                <w:rFonts w:ascii="宋体" w:hAnsi="宋体" w:cs="宋体"/>
                                <w:sz w:val="20"/>
                                <w:szCs w:val="20"/>
                              </w:rPr>
                            </w:pPr>
                            <w:r>
                              <w:rPr>
                                <w:rFonts w:hint="eastAsia" w:ascii="宋体" w:hAnsi="宋体" w:cs="宋体"/>
                                <w:w w:val="99"/>
                                <w:sz w:val="20"/>
                                <w:szCs w:val="20"/>
                              </w:rPr>
                              <w:t>组</w:t>
                            </w:r>
                          </w:p>
                        </w:tc>
                        <w:tc>
                          <w:tcPr>
                            <w:tcW w:w="3780" w:type="dxa"/>
                            <w:vMerge w:val="continue"/>
                            <w:tcBorders>
                              <w:left w:val="single" w:color="000000" w:sz="4" w:space="0"/>
                              <w:bottom w:val="single" w:color="000000" w:sz="4" w:space="0"/>
                              <w:right w:val="single" w:color="000000" w:sz="4" w:space="0"/>
                            </w:tcBorders>
                          </w:tcPr>
                          <w:p w14:paraId="247EDEBA">
                            <w:pPr>
                              <w:pStyle w:val="54"/>
                              <w:spacing w:line="256" w:lineRule="exact"/>
                              <w:ind w:left="7"/>
                              <w:rPr>
                                <w:rFonts w:ascii="宋体" w:hAnsi="宋体" w:cs="宋体"/>
                                <w:sz w:val="20"/>
                                <w:szCs w:val="20"/>
                                <w:lang w:eastAsia="zh-CN"/>
                              </w:rPr>
                            </w:pPr>
                          </w:p>
                        </w:tc>
                      </w:tr>
                      <w:tr w14:paraId="1155792D">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18138895">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528500E">
                            <w:pPr>
                              <w:widowControl/>
                              <w:jc w:val="left"/>
                              <w:rPr>
                                <w:rFonts w:ascii="Calibri" w:hAnsi="Calibri" w:eastAsia="Times New Roman"/>
                                <w:sz w:val="22"/>
                                <w:szCs w:val="22"/>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4D09E033">
                            <w:pPr>
                              <w:pStyle w:val="54"/>
                              <w:rPr>
                                <w:rFonts w:ascii="宋体" w:hAnsi="宋体" w:cs="宋体"/>
                                <w:sz w:val="20"/>
                                <w:szCs w:val="20"/>
                                <w:lang w:eastAsia="zh-CN"/>
                              </w:rPr>
                            </w:pPr>
                          </w:p>
                          <w:p w14:paraId="3559EB05">
                            <w:pPr>
                              <w:pStyle w:val="54"/>
                              <w:rPr>
                                <w:rFonts w:ascii="宋体" w:hAnsi="宋体" w:cs="宋体"/>
                                <w:sz w:val="20"/>
                                <w:szCs w:val="20"/>
                                <w:lang w:eastAsia="zh-CN"/>
                              </w:rPr>
                            </w:pPr>
                          </w:p>
                          <w:p w14:paraId="38BF4D07">
                            <w:pPr>
                              <w:pStyle w:val="54"/>
                              <w:spacing w:before="3"/>
                              <w:rPr>
                                <w:rFonts w:ascii="宋体" w:hAnsi="宋体" w:cs="宋体"/>
                                <w:sz w:val="21"/>
                                <w:szCs w:val="21"/>
                                <w:lang w:eastAsia="zh-CN"/>
                              </w:rPr>
                            </w:pPr>
                          </w:p>
                          <w:p w14:paraId="0AEE7D23">
                            <w:pPr>
                              <w:pStyle w:val="54"/>
                              <w:spacing w:line="280" w:lineRule="auto"/>
                              <w:ind w:left="7" w:right="5"/>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A02052305空调机组</w:t>
                            </w:r>
                          </w:p>
                        </w:tc>
                        <w:tc>
                          <w:tcPr>
                            <w:tcW w:w="1792" w:type="dxa"/>
                            <w:tcBorders>
                              <w:top w:val="single" w:color="000000" w:sz="4" w:space="0"/>
                              <w:left w:val="single" w:color="000000" w:sz="4" w:space="0"/>
                              <w:bottom w:val="single" w:color="000000" w:sz="4" w:space="0"/>
                              <w:right w:val="single" w:color="000000" w:sz="4" w:space="0"/>
                            </w:tcBorders>
                          </w:tcPr>
                          <w:p w14:paraId="1FA18622">
                            <w:pPr>
                              <w:pStyle w:val="54"/>
                              <w:spacing w:before="4" w:line="280" w:lineRule="auto"/>
                              <w:ind w:left="7" w:right="7"/>
                              <w:jc w:val="both"/>
                              <w:rPr>
                                <w:rFonts w:ascii="宋体" w:hAnsi="宋体" w:cs="宋体"/>
                                <w:w w:val="99"/>
                                <w:sz w:val="20"/>
                                <w:szCs w:val="20"/>
                                <w:lang w:eastAsia="zh-CN"/>
                              </w:rPr>
                            </w:pPr>
                            <w:r>
                              <w:rPr>
                                <w:rFonts w:hint="eastAsia" w:ascii="宋体" w:hAnsi="宋体" w:cs="宋体"/>
                                <w:w w:val="99"/>
                                <w:sz w:val="20"/>
                                <w:szCs w:val="20"/>
                                <w:lang w:eastAsia="zh-CN"/>
                              </w:rPr>
                              <w:t>多联式空调（热泵）机组</w:t>
                            </w:r>
                          </w:p>
                          <w:p w14:paraId="36224874">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（制冷量＞14000W）</w:t>
                            </w:r>
                          </w:p>
                        </w:tc>
                        <w:tc>
                          <w:tcPr>
                            <w:tcW w:w="3780" w:type="dxa"/>
                            <w:tcBorders>
                              <w:top w:val="single" w:color="000000" w:sz="4" w:space="0"/>
                              <w:left w:val="single" w:color="000000" w:sz="4" w:space="0"/>
                              <w:bottom w:val="single" w:color="000000" w:sz="4" w:space="0"/>
                              <w:right w:val="single" w:color="000000" w:sz="4" w:space="0"/>
                            </w:tcBorders>
                          </w:tcPr>
                          <w:p w14:paraId="117B28A6">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2EC22AE8">
                        <w:tblPrEx>
                          <w:tblCellMar>
                            <w:top w:w="0" w:type="dxa"/>
                            <w:left w:w="0" w:type="dxa"/>
                            <w:bottom w:w="0" w:type="dxa"/>
                            <w:right w:w="0" w:type="dxa"/>
                          </w:tblCellMar>
                        </w:tblPrEx>
                        <w:trPr>
                          <w:trHeight w:val="644"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C947776">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F85B456">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47FF1E2">
                            <w:pPr>
                              <w:widowControl/>
                              <w:jc w:val="left"/>
                              <w:rPr>
                                <w:rFonts w:ascii="宋体" w:hAnsi="宋体" w:eastAsia="Times New Roman" w:cs="宋体"/>
                                <w:kern w:val="0"/>
                                <w:sz w:val="20"/>
                                <w:szCs w:val="20"/>
                              </w:rPr>
                            </w:pPr>
                          </w:p>
                        </w:tc>
                        <w:tc>
                          <w:tcPr>
                            <w:tcW w:w="1792" w:type="dxa"/>
                            <w:tcBorders>
                              <w:top w:val="single" w:color="000000" w:sz="4" w:space="0"/>
                              <w:left w:val="single" w:color="000000" w:sz="4" w:space="0"/>
                              <w:bottom w:val="nil"/>
                              <w:right w:val="single" w:color="000000" w:sz="4" w:space="0"/>
                            </w:tcBorders>
                          </w:tcPr>
                          <w:p w14:paraId="33D47CAE">
                            <w:pPr>
                              <w:pStyle w:val="54"/>
                              <w:spacing w:before="7"/>
                              <w:rPr>
                                <w:rFonts w:ascii="宋体" w:hAnsi="宋体" w:cs="宋体"/>
                                <w:sz w:val="24"/>
                                <w:szCs w:val="24"/>
                                <w:lang w:eastAsia="zh-CN"/>
                              </w:rPr>
                            </w:pPr>
                          </w:p>
                          <w:p w14:paraId="0CE6468A">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E34FB66">
                            <w:pPr>
                              <w:pStyle w:val="54"/>
                              <w:spacing w:before="9" w:line="280" w:lineRule="auto"/>
                              <w:ind w:left="7" w:right="4"/>
                              <w:rPr>
                                <w:rFonts w:ascii="宋体" w:hAnsi="宋体" w:cs="宋体"/>
                                <w:sz w:val="20"/>
                                <w:szCs w:val="20"/>
                                <w:lang w:eastAsia="zh-CN"/>
                              </w:rPr>
                            </w:pPr>
                            <w:r>
                              <w:rPr>
                                <w:rFonts w:hint="eastAsia" w:ascii="宋体" w:hAnsi="宋体" w:cs="宋体"/>
                                <w:w w:val="99"/>
                                <w:sz w:val="20"/>
                                <w:szCs w:val="20"/>
                                <w:lang w:eastAsia="zh-CN"/>
                              </w:rPr>
                              <w:t>《单元式空气调节机能效限定值及能效等级》（GB19576）《风管送风式空调机组能效限定值及能效等级》（GB37479）</w:t>
                            </w:r>
                          </w:p>
                        </w:tc>
                      </w:tr>
                      <w:tr w14:paraId="6CFC0C2B">
                        <w:tblPrEx>
                          <w:tblCellMar>
                            <w:top w:w="0" w:type="dxa"/>
                            <w:left w:w="0" w:type="dxa"/>
                            <w:bottom w:w="0" w:type="dxa"/>
                            <w:right w:w="0" w:type="dxa"/>
                          </w:tblCellMar>
                        </w:tblPrEx>
                        <w:trPr>
                          <w:trHeight w:val="402"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B1317CE">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47D35113">
                            <w:pPr>
                              <w:widowControl/>
                              <w:jc w:val="left"/>
                              <w:rPr>
                                <w:rFonts w:ascii="Calibri" w:hAnsi="Calibri" w:eastAsia="Times New Roman"/>
                                <w:sz w:val="22"/>
                                <w:szCs w:val="22"/>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2D87657D">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335405EC">
                            <w:pPr>
                              <w:pStyle w:val="54"/>
                              <w:spacing w:line="256" w:lineRule="exact"/>
                              <w:ind w:left="7"/>
                              <w:rPr>
                                <w:rFonts w:ascii="宋体" w:hAnsi="宋体" w:cs="宋体"/>
                                <w:sz w:val="20"/>
                                <w:szCs w:val="20"/>
                              </w:rPr>
                            </w:pPr>
                            <w:r>
                              <w:rPr>
                                <w:rFonts w:hint="eastAsia" w:ascii="宋体" w:hAnsi="宋体" w:cs="宋体"/>
                                <w:w w:val="99"/>
                                <w:sz w:val="20"/>
                                <w:szCs w:val="20"/>
                              </w:rPr>
                              <w:t>（制冷量</w:t>
                            </w:r>
                            <w:r>
                              <w:rPr>
                                <w:rFonts w:hint="eastAsia" w:ascii="宋体" w:hAnsi="宋体" w:cs="宋体"/>
                                <w:w w:val="99"/>
                                <w:sz w:val="20"/>
                                <w:szCs w:val="20"/>
                                <w:lang w:eastAsia="zh-CN"/>
                              </w:rPr>
                              <w:t>＞</w:t>
                            </w:r>
                            <w:r>
                              <w:rPr>
                                <w:rFonts w:hint="eastAsia" w:ascii="宋体" w:hAnsi="宋体" w:cs="宋体"/>
                                <w:w w:val="99"/>
                                <w:sz w:val="20"/>
                                <w:szCs w:val="20"/>
                              </w:rPr>
                              <w:t>14000W）</w:t>
                            </w:r>
                          </w:p>
                        </w:tc>
                        <w:tc>
                          <w:tcPr>
                            <w:tcW w:w="3780" w:type="dxa"/>
                            <w:vMerge w:val="continue"/>
                            <w:tcBorders>
                              <w:left w:val="single" w:color="000000" w:sz="4" w:space="0"/>
                              <w:right w:val="single" w:color="000000" w:sz="4" w:space="0"/>
                            </w:tcBorders>
                          </w:tcPr>
                          <w:p w14:paraId="2A6B3598">
                            <w:pPr>
                              <w:pStyle w:val="54"/>
                              <w:spacing w:line="256" w:lineRule="exact"/>
                              <w:rPr>
                                <w:rFonts w:ascii="宋体" w:hAnsi="宋体" w:cs="宋体"/>
                                <w:sz w:val="20"/>
                                <w:szCs w:val="20"/>
                                <w:lang w:eastAsia="zh-CN"/>
                              </w:rPr>
                            </w:pPr>
                          </w:p>
                        </w:tc>
                      </w:tr>
                      <w:tr w14:paraId="5B9D7DB7">
                        <w:tblPrEx>
                          <w:tblCellMar>
                            <w:top w:w="0" w:type="dxa"/>
                            <w:left w:w="0" w:type="dxa"/>
                            <w:bottom w:w="0" w:type="dxa"/>
                            <w:right w:w="0" w:type="dxa"/>
                          </w:tblCellMar>
                        </w:tblPrEx>
                        <w:trPr>
                          <w:trHeight w:val="40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3CFCDB5">
                            <w:pPr>
                              <w:widowControl/>
                              <w:jc w:val="left"/>
                              <w:rPr>
                                <w:rFonts w:ascii="Calibri" w:hAnsi="Calibri" w:eastAsia="Times New Roman"/>
                                <w:sz w:val="22"/>
                                <w:szCs w:val="22"/>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56AAE55">
                            <w:pPr>
                              <w:widowControl/>
                              <w:jc w:val="left"/>
                              <w:rPr>
                                <w:rFonts w:ascii="Calibri" w:hAnsi="Calibri" w:eastAsia="Times New Roman"/>
                                <w:sz w:val="22"/>
                                <w:szCs w:val="22"/>
                                <w:lang w:eastAsia="en-US"/>
                              </w:rPr>
                            </w:pPr>
                          </w:p>
                        </w:tc>
                        <w:tc>
                          <w:tcPr>
                            <w:tcW w:w="1800" w:type="dxa"/>
                            <w:tcBorders>
                              <w:top w:val="single" w:color="000000" w:sz="4" w:space="0"/>
                              <w:left w:val="single" w:color="000000" w:sz="4" w:space="0"/>
                              <w:bottom w:val="nil"/>
                              <w:right w:val="single" w:color="000000" w:sz="4" w:space="0"/>
                            </w:tcBorders>
                          </w:tcPr>
                          <w:p w14:paraId="5F0DF24A">
                            <w:pPr>
                              <w:pStyle w:val="54"/>
                              <w:spacing w:before="83"/>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A02052309专用制</w:t>
                            </w:r>
                          </w:p>
                        </w:tc>
                        <w:tc>
                          <w:tcPr>
                            <w:tcW w:w="1792" w:type="dxa"/>
                            <w:vMerge w:val="restart"/>
                            <w:tcBorders>
                              <w:top w:val="single" w:color="000000" w:sz="4" w:space="0"/>
                              <w:left w:val="single" w:color="000000" w:sz="4" w:space="0"/>
                              <w:bottom w:val="single" w:color="000000" w:sz="4" w:space="0"/>
                              <w:right w:val="single" w:color="000000" w:sz="4" w:space="0"/>
                            </w:tcBorders>
                          </w:tcPr>
                          <w:p w14:paraId="40468953">
                            <w:pPr>
                              <w:pStyle w:val="54"/>
                              <w:spacing w:before="1"/>
                              <w:rPr>
                                <w:rFonts w:ascii="宋体" w:hAnsi="宋体" w:cs="宋体"/>
                                <w:sz w:val="18"/>
                                <w:szCs w:val="18"/>
                              </w:rPr>
                            </w:pPr>
                          </w:p>
                          <w:p w14:paraId="6D2F5A07">
                            <w:pPr>
                              <w:pStyle w:val="54"/>
                              <w:ind w:left="7"/>
                              <w:rPr>
                                <w:rFonts w:ascii="宋体" w:hAnsi="宋体" w:cs="宋体"/>
                                <w:sz w:val="20"/>
                                <w:szCs w:val="20"/>
                              </w:rPr>
                            </w:pPr>
                            <w:r>
                              <w:rPr>
                                <w:rFonts w:hint="eastAsia" w:ascii="宋体" w:hAnsi="宋体" w:cs="宋体"/>
                                <w:w w:val="99"/>
                                <w:sz w:val="20"/>
                                <w:szCs w:val="20"/>
                              </w:rPr>
                              <w:t>机房空调</w:t>
                            </w:r>
                          </w:p>
                        </w:tc>
                        <w:tc>
                          <w:tcPr>
                            <w:tcW w:w="3780" w:type="dxa"/>
                            <w:tcBorders>
                              <w:top w:val="single" w:color="000000" w:sz="4" w:space="0"/>
                              <w:left w:val="single" w:color="000000" w:sz="4" w:space="0"/>
                              <w:bottom w:val="nil"/>
                              <w:right w:val="single" w:color="000000" w:sz="4" w:space="0"/>
                            </w:tcBorders>
                          </w:tcPr>
                          <w:p w14:paraId="48DBCB49">
                            <w:pPr>
                              <w:pStyle w:val="54"/>
                              <w:spacing w:before="83"/>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w:t>
                            </w:r>
                          </w:p>
                        </w:tc>
                      </w:tr>
                      <w:tr w14:paraId="57392E79">
                        <w:tblPrEx>
                          <w:tblCellMar>
                            <w:top w:w="0" w:type="dxa"/>
                            <w:left w:w="0" w:type="dxa"/>
                            <w:bottom w:w="0" w:type="dxa"/>
                            <w:right w:w="0" w:type="dxa"/>
                          </w:tblCellMar>
                        </w:tblPrEx>
                        <w:trPr>
                          <w:trHeight w:val="39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D7A958D">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5E0E072">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0D037193">
                            <w:pPr>
                              <w:pStyle w:val="54"/>
                              <w:spacing w:line="254" w:lineRule="exact"/>
                              <w:ind w:left="7"/>
                              <w:rPr>
                                <w:rFonts w:ascii="宋体" w:hAnsi="宋体" w:cs="宋体"/>
                                <w:sz w:val="20"/>
                                <w:szCs w:val="20"/>
                              </w:rPr>
                            </w:pPr>
                            <w:r>
                              <w:rPr>
                                <w:rFonts w:hint="eastAsia" w:ascii="宋体" w:hAnsi="宋体" w:cs="宋体"/>
                                <w:w w:val="99"/>
                                <w:sz w:val="20"/>
                                <w:szCs w:val="20"/>
                              </w:rPr>
                              <w:t>冷、空调设备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6C2A01B">
                            <w:pPr>
                              <w:widowControl/>
                              <w:jc w:val="left"/>
                              <w:rPr>
                                <w:rFonts w:ascii="宋体" w:hAnsi="宋体" w:eastAsia="Times New Roman" w:cs="宋体"/>
                                <w:kern w:val="0"/>
                                <w:sz w:val="20"/>
                                <w:szCs w:val="20"/>
                                <w:lang w:eastAsia="en-US"/>
                              </w:rPr>
                            </w:pPr>
                          </w:p>
                        </w:tc>
                        <w:tc>
                          <w:tcPr>
                            <w:tcW w:w="3780" w:type="dxa"/>
                            <w:tcBorders>
                              <w:top w:val="nil"/>
                              <w:left w:val="single" w:color="000000" w:sz="4" w:space="0"/>
                              <w:bottom w:val="single" w:color="000000" w:sz="4" w:space="0"/>
                              <w:right w:val="single" w:color="000000" w:sz="4" w:space="0"/>
                            </w:tcBorders>
                          </w:tcPr>
                          <w:p w14:paraId="60050C9E">
                            <w:pPr>
                              <w:pStyle w:val="54"/>
                              <w:spacing w:line="254" w:lineRule="exact"/>
                              <w:ind w:left="7"/>
                              <w:rPr>
                                <w:rFonts w:ascii="宋体" w:hAnsi="宋体" w:cs="宋体"/>
                                <w:sz w:val="20"/>
                                <w:szCs w:val="20"/>
                                <w:lang w:eastAsia="zh-CN"/>
                              </w:rPr>
                            </w:pPr>
                            <w:r>
                              <w:rPr>
                                <w:rFonts w:hint="eastAsia" w:ascii="宋体" w:hAnsi="宋体" w:cs="宋体"/>
                                <w:w w:val="99"/>
                                <w:sz w:val="20"/>
                                <w:szCs w:val="20"/>
                                <w:lang w:eastAsia="zh-CN"/>
                              </w:rPr>
                              <w:t>及能效等级》（GB19576）</w:t>
                            </w:r>
                          </w:p>
                        </w:tc>
                      </w:tr>
                      <w:tr w14:paraId="29DE86B0">
                        <w:tblPrEx>
                          <w:tblCellMar>
                            <w:top w:w="0" w:type="dxa"/>
                            <w:left w:w="0" w:type="dxa"/>
                            <w:bottom w:w="0" w:type="dxa"/>
                            <w:right w:w="0" w:type="dxa"/>
                          </w:tblCellMar>
                        </w:tblPrEx>
                        <w:trPr>
                          <w:trHeight w:val="54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8D1510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99D30C5">
                            <w:pPr>
                              <w:widowControl/>
                              <w:jc w:val="left"/>
                              <w:rPr>
                                <w:rFonts w:ascii="Calibri" w:hAnsi="Calibri" w:eastAsia="Times New Roman"/>
                                <w:sz w:val="22"/>
                                <w:szCs w:val="22"/>
                              </w:rPr>
                            </w:pPr>
                          </w:p>
                        </w:tc>
                        <w:tc>
                          <w:tcPr>
                            <w:tcW w:w="1800" w:type="dxa"/>
                            <w:tcBorders>
                              <w:top w:val="single" w:color="000000" w:sz="4" w:space="0"/>
                              <w:left w:val="single" w:color="000000" w:sz="4" w:space="0"/>
                              <w:bottom w:val="nil"/>
                              <w:right w:val="single" w:color="000000" w:sz="4" w:space="0"/>
                            </w:tcBorders>
                          </w:tcPr>
                          <w:p w14:paraId="20823BEC">
                            <w:pPr>
                              <w:pStyle w:val="54"/>
                              <w:rPr>
                                <w:rFonts w:ascii="宋体" w:hAnsi="宋体" w:cs="宋体"/>
                                <w:sz w:val="20"/>
                                <w:szCs w:val="20"/>
                                <w:lang w:eastAsia="zh-CN"/>
                              </w:rPr>
                            </w:pPr>
                          </w:p>
                          <w:p w14:paraId="19157C3A">
                            <w:pPr>
                              <w:pStyle w:val="54"/>
                              <w:spacing w:before="9"/>
                              <w:rPr>
                                <w:rFonts w:ascii="宋体" w:hAnsi="宋体" w:cs="宋体"/>
                                <w:sz w:val="20"/>
                                <w:szCs w:val="20"/>
                                <w:lang w:eastAsia="zh-CN"/>
                              </w:rPr>
                            </w:pPr>
                          </w:p>
                          <w:p w14:paraId="2D845E3E">
                            <w:pPr>
                              <w:pStyle w:val="54"/>
                              <w:ind w:left="7"/>
                              <w:rPr>
                                <w:rFonts w:ascii="宋体" w:hAnsi="宋体" w:cs="宋体"/>
                                <w:sz w:val="20"/>
                                <w:szCs w:val="20"/>
                              </w:rPr>
                            </w:pPr>
                            <w:r>
                              <w:rPr>
                                <w:rFonts w:hint="eastAsia" w:ascii="宋体" w:hAnsi="宋体" w:cs="宋体"/>
                                <w:w w:val="99"/>
                                <w:sz w:val="20"/>
                                <w:szCs w:val="20"/>
                              </w:rPr>
                              <w:t>A02052399其他制冷</w:t>
                            </w:r>
                          </w:p>
                        </w:tc>
                        <w:tc>
                          <w:tcPr>
                            <w:tcW w:w="1792" w:type="dxa"/>
                            <w:vMerge w:val="restart"/>
                            <w:tcBorders>
                              <w:top w:val="single" w:color="000000" w:sz="4" w:space="0"/>
                              <w:left w:val="single" w:color="000000" w:sz="4" w:space="0"/>
                              <w:bottom w:val="single" w:color="000000" w:sz="4" w:space="0"/>
                              <w:right w:val="single" w:color="000000" w:sz="4" w:space="0"/>
                            </w:tcBorders>
                          </w:tcPr>
                          <w:p w14:paraId="0D778DB8">
                            <w:pPr>
                              <w:pStyle w:val="54"/>
                              <w:rPr>
                                <w:rFonts w:ascii="宋体" w:hAnsi="宋体" w:cs="宋体"/>
                                <w:sz w:val="20"/>
                                <w:szCs w:val="20"/>
                              </w:rPr>
                            </w:pPr>
                          </w:p>
                          <w:p w14:paraId="19B32C78">
                            <w:pPr>
                              <w:pStyle w:val="54"/>
                              <w:rPr>
                                <w:rFonts w:ascii="宋体" w:hAnsi="宋体" w:cs="宋体"/>
                                <w:sz w:val="20"/>
                                <w:szCs w:val="20"/>
                              </w:rPr>
                            </w:pPr>
                          </w:p>
                          <w:p w14:paraId="26B26B35">
                            <w:pPr>
                              <w:pStyle w:val="54"/>
                              <w:spacing w:before="164"/>
                              <w:ind w:left="7"/>
                              <w:rPr>
                                <w:rFonts w:ascii="宋体" w:hAnsi="宋体" w:cs="宋体"/>
                                <w:sz w:val="20"/>
                                <w:szCs w:val="20"/>
                              </w:rPr>
                            </w:pPr>
                            <w:r>
                              <w:rPr>
                                <w:rFonts w:hint="eastAsia" w:ascii="宋体" w:hAnsi="宋体" w:cs="宋体"/>
                                <w:w w:val="99"/>
                                <w:sz w:val="20"/>
                                <w:szCs w:val="20"/>
                              </w:rPr>
                              <w:t>冷却塔</w:t>
                            </w:r>
                          </w:p>
                        </w:tc>
                        <w:tc>
                          <w:tcPr>
                            <w:tcW w:w="3780" w:type="dxa"/>
                            <w:vMerge w:val="restart"/>
                            <w:tcBorders>
                              <w:top w:val="single" w:color="000000" w:sz="4" w:space="0"/>
                              <w:left w:val="single" w:color="000000" w:sz="4" w:space="0"/>
                              <w:right w:val="single" w:color="000000" w:sz="4" w:space="0"/>
                            </w:tcBorders>
                          </w:tcPr>
                          <w:p w14:paraId="4ED4CBE6">
                            <w:pPr>
                              <w:pStyle w:val="54"/>
                              <w:spacing w:before="11"/>
                              <w:rPr>
                                <w:rFonts w:ascii="宋体" w:hAnsi="宋体" w:cs="宋体"/>
                                <w:sz w:val="16"/>
                                <w:szCs w:val="16"/>
                                <w:lang w:eastAsia="zh-CN"/>
                              </w:rPr>
                            </w:pPr>
                          </w:p>
                          <w:p w14:paraId="150DEC10">
                            <w:pPr>
                              <w:pStyle w:val="54"/>
                              <w:ind w:left="7"/>
                              <w:rPr>
                                <w:rFonts w:ascii="宋体" w:hAnsi="宋体" w:cs="宋体"/>
                                <w:sz w:val="20"/>
                                <w:szCs w:val="20"/>
                                <w:lang w:eastAsia="zh-CN"/>
                              </w:rPr>
                            </w:pPr>
                            <w:r>
                              <w:rPr>
                                <w:rFonts w:hint="eastAsia" w:ascii="宋体" w:hAnsi="宋体" w:cs="宋体"/>
                                <w:w w:val="99"/>
                                <w:sz w:val="20"/>
                                <w:szCs w:val="20"/>
                                <w:lang w:eastAsia="zh-CN"/>
                              </w:rPr>
                              <w:t>《机械通风冷却塔第1部分：中小型开式冷却塔》（GB/T7190.1）</w:t>
                            </w:r>
                          </w:p>
                          <w:p w14:paraId="09678035">
                            <w:pPr>
                              <w:pStyle w:val="54"/>
                              <w:spacing w:line="256" w:lineRule="exact"/>
                              <w:rPr>
                                <w:rFonts w:ascii="宋体" w:hAnsi="宋体" w:cs="宋体"/>
                                <w:sz w:val="20"/>
                                <w:szCs w:val="20"/>
                                <w:lang w:eastAsia="zh-CN"/>
                              </w:rPr>
                            </w:pPr>
                            <w:r>
                              <w:rPr>
                                <w:rFonts w:hint="eastAsia" w:ascii="宋体" w:hAnsi="宋体" w:cs="宋体"/>
                                <w:w w:val="99"/>
                                <w:sz w:val="20"/>
                                <w:szCs w:val="20"/>
                                <w:lang w:eastAsia="zh-CN"/>
                              </w:rPr>
                              <w:t>《机械通风冷却塔第2部分：大型开式冷却塔》（GB/T7190.2）</w:t>
                            </w:r>
                          </w:p>
                        </w:tc>
                      </w:tr>
                      <w:tr w14:paraId="37722C42">
                        <w:tblPrEx>
                          <w:tblCellMar>
                            <w:top w:w="0" w:type="dxa"/>
                            <w:left w:w="0" w:type="dxa"/>
                            <w:bottom w:w="0" w:type="dxa"/>
                            <w:right w:w="0" w:type="dxa"/>
                          </w:tblCellMar>
                        </w:tblPrEx>
                        <w:trPr>
                          <w:trHeight w:val="71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5FB20F84">
                            <w:pPr>
                              <w:widowControl/>
                              <w:jc w:val="left"/>
                              <w:rPr>
                                <w:rFonts w:ascii="Calibri" w:hAnsi="Calibri" w:eastAsia="Times New Roman"/>
                                <w:sz w:val="22"/>
                                <w:szCs w:val="22"/>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E3B1E7F">
                            <w:pPr>
                              <w:widowControl/>
                              <w:jc w:val="left"/>
                              <w:rPr>
                                <w:rFonts w:ascii="Calibri" w:hAnsi="Calibri" w:eastAsia="Times New Roman"/>
                                <w:sz w:val="22"/>
                                <w:szCs w:val="22"/>
                              </w:rPr>
                            </w:pPr>
                          </w:p>
                        </w:tc>
                        <w:tc>
                          <w:tcPr>
                            <w:tcW w:w="1800" w:type="dxa"/>
                            <w:tcBorders>
                              <w:top w:val="nil"/>
                              <w:left w:val="single" w:color="000000" w:sz="4" w:space="0"/>
                              <w:bottom w:val="single" w:color="000000" w:sz="4" w:space="0"/>
                              <w:right w:val="single" w:color="000000" w:sz="4" w:space="0"/>
                            </w:tcBorders>
                          </w:tcPr>
                          <w:p w14:paraId="1678E035">
                            <w:pPr>
                              <w:pStyle w:val="54"/>
                              <w:spacing w:line="256" w:lineRule="exact"/>
                              <w:ind w:left="7"/>
                              <w:rPr>
                                <w:rFonts w:ascii="宋体" w:hAnsi="宋体" w:cs="宋体"/>
                                <w:sz w:val="20"/>
                                <w:szCs w:val="20"/>
                              </w:rPr>
                            </w:pPr>
                            <w:r>
                              <w:rPr>
                                <w:rFonts w:hint="eastAsia" w:ascii="宋体" w:hAnsi="宋体" w:cs="宋体"/>
                                <w:w w:val="99"/>
                                <w:sz w:val="20"/>
                                <w:szCs w:val="20"/>
                              </w:rPr>
                              <w:t>空调设备</w:t>
                            </w: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4F67C07E">
                            <w:pPr>
                              <w:widowControl/>
                              <w:jc w:val="left"/>
                              <w:rPr>
                                <w:rFonts w:ascii="宋体" w:hAnsi="宋体" w:eastAsia="Times New Roman" w:cs="宋体"/>
                                <w:kern w:val="0"/>
                                <w:sz w:val="20"/>
                                <w:szCs w:val="20"/>
                                <w:lang w:eastAsia="en-US"/>
                              </w:rPr>
                            </w:pPr>
                          </w:p>
                        </w:tc>
                        <w:tc>
                          <w:tcPr>
                            <w:tcW w:w="3780" w:type="dxa"/>
                            <w:vMerge w:val="continue"/>
                            <w:tcBorders>
                              <w:left w:val="single" w:color="000000" w:sz="4" w:space="0"/>
                              <w:right w:val="single" w:color="000000" w:sz="4" w:space="0"/>
                            </w:tcBorders>
                          </w:tcPr>
                          <w:p w14:paraId="3493BD69">
                            <w:pPr>
                              <w:pStyle w:val="54"/>
                              <w:spacing w:line="256" w:lineRule="exact"/>
                              <w:ind w:left="7"/>
                              <w:rPr>
                                <w:rFonts w:ascii="宋体" w:hAnsi="宋体" w:cs="宋体"/>
                                <w:sz w:val="20"/>
                                <w:szCs w:val="20"/>
                                <w:lang w:eastAsia="zh-CN"/>
                              </w:rPr>
                            </w:pPr>
                          </w:p>
                        </w:tc>
                      </w:tr>
                      <w:tr w14:paraId="343C76B2">
                        <w:tblPrEx>
                          <w:tblCellMar>
                            <w:top w:w="0" w:type="dxa"/>
                            <w:left w:w="0" w:type="dxa"/>
                            <w:bottom w:w="0" w:type="dxa"/>
                            <w:right w:w="0" w:type="dxa"/>
                          </w:tblCellMar>
                        </w:tblPrEx>
                        <w:trPr>
                          <w:trHeight w:val="742" w:hRule="exact"/>
                        </w:trPr>
                        <w:tc>
                          <w:tcPr>
                            <w:tcW w:w="570" w:type="dxa"/>
                            <w:tcBorders>
                              <w:top w:val="single" w:color="000000" w:sz="4" w:space="0"/>
                              <w:left w:val="single" w:color="000000" w:sz="4" w:space="0"/>
                              <w:bottom w:val="single" w:color="000000" w:sz="4" w:space="0"/>
                              <w:right w:val="single" w:color="000000" w:sz="4" w:space="0"/>
                            </w:tcBorders>
                          </w:tcPr>
                          <w:p w14:paraId="4F607FC0">
                            <w:pPr>
                              <w:pStyle w:val="54"/>
                              <w:spacing w:before="12"/>
                              <w:rPr>
                                <w:rFonts w:ascii="宋体" w:hAnsi="宋体" w:cs="宋体"/>
                                <w:sz w:val="15"/>
                                <w:szCs w:val="15"/>
                                <w:lang w:eastAsia="zh-CN"/>
                              </w:rPr>
                            </w:pPr>
                          </w:p>
                          <w:p w14:paraId="0B3C9F0F">
                            <w:pPr>
                              <w:pStyle w:val="54"/>
                              <w:ind w:right="1"/>
                              <w:jc w:val="center"/>
                              <w:rPr>
                                <w:rFonts w:ascii="宋体" w:hAnsi="宋体" w:cs="宋体"/>
                                <w:sz w:val="20"/>
                                <w:szCs w:val="20"/>
                              </w:rPr>
                            </w:pPr>
                            <w:r>
                              <w:rPr>
                                <w:rFonts w:hint="eastAsia" w:ascii="宋体"/>
                                <w:w w:val="99"/>
                                <w:sz w:val="20"/>
                              </w:rPr>
                              <w:t>7</w:t>
                            </w:r>
                          </w:p>
                        </w:tc>
                        <w:tc>
                          <w:tcPr>
                            <w:tcW w:w="1163" w:type="dxa"/>
                            <w:tcBorders>
                              <w:top w:val="single" w:color="000000" w:sz="4" w:space="0"/>
                              <w:left w:val="single" w:color="000000" w:sz="4" w:space="0"/>
                              <w:bottom w:val="single" w:color="000000" w:sz="4" w:space="0"/>
                              <w:right w:val="single" w:color="000000" w:sz="4" w:space="0"/>
                            </w:tcBorders>
                          </w:tcPr>
                          <w:p w14:paraId="7C0CDA61">
                            <w:pPr>
                              <w:pStyle w:val="54"/>
                              <w:spacing w:before="12"/>
                              <w:rPr>
                                <w:rFonts w:ascii="宋体" w:hAnsi="宋体" w:cs="宋体"/>
                                <w:sz w:val="15"/>
                                <w:szCs w:val="15"/>
                              </w:rPr>
                            </w:pPr>
                          </w:p>
                          <w:p w14:paraId="02684DCF">
                            <w:pPr>
                              <w:pStyle w:val="54"/>
                              <w:ind w:left="7"/>
                              <w:rPr>
                                <w:rFonts w:ascii="宋体" w:hAnsi="宋体" w:cs="宋体"/>
                                <w:sz w:val="20"/>
                                <w:szCs w:val="20"/>
                              </w:rPr>
                            </w:pPr>
                            <w:r>
                              <w:rPr>
                                <w:rFonts w:hint="eastAsia" w:ascii="宋体" w:hAnsi="宋体" w:cs="宋体"/>
                                <w:w w:val="99"/>
                                <w:sz w:val="20"/>
                                <w:szCs w:val="20"/>
                              </w:rPr>
                              <w:t>A020601电机</w:t>
                            </w:r>
                          </w:p>
                        </w:tc>
                        <w:tc>
                          <w:tcPr>
                            <w:tcW w:w="1800" w:type="dxa"/>
                            <w:tcBorders>
                              <w:top w:val="single" w:color="000000" w:sz="4" w:space="0"/>
                              <w:left w:val="single" w:color="000000" w:sz="4" w:space="0"/>
                              <w:bottom w:val="single" w:color="000000" w:sz="4" w:space="0"/>
                              <w:right w:val="single" w:color="000000" w:sz="4" w:space="0"/>
                            </w:tcBorders>
                          </w:tcPr>
                          <w:p w14:paraId="044646AE">
                            <w:pPr>
                              <w:rPr>
                                <w:rFonts w:ascii="Calibri" w:hAnsi="Calibri"/>
                                <w:sz w:val="22"/>
                                <w:szCs w:val="22"/>
                              </w:rPr>
                            </w:pPr>
                          </w:p>
                        </w:tc>
                        <w:tc>
                          <w:tcPr>
                            <w:tcW w:w="1792" w:type="dxa"/>
                            <w:tcBorders>
                              <w:top w:val="single" w:color="000000" w:sz="4" w:space="0"/>
                              <w:left w:val="single" w:color="000000" w:sz="4" w:space="0"/>
                              <w:bottom w:val="single" w:color="000000" w:sz="4" w:space="0"/>
                              <w:right w:val="single" w:color="000000" w:sz="4" w:space="0"/>
                            </w:tcBorders>
                          </w:tcPr>
                          <w:p w14:paraId="3BFDB016">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0C27A476">
                            <w:pPr>
                              <w:pStyle w:val="54"/>
                              <w:spacing w:before="52" w:line="280" w:lineRule="auto"/>
                              <w:ind w:left="7" w:right="4"/>
                              <w:rPr>
                                <w:rFonts w:ascii="宋体" w:hAnsi="宋体" w:cs="宋体"/>
                                <w:sz w:val="20"/>
                                <w:szCs w:val="20"/>
                                <w:lang w:eastAsia="zh-CN"/>
                              </w:rPr>
                            </w:pPr>
                            <w:r>
                              <w:rPr>
                                <w:rFonts w:hint="eastAsia" w:ascii="宋体" w:hAnsi="宋体" w:cs="宋体"/>
                                <w:w w:val="99"/>
                                <w:sz w:val="20"/>
                                <w:szCs w:val="20"/>
                                <w:lang w:eastAsia="zh-CN"/>
                              </w:rPr>
                              <w:t>《中小型三相异步电动机能效限定值及能效等级》（GB18613）</w:t>
                            </w:r>
                          </w:p>
                        </w:tc>
                      </w:tr>
                      <w:tr w14:paraId="07F32E12">
                        <w:tblPrEx>
                          <w:tblCellMar>
                            <w:top w:w="0" w:type="dxa"/>
                            <w:left w:w="0" w:type="dxa"/>
                            <w:bottom w:w="0" w:type="dxa"/>
                            <w:right w:w="0" w:type="dxa"/>
                          </w:tblCellMar>
                        </w:tblPrEx>
                        <w:trPr>
                          <w:trHeight w:val="353"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CC76D97">
                            <w:pPr>
                              <w:pStyle w:val="54"/>
                              <w:spacing w:before="3"/>
                              <w:rPr>
                                <w:rFonts w:ascii="宋体" w:hAnsi="宋体" w:cs="宋体"/>
                                <w:sz w:val="14"/>
                                <w:szCs w:val="14"/>
                                <w:lang w:eastAsia="zh-CN"/>
                              </w:rPr>
                            </w:pPr>
                          </w:p>
                          <w:p w14:paraId="68306118">
                            <w:pPr>
                              <w:pStyle w:val="54"/>
                              <w:ind w:right="1"/>
                              <w:jc w:val="center"/>
                              <w:rPr>
                                <w:rFonts w:ascii="宋体" w:hAnsi="宋体" w:cs="宋体"/>
                                <w:sz w:val="20"/>
                                <w:szCs w:val="20"/>
                              </w:rPr>
                            </w:pPr>
                            <w:r>
                              <w:rPr>
                                <w:rFonts w:hint="eastAsia" w:ascii="宋体"/>
                                <w:w w:val="99"/>
                                <w:sz w:val="20"/>
                              </w:rPr>
                              <w:t>8</w:t>
                            </w:r>
                          </w:p>
                        </w:tc>
                        <w:tc>
                          <w:tcPr>
                            <w:tcW w:w="1163" w:type="dxa"/>
                            <w:tcBorders>
                              <w:top w:val="single" w:color="000000" w:sz="4" w:space="0"/>
                              <w:left w:val="single" w:color="000000" w:sz="4" w:space="0"/>
                              <w:bottom w:val="nil"/>
                              <w:right w:val="single" w:color="000000" w:sz="4" w:space="0"/>
                            </w:tcBorders>
                          </w:tcPr>
                          <w:p w14:paraId="6D17F7F7">
                            <w:pPr>
                              <w:pStyle w:val="54"/>
                              <w:spacing w:before="30"/>
                              <w:ind w:left="7"/>
                              <w:rPr>
                                <w:rFonts w:ascii="宋体" w:hAnsi="宋体" w:cs="宋体"/>
                                <w:sz w:val="20"/>
                                <w:szCs w:val="20"/>
                              </w:rPr>
                            </w:pPr>
                            <w:r>
                              <w:rPr>
                                <w:rFonts w:hint="eastAsia" w:ascii="宋体" w:hAnsi="宋体" w:cs="宋体"/>
                                <w:w w:val="99"/>
                                <w:sz w:val="20"/>
                                <w:szCs w:val="20"/>
                              </w:rPr>
                              <w:t>A020602变压</w:t>
                            </w:r>
                          </w:p>
                        </w:tc>
                        <w:tc>
                          <w:tcPr>
                            <w:tcW w:w="1800" w:type="dxa"/>
                            <w:vMerge w:val="restart"/>
                            <w:tcBorders>
                              <w:top w:val="single" w:color="000000" w:sz="4" w:space="0"/>
                              <w:left w:val="single" w:color="000000" w:sz="4" w:space="0"/>
                              <w:bottom w:val="single" w:color="000000" w:sz="4" w:space="0"/>
                              <w:right w:val="single" w:color="000000" w:sz="4" w:space="0"/>
                            </w:tcBorders>
                          </w:tcPr>
                          <w:p w14:paraId="1D57CB66">
                            <w:pPr>
                              <w:pStyle w:val="54"/>
                              <w:spacing w:before="3"/>
                              <w:rPr>
                                <w:rFonts w:ascii="宋体" w:hAnsi="宋体" w:cs="宋体"/>
                                <w:sz w:val="14"/>
                                <w:szCs w:val="14"/>
                              </w:rPr>
                            </w:pPr>
                          </w:p>
                          <w:p w14:paraId="30FD2175">
                            <w:pPr>
                              <w:pStyle w:val="54"/>
                              <w:ind w:left="7"/>
                              <w:rPr>
                                <w:rFonts w:ascii="宋体" w:hAnsi="宋体" w:cs="宋体"/>
                                <w:sz w:val="20"/>
                                <w:szCs w:val="20"/>
                              </w:rPr>
                            </w:pPr>
                            <w:r>
                              <w:rPr>
                                <w:rFonts w:hint="eastAsia" w:ascii="宋体" w:hAnsi="宋体" w:cs="宋体"/>
                                <w:w w:val="99"/>
                                <w:sz w:val="20"/>
                                <w:szCs w:val="20"/>
                              </w:rPr>
                              <w:t>配电变压器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794AF375">
                            <w:pPr>
                              <w:rPr>
                                <w:rFonts w:ascii="Calibri" w:hAnsi="Calibri"/>
                                <w:sz w:val="22"/>
                                <w:szCs w:val="22"/>
                              </w:rPr>
                            </w:pPr>
                          </w:p>
                        </w:tc>
                        <w:tc>
                          <w:tcPr>
                            <w:tcW w:w="3780" w:type="dxa"/>
                            <w:tcBorders>
                              <w:top w:val="single" w:color="000000" w:sz="4" w:space="0"/>
                              <w:left w:val="single" w:color="000000" w:sz="4" w:space="0"/>
                              <w:bottom w:val="nil"/>
                              <w:right w:val="single" w:color="000000" w:sz="4" w:space="0"/>
                            </w:tcBorders>
                          </w:tcPr>
                          <w:p w14:paraId="6488DE8A">
                            <w:pPr>
                              <w:pStyle w:val="54"/>
                              <w:spacing w:before="30"/>
                              <w:ind w:left="7"/>
                              <w:rPr>
                                <w:rFonts w:ascii="宋体" w:hAnsi="宋体" w:cs="宋体"/>
                                <w:sz w:val="20"/>
                                <w:szCs w:val="20"/>
                                <w:lang w:eastAsia="zh-CN"/>
                              </w:rPr>
                            </w:pPr>
                            <w:r>
                              <w:rPr>
                                <w:rFonts w:hint="eastAsia" w:ascii="宋体" w:hAnsi="宋体" w:cs="宋体"/>
                                <w:w w:val="99"/>
                                <w:sz w:val="20"/>
                                <w:szCs w:val="20"/>
                                <w:lang w:eastAsia="zh-CN"/>
                              </w:rPr>
                              <w:t>《三相配电变压器能效限定值及</w:t>
                            </w:r>
                          </w:p>
                        </w:tc>
                      </w:tr>
                      <w:tr w14:paraId="3903356C">
                        <w:tblPrEx>
                          <w:tblCellMar>
                            <w:top w:w="0" w:type="dxa"/>
                            <w:left w:w="0" w:type="dxa"/>
                            <w:bottom w:w="0" w:type="dxa"/>
                            <w:right w:w="0" w:type="dxa"/>
                          </w:tblCellMar>
                        </w:tblPrEx>
                        <w:trPr>
                          <w:trHeight w:val="345"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42188EA9">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59A06941">
                            <w:pPr>
                              <w:pStyle w:val="54"/>
                              <w:spacing w:line="256" w:lineRule="exact"/>
                              <w:ind w:left="7"/>
                              <w:rPr>
                                <w:rFonts w:ascii="宋体" w:hAnsi="宋体" w:cs="宋体"/>
                                <w:sz w:val="20"/>
                                <w:szCs w:val="20"/>
                              </w:rPr>
                            </w:pPr>
                            <w:r>
                              <w:rPr>
                                <w:rFonts w:hint="eastAsia" w:ascii="宋体" w:hAnsi="宋体" w:cs="宋体"/>
                                <w:w w:val="99"/>
                                <w:sz w:val="20"/>
                                <w:szCs w:val="20"/>
                              </w:rPr>
                              <w:t>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5074538">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06621C1F">
                            <w:pPr>
                              <w:widowControl/>
                              <w:jc w:val="left"/>
                              <w:rPr>
                                <w:rFonts w:ascii="Calibri" w:hAnsi="Calibri" w:eastAsia="Times New Roman"/>
                                <w:sz w:val="22"/>
                                <w:szCs w:val="22"/>
                                <w:lang w:eastAsia="en-US"/>
                              </w:rPr>
                            </w:pPr>
                          </w:p>
                        </w:tc>
                        <w:tc>
                          <w:tcPr>
                            <w:tcW w:w="3780" w:type="dxa"/>
                            <w:tcBorders>
                              <w:top w:val="nil"/>
                              <w:left w:val="single" w:color="000000" w:sz="4" w:space="0"/>
                              <w:bottom w:val="single" w:color="000000" w:sz="4" w:space="0"/>
                              <w:right w:val="single" w:color="000000" w:sz="4" w:space="0"/>
                            </w:tcBorders>
                          </w:tcPr>
                          <w:p w14:paraId="222E386C">
                            <w:pPr>
                              <w:pStyle w:val="54"/>
                              <w:spacing w:line="256" w:lineRule="exact"/>
                              <w:ind w:left="7"/>
                              <w:rPr>
                                <w:rFonts w:ascii="宋体" w:hAnsi="宋体" w:cs="宋体"/>
                                <w:sz w:val="20"/>
                                <w:szCs w:val="20"/>
                              </w:rPr>
                            </w:pPr>
                            <w:r>
                              <w:rPr>
                                <w:rFonts w:hint="eastAsia" w:ascii="宋体" w:hAnsi="宋体" w:cs="宋体"/>
                                <w:w w:val="99"/>
                                <w:sz w:val="20"/>
                                <w:szCs w:val="20"/>
                              </w:rPr>
                              <w:t>能效等级》（GB20052）</w:t>
                            </w:r>
                          </w:p>
                        </w:tc>
                      </w:tr>
                      <w:tr w14:paraId="5C8DA1B8">
                        <w:tblPrEx>
                          <w:tblCellMar>
                            <w:top w:w="0" w:type="dxa"/>
                            <w:left w:w="0" w:type="dxa"/>
                            <w:bottom w:w="0" w:type="dxa"/>
                            <w:right w:w="0" w:type="dxa"/>
                          </w:tblCellMar>
                        </w:tblPrEx>
                        <w:trPr>
                          <w:trHeight w:val="449"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1A9DE62A">
                            <w:pPr>
                              <w:pStyle w:val="54"/>
                              <w:spacing w:before="8"/>
                              <w:rPr>
                                <w:rFonts w:ascii="宋体" w:hAnsi="宋体" w:cs="宋体"/>
                                <w:sz w:val="21"/>
                                <w:szCs w:val="21"/>
                              </w:rPr>
                            </w:pPr>
                          </w:p>
                          <w:p w14:paraId="094F605B">
                            <w:pPr>
                              <w:pStyle w:val="54"/>
                              <w:ind w:right="1"/>
                              <w:jc w:val="center"/>
                              <w:rPr>
                                <w:rFonts w:ascii="宋体" w:hAnsi="宋体" w:cs="宋体"/>
                                <w:sz w:val="20"/>
                                <w:szCs w:val="20"/>
                              </w:rPr>
                            </w:pPr>
                            <w:r>
                              <w:rPr>
                                <w:rFonts w:hint="eastAsia" w:ascii="宋体"/>
                                <w:w w:val="99"/>
                                <w:sz w:val="20"/>
                              </w:rPr>
                              <w:t>9</w:t>
                            </w:r>
                          </w:p>
                        </w:tc>
                        <w:tc>
                          <w:tcPr>
                            <w:tcW w:w="1163" w:type="dxa"/>
                            <w:tcBorders>
                              <w:top w:val="single" w:color="000000" w:sz="4" w:space="0"/>
                              <w:left w:val="single" w:color="000000" w:sz="4" w:space="0"/>
                              <w:bottom w:val="nil"/>
                              <w:right w:val="single" w:color="000000" w:sz="4" w:space="0"/>
                            </w:tcBorders>
                          </w:tcPr>
                          <w:p w14:paraId="1D968F44">
                            <w:pPr>
                              <w:pStyle w:val="54"/>
                              <w:spacing w:before="126"/>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A020609镇</w:t>
                            </w:r>
                          </w:p>
                        </w:tc>
                        <w:tc>
                          <w:tcPr>
                            <w:tcW w:w="1800" w:type="dxa"/>
                            <w:vMerge w:val="restart"/>
                            <w:tcBorders>
                              <w:top w:val="single" w:color="000000" w:sz="4" w:space="0"/>
                              <w:left w:val="single" w:color="000000" w:sz="4" w:space="0"/>
                              <w:bottom w:val="single" w:color="000000" w:sz="4" w:space="0"/>
                              <w:right w:val="single" w:color="000000" w:sz="4" w:space="0"/>
                            </w:tcBorders>
                          </w:tcPr>
                          <w:p w14:paraId="081F7394">
                            <w:pPr>
                              <w:pStyle w:val="54"/>
                              <w:spacing w:before="8"/>
                              <w:rPr>
                                <w:rFonts w:ascii="宋体" w:hAnsi="宋体" w:cs="宋体"/>
                                <w:sz w:val="21"/>
                                <w:szCs w:val="21"/>
                              </w:rPr>
                            </w:pPr>
                          </w:p>
                          <w:p w14:paraId="2963F7D7">
                            <w:pPr>
                              <w:pStyle w:val="54"/>
                              <w:ind w:left="7"/>
                              <w:rPr>
                                <w:rFonts w:ascii="宋体" w:hAnsi="宋体" w:cs="宋体"/>
                                <w:sz w:val="20"/>
                                <w:szCs w:val="20"/>
                              </w:rPr>
                            </w:pPr>
                            <w:r>
                              <w:rPr>
                                <w:rFonts w:hint="eastAsia" w:ascii="宋体" w:hAnsi="宋体" w:cs="宋体"/>
                                <w:w w:val="99"/>
                                <w:sz w:val="20"/>
                                <w:szCs w:val="20"/>
                              </w:rPr>
                              <w:t>管型荧光灯镇流器</w:t>
                            </w:r>
                          </w:p>
                        </w:tc>
                        <w:tc>
                          <w:tcPr>
                            <w:tcW w:w="1792" w:type="dxa"/>
                            <w:vMerge w:val="restart"/>
                            <w:tcBorders>
                              <w:top w:val="single" w:color="000000" w:sz="4" w:space="0"/>
                              <w:left w:val="single" w:color="000000" w:sz="4" w:space="0"/>
                              <w:bottom w:val="single" w:color="000000" w:sz="4" w:space="0"/>
                              <w:right w:val="single" w:color="000000" w:sz="4" w:space="0"/>
                            </w:tcBorders>
                          </w:tcPr>
                          <w:p w14:paraId="570C5F94">
                            <w:pPr>
                              <w:rPr>
                                <w:rFonts w:ascii="Calibri" w:hAnsi="Calibri"/>
                                <w:sz w:val="22"/>
                                <w:szCs w:val="22"/>
                              </w:rPr>
                            </w:pPr>
                          </w:p>
                        </w:tc>
                        <w:tc>
                          <w:tcPr>
                            <w:tcW w:w="3780" w:type="dxa"/>
                            <w:vMerge w:val="restart"/>
                            <w:tcBorders>
                              <w:top w:val="single" w:color="000000" w:sz="4" w:space="0"/>
                              <w:left w:val="single" w:color="000000" w:sz="4" w:space="0"/>
                              <w:right w:val="single" w:color="000000" w:sz="4" w:space="0"/>
                            </w:tcBorders>
                          </w:tcPr>
                          <w:p w14:paraId="19B5B2B1">
                            <w:pPr>
                              <w:pStyle w:val="54"/>
                              <w:spacing w:before="126"/>
                              <w:ind w:left="7"/>
                              <w:rPr>
                                <w:rFonts w:ascii="宋体" w:hAnsi="宋体" w:cs="宋体"/>
                                <w:sz w:val="20"/>
                                <w:szCs w:val="20"/>
                                <w:lang w:eastAsia="zh-CN"/>
                              </w:rPr>
                            </w:pPr>
                            <w:r>
                              <w:rPr>
                                <w:rFonts w:hint="eastAsia" w:ascii="宋体" w:hAnsi="宋体" w:cs="宋体"/>
                                <w:w w:val="99"/>
                                <w:sz w:val="20"/>
                                <w:szCs w:val="20"/>
                                <w:lang w:eastAsia="zh-CN"/>
                              </w:rPr>
                              <w:t>《管形荧光灯镇流器能效限定值及能效等级》（GB17896）</w:t>
                            </w:r>
                          </w:p>
                        </w:tc>
                      </w:tr>
                      <w:tr w14:paraId="636F6F4B">
                        <w:tblPrEx>
                          <w:tblCellMar>
                            <w:top w:w="0" w:type="dxa"/>
                            <w:left w:w="0" w:type="dxa"/>
                            <w:bottom w:w="0" w:type="dxa"/>
                            <w:right w:w="0" w:type="dxa"/>
                          </w:tblCellMar>
                        </w:tblPrEx>
                        <w:trPr>
                          <w:trHeight w:val="441"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B7D1413">
                            <w:pPr>
                              <w:widowControl/>
                              <w:jc w:val="left"/>
                              <w:rPr>
                                <w:rFonts w:ascii="宋体" w:hAnsi="宋体" w:eastAsia="Times New Roman" w:cs="宋体"/>
                                <w:kern w:val="0"/>
                                <w:sz w:val="20"/>
                                <w:szCs w:val="20"/>
                              </w:rPr>
                            </w:pPr>
                          </w:p>
                        </w:tc>
                        <w:tc>
                          <w:tcPr>
                            <w:tcW w:w="1163" w:type="dxa"/>
                            <w:tcBorders>
                              <w:top w:val="nil"/>
                              <w:left w:val="single" w:color="000000" w:sz="4" w:space="0"/>
                              <w:bottom w:val="single" w:color="000000" w:sz="4" w:space="0"/>
                              <w:right w:val="single" w:color="000000" w:sz="4" w:space="0"/>
                            </w:tcBorders>
                          </w:tcPr>
                          <w:p w14:paraId="0FC66B47">
                            <w:pPr>
                              <w:pStyle w:val="54"/>
                              <w:spacing w:line="256" w:lineRule="exact"/>
                              <w:ind w:left="7"/>
                              <w:rPr>
                                <w:rFonts w:ascii="宋体" w:hAnsi="宋体" w:cs="宋体"/>
                                <w:sz w:val="20"/>
                                <w:szCs w:val="20"/>
                              </w:rPr>
                            </w:pPr>
                            <w:r>
                              <w:rPr>
                                <w:rFonts w:hint="eastAsia" w:ascii="宋体" w:hAnsi="宋体" w:cs="宋体"/>
                                <w:w w:val="99"/>
                                <w:sz w:val="20"/>
                                <w:szCs w:val="20"/>
                              </w:rPr>
                              <w:t>流器</w:t>
                            </w: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12687C8C">
                            <w:pPr>
                              <w:widowControl/>
                              <w:jc w:val="left"/>
                              <w:rPr>
                                <w:rFonts w:ascii="宋体" w:hAnsi="宋体" w:eastAsia="Times New Roman" w:cs="宋体"/>
                                <w:kern w:val="0"/>
                                <w:sz w:val="20"/>
                                <w:szCs w:val="20"/>
                                <w:lang w:eastAsia="en-US"/>
                              </w:rPr>
                            </w:pPr>
                          </w:p>
                        </w:tc>
                        <w:tc>
                          <w:tcPr>
                            <w:tcW w:w="1792" w:type="dxa"/>
                            <w:vMerge w:val="continue"/>
                            <w:tcBorders>
                              <w:top w:val="single" w:color="000000" w:sz="4" w:space="0"/>
                              <w:left w:val="single" w:color="000000" w:sz="4" w:space="0"/>
                              <w:bottom w:val="single" w:color="000000" w:sz="4" w:space="0"/>
                              <w:right w:val="single" w:color="000000" w:sz="4" w:space="0"/>
                            </w:tcBorders>
                            <w:vAlign w:val="center"/>
                          </w:tcPr>
                          <w:p w14:paraId="6AFFF15B">
                            <w:pPr>
                              <w:widowControl/>
                              <w:jc w:val="left"/>
                              <w:rPr>
                                <w:rFonts w:ascii="Calibri" w:hAnsi="Calibri" w:eastAsia="Times New Roman"/>
                                <w:sz w:val="22"/>
                                <w:szCs w:val="22"/>
                                <w:lang w:eastAsia="en-US"/>
                              </w:rPr>
                            </w:pPr>
                          </w:p>
                        </w:tc>
                        <w:tc>
                          <w:tcPr>
                            <w:tcW w:w="3780" w:type="dxa"/>
                            <w:vMerge w:val="continue"/>
                            <w:tcBorders>
                              <w:left w:val="single" w:color="000000" w:sz="4" w:space="0"/>
                              <w:bottom w:val="single" w:color="000000" w:sz="4" w:space="0"/>
                              <w:right w:val="single" w:color="000000" w:sz="4" w:space="0"/>
                            </w:tcBorders>
                          </w:tcPr>
                          <w:p w14:paraId="5CBF9487">
                            <w:pPr>
                              <w:pStyle w:val="54"/>
                              <w:spacing w:line="256" w:lineRule="exact"/>
                              <w:ind w:left="7"/>
                              <w:rPr>
                                <w:rFonts w:ascii="宋体" w:hAnsi="宋体" w:cs="宋体"/>
                                <w:sz w:val="20"/>
                                <w:szCs w:val="20"/>
                                <w:lang w:eastAsia="zh-CN"/>
                              </w:rPr>
                            </w:pPr>
                          </w:p>
                        </w:tc>
                      </w:tr>
                      <w:tr w14:paraId="146F1F22">
                        <w:tblPrEx>
                          <w:tblCellMar>
                            <w:top w:w="0" w:type="dxa"/>
                            <w:left w:w="0" w:type="dxa"/>
                            <w:bottom w:w="0" w:type="dxa"/>
                            <w:right w:w="0" w:type="dxa"/>
                          </w:tblCellMar>
                        </w:tblPrEx>
                        <w:trPr>
                          <w:trHeight w:val="752" w:hRule="exact"/>
                        </w:trPr>
                        <w:tc>
                          <w:tcPr>
                            <w:tcW w:w="570" w:type="dxa"/>
                            <w:vMerge w:val="restart"/>
                            <w:tcBorders>
                              <w:top w:val="single" w:color="000000" w:sz="4" w:space="0"/>
                              <w:left w:val="single" w:color="000000" w:sz="4" w:space="0"/>
                              <w:bottom w:val="single" w:color="000000" w:sz="4" w:space="0"/>
                              <w:right w:val="single" w:color="000000" w:sz="4" w:space="0"/>
                            </w:tcBorders>
                          </w:tcPr>
                          <w:p w14:paraId="029A52EA">
                            <w:pPr>
                              <w:pStyle w:val="54"/>
                              <w:rPr>
                                <w:rFonts w:ascii="宋体" w:hAnsi="宋体" w:cs="宋体"/>
                                <w:sz w:val="20"/>
                                <w:szCs w:val="20"/>
                                <w:lang w:eastAsia="zh-CN"/>
                              </w:rPr>
                            </w:pPr>
                          </w:p>
                          <w:p w14:paraId="138BBE2D">
                            <w:pPr>
                              <w:pStyle w:val="54"/>
                              <w:rPr>
                                <w:rFonts w:ascii="宋体" w:hAnsi="宋体" w:cs="宋体"/>
                                <w:sz w:val="20"/>
                                <w:szCs w:val="20"/>
                                <w:lang w:eastAsia="zh-CN"/>
                              </w:rPr>
                            </w:pPr>
                          </w:p>
                          <w:p w14:paraId="56F60722">
                            <w:pPr>
                              <w:pStyle w:val="54"/>
                              <w:rPr>
                                <w:rFonts w:ascii="宋体" w:hAnsi="宋体" w:cs="宋体"/>
                                <w:sz w:val="20"/>
                                <w:szCs w:val="20"/>
                                <w:lang w:eastAsia="zh-CN"/>
                              </w:rPr>
                            </w:pPr>
                          </w:p>
                          <w:p w14:paraId="6B1C2814">
                            <w:pPr>
                              <w:pStyle w:val="54"/>
                              <w:rPr>
                                <w:rFonts w:ascii="宋体" w:hAnsi="宋体" w:cs="宋体"/>
                                <w:sz w:val="20"/>
                                <w:szCs w:val="20"/>
                                <w:lang w:eastAsia="zh-CN"/>
                              </w:rPr>
                            </w:pPr>
                          </w:p>
                          <w:p w14:paraId="56592A92">
                            <w:pPr>
                              <w:pStyle w:val="54"/>
                              <w:rPr>
                                <w:rFonts w:ascii="宋体" w:hAnsi="宋体" w:cs="宋体"/>
                                <w:sz w:val="20"/>
                                <w:szCs w:val="20"/>
                                <w:lang w:eastAsia="zh-CN"/>
                              </w:rPr>
                            </w:pPr>
                          </w:p>
                          <w:p w14:paraId="0C4777F3">
                            <w:pPr>
                              <w:pStyle w:val="54"/>
                              <w:rPr>
                                <w:rFonts w:ascii="宋体" w:hAnsi="宋体" w:cs="宋体"/>
                                <w:sz w:val="20"/>
                                <w:szCs w:val="20"/>
                                <w:lang w:eastAsia="zh-CN"/>
                              </w:rPr>
                            </w:pPr>
                          </w:p>
                          <w:p w14:paraId="6BE5EA4D">
                            <w:pPr>
                              <w:pStyle w:val="54"/>
                              <w:rPr>
                                <w:rFonts w:ascii="宋体" w:hAnsi="宋体" w:cs="宋体"/>
                                <w:sz w:val="20"/>
                                <w:szCs w:val="20"/>
                                <w:lang w:eastAsia="zh-CN"/>
                              </w:rPr>
                            </w:pPr>
                          </w:p>
                          <w:p w14:paraId="72EFC50E">
                            <w:pPr>
                              <w:pStyle w:val="54"/>
                              <w:rPr>
                                <w:rFonts w:ascii="宋体" w:hAnsi="宋体" w:cs="宋体"/>
                                <w:sz w:val="20"/>
                                <w:szCs w:val="20"/>
                                <w:lang w:eastAsia="zh-CN"/>
                              </w:rPr>
                            </w:pPr>
                          </w:p>
                          <w:p w14:paraId="79B0060C">
                            <w:pPr>
                              <w:pStyle w:val="54"/>
                              <w:rPr>
                                <w:rFonts w:ascii="宋体" w:hAnsi="宋体" w:cs="宋体"/>
                                <w:sz w:val="20"/>
                                <w:szCs w:val="20"/>
                                <w:lang w:eastAsia="zh-CN"/>
                              </w:rPr>
                            </w:pPr>
                          </w:p>
                          <w:p w14:paraId="53D91450">
                            <w:pPr>
                              <w:pStyle w:val="54"/>
                              <w:spacing w:before="5"/>
                              <w:rPr>
                                <w:rFonts w:ascii="宋体" w:hAnsi="宋体" w:cs="宋体"/>
                                <w:sz w:val="18"/>
                                <w:szCs w:val="18"/>
                                <w:lang w:eastAsia="zh-CN"/>
                              </w:rPr>
                            </w:pPr>
                          </w:p>
                          <w:p w14:paraId="04F1EB1B">
                            <w:pPr>
                              <w:pStyle w:val="54"/>
                              <w:ind w:left="182"/>
                              <w:rPr>
                                <w:rFonts w:ascii="宋体" w:hAnsi="宋体" w:cs="宋体"/>
                                <w:sz w:val="20"/>
                                <w:szCs w:val="20"/>
                              </w:rPr>
                            </w:pPr>
                            <w:r>
                              <w:rPr>
                                <w:rFonts w:hint="eastAsia" w:ascii="宋体"/>
                                <w:w w:val="99"/>
                                <w:sz w:val="20"/>
                              </w:rPr>
                              <w:t>10</w:t>
                            </w:r>
                          </w:p>
                        </w:tc>
                        <w:tc>
                          <w:tcPr>
                            <w:tcW w:w="1163" w:type="dxa"/>
                            <w:vMerge w:val="restart"/>
                            <w:tcBorders>
                              <w:top w:val="single" w:color="000000" w:sz="4" w:space="0"/>
                              <w:left w:val="single" w:color="000000" w:sz="4" w:space="0"/>
                              <w:bottom w:val="single" w:color="000000" w:sz="4" w:space="0"/>
                              <w:right w:val="single" w:color="000000" w:sz="4" w:space="0"/>
                            </w:tcBorders>
                          </w:tcPr>
                          <w:p w14:paraId="25930A46">
                            <w:pPr>
                              <w:pStyle w:val="54"/>
                              <w:rPr>
                                <w:rFonts w:ascii="宋体" w:hAnsi="宋体" w:cs="宋体"/>
                                <w:sz w:val="20"/>
                                <w:szCs w:val="20"/>
                              </w:rPr>
                            </w:pPr>
                          </w:p>
                          <w:p w14:paraId="5DA8B768">
                            <w:pPr>
                              <w:pStyle w:val="54"/>
                              <w:rPr>
                                <w:rFonts w:ascii="宋体" w:hAnsi="宋体" w:cs="宋体"/>
                                <w:sz w:val="20"/>
                                <w:szCs w:val="20"/>
                              </w:rPr>
                            </w:pPr>
                          </w:p>
                          <w:p w14:paraId="6FFDE992">
                            <w:pPr>
                              <w:pStyle w:val="54"/>
                              <w:rPr>
                                <w:rFonts w:ascii="宋体" w:hAnsi="宋体" w:cs="宋体"/>
                                <w:sz w:val="20"/>
                                <w:szCs w:val="20"/>
                              </w:rPr>
                            </w:pPr>
                          </w:p>
                          <w:p w14:paraId="73CAF92F">
                            <w:pPr>
                              <w:pStyle w:val="54"/>
                              <w:rPr>
                                <w:rFonts w:ascii="宋体" w:hAnsi="宋体" w:cs="宋体"/>
                                <w:sz w:val="20"/>
                                <w:szCs w:val="20"/>
                              </w:rPr>
                            </w:pPr>
                          </w:p>
                          <w:p w14:paraId="59C1F859">
                            <w:pPr>
                              <w:pStyle w:val="54"/>
                              <w:rPr>
                                <w:rFonts w:ascii="宋体" w:hAnsi="宋体" w:cs="宋体"/>
                                <w:sz w:val="20"/>
                                <w:szCs w:val="20"/>
                              </w:rPr>
                            </w:pPr>
                          </w:p>
                          <w:p w14:paraId="3C6DFA5E">
                            <w:pPr>
                              <w:pStyle w:val="54"/>
                              <w:rPr>
                                <w:rFonts w:ascii="宋体" w:hAnsi="宋体" w:cs="宋体"/>
                                <w:sz w:val="20"/>
                                <w:szCs w:val="20"/>
                              </w:rPr>
                            </w:pPr>
                          </w:p>
                          <w:p w14:paraId="60F23FAD">
                            <w:pPr>
                              <w:pStyle w:val="54"/>
                              <w:rPr>
                                <w:rFonts w:ascii="宋体" w:hAnsi="宋体" w:cs="宋体"/>
                                <w:sz w:val="20"/>
                                <w:szCs w:val="20"/>
                              </w:rPr>
                            </w:pPr>
                          </w:p>
                          <w:p w14:paraId="641930E1">
                            <w:pPr>
                              <w:pStyle w:val="54"/>
                              <w:rPr>
                                <w:rFonts w:ascii="宋体" w:hAnsi="宋体" w:cs="宋体"/>
                                <w:sz w:val="20"/>
                                <w:szCs w:val="20"/>
                              </w:rPr>
                            </w:pPr>
                          </w:p>
                          <w:p w14:paraId="0243843C">
                            <w:pPr>
                              <w:pStyle w:val="54"/>
                              <w:spacing w:before="6"/>
                              <w:rPr>
                                <w:rFonts w:ascii="宋体" w:hAnsi="宋体" w:cs="宋体"/>
                                <w:sz w:val="26"/>
                                <w:szCs w:val="26"/>
                              </w:rPr>
                            </w:pPr>
                          </w:p>
                          <w:p w14:paraId="30D6E7F9">
                            <w:pPr>
                              <w:pStyle w:val="54"/>
                              <w:ind w:left="7"/>
                              <w:rPr>
                                <w:rFonts w:ascii="宋体" w:hAnsi="宋体" w:cs="宋体"/>
                                <w:sz w:val="20"/>
                                <w:szCs w:val="20"/>
                              </w:rPr>
                            </w:pPr>
                            <w:r>
                              <w:rPr>
                                <w:rFonts w:hint="eastAsia" w:ascii="宋体" w:hAnsi="宋体" w:cs="宋体"/>
                                <w:w w:val="99"/>
                                <w:sz w:val="20"/>
                                <w:szCs w:val="20"/>
                              </w:rPr>
                              <w:t>A020618生活</w:t>
                            </w:r>
                          </w:p>
                          <w:p w14:paraId="4B095885">
                            <w:pPr>
                              <w:pStyle w:val="54"/>
                              <w:spacing w:before="50"/>
                              <w:ind w:left="7"/>
                              <w:rPr>
                                <w:rFonts w:ascii="宋体" w:hAnsi="宋体" w:cs="宋体"/>
                                <w:sz w:val="20"/>
                                <w:szCs w:val="20"/>
                              </w:rPr>
                            </w:pPr>
                            <w:r>
                              <w:rPr>
                                <w:rFonts w:hint="eastAsia" w:ascii="宋体" w:hAnsi="宋体" w:cs="宋体"/>
                                <w:w w:val="99"/>
                                <w:sz w:val="20"/>
                                <w:szCs w:val="20"/>
                              </w:rPr>
                              <w:t>用电器</w:t>
                            </w:r>
                          </w:p>
                        </w:tc>
                        <w:tc>
                          <w:tcPr>
                            <w:tcW w:w="1800" w:type="dxa"/>
                            <w:vMerge w:val="restart"/>
                            <w:tcBorders>
                              <w:top w:val="single" w:color="000000" w:sz="4" w:space="0"/>
                              <w:left w:val="single" w:color="000000" w:sz="4" w:space="0"/>
                              <w:bottom w:val="single" w:color="000000" w:sz="4" w:space="0"/>
                              <w:right w:val="single" w:color="000000" w:sz="4" w:space="0"/>
                            </w:tcBorders>
                          </w:tcPr>
                          <w:p w14:paraId="564F0382">
                            <w:pPr>
                              <w:pStyle w:val="54"/>
                              <w:spacing w:before="1"/>
                              <w:rPr>
                                <w:rFonts w:ascii="宋体" w:hAnsi="宋体" w:cs="宋体"/>
                                <w:sz w:val="16"/>
                                <w:szCs w:val="16"/>
                              </w:rPr>
                            </w:pPr>
                          </w:p>
                          <w:p w14:paraId="79DD98D6">
                            <w:pPr>
                              <w:pStyle w:val="54"/>
                              <w:ind w:left="7"/>
                              <w:rPr>
                                <w:rFonts w:ascii="宋体" w:hAnsi="宋体" w:cs="宋体"/>
                                <w:sz w:val="20"/>
                                <w:szCs w:val="20"/>
                              </w:rPr>
                            </w:pPr>
                            <w:r>
                              <w:rPr>
                                <w:rFonts w:hint="eastAsia" w:ascii="宋体" w:hAnsi="宋体" w:cs="宋体"/>
                                <w:w w:val="99"/>
                                <w:sz w:val="20"/>
                                <w:szCs w:val="20"/>
                              </w:rPr>
                              <w:t>A0206180101电冰箱</w:t>
                            </w:r>
                          </w:p>
                        </w:tc>
                        <w:tc>
                          <w:tcPr>
                            <w:tcW w:w="1792" w:type="dxa"/>
                            <w:vMerge w:val="restart"/>
                            <w:tcBorders>
                              <w:top w:val="single" w:color="000000" w:sz="4" w:space="0"/>
                              <w:left w:val="single" w:color="000000" w:sz="4" w:space="0"/>
                              <w:bottom w:val="single" w:color="000000" w:sz="4" w:space="0"/>
                              <w:right w:val="single" w:color="000000" w:sz="4" w:space="0"/>
                            </w:tcBorders>
                          </w:tcPr>
                          <w:p w14:paraId="06C6FD5D">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269E80C9">
                            <w:pPr>
                              <w:pStyle w:val="54"/>
                              <w:spacing w:before="126"/>
                              <w:ind w:left="7"/>
                              <w:rPr>
                                <w:rFonts w:ascii="宋体" w:hAnsi="宋体" w:cs="宋体"/>
                                <w:w w:val="99"/>
                                <w:sz w:val="20"/>
                                <w:szCs w:val="20"/>
                                <w:lang w:eastAsia="zh-CN"/>
                              </w:rPr>
                            </w:pPr>
                            <w:r>
                              <w:rPr>
                                <w:rFonts w:hint="eastAsia" w:ascii="宋体" w:hAnsi="宋体" w:cs="宋体"/>
                                <w:w w:val="99"/>
                                <w:sz w:val="20"/>
                                <w:szCs w:val="20"/>
                                <w:lang w:eastAsia="zh-CN"/>
                              </w:rPr>
                              <w:t>《家用电冰箱耗电量限定值及能效等级》（GB12021.2）</w:t>
                            </w:r>
                          </w:p>
                        </w:tc>
                      </w:tr>
                      <w:tr w14:paraId="2B37EE97">
                        <w:tblPrEx>
                          <w:tblCellMar>
                            <w:top w:w="0" w:type="dxa"/>
                            <w:left w:w="0" w:type="dxa"/>
                            <w:bottom w:w="0" w:type="dxa"/>
                            <w:right w:w="0" w:type="dxa"/>
                          </w:tblCellMar>
                        </w:tblPrEx>
                        <w:trPr>
                          <w:trHeight w:val="1299"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65F6BD78">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508817C2">
                            <w:pPr>
                              <w:widowControl/>
                              <w:jc w:val="left"/>
                              <w:rPr>
                                <w:rFonts w:ascii="宋体" w:hAnsi="宋体" w:eastAsia="Times New Roman" w:cs="宋体"/>
                                <w:kern w:val="0"/>
                                <w:sz w:val="20"/>
                                <w:szCs w:val="20"/>
                              </w:rPr>
                            </w:pPr>
                          </w:p>
                        </w:tc>
                        <w:tc>
                          <w:tcPr>
                            <w:tcW w:w="1800" w:type="dxa"/>
                            <w:vMerge w:val="restart"/>
                            <w:tcBorders>
                              <w:top w:val="single" w:color="000000" w:sz="4" w:space="0"/>
                              <w:left w:val="single" w:color="000000" w:sz="4" w:space="0"/>
                              <w:bottom w:val="single" w:color="000000" w:sz="4" w:space="0"/>
                              <w:right w:val="single" w:color="000000" w:sz="4" w:space="0"/>
                            </w:tcBorders>
                          </w:tcPr>
                          <w:p w14:paraId="79AFA4B1">
                            <w:pPr>
                              <w:pStyle w:val="54"/>
                              <w:rPr>
                                <w:rFonts w:ascii="宋体" w:hAnsi="宋体" w:cs="宋体"/>
                                <w:sz w:val="20"/>
                                <w:szCs w:val="20"/>
                                <w:lang w:eastAsia="zh-CN"/>
                              </w:rPr>
                            </w:pPr>
                          </w:p>
                          <w:p w14:paraId="64F9773A">
                            <w:pPr>
                              <w:pStyle w:val="54"/>
                              <w:rPr>
                                <w:rFonts w:ascii="宋体" w:hAnsi="宋体" w:cs="宋体"/>
                                <w:sz w:val="20"/>
                                <w:szCs w:val="20"/>
                                <w:lang w:eastAsia="zh-CN"/>
                              </w:rPr>
                            </w:pPr>
                          </w:p>
                          <w:p w14:paraId="018D0E4D">
                            <w:pPr>
                              <w:pStyle w:val="54"/>
                              <w:rPr>
                                <w:rFonts w:ascii="宋体" w:hAnsi="宋体" w:cs="宋体"/>
                                <w:sz w:val="20"/>
                                <w:szCs w:val="20"/>
                                <w:lang w:eastAsia="zh-CN"/>
                              </w:rPr>
                            </w:pPr>
                          </w:p>
                          <w:p w14:paraId="55172755">
                            <w:pPr>
                              <w:pStyle w:val="54"/>
                              <w:rPr>
                                <w:rFonts w:ascii="宋体" w:hAnsi="宋体" w:cs="宋体"/>
                                <w:sz w:val="20"/>
                                <w:szCs w:val="20"/>
                                <w:lang w:eastAsia="zh-CN"/>
                              </w:rPr>
                            </w:pPr>
                          </w:p>
                          <w:p w14:paraId="179A1FEC">
                            <w:pPr>
                              <w:pStyle w:val="54"/>
                              <w:rPr>
                                <w:rFonts w:ascii="宋体" w:hAnsi="宋体" w:cs="宋体"/>
                                <w:sz w:val="20"/>
                                <w:szCs w:val="20"/>
                                <w:lang w:eastAsia="zh-CN"/>
                              </w:rPr>
                            </w:pPr>
                          </w:p>
                          <w:p w14:paraId="2E2139AD">
                            <w:pPr>
                              <w:pStyle w:val="54"/>
                              <w:rPr>
                                <w:rFonts w:ascii="宋体" w:hAnsi="宋体" w:cs="宋体"/>
                                <w:sz w:val="20"/>
                                <w:szCs w:val="20"/>
                                <w:lang w:eastAsia="zh-CN"/>
                              </w:rPr>
                            </w:pPr>
                          </w:p>
                          <w:p w14:paraId="44A8B980">
                            <w:pPr>
                              <w:pStyle w:val="54"/>
                              <w:spacing w:before="17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A0206180203空调</w:t>
                            </w:r>
                          </w:p>
                          <w:p w14:paraId="618FEAEF">
                            <w:pPr>
                              <w:pStyle w:val="54"/>
                              <w:spacing w:before="50"/>
                              <w:ind w:left="7"/>
                              <w:rPr>
                                <w:rFonts w:ascii="宋体" w:hAnsi="宋体" w:cs="宋体"/>
                                <w:sz w:val="20"/>
                                <w:szCs w:val="20"/>
                              </w:rPr>
                            </w:pPr>
                            <w:r>
                              <w:rPr>
                                <w:rFonts w:hint="eastAsia" w:ascii="宋体" w:hAnsi="宋体" w:cs="宋体"/>
                                <w:w w:val="99"/>
                                <w:sz w:val="20"/>
                                <w:szCs w:val="20"/>
                              </w:rPr>
                              <w:t>机</w:t>
                            </w:r>
                          </w:p>
                        </w:tc>
                        <w:tc>
                          <w:tcPr>
                            <w:tcW w:w="1792" w:type="dxa"/>
                            <w:tcBorders>
                              <w:top w:val="single" w:color="000000" w:sz="4" w:space="0"/>
                              <w:left w:val="single" w:color="000000" w:sz="4" w:space="0"/>
                              <w:bottom w:val="single" w:color="000000" w:sz="4" w:space="0"/>
                              <w:right w:val="single" w:color="000000" w:sz="4" w:space="0"/>
                            </w:tcBorders>
                          </w:tcPr>
                          <w:p w14:paraId="0AAE8189">
                            <w:pPr>
                              <w:pStyle w:val="54"/>
                              <w:rPr>
                                <w:rFonts w:ascii="宋体" w:hAnsi="宋体" w:cs="宋体"/>
                                <w:sz w:val="20"/>
                                <w:szCs w:val="20"/>
                              </w:rPr>
                            </w:pPr>
                          </w:p>
                          <w:p w14:paraId="1F240061">
                            <w:pPr>
                              <w:pStyle w:val="54"/>
                              <w:rPr>
                                <w:rFonts w:ascii="宋体" w:hAnsi="宋体" w:cs="宋体"/>
                                <w:sz w:val="20"/>
                                <w:szCs w:val="20"/>
                              </w:rPr>
                            </w:pPr>
                          </w:p>
                          <w:p w14:paraId="224B37E9">
                            <w:pPr>
                              <w:pStyle w:val="54"/>
                              <w:spacing w:before="12"/>
                              <w:rPr>
                                <w:rFonts w:ascii="宋体" w:hAnsi="宋体" w:cs="宋体"/>
                                <w:sz w:val="19"/>
                                <w:szCs w:val="19"/>
                              </w:rPr>
                            </w:pPr>
                          </w:p>
                          <w:p w14:paraId="101B9589">
                            <w:pPr>
                              <w:pStyle w:val="54"/>
                              <w:ind w:left="7"/>
                              <w:rPr>
                                <w:rFonts w:ascii="宋体" w:hAnsi="宋体" w:cs="宋体"/>
                                <w:sz w:val="20"/>
                                <w:szCs w:val="20"/>
                              </w:rPr>
                            </w:pPr>
                            <w:r>
                              <w:rPr>
                                <w:rFonts w:hint="eastAsia" w:ascii="宋体" w:hAnsi="宋体" w:cs="宋体"/>
                                <w:w w:val="99"/>
                                <w:sz w:val="20"/>
                                <w:szCs w:val="20"/>
                              </w:rPr>
                              <w:t>房间空气调节器</w:t>
                            </w:r>
                          </w:p>
                        </w:tc>
                        <w:tc>
                          <w:tcPr>
                            <w:tcW w:w="3780" w:type="dxa"/>
                            <w:tcBorders>
                              <w:top w:val="single" w:color="000000" w:sz="4" w:space="0"/>
                              <w:left w:val="single" w:color="000000" w:sz="4" w:space="0"/>
                              <w:bottom w:val="single" w:color="000000" w:sz="4" w:space="0"/>
                              <w:right w:val="single" w:color="000000" w:sz="4" w:space="0"/>
                            </w:tcBorders>
                          </w:tcPr>
                          <w:p w14:paraId="4B6B6E1F">
                            <w:pPr>
                              <w:pStyle w:val="54"/>
                              <w:spacing w:before="4"/>
                              <w:ind w:left="7"/>
                              <w:rPr>
                                <w:rFonts w:ascii="宋体" w:hAnsi="宋体" w:cs="宋体"/>
                                <w:w w:val="99"/>
                                <w:sz w:val="20"/>
                                <w:szCs w:val="20"/>
                                <w:lang w:eastAsia="zh-CN"/>
                              </w:rPr>
                            </w:pPr>
                            <w:r>
                              <w:rPr>
                                <w:rFonts w:hint="eastAsia" w:ascii="宋体" w:hAnsi="宋体" w:cs="宋体"/>
                                <w:w w:val="99"/>
                                <w:sz w:val="20"/>
                                <w:szCs w:val="20"/>
                                <w:lang w:eastAsia="zh-CN"/>
                              </w:rPr>
                              <w:t>《转速可控型房间空气调节器能</w:t>
                            </w:r>
                          </w:p>
                          <w:p w14:paraId="74FAABC7">
                            <w:pPr>
                              <w:pStyle w:val="54"/>
                              <w:spacing w:line="256" w:lineRule="exact"/>
                              <w:ind w:left="7"/>
                              <w:rPr>
                                <w:rFonts w:ascii="宋体" w:hAnsi="宋体" w:cs="宋体"/>
                                <w:sz w:val="20"/>
                                <w:szCs w:val="20"/>
                                <w:lang w:eastAsia="zh-CN"/>
                              </w:rPr>
                            </w:pPr>
                            <w:r>
                              <w:rPr>
                                <w:rFonts w:hint="eastAsia" w:ascii="宋体" w:hAnsi="宋体" w:cs="宋体"/>
                                <w:w w:val="99"/>
                                <w:sz w:val="20"/>
                                <w:szCs w:val="20"/>
                                <w:lang w:eastAsia="zh-CN"/>
                              </w:rPr>
                              <w:t>效限定值及能效等级》（GB21455-2013），待2019年修订发布后，按《房间空气调节器能效限定值及能效等级》（GB21455-2019）</w:t>
                            </w:r>
                          </w:p>
                          <w:p w14:paraId="0F213702">
                            <w:pPr>
                              <w:pStyle w:val="54"/>
                              <w:spacing w:line="256" w:lineRule="exact"/>
                              <w:ind w:left="7"/>
                              <w:rPr>
                                <w:rFonts w:ascii="宋体" w:hAnsi="宋体" w:cs="宋体"/>
                                <w:sz w:val="20"/>
                                <w:szCs w:val="20"/>
                              </w:rPr>
                            </w:pPr>
                            <w:r>
                              <w:rPr>
                                <w:rFonts w:hint="eastAsia" w:ascii="宋体" w:hAnsi="宋体" w:cs="宋体"/>
                                <w:w w:val="99"/>
                                <w:sz w:val="20"/>
                                <w:szCs w:val="20"/>
                              </w:rPr>
                              <w:t>实施。</w:t>
                            </w:r>
                          </w:p>
                        </w:tc>
                      </w:tr>
                      <w:tr w14:paraId="389D295D">
                        <w:tblPrEx>
                          <w:tblCellMar>
                            <w:top w:w="0" w:type="dxa"/>
                            <w:left w:w="0" w:type="dxa"/>
                            <w:bottom w:w="0" w:type="dxa"/>
                            <w:right w:w="0" w:type="dxa"/>
                          </w:tblCellMar>
                        </w:tblPrEx>
                        <w:trPr>
                          <w:trHeight w:val="958"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043600B9">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3C4B77F5">
                            <w:pPr>
                              <w:widowControl/>
                              <w:jc w:val="left"/>
                              <w:rPr>
                                <w:rFonts w:ascii="宋体" w:hAnsi="宋体" w:eastAsia="Times New Roman" w:cs="宋体"/>
                                <w:kern w:val="0"/>
                                <w:sz w:val="20"/>
                                <w:szCs w:val="20"/>
                                <w:lang w:eastAsia="en-US"/>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5EC71F34">
                            <w:pPr>
                              <w:widowControl/>
                              <w:jc w:val="left"/>
                              <w:rPr>
                                <w:rFonts w:ascii="宋体" w:hAnsi="宋体" w:eastAsia="Times New Roman" w:cs="宋体"/>
                                <w:kern w:val="0"/>
                                <w:sz w:val="20"/>
                                <w:szCs w:val="20"/>
                                <w:lang w:eastAsia="en-US"/>
                              </w:rPr>
                            </w:pPr>
                          </w:p>
                        </w:tc>
                        <w:tc>
                          <w:tcPr>
                            <w:tcW w:w="1792" w:type="dxa"/>
                            <w:tcBorders>
                              <w:top w:val="single" w:color="000000" w:sz="4" w:space="0"/>
                              <w:left w:val="single" w:color="000000" w:sz="4" w:space="0"/>
                              <w:bottom w:val="single" w:color="000000" w:sz="4" w:space="0"/>
                              <w:right w:val="single" w:color="000000" w:sz="4" w:space="0"/>
                            </w:tcBorders>
                          </w:tcPr>
                          <w:p w14:paraId="6EDF29C5">
                            <w:pPr>
                              <w:pStyle w:val="54"/>
                              <w:spacing w:before="4" w:line="280" w:lineRule="auto"/>
                              <w:ind w:left="7" w:right="7"/>
                              <w:jc w:val="both"/>
                              <w:rPr>
                                <w:rFonts w:ascii="宋体" w:hAnsi="宋体" w:cs="宋体"/>
                                <w:sz w:val="20"/>
                                <w:szCs w:val="20"/>
                                <w:lang w:eastAsia="zh-CN"/>
                              </w:rPr>
                            </w:pPr>
                            <w:r>
                              <w:rPr>
                                <w:rFonts w:hint="eastAsia" w:ascii="宋体" w:hAnsi="宋体" w:cs="宋体"/>
                                <w:w w:val="99"/>
                                <w:sz w:val="20"/>
                                <w:szCs w:val="20"/>
                                <w:lang w:eastAsia="zh-CN"/>
                              </w:rPr>
                              <w:t>多联式空调（热泵）机组（制冷量≤ 14000W）</w:t>
                            </w:r>
                          </w:p>
                        </w:tc>
                        <w:tc>
                          <w:tcPr>
                            <w:tcW w:w="3780" w:type="dxa"/>
                            <w:tcBorders>
                              <w:top w:val="single" w:color="000000" w:sz="4" w:space="0"/>
                              <w:left w:val="single" w:color="000000" w:sz="4" w:space="0"/>
                              <w:bottom w:val="single" w:color="000000" w:sz="4" w:space="0"/>
                              <w:right w:val="single" w:color="000000" w:sz="4" w:space="0"/>
                            </w:tcBorders>
                          </w:tcPr>
                          <w:p w14:paraId="653F9824">
                            <w:pPr>
                              <w:pStyle w:val="54"/>
                              <w:spacing w:before="160" w:line="280" w:lineRule="auto"/>
                              <w:ind w:left="7" w:right="7"/>
                              <w:rPr>
                                <w:rFonts w:ascii="宋体" w:hAnsi="宋体" w:cs="宋体"/>
                                <w:sz w:val="20"/>
                                <w:szCs w:val="20"/>
                                <w:lang w:eastAsia="zh-CN"/>
                              </w:rPr>
                            </w:pPr>
                            <w:r>
                              <w:rPr>
                                <w:rFonts w:hint="eastAsia" w:ascii="宋体" w:hAnsi="宋体" w:cs="宋体"/>
                                <w:w w:val="99"/>
                                <w:sz w:val="20"/>
                                <w:szCs w:val="20"/>
                                <w:lang w:eastAsia="zh-CN"/>
                              </w:rPr>
                              <w:t>《多联式空调（热泵）机组能效限定值及能源效率等级》（GB21454</w:t>
                            </w:r>
                          </w:p>
                        </w:tc>
                      </w:tr>
                      <w:tr w14:paraId="77B57450">
                        <w:tblPrEx>
                          <w:tblCellMar>
                            <w:top w:w="0" w:type="dxa"/>
                            <w:left w:w="0" w:type="dxa"/>
                            <w:bottom w:w="0" w:type="dxa"/>
                            <w:right w:w="0" w:type="dxa"/>
                          </w:tblCellMar>
                        </w:tblPrEx>
                        <w:trPr>
                          <w:trHeight w:val="32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4CD9217">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0A987AD5">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79FD7A5F">
                            <w:pPr>
                              <w:widowControl/>
                              <w:jc w:val="left"/>
                              <w:rPr>
                                <w:rFonts w:ascii="宋体" w:hAnsi="宋体" w:eastAsia="Times New Roman" w:cs="宋体"/>
                                <w:kern w:val="0"/>
                                <w:sz w:val="20"/>
                                <w:szCs w:val="20"/>
                              </w:rPr>
                            </w:pPr>
                          </w:p>
                        </w:tc>
                        <w:tc>
                          <w:tcPr>
                            <w:tcW w:w="1792" w:type="dxa"/>
                            <w:vMerge w:val="restart"/>
                            <w:tcBorders>
                              <w:top w:val="single" w:color="000000" w:sz="4" w:space="0"/>
                              <w:left w:val="single" w:color="000000" w:sz="4" w:space="0"/>
                              <w:bottom w:val="nil"/>
                              <w:right w:val="single" w:color="000000" w:sz="4" w:space="0"/>
                            </w:tcBorders>
                          </w:tcPr>
                          <w:p w14:paraId="645C3AF9">
                            <w:pPr>
                              <w:pStyle w:val="54"/>
                              <w:spacing w:before="2"/>
                              <w:rPr>
                                <w:rFonts w:ascii="宋体" w:hAnsi="宋体" w:cs="宋体"/>
                                <w:sz w:val="24"/>
                                <w:szCs w:val="24"/>
                                <w:lang w:eastAsia="zh-CN"/>
                              </w:rPr>
                            </w:pPr>
                          </w:p>
                          <w:p w14:paraId="5EFDB7DC">
                            <w:pPr>
                              <w:pStyle w:val="54"/>
                              <w:ind w:left="7"/>
                              <w:rPr>
                                <w:rFonts w:ascii="宋体" w:hAnsi="宋体" w:cs="宋体"/>
                                <w:sz w:val="20"/>
                                <w:szCs w:val="20"/>
                              </w:rPr>
                            </w:pPr>
                            <w:r>
                              <w:rPr>
                                <w:rFonts w:hint="eastAsia" w:ascii="宋体" w:hAnsi="宋体" w:cs="宋体"/>
                                <w:w w:val="99"/>
                                <w:sz w:val="20"/>
                                <w:szCs w:val="20"/>
                              </w:rPr>
                              <w:t>单元式空气调节机</w:t>
                            </w:r>
                          </w:p>
                        </w:tc>
                        <w:tc>
                          <w:tcPr>
                            <w:tcW w:w="3780" w:type="dxa"/>
                            <w:vMerge w:val="restart"/>
                            <w:tcBorders>
                              <w:top w:val="single" w:color="000000" w:sz="4" w:space="0"/>
                              <w:left w:val="single" w:color="000000" w:sz="4" w:space="0"/>
                              <w:right w:val="single" w:color="000000" w:sz="4" w:space="0"/>
                            </w:tcBorders>
                          </w:tcPr>
                          <w:p w14:paraId="0FEA2FEA">
                            <w:pPr>
                              <w:pStyle w:val="54"/>
                              <w:spacing w:before="4"/>
                              <w:ind w:left="7"/>
                              <w:rPr>
                                <w:rFonts w:ascii="宋体" w:hAnsi="宋体" w:cs="宋体"/>
                                <w:sz w:val="20"/>
                                <w:szCs w:val="20"/>
                                <w:lang w:eastAsia="zh-CN"/>
                              </w:rPr>
                            </w:pPr>
                            <w:r>
                              <w:rPr>
                                <w:rFonts w:hint="eastAsia" w:ascii="宋体" w:hAnsi="宋体" w:cs="宋体"/>
                                <w:w w:val="99"/>
                                <w:sz w:val="20"/>
                                <w:szCs w:val="20"/>
                                <w:lang w:eastAsia="zh-CN"/>
                              </w:rPr>
                              <w:t>《单元式空气调节机能效限定值及能源效率等级》（GB19576）《风管送风式空调机组能效限定值及能效等级》（GB37479）</w:t>
                            </w:r>
                          </w:p>
                        </w:tc>
                      </w:tr>
                      <w:tr w14:paraId="1EE64675">
                        <w:tblPrEx>
                          <w:tblCellMar>
                            <w:top w:w="0" w:type="dxa"/>
                            <w:left w:w="0" w:type="dxa"/>
                            <w:bottom w:w="0" w:type="dxa"/>
                            <w:right w:w="0" w:type="dxa"/>
                          </w:tblCellMar>
                        </w:tblPrEx>
                        <w:trPr>
                          <w:trHeight w:val="657"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74BC3B31">
                            <w:pPr>
                              <w:widowControl/>
                              <w:jc w:val="left"/>
                              <w:rPr>
                                <w:rFonts w:ascii="宋体" w:hAnsi="宋体" w:eastAsia="Times New Roman" w:cs="宋体"/>
                                <w:kern w:val="0"/>
                                <w:sz w:val="20"/>
                                <w:szCs w:val="20"/>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7385D862">
                            <w:pPr>
                              <w:widowControl/>
                              <w:jc w:val="left"/>
                              <w:rPr>
                                <w:rFonts w:ascii="宋体" w:hAnsi="宋体" w:eastAsia="Times New Roman" w:cs="宋体"/>
                                <w:kern w:val="0"/>
                                <w:sz w:val="20"/>
                                <w:szCs w:val="20"/>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14:paraId="4A2453B6">
                            <w:pPr>
                              <w:widowControl/>
                              <w:jc w:val="left"/>
                              <w:rPr>
                                <w:rFonts w:ascii="宋体" w:hAnsi="宋体" w:eastAsia="Times New Roman" w:cs="宋体"/>
                                <w:kern w:val="0"/>
                                <w:sz w:val="20"/>
                                <w:szCs w:val="20"/>
                              </w:rPr>
                            </w:pPr>
                          </w:p>
                        </w:tc>
                        <w:tc>
                          <w:tcPr>
                            <w:tcW w:w="1792" w:type="dxa"/>
                            <w:tcBorders>
                              <w:top w:val="nil"/>
                              <w:left w:val="single" w:color="000000" w:sz="4" w:space="0"/>
                              <w:bottom w:val="single" w:color="000000" w:sz="4" w:space="0"/>
                              <w:right w:val="single" w:color="000000" w:sz="4" w:space="0"/>
                            </w:tcBorders>
                          </w:tcPr>
                          <w:p w14:paraId="2D7B618B">
                            <w:pPr>
                              <w:pStyle w:val="54"/>
                              <w:spacing w:line="256" w:lineRule="exact"/>
                              <w:ind w:left="7"/>
                              <w:rPr>
                                <w:rFonts w:ascii="宋体" w:hAnsi="宋体" w:cs="宋体"/>
                                <w:sz w:val="20"/>
                                <w:szCs w:val="20"/>
                              </w:rPr>
                            </w:pPr>
                            <w:r>
                              <w:rPr>
                                <w:rFonts w:hint="eastAsia" w:ascii="宋体" w:hAnsi="宋体" w:cs="宋体"/>
                                <w:w w:val="99"/>
                                <w:sz w:val="20"/>
                                <w:szCs w:val="20"/>
                              </w:rPr>
                              <w:t>（制冷量≤14000W）</w:t>
                            </w:r>
                          </w:p>
                        </w:tc>
                        <w:tc>
                          <w:tcPr>
                            <w:tcW w:w="3780" w:type="dxa"/>
                            <w:vMerge w:val="continue"/>
                            <w:tcBorders>
                              <w:left w:val="single" w:color="000000" w:sz="4" w:space="0"/>
                              <w:right w:val="single" w:color="000000" w:sz="4" w:space="0"/>
                            </w:tcBorders>
                          </w:tcPr>
                          <w:p w14:paraId="521CC9D6">
                            <w:pPr>
                              <w:pStyle w:val="54"/>
                              <w:spacing w:line="256" w:lineRule="exact"/>
                              <w:ind w:left="7"/>
                              <w:rPr>
                                <w:rFonts w:ascii="宋体" w:hAnsi="宋体" w:cs="宋体"/>
                                <w:sz w:val="20"/>
                                <w:szCs w:val="20"/>
                                <w:lang w:eastAsia="zh-CN"/>
                              </w:rPr>
                            </w:pPr>
                          </w:p>
                        </w:tc>
                      </w:tr>
                      <w:tr w14:paraId="731D4E18">
                        <w:tblPrEx>
                          <w:tblCellMar>
                            <w:top w:w="0" w:type="dxa"/>
                            <w:left w:w="0" w:type="dxa"/>
                            <w:bottom w:w="0" w:type="dxa"/>
                            <w:right w:w="0" w:type="dxa"/>
                          </w:tblCellMar>
                        </w:tblPrEx>
                        <w:trPr>
                          <w:trHeight w:val="653" w:hRule="exact"/>
                        </w:trPr>
                        <w:tc>
                          <w:tcPr>
                            <w:tcW w:w="570" w:type="dxa"/>
                            <w:vMerge w:val="continue"/>
                            <w:tcBorders>
                              <w:top w:val="single" w:color="000000" w:sz="4" w:space="0"/>
                              <w:left w:val="single" w:color="000000" w:sz="4" w:space="0"/>
                              <w:bottom w:val="single" w:color="000000" w:sz="4" w:space="0"/>
                              <w:right w:val="single" w:color="000000" w:sz="4" w:space="0"/>
                            </w:tcBorders>
                            <w:vAlign w:val="center"/>
                          </w:tcPr>
                          <w:p w14:paraId="25DE5EE8">
                            <w:pPr>
                              <w:widowControl/>
                              <w:jc w:val="left"/>
                              <w:rPr>
                                <w:rFonts w:ascii="宋体" w:hAnsi="宋体" w:eastAsia="Times New Roman" w:cs="宋体"/>
                                <w:kern w:val="0"/>
                                <w:sz w:val="20"/>
                                <w:szCs w:val="20"/>
                                <w:lang w:eastAsia="en-US"/>
                              </w:rPr>
                            </w:pPr>
                          </w:p>
                        </w:tc>
                        <w:tc>
                          <w:tcPr>
                            <w:tcW w:w="1163" w:type="dxa"/>
                            <w:vMerge w:val="continue"/>
                            <w:tcBorders>
                              <w:top w:val="single" w:color="000000" w:sz="4" w:space="0"/>
                              <w:left w:val="single" w:color="000000" w:sz="4" w:space="0"/>
                              <w:bottom w:val="single" w:color="000000" w:sz="4" w:space="0"/>
                              <w:right w:val="single" w:color="000000" w:sz="4" w:space="0"/>
                            </w:tcBorders>
                            <w:vAlign w:val="center"/>
                          </w:tcPr>
                          <w:p w14:paraId="27D0FF2B">
                            <w:pPr>
                              <w:widowControl/>
                              <w:jc w:val="left"/>
                              <w:rPr>
                                <w:rFonts w:ascii="宋体" w:hAnsi="宋体" w:eastAsia="Times New Roman" w:cs="宋体"/>
                                <w:kern w:val="0"/>
                                <w:sz w:val="20"/>
                                <w:szCs w:val="20"/>
                                <w:lang w:eastAsia="en-US"/>
                              </w:rPr>
                            </w:pPr>
                          </w:p>
                        </w:tc>
                        <w:tc>
                          <w:tcPr>
                            <w:tcW w:w="1800" w:type="dxa"/>
                            <w:tcBorders>
                              <w:top w:val="single" w:color="000000" w:sz="4" w:space="0"/>
                              <w:left w:val="single" w:color="000000" w:sz="4" w:space="0"/>
                              <w:bottom w:val="single" w:color="000000" w:sz="4" w:space="0"/>
                              <w:right w:val="single" w:color="000000" w:sz="4" w:space="0"/>
                            </w:tcBorders>
                          </w:tcPr>
                          <w:p w14:paraId="43F33E07">
                            <w:pPr>
                              <w:pStyle w:val="54"/>
                              <w:spacing w:before="162"/>
                              <w:ind w:left="7"/>
                              <w:rPr>
                                <w:rFonts w:ascii="宋体" w:hAnsi="宋体" w:cs="宋体"/>
                                <w:sz w:val="20"/>
                                <w:szCs w:val="20"/>
                              </w:rPr>
                            </w:pPr>
                            <w:r>
                              <w:rPr>
                                <w:rFonts w:hint="eastAsia" w:ascii="宋体" w:hAnsi="宋体" w:cs="宋体"/>
                                <w:w w:val="99"/>
                                <w:sz w:val="20"/>
                                <w:szCs w:val="20"/>
                              </w:rPr>
                              <w:t>A0206180301洗衣机</w:t>
                            </w:r>
                          </w:p>
                        </w:tc>
                        <w:tc>
                          <w:tcPr>
                            <w:tcW w:w="1792" w:type="dxa"/>
                            <w:tcBorders>
                              <w:top w:val="single" w:color="000000" w:sz="4" w:space="0"/>
                              <w:left w:val="single" w:color="000000" w:sz="4" w:space="0"/>
                              <w:bottom w:val="single" w:color="000000" w:sz="4" w:space="0"/>
                              <w:right w:val="single" w:color="000000" w:sz="4" w:space="0"/>
                            </w:tcBorders>
                          </w:tcPr>
                          <w:p w14:paraId="131273F7">
                            <w:pPr>
                              <w:rPr>
                                <w:rFonts w:ascii="Calibri" w:hAnsi="Calibri"/>
                                <w:sz w:val="22"/>
                                <w:szCs w:val="22"/>
                              </w:rPr>
                            </w:pPr>
                          </w:p>
                        </w:tc>
                        <w:tc>
                          <w:tcPr>
                            <w:tcW w:w="3780" w:type="dxa"/>
                            <w:tcBorders>
                              <w:top w:val="single" w:color="000000" w:sz="4" w:space="0"/>
                              <w:left w:val="single" w:color="000000" w:sz="4" w:space="0"/>
                              <w:bottom w:val="single" w:color="000000" w:sz="4" w:space="0"/>
                              <w:right w:val="single" w:color="000000" w:sz="4" w:space="0"/>
                            </w:tcBorders>
                          </w:tcPr>
                          <w:p w14:paraId="6CACE4E5">
                            <w:pPr>
                              <w:pStyle w:val="54"/>
                              <w:spacing w:before="6" w:line="280" w:lineRule="auto"/>
                              <w:ind w:left="7" w:right="4"/>
                              <w:rPr>
                                <w:rFonts w:ascii="宋体" w:hAnsi="宋体" w:cs="宋体"/>
                                <w:sz w:val="20"/>
                                <w:szCs w:val="20"/>
                                <w:lang w:eastAsia="zh-CN"/>
                              </w:rPr>
                            </w:pPr>
                            <w:r>
                              <w:rPr>
                                <w:rFonts w:hint="eastAsia" w:ascii="宋体" w:hAnsi="宋体" w:cs="宋体"/>
                                <w:w w:val="99"/>
                                <w:sz w:val="20"/>
                                <w:szCs w:val="20"/>
                                <w:lang w:eastAsia="zh-CN"/>
                              </w:rPr>
                              <w:t>《电动洗衣机能效水效限定值及等级》（GB12021.4）</w:t>
                            </w:r>
                          </w:p>
                        </w:tc>
                      </w:tr>
                    </w:tbl>
                    <w:p w14:paraId="0C1D2122">
                      <w:pPr>
                        <w:rPr>
                          <w:rFonts w:ascii="Calibri" w:hAnsi="Calibri"/>
                          <w:sz w:val="22"/>
                          <w:szCs w:val="22"/>
                        </w:rPr>
                      </w:pPr>
                    </w:p>
                  </w:txbxContent>
                </v:textbox>
              </v:shape>
            </w:pict>
          </mc:Fallback>
        </mc:AlternateContent>
      </w:r>
    </w:p>
    <w:p w14:paraId="105932DF">
      <w:pPr>
        <w:rPr>
          <w:rFonts w:hint="eastAsia" w:ascii="宋体" w:hAnsi="宋体" w:eastAsia="宋体" w:cs="宋体"/>
          <w:color w:val="000000" w:themeColor="text1"/>
          <w:sz w:val="20"/>
          <w:szCs w:val="20"/>
          <w14:textFill>
            <w14:solidFill>
              <w14:schemeClr w14:val="tx1"/>
            </w14:solidFill>
          </w14:textFill>
        </w:rPr>
      </w:pPr>
    </w:p>
    <w:p w14:paraId="54328DB2">
      <w:pPr>
        <w:rPr>
          <w:rFonts w:hint="eastAsia" w:ascii="宋体" w:hAnsi="宋体" w:eastAsia="宋体" w:cs="宋体"/>
          <w:color w:val="000000" w:themeColor="text1"/>
          <w:sz w:val="20"/>
          <w:szCs w:val="20"/>
          <w14:textFill>
            <w14:solidFill>
              <w14:schemeClr w14:val="tx1"/>
            </w14:solidFill>
          </w14:textFill>
        </w:rPr>
      </w:pPr>
    </w:p>
    <w:p w14:paraId="560D616D">
      <w:pPr>
        <w:rPr>
          <w:rFonts w:hint="eastAsia" w:ascii="宋体" w:hAnsi="宋体" w:eastAsia="宋体" w:cs="宋体"/>
          <w:color w:val="000000" w:themeColor="text1"/>
          <w:sz w:val="20"/>
          <w:szCs w:val="20"/>
          <w14:textFill>
            <w14:solidFill>
              <w14:schemeClr w14:val="tx1"/>
            </w14:solidFill>
          </w14:textFill>
        </w:rPr>
      </w:pPr>
    </w:p>
    <w:p w14:paraId="52B31A8D">
      <w:pPr>
        <w:spacing w:before="2"/>
        <w:rPr>
          <w:rFonts w:hint="eastAsia" w:ascii="宋体" w:hAnsi="宋体" w:eastAsia="宋体" w:cs="宋体"/>
          <w:color w:val="000000" w:themeColor="text1"/>
          <w:sz w:val="23"/>
          <w:szCs w:val="23"/>
          <w14:textFill>
            <w14:solidFill>
              <w14:schemeClr w14:val="tx1"/>
            </w14:solidFill>
          </w14:textFill>
        </w:rPr>
      </w:pPr>
    </w:p>
    <w:p w14:paraId="277916BD">
      <w:pPr>
        <w:rPr>
          <w:rFonts w:hint="eastAsia" w:ascii="宋体" w:hAnsi="宋体" w:eastAsia="宋体" w:cs="宋体"/>
          <w:color w:val="000000" w:themeColor="text1"/>
          <w:sz w:val="20"/>
          <w:szCs w:val="20"/>
          <w14:textFill>
            <w14:solidFill>
              <w14:schemeClr w14:val="tx1"/>
            </w14:solidFill>
          </w14:textFill>
        </w:rPr>
      </w:pPr>
    </w:p>
    <w:p w14:paraId="7A655530">
      <w:pPr>
        <w:rPr>
          <w:rFonts w:hint="eastAsia" w:ascii="宋体" w:hAnsi="宋体" w:eastAsia="宋体" w:cs="宋体"/>
          <w:color w:val="000000" w:themeColor="text1"/>
          <w:sz w:val="20"/>
          <w:szCs w:val="20"/>
          <w14:textFill>
            <w14:solidFill>
              <w14:schemeClr w14:val="tx1"/>
            </w14:solidFill>
          </w14:textFill>
        </w:rPr>
      </w:pPr>
    </w:p>
    <w:p w14:paraId="0C7791DB">
      <w:pPr>
        <w:rPr>
          <w:rFonts w:hint="eastAsia" w:ascii="宋体" w:hAnsi="宋体" w:eastAsia="宋体" w:cs="宋体"/>
          <w:color w:val="000000" w:themeColor="text1"/>
          <w:sz w:val="20"/>
          <w:szCs w:val="20"/>
          <w14:textFill>
            <w14:solidFill>
              <w14:schemeClr w14:val="tx1"/>
            </w14:solidFill>
          </w14:textFill>
        </w:rPr>
      </w:pPr>
    </w:p>
    <w:p w14:paraId="554523B7">
      <w:pPr>
        <w:rPr>
          <w:rFonts w:hint="eastAsia" w:ascii="宋体" w:hAnsi="宋体" w:eastAsia="宋体" w:cs="宋体"/>
          <w:color w:val="000000" w:themeColor="text1"/>
          <w:sz w:val="20"/>
          <w:szCs w:val="20"/>
          <w14:textFill>
            <w14:solidFill>
              <w14:schemeClr w14:val="tx1"/>
            </w14:solidFill>
          </w14:textFill>
        </w:rPr>
      </w:pPr>
    </w:p>
    <w:p w14:paraId="60B02CFA">
      <w:pPr>
        <w:rPr>
          <w:rFonts w:hint="eastAsia" w:ascii="宋体" w:hAnsi="宋体" w:eastAsia="宋体" w:cs="宋体"/>
          <w:color w:val="000000" w:themeColor="text1"/>
          <w:sz w:val="20"/>
          <w:szCs w:val="20"/>
          <w14:textFill>
            <w14:solidFill>
              <w14:schemeClr w14:val="tx1"/>
            </w14:solidFill>
          </w14:textFill>
        </w:rPr>
      </w:pPr>
    </w:p>
    <w:p w14:paraId="7FC69D92">
      <w:pPr>
        <w:rPr>
          <w:rFonts w:hint="eastAsia" w:ascii="宋体" w:hAnsi="宋体" w:eastAsia="宋体" w:cs="宋体"/>
          <w:color w:val="000000" w:themeColor="text1"/>
          <w:sz w:val="20"/>
          <w:szCs w:val="20"/>
          <w14:textFill>
            <w14:solidFill>
              <w14:schemeClr w14:val="tx1"/>
            </w14:solidFill>
          </w14:textFill>
        </w:rPr>
      </w:pPr>
    </w:p>
    <w:p w14:paraId="66EA5162">
      <w:pPr>
        <w:rPr>
          <w:rFonts w:hint="eastAsia" w:ascii="宋体" w:hAnsi="宋体" w:eastAsia="宋体" w:cs="宋体"/>
          <w:color w:val="000000" w:themeColor="text1"/>
          <w:sz w:val="20"/>
          <w:szCs w:val="20"/>
          <w14:textFill>
            <w14:solidFill>
              <w14:schemeClr w14:val="tx1"/>
            </w14:solidFill>
          </w14:textFill>
        </w:rPr>
      </w:pPr>
    </w:p>
    <w:p w14:paraId="6DDCA969">
      <w:pPr>
        <w:rPr>
          <w:rFonts w:hint="eastAsia" w:ascii="宋体" w:hAnsi="宋体" w:eastAsia="宋体" w:cs="宋体"/>
          <w:color w:val="000000" w:themeColor="text1"/>
          <w:sz w:val="20"/>
          <w:szCs w:val="20"/>
          <w14:textFill>
            <w14:solidFill>
              <w14:schemeClr w14:val="tx1"/>
            </w14:solidFill>
          </w14:textFill>
        </w:rPr>
      </w:pPr>
    </w:p>
    <w:p w14:paraId="2C59D91C">
      <w:pPr>
        <w:rPr>
          <w:rFonts w:hint="eastAsia" w:ascii="宋体" w:hAnsi="宋体" w:eastAsia="宋体" w:cs="宋体"/>
          <w:color w:val="000000" w:themeColor="text1"/>
          <w:sz w:val="20"/>
          <w:szCs w:val="20"/>
          <w14:textFill>
            <w14:solidFill>
              <w14:schemeClr w14:val="tx1"/>
            </w14:solidFill>
          </w14:textFill>
        </w:rPr>
      </w:pPr>
    </w:p>
    <w:p w14:paraId="13C9A7FE">
      <w:pPr>
        <w:rPr>
          <w:rFonts w:hint="eastAsia" w:ascii="宋体" w:hAnsi="宋体" w:eastAsia="宋体" w:cs="宋体"/>
          <w:color w:val="000000" w:themeColor="text1"/>
          <w:sz w:val="20"/>
          <w:szCs w:val="20"/>
          <w14:textFill>
            <w14:solidFill>
              <w14:schemeClr w14:val="tx1"/>
            </w14:solidFill>
          </w14:textFill>
        </w:rPr>
      </w:pPr>
    </w:p>
    <w:p w14:paraId="0F239BCD">
      <w:pPr>
        <w:rPr>
          <w:rFonts w:hint="eastAsia" w:ascii="宋体" w:hAnsi="宋体" w:eastAsia="宋体" w:cs="宋体"/>
          <w:color w:val="000000" w:themeColor="text1"/>
          <w:sz w:val="20"/>
          <w:szCs w:val="20"/>
          <w14:textFill>
            <w14:solidFill>
              <w14:schemeClr w14:val="tx1"/>
            </w14:solidFill>
          </w14:textFill>
        </w:rPr>
      </w:pPr>
    </w:p>
    <w:p w14:paraId="67A5161D">
      <w:pPr>
        <w:rPr>
          <w:rFonts w:hint="eastAsia" w:ascii="宋体" w:hAnsi="宋体" w:eastAsia="宋体" w:cs="宋体"/>
          <w:color w:val="000000" w:themeColor="text1"/>
          <w:sz w:val="20"/>
          <w:szCs w:val="20"/>
          <w14:textFill>
            <w14:solidFill>
              <w14:schemeClr w14:val="tx1"/>
            </w14:solidFill>
          </w14:textFill>
        </w:rPr>
      </w:pPr>
    </w:p>
    <w:p w14:paraId="18344BFD">
      <w:pPr>
        <w:rPr>
          <w:rFonts w:hint="eastAsia" w:ascii="宋体" w:hAnsi="宋体" w:eastAsia="宋体" w:cs="宋体"/>
          <w:color w:val="000000" w:themeColor="text1"/>
          <w:sz w:val="20"/>
          <w:szCs w:val="20"/>
          <w14:textFill>
            <w14:solidFill>
              <w14:schemeClr w14:val="tx1"/>
            </w14:solidFill>
          </w14:textFill>
        </w:rPr>
      </w:pPr>
    </w:p>
    <w:p w14:paraId="52975ED5">
      <w:pPr>
        <w:rPr>
          <w:rFonts w:hint="eastAsia" w:ascii="宋体" w:hAnsi="宋体" w:eastAsia="宋体" w:cs="宋体"/>
          <w:color w:val="000000" w:themeColor="text1"/>
          <w:sz w:val="20"/>
          <w:szCs w:val="20"/>
          <w14:textFill>
            <w14:solidFill>
              <w14:schemeClr w14:val="tx1"/>
            </w14:solidFill>
          </w14:textFill>
        </w:rPr>
      </w:pPr>
    </w:p>
    <w:p w14:paraId="51EF6FCA">
      <w:pPr>
        <w:rPr>
          <w:rFonts w:hint="eastAsia" w:ascii="宋体" w:hAnsi="宋体" w:eastAsia="宋体" w:cs="宋体"/>
          <w:color w:val="000000" w:themeColor="text1"/>
          <w:sz w:val="20"/>
          <w:szCs w:val="20"/>
          <w14:textFill>
            <w14:solidFill>
              <w14:schemeClr w14:val="tx1"/>
            </w14:solidFill>
          </w14:textFill>
        </w:rPr>
      </w:pPr>
    </w:p>
    <w:p w14:paraId="726454D2">
      <w:pPr>
        <w:rPr>
          <w:rFonts w:hint="eastAsia" w:ascii="宋体" w:hAnsi="宋体" w:eastAsia="宋体" w:cs="宋体"/>
          <w:color w:val="000000" w:themeColor="text1"/>
          <w:sz w:val="20"/>
          <w:szCs w:val="20"/>
          <w14:textFill>
            <w14:solidFill>
              <w14:schemeClr w14:val="tx1"/>
            </w14:solidFill>
          </w14:textFill>
        </w:rPr>
      </w:pPr>
    </w:p>
    <w:p w14:paraId="0626CDAB">
      <w:pPr>
        <w:spacing w:before="6"/>
        <w:rPr>
          <w:rFonts w:hint="eastAsia" w:ascii="宋体" w:hAnsi="宋体" w:eastAsia="宋体" w:cs="宋体"/>
          <w:color w:val="000000" w:themeColor="text1"/>
          <w:sz w:val="29"/>
          <w:szCs w:val="29"/>
          <w14:textFill>
            <w14:solidFill>
              <w14:schemeClr w14:val="tx1"/>
            </w14:solidFill>
          </w14:textFill>
        </w:rPr>
      </w:pPr>
    </w:p>
    <w:p w14:paraId="6BF3C2C0">
      <w:pPr>
        <w:rPr>
          <w:rFonts w:hint="eastAsia" w:ascii="宋体" w:hAnsi="宋体" w:eastAsia="宋体" w:cs="宋体"/>
          <w:color w:val="000000" w:themeColor="text1"/>
          <w:sz w:val="20"/>
          <w:szCs w:val="20"/>
          <w14:textFill>
            <w14:solidFill>
              <w14:schemeClr w14:val="tx1"/>
            </w14:solidFill>
          </w14:textFill>
        </w:rPr>
      </w:pPr>
    </w:p>
    <w:p w14:paraId="29899288">
      <w:pPr>
        <w:rPr>
          <w:rFonts w:hint="eastAsia" w:ascii="宋体" w:hAnsi="宋体" w:eastAsia="宋体" w:cs="宋体"/>
          <w:color w:val="000000" w:themeColor="text1"/>
          <w:sz w:val="20"/>
          <w:szCs w:val="20"/>
          <w14:textFill>
            <w14:solidFill>
              <w14:schemeClr w14:val="tx1"/>
            </w14:solidFill>
          </w14:textFill>
        </w:rPr>
      </w:pPr>
    </w:p>
    <w:p w14:paraId="66B23567">
      <w:pPr>
        <w:spacing w:before="3"/>
        <w:rPr>
          <w:rFonts w:hint="eastAsia" w:ascii="宋体" w:hAnsi="宋体" w:eastAsia="宋体" w:cs="宋体"/>
          <w:color w:val="000000" w:themeColor="text1"/>
          <w:sz w:val="22"/>
          <w:szCs w:val="22"/>
          <w14:textFill>
            <w14:solidFill>
              <w14:schemeClr w14:val="tx1"/>
            </w14:solidFill>
          </w14:textFill>
        </w:rPr>
      </w:pPr>
    </w:p>
    <w:p w14:paraId="69A4289D">
      <w:pPr>
        <w:widowControl/>
        <w:jc w:val="left"/>
        <w:rPr>
          <w:rFonts w:hint="eastAsia" w:ascii="宋体" w:hAnsi="宋体" w:eastAsia="宋体" w:cs="宋体"/>
          <w:color w:val="000000" w:themeColor="text1"/>
          <w:sz w:val="20"/>
          <w:szCs w:val="20"/>
          <w14:textFill>
            <w14:solidFill>
              <w14:schemeClr w14:val="tx1"/>
            </w14:solidFill>
          </w14:textFill>
        </w:rPr>
        <w:sectPr>
          <w:pgSz w:w="11910" w:h="16840"/>
          <w:pgMar w:top="1340" w:right="1500" w:bottom="280" w:left="1680" w:header="720" w:footer="720" w:gutter="0"/>
          <w:cols w:space="720" w:num="1"/>
        </w:sectPr>
      </w:pPr>
    </w:p>
    <w:p w14:paraId="19297B69">
      <w:pPr>
        <w:rPr>
          <w:rFonts w:hint="eastAsia" w:ascii="宋体" w:hAnsi="宋体" w:eastAsia="宋体" w:cs="宋体"/>
          <w:color w:val="000000" w:themeColor="text1"/>
          <w:sz w:val="20"/>
          <w:szCs w:val="20"/>
          <w14:textFill>
            <w14:solidFill>
              <w14:schemeClr w14:val="tx1"/>
            </w14:solidFill>
          </w14:textFill>
        </w:rPr>
      </w:pPr>
    </w:p>
    <w:p w14:paraId="01804957">
      <w:pPr>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827405</wp:posOffset>
                </wp:positionH>
                <wp:positionV relativeFrom="paragraph">
                  <wp:posOffset>45720</wp:posOffset>
                </wp:positionV>
                <wp:extent cx="5994400" cy="8275320"/>
                <wp:effectExtent l="0" t="0" r="0" b="0"/>
                <wp:wrapNone/>
                <wp:docPr id="3" name="文本框 4"/>
                <wp:cNvGraphicFramePr/>
                <a:graphic xmlns:a="http://schemas.openxmlformats.org/drawingml/2006/main">
                  <a:graphicData uri="http://schemas.microsoft.com/office/word/2010/wordprocessingShape">
                    <wps:wsp>
                      <wps:cNvSpPr txBox="1"/>
                      <wps:spPr>
                        <a:xfrm>
                          <a:off x="0" y="0"/>
                          <a:ext cx="5994400" cy="8275320"/>
                        </a:xfrm>
                        <a:prstGeom prst="rect">
                          <a:avLst/>
                        </a:prstGeom>
                        <a:noFill/>
                        <a:ln>
                          <a:noFill/>
                        </a:ln>
                        <a:effectLst/>
                      </wps:spPr>
                      <wps:txbx>
                        <w:txbxContent>
                          <w:tbl>
                            <w:tblPr>
                              <w:tblStyle w:val="24"/>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5EA7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5DB98B5A">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7B47BE2">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7C6B076A">
                                  <w:pPr>
                                    <w:pStyle w:val="54"/>
                                    <w:rPr>
                                      <w:rFonts w:ascii="宋体" w:hAnsi="宋体" w:cs="宋体"/>
                                      <w:sz w:val="20"/>
                                      <w:szCs w:val="20"/>
                                    </w:rPr>
                                  </w:pPr>
                                </w:p>
                                <w:p w14:paraId="4CDD1653">
                                  <w:pPr>
                                    <w:pStyle w:val="54"/>
                                    <w:rPr>
                                      <w:rFonts w:ascii="宋体" w:hAnsi="宋体" w:cs="宋体"/>
                                      <w:sz w:val="20"/>
                                      <w:szCs w:val="20"/>
                                    </w:rPr>
                                  </w:pPr>
                                </w:p>
                                <w:p w14:paraId="2F74FC26">
                                  <w:pPr>
                                    <w:pStyle w:val="54"/>
                                    <w:rPr>
                                      <w:rFonts w:ascii="宋体" w:hAnsi="宋体" w:cs="宋体"/>
                                      <w:sz w:val="20"/>
                                      <w:szCs w:val="20"/>
                                    </w:rPr>
                                  </w:pPr>
                                </w:p>
                                <w:p w14:paraId="33F05447">
                                  <w:pPr>
                                    <w:pStyle w:val="54"/>
                                    <w:rPr>
                                      <w:rFonts w:ascii="宋体" w:hAnsi="宋体" w:cs="宋体"/>
                                      <w:sz w:val="20"/>
                                      <w:szCs w:val="20"/>
                                    </w:rPr>
                                  </w:pPr>
                                </w:p>
                                <w:p w14:paraId="76EB8A38">
                                  <w:pPr>
                                    <w:pStyle w:val="54"/>
                                    <w:rPr>
                                      <w:rFonts w:ascii="宋体" w:hAnsi="宋体" w:cs="宋体"/>
                                      <w:sz w:val="20"/>
                                      <w:szCs w:val="20"/>
                                    </w:rPr>
                                  </w:pPr>
                                </w:p>
                                <w:p w14:paraId="1D134FF4">
                                  <w:pPr>
                                    <w:pStyle w:val="54"/>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EF20C05">
                                  <w:pPr>
                                    <w:pStyle w:val="54"/>
                                    <w:spacing w:before="12"/>
                                    <w:rPr>
                                      <w:rFonts w:ascii="宋体" w:hAnsi="宋体" w:cs="宋体"/>
                                      <w:sz w:val="15"/>
                                      <w:szCs w:val="15"/>
                                    </w:rPr>
                                  </w:pPr>
                                </w:p>
                                <w:p w14:paraId="26A12F46">
                                  <w:pPr>
                                    <w:pStyle w:val="54"/>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372A5FCA">
                                  <w:pPr>
                                    <w:pStyle w:val="54"/>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B9F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0D7320">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B4F0E2E">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430F703">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E3F8660">
                                  <w:pPr>
                                    <w:pStyle w:val="54"/>
                                    <w:spacing w:before="2"/>
                                    <w:rPr>
                                      <w:rFonts w:ascii="宋体" w:hAnsi="宋体" w:cs="宋体"/>
                                      <w:sz w:val="24"/>
                                      <w:szCs w:val="24"/>
                                      <w:lang w:eastAsia="zh-CN"/>
                                    </w:rPr>
                                  </w:pPr>
                                </w:p>
                                <w:p w14:paraId="1E51A50E">
                                  <w:pPr>
                                    <w:pStyle w:val="54"/>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60B4FB9">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3418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1674A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D4A788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B04EEAA">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1451556">
                                  <w:pPr>
                                    <w:pStyle w:val="54"/>
                                    <w:rPr>
                                      <w:rFonts w:ascii="宋体" w:hAnsi="宋体" w:cs="宋体"/>
                                      <w:sz w:val="19"/>
                                      <w:szCs w:val="19"/>
                                      <w:lang w:eastAsia="zh-CN"/>
                                    </w:rPr>
                                  </w:pPr>
                                </w:p>
                                <w:p w14:paraId="2457A9DB">
                                  <w:pPr>
                                    <w:pStyle w:val="54"/>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0D594CC8">
                                  <w:pPr>
                                    <w:pStyle w:val="54"/>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6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AFAA4F">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747F337">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09C3D4AC">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8E5AA35">
                                  <w:pPr>
                                    <w:pStyle w:val="54"/>
                                    <w:spacing w:before="12"/>
                                    <w:rPr>
                                      <w:rFonts w:ascii="宋体" w:hAnsi="宋体" w:cs="宋体"/>
                                      <w:sz w:val="15"/>
                                      <w:szCs w:val="15"/>
                                      <w:lang w:eastAsia="zh-CN"/>
                                    </w:rPr>
                                  </w:pPr>
                                </w:p>
                                <w:p w14:paraId="074F3879">
                                  <w:pPr>
                                    <w:pStyle w:val="54"/>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03C860B3">
                                  <w:pPr>
                                    <w:pStyle w:val="54"/>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4BA9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700CDE79">
                                  <w:pPr>
                                    <w:pStyle w:val="54"/>
                                    <w:rPr>
                                      <w:rFonts w:ascii="宋体" w:hAnsi="宋体" w:cs="宋体"/>
                                      <w:sz w:val="20"/>
                                      <w:szCs w:val="20"/>
                                      <w:lang w:eastAsia="zh-CN"/>
                                    </w:rPr>
                                  </w:pPr>
                                </w:p>
                                <w:p w14:paraId="6B831797">
                                  <w:pPr>
                                    <w:pStyle w:val="54"/>
                                    <w:rPr>
                                      <w:rFonts w:ascii="宋体" w:hAnsi="宋体" w:cs="宋体"/>
                                      <w:sz w:val="20"/>
                                      <w:szCs w:val="20"/>
                                      <w:lang w:eastAsia="zh-CN"/>
                                    </w:rPr>
                                  </w:pPr>
                                </w:p>
                                <w:p w14:paraId="11250937">
                                  <w:pPr>
                                    <w:pStyle w:val="54"/>
                                    <w:rPr>
                                      <w:rFonts w:ascii="宋体" w:hAnsi="宋体" w:cs="宋体"/>
                                      <w:sz w:val="20"/>
                                      <w:szCs w:val="20"/>
                                      <w:lang w:eastAsia="zh-CN"/>
                                    </w:rPr>
                                  </w:pPr>
                                </w:p>
                                <w:p w14:paraId="34BBC47A">
                                  <w:pPr>
                                    <w:pStyle w:val="54"/>
                                    <w:rPr>
                                      <w:rFonts w:ascii="宋体" w:hAnsi="宋体" w:cs="宋体"/>
                                      <w:sz w:val="20"/>
                                      <w:szCs w:val="20"/>
                                      <w:lang w:eastAsia="zh-CN"/>
                                    </w:rPr>
                                  </w:pPr>
                                </w:p>
                                <w:p w14:paraId="5D475424">
                                  <w:pPr>
                                    <w:pStyle w:val="54"/>
                                    <w:rPr>
                                      <w:rFonts w:ascii="宋体" w:hAnsi="宋体" w:cs="宋体"/>
                                      <w:sz w:val="20"/>
                                      <w:szCs w:val="20"/>
                                      <w:lang w:eastAsia="zh-CN"/>
                                    </w:rPr>
                                  </w:pPr>
                                </w:p>
                                <w:p w14:paraId="02B96E71">
                                  <w:pPr>
                                    <w:pStyle w:val="54"/>
                                    <w:spacing w:before="12"/>
                                    <w:rPr>
                                      <w:rFonts w:ascii="宋体" w:hAnsi="宋体" w:cs="宋体"/>
                                      <w:sz w:val="23"/>
                                      <w:szCs w:val="23"/>
                                      <w:lang w:eastAsia="zh-CN"/>
                                    </w:rPr>
                                  </w:pPr>
                                </w:p>
                                <w:p w14:paraId="3C9B34CB">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3503FE74">
                                  <w:pPr>
                                    <w:pStyle w:val="54"/>
                                    <w:rPr>
                                      <w:rFonts w:ascii="宋体" w:hAnsi="宋体" w:cs="宋体"/>
                                      <w:sz w:val="20"/>
                                      <w:szCs w:val="20"/>
                                    </w:rPr>
                                  </w:pPr>
                                </w:p>
                                <w:p w14:paraId="01CC1B8D">
                                  <w:pPr>
                                    <w:pStyle w:val="54"/>
                                    <w:rPr>
                                      <w:rFonts w:ascii="宋体" w:hAnsi="宋体" w:cs="宋体"/>
                                      <w:sz w:val="20"/>
                                      <w:szCs w:val="20"/>
                                    </w:rPr>
                                  </w:pPr>
                                </w:p>
                                <w:p w14:paraId="3BCA8CA8">
                                  <w:pPr>
                                    <w:pStyle w:val="54"/>
                                    <w:rPr>
                                      <w:rFonts w:ascii="宋体" w:hAnsi="宋体" w:cs="宋体"/>
                                      <w:sz w:val="20"/>
                                      <w:szCs w:val="20"/>
                                    </w:rPr>
                                  </w:pPr>
                                </w:p>
                                <w:p w14:paraId="076993A4">
                                  <w:pPr>
                                    <w:pStyle w:val="54"/>
                                    <w:rPr>
                                      <w:rFonts w:ascii="宋体" w:hAnsi="宋体" w:cs="宋体"/>
                                      <w:sz w:val="20"/>
                                      <w:szCs w:val="20"/>
                                    </w:rPr>
                                  </w:pPr>
                                </w:p>
                                <w:p w14:paraId="495FE1AF">
                                  <w:pPr>
                                    <w:pStyle w:val="54"/>
                                    <w:rPr>
                                      <w:rFonts w:ascii="宋体" w:hAnsi="宋体" w:cs="宋体"/>
                                      <w:sz w:val="20"/>
                                      <w:szCs w:val="20"/>
                                    </w:rPr>
                                  </w:pPr>
                                </w:p>
                                <w:p w14:paraId="3582F863">
                                  <w:pPr>
                                    <w:pStyle w:val="54"/>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5E0A6E77">
                                  <w:pPr>
                                    <w:pStyle w:val="54"/>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7120DBF5">
                                  <w:pPr>
                                    <w:pStyle w:val="54"/>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3DBB415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4C1C5A5">
                                  <w:pPr>
                                    <w:pStyle w:val="54"/>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FDD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93FDC4">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42F370F">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DB02977">
                                  <w:pPr>
                                    <w:pStyle w:val="54"/>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02743E3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704CF2A">
                                  <w:pPr>
                                    <w:pStyle w:val="54"/>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12A5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7DF91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87B6483">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3B437818">
                                  <w:pPr>
                                    <w:pStyle w:val="54"/>
                                    <w:spacing w:before="4"/>
                                    <w:rPr>
                                      <w:rFonts w:ascii="宋体" w:hAnsi="宋体" w:cs="宋体"/>
                                      <w:sz w:val="18"/>
                                      <w:szCs w:val="18"/>
                                      <w:lang w:eastAsia="zh-CN"/>
                                    </w:rPr>
                                  </w:pPr>
                                </w:p>
                                <w:p w14:paraId="51A962A5">
                                  <w:pPr>
                                    <w:pStyle w:val="54"/>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60E5EE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D7C4A3D">
                                  <w:pPr>
                                    <w:pStyle w:val="54"/>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4F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C70F3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213D40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C272BA2">
                                  <w:pPr>
                                    <w:pStyle w:val="54"/>
                                    <w:spacing w:before="5"/>
                                    <w:rPr>
                                      <w:rFonts w:ascii="宋体" w:hAnsi="宋体" w:cs="宋体"/>
                                      <w:sz w:val="15"/>
                                      <w:szCs w:val="15"/>
                                      <w:lang w:eastAsia="zh-CN"/>
                                    </w:rPr>
                                  </w:pPr>
                                </w:p>
                                <w:p w14:paraId="08E95E4C">
                                  <w:pPr>
                                    <w:pStyle w:val="54"/>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3F0A0F0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F050C03">
                                  <w:pPr>
                                    <w:pStyle w:val="54"/>
                                    <w:spacing w:before="5"/>
                                    <w:rPr>
                                      <w:rFonts w:ascii="宋体" w:hAnsi="宋体" w:cs="宋体"/>
                                      <w:sz w:val="15"/>
                                      <w:szCs w:val="15"/>
                                      <w:lang w:eastAsia="zh-CN"/>
                                    </w:rPr>
                                  </w:pPr>
                                </w:p>
                                <w:p w14:paraId="54882D8D">
                                  <w:pPr>
                                    <w:pStyle w:val="54"/>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EA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2085FAFB">
                                  <w:pPr>
                                    <w:pStyle w:val="54"/>
                                    <w:spacing w:before="1"/>
                                    <w:rPr>
                                      <w:rFonts w:ascii="宋体" w:hAnsi="宋体" w:cs="宋体"/>
                                      <w:sz w:val="18"/>
                                      <w:szCs w:val="18"/>
                                      <w:lang w:eastAsia="zh-CN"/>
                                    </w:rPr>
                                  </w:pPr>
                                </w:p>
                                <w:p w14:paraId="16142FCC">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102A7049">
                                  <w:pPr>
                                    <w:pStyle w:val="54"/>
                                    <w:spacing w:before="8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5B7CA6D5">
                                  <w:pPr>
                                    <w:pStyle w:val="54"/>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05F661BD">
                                  <w:pPr>
                                    <w:pStyle w:val="54"/>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4D4597D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31606CB">
                                  <w:pPr>
                                    <w:pStyle w:val="54"/>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CF5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1BCA46AD">
                                  <w:pPr>
                                    <w:pStyle w:val="54"/>
                                    <w:rPr>
                                      <w:rFonts w:ascii="宋体" w:hAnsi="宋体" w:cs="宋体"/>
                                      <w:sz w:val="20"/>
                                      <w:szCs w:val="20"/>
                                      <w:lang w:eastAsia="zh-CN"/>
                                    </w:rPr>
                                  </w:pPr>
                                </w:p>
                                <w:p w14:paraId="63309809">
                                  <w:pPr>
                                    <w:pStyle w:val="54"/>
                                    <w:rPr>
                                      <w:rFonts w:ascii="宋体" w:hAnsi="宋体" w:cs="宋体"/>
                                      <w:sz w:val="20"/>
                                      <w:szCs w:val="20"/>
                                      <w:lang w:eastAsia="zh-CN"/>
                                    </w:rPr>
                                  </w:pPr>
                                </w:p>
                                <w:p w14:paraId="6924C3F2">
                                  <w:pPr>
                                    <w:pStyle w:val="54"/>
                                    <w:spacing w:before="10"/>
                                    <w:rPr>
                                      <w:rFonts w:ascii="宋体" w:hAnsi="宋体" w:cs="宋体"/>
                                      <w:sz w:val="21"/>
                                      <w:szCs w:val="21"/>
                                      <w:lang w:eastAsia="zh-CN"/>
                                    </w:rPr>
                                  </w:pPr>
                                </w:p>
                                <w:p w14:paraId="50AD2028">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4A880523">
                                  <w:pPr>
                                    <w:pStyle w:val="54"/>
                                    <w:rPr>
                                      <w:rFonts w:ascii="宋体" w:hAnsi="宋体" w:cs="宋体"/>
                                      <w:sz w:val="20"/>
                                      <w:szCs w:val="20"/>
                                    </w:rPr>
                                  </w:pPr>
                                </w:p>
                                <w:p w14:paraId="3A37A6F7">
                                  <w:pPr>
                                    <w:pStyle w:val="54"/>
                                    <w:spacing w:before="11"/>
                                    <w:rPr>
                                      <w:rFonts w:ascii="宋体" w:hAnsi="宋体" w:cs="宋体"/>
                                      <w:sz w:val="29"/>
                                      <w:szCs w:val="29"/>
                                    </w:rPr>
                                  </w:pPr>
                                </w:p>
                                <w:p w14:paraId="7006CF41">
                                  <w:pPr>
                                    <w:pStyle w:val="54"/>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1EBEFFF">
                                  <w:pPr>
                                    <w:pStyle w:val="54"/>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0DD50E04">
                                  <w:pPr>
                                    <w:pStyle w:val="54"/>
                                    <w:rPr>
                                      <w:rFonts w:ascii="宋体" w:hAnsi="宋体" w:cs="宋体"/>
                                      <w:sz w:val="20"/>
                                      <w:szCs w:val="20"/>
                                    </w:rPr>
                                  </w:pPr>
                                </w:p>
                                <w:p w14:paraId="075FE602">
                                  <w:pPr>
                                    <w:pStyle w:val="54"/>
                                    <w:spacing w:before="11"/>
                                    <w:rPr>
                                      <w:rFonts w:ascii="宋体" w:hAnsi="宋体" w:cs="宋体"/>
                                      <w:sz w:val="29"/>
                                      <w:szCs w:val="29"/>
                                    </w:rPr>
                                  </w:pPr>
                                </w:p>
                                <w:p w14:paraId="1506DED2">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7341AED5">
                                  <w:pPr>
                                    <w:pStyle w:val="54"/>
                                    <w:rPr>
                                      <w:rFonts w:ascii="宋体" w:hAnsi="宋体" w:cs="宋体"/>
                                      <w:sz w:val="20"/>
                                      <w:szCs w:val="20"/>
                                    </w:rPr>
                                  </w:pPr>
                                </w:p>
                                <w:p w14:paraId="6CFBB28B">
                                  <w:pPr>
                                    <w:pStyle w:val="54"/>
                                    <w:rPr>
                                      <w:rFonts w:ascii="宋体" w:hAnsi="宋体" w:cs="宋体"/>
                                      <w:sz w:val="20"/>
                                      <w:szCs w:val="20"/>
                                    </w:rPr>
                                  </w:pPr>
                                </w:p>
                                <w:p w14:paraId="24366C7E">
                                  <w:pPr>
                                    <w:pStyle w:val="54"/>
                                    <w:spacing w:before="10"/>
                                    <w:rPr>
                                      <w:rFonts w:ascii="宋体" w:hAnsi="宋体" w:cs="宋体"/>
                                      <w:sz w:val="21"/>
                                      <w:szCs w:val="21"/>
                                    </w:rPr>
                                  </w:pPr>
                                </w:p>
                                <w:p w14:paraId="4E3395BA">
                                  <w:pPr>
                                    <w:pStyle w:val="54"/>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43AC853F">
                                  <w:pPr>
                                    <w:pStyle w:val="54"/>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7C2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30E4DEC8">
                                  <w:pPr>
                                    <w:pStyle w:val="54"/>
                                    <w:spacing w:before="10"/>
                                    <w:rPr>
                                      <w:rFonts w:ascii="宋体" w:hAnsi="宋体" w:cs="宋体"/>
                                      <w:sz w:val="17"/>
                                      <w:szCs w:val="17"/>
                                      <w:lang w:eastAsia="zh-CN"/>
                                    </w:rPr>
                                  </w:pPr>
                                </w:p>
                                <w:p w14:paraId="3ECD660E">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332826B9">
                                  <w:pPr>
                                    <w:pStyle w:val="54"/>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25E23C0">
                                  <w:pPr>
                                    <w:pStyle w:val="54"/>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073DEB31">
                                  <w:pPr>
                                    <w:pStyle w:val="54"/>
                                    <w:spacing w:before="10"/>
                                    <w:rPr>
                                      <w:rFonts w:ascii="宋体" w:hAnsi="宋体" w:cs="宋体"/>
                                      <w:sz w:val="17"/>
                                      <w:szCs w:val="17"/>
                                    </w:rPr>
                                  </w:pPr>
                                </w:p>
                                <w:p w14:paraId="6170E85B">
                                  <w:pPr>
                                    <w:pStyle w:val="54"/>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4F2879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A602C76">
                                  <w:pPr>
                                    <w:pStyle w:val="54"/>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50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4C8D8EDF">
                                  <w:pPr>
                                    <w:pStyle w:val="54"/>
                                    <w:rPr>
                                      <w:rFonts w:ascii="宋体" w:hAnsi="宋体" w:cs="宋体"/>
                                      <w:sz w:val="20"/>
                                      <w:szCs w:val="20"/>
                                      <w:lang w:eastAsia="zh-CN"/>
                                    </w:rPr>
                                  </w:pPr>
                                </w:p>
                                <w:p w14:paraId="2615C170">
                                  <w:pPr>
                                    <w:pStyle w:val="54"/>
                                    <w:rPr>
                                      <w:rFonts w:ascii="宋体" w:hAnsi="宋体" w:cs="宋体"/>
                                      <w:sz w:val="20"/>
                                      <w:szCs w:val="20"/>
                                      <w:lang w:eastAsia="zh-CN"/>
                                    </w:rPr>
                                  </w:pPr>
                                </w:p>
                                <w:p w14:paraId="30D08EFA">
                                  <w:pPr>
                                    <w:pStyle w:val="54"/>
                                    <w:rPr>
                                      <w:rFonts w:ascii="宋体" w:hAnsi="宋体" w:cs="宋体"/>
                                      <w:sz w:val="20"/>
                                      <w:szCs w:val="20"/>
                                      <w:lang w:eastAsia="zh-CN"/>
                                    </w:rPr>
                                  </w:pPr>
                                </w:p>
                                <w:p w14:paraId="48E67E54">
                                  <w:pPr>
                                    <w:pStyle w:val="54"/>
                                    <w:spacing w:before="1"/>
                                    <w:rPr>
                                      <w:rFonts w:ascii="宋体" w:hAnsi="宋体" w:cs="宋体"/>
                                      <w:sz w:val="29"/>
                                      <w:szCs w:val="29"/>
                                      <w:lang w:eastAsia="zh-CN"/>
                                    </w:rPr>
                                  </w:pPr>
                                </w:p>
                                <w:p w14:paraId="111FC826">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5E46FD64">
                                  <w:pPr>
                                    <w:pStyle w:val="54"/>
                                    <w:rPr>
                                      <w:rFonts w:ascii="宋体" w:hAnsi="宋体" w:cs="宋体"/>
                                      <w:sz w:val="20"/>
                                      <w:szCs w:val="20"/>
                                    </w:rPr>
                                  </w:pPr>
                                </w:p>
                                <w:p w14:paraId="7CEF901C">
                                  <w:pPr>
                                    <w:pStyle w:val="54"/>
                                    <w:rPr>
                                      <w:rFonts w:ascii="宋体" w:hAnsi="宋体" w:cs="宋体"/>
                                      <w:sz w:val="20"/>
                                      <w:szCs w:val="20"/>
                                    </w:rPr>
                                  </w:pPr>
                                </w:p>
                                <w:p w14:paraId="019A7537">
                                  <w:pPr>
                                    <w:pStyle w:val="54"/>
                                    <w:spacing w:before="9"/>
                                    <w:rPr>
                                      <w:rFonts w:ascii="宋体" w:hAnsi="宋体" w:cs="宋体"/>
                                      <w:sz w:val="17"/>
                                      <w:szCs w:val="17"/>
                                    </w:rPr>
                                  </w:pPr>
                                </w:p>
                                <w:p w14:paraId="2A502195">
                                  <w:pPr>
                                    <w:pStyle w:val="54"/>
                                    <w:ind w:left="7"/>
                                    <w:rPr>
                                      <w:rFonts w:ascii="宋体" w:hAnsi="宋体" w:cs="宋体"/>
                                      <w:w w:val="99"/>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A060</w:t>
                                  </w:r>
                                  <w:r>
                                    <w:rPr>
                                      <w:rFonts w:hint="eastAsia" w:ascii="宋体" w:hAnsi="宋体" w:cs="宋体"/>
                                      <w:w w:val="99"/>
                                      <w:sz w:val="20"/>
                                      <w:szCs w:val="20"/>
                                    </w:rPr>
                                    <w:t>805</w:t>
                                  </w:r>
                                </w:p>
                                <w:p w14:paraId="30CA828D">
                                  <w:pPr>
                                    <w:pStyle w:val="54"/>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4CC20CB5">
                                  <w:pPr>
                                    <w:pStyle w:val="54"/>
                                    <w:spacing w:before="5"/>
                                    <w:rPr>
                                      <w:rFonts w:ascii="宋体" w:hAnsi="宋体" w:cs="宋体"/>
                                      <w:sz w:val="21"/>
                                      <w:szCs w:val="21"/>
                                    </w:rPr>
                                  </w:pPr>
                                </w:p>
                                <w:p w14:paraId="4ABABB05">
                                  <w:pPr>
                                    <w:pStyle w:val="54"/>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046A9907">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12235F1">
                                  <w:pPr>
                                    <w:pStyle w:val="54"/>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4B46D89">
                                  <w:pPr>
                                    <w:pStyle w:val="54"/>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BEC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1B2ADB">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DE7A2F6">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3C87C58D">
                                  <w:pPr>
                                    <w:pStyle w:val="54"/>
                                    <w:spacing w:before="5"/>
                                    <w:rPr>
                                      <w:rFonts w:ascii="宋体" w:hAnsi="宋体" w:cs="宋体"/>
                                      <w:sz w:val="21"/>
                                      <w:szCs w:val="21"/>
                                    </w:rPr>
                                  </w:pPr>
                                </w:p>
                                <w:p w14:paraId="09A12BEF">
                                  <w:pPr>
                                    <w:pStyle w:val="54"/>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5270422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600B481">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DAA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2D0935">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DA7C337">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D063412">
                                  <w:pPr>
                                    <w:pStyle w:val="54"/>
                                    <w:spacing w:before="5"/>
                                    <w:rPr>
                                      <w:rFonts w:ascii="宋体" w:hAnsi="宋体" w:cs="宋体"/>
                                      <w:sz w:val="21"/>
                                      <w:szCs w:val="21"/>
                                      <w:lang w:eastAsia="zh-CN"/>
                                    </w:rPr>
                                  </w:pPr>
                                </w:p>
                                <w:p w14:paraId="0049662F">
                                  <w:pPr>
                                    <w:pStyle w:val="54"/>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5F2CE3F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C5CFCEE">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2075D279">
                            <w:pPr>
                              <w:rPr>
                                <w:rFonts w:ascii="Calibri" w:hAnsi="Calibri"/>
                                <w:sz w:val="22"/>
                                <w:szCs w:val="22"/>
                              </w:rPr>
                            </w:pPr>
                          </w:p>
                        </w:txbxContent>
                      </wps:txbx>
                      <wps:bodyPr lIns="0" tIns="0" rIns="0" bIns="0" upright="1"/>
                    </wps:wsp>
                  </a:graphicData>
                </a:graphic>
              </wp:anchor>
            </w:drawing>
          </mc:Choice>
          <mc:Fallback>
            <w:pict>
              <v:shape id="文本框 4" o:spid="_x0000_s1026" o:spt="202" type="#_x0000_t202" style="position:absolute;left:0pt;margin-left:65.15pt;margin-top:3.6pt;height:651.6pt;width:472pt;mso-position-horizontal-relative:page;z-index:251661312;mso-width-relative:page;mso-height-relative:page;" filled="f" stroked="f" coordsize="21600,21600" o:gfxdata="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Nwl0NgAAAALAQAADwAAAAAAAAABACAAAAAiAAAAZHJzL2Rvd25yZXYu&#10;eG1sUEsBAhQAFAAAAAgAh07iQOVgZkbCAQAAgQMAAA4AAAAAAAAAAQAgAAAAJwEAAGRycy9lMm9E&#10;b2MueG1sUEsFBgAAAAAGAAYAWQEAAFsFAAAAAA==&#10;">
                <v:fill on="f" focussize="0,0"/>
                <v:stroke on="f"/>
                <v:imagedata o:title=""/>
                <o:lock v:ext="edit" aspectratio="f"/>
                <v:textbox inset="0mm,0mm,0mm,0mm">
                  <w:txbxContent>
                    <w:tbl>
                      <w:tblPr>
                        <w:tblStyle w:val="24"/>
                        <w:tblW w:w="9090" w:type="dxa"/>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5"/>
                        <w:gridCol w:w="1305"/>
                        <w:gridCol w:w="1665"/>
                        <w:gridCol w:w="1770"/>
                        <w:gridCol w:w="3765"/>
                      </w:tblGrid>
                      <w:tr w14:paraId="5EA7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restart"/>
                            <w:tcBorders>
                              <w:top w:val="single" w:color="auto" w:sz="4" w:space="0"/>
                              <w:left w:val="single" w:color="auto" w:sz="4" w:space="0"/>
                              <w:bottom w:val="single" w:color="auto" w:sz="4" w:space="0"/>
                              <w:right w:val="single" w:color="auto" w:sz="4" w:space="0"/>
                            </w:tcBorders>
                          </w:tcPr>
                          <w:p w14:paraId="5DB98B5A">
                            <w:pPr>
                              <w:rPr>
                                <w:rFonts w:ascii="Calibri" w:hAnsi="Calibri"/>
                                <w:sz w:val="22"/>
                                <w:szCs w:val="22"/>
                              </w:rPr>
                            </w:pPr>
                          </w:p>
                        </w:tc>
                        <w:tc>
                          <w:tcPr>
                            <w:tcW w:w="1305" w:type="dxa"/>
                            <w:vMerge w:val="restart"/>
                            <w:tcBorders>
                              <w:top w:val="single" w:color="auto" w:sz="4" w:space="0"/>
                              <w:left w:val="single" w:color="auto" w:sz="4" w:space="0"/>
                              <w:bottom w:val="single" w:color="auto" w:sz="4" w:space="0"/>
                              <w:right w:val="single" w:color="auto" w:sz="4" w:space="0"/>
                            </w:tcBorders>
                          </w:tcPr>
                          <w:p w14:paraId="17B47BE2">
                            <w:pPr>
                              <w:rPr>
                                <w:rFonts w:ascii="Calibri" w:hAnsi="Calibri"/>
                                <w:sz w:val="22"/>
                                <w:szCs w:val="22"/>
                              </w:rPr>
                            </w:pPr>
                          </w:p>
                        </w:tc>
                        <w:tc>
                          <w:tcPr>
                            <w:tcW w:w="1665" w:type="dxa"/>
                            <w:vMerge w:val="restart"/>
                            <w:tcBorders>
                              <w:top w:val="single" w:color="auto" w:sz="4" w:space="0"/>
                              <w:left w:val="single" w:color="auto" w:sz="4" w:space="0"/>
                              <w:bottom w:val="single" w:color="auto" w:sz="4" w:space="0"/>
                              <w:right w:val="single" w:color="auto" w:sz="4" w:space="0"/>
                            </w:tcBorders>
                          </w:tcPr>
                          <w:p w14:paraId="7C6B076A">
                            <w:pPr>
                              <w:pStyle w:val="54"/>
                              <w:rPr>
                                <w:rFonts w:ascii="宋体" w:hAnsi="宋体" w:cs="宋体"/>
                                <w:sz w:val="20"/>
                                <w:szCs w:val="20"/>
                              </w:rPr>
                            </w:pPr>
                          </w:p>
                          <w:p w14:paraId="4CDD1653">
                            <w:pPr>
                              <w:pStyle w:val="54"/>
                              <w:rPr>
                                <w:rFonts w:ascii="宋体" w:hAnsi="宋体" w:cs="宋体"/>
                                <w:sz w:val="20"/>
                                <w:szCs w:val="20"/>
                              </w:rPr>
                            </w:pPr>
                          </w:p>
                          <w:p w14:paraId="2F74FC26">
                            <w:pPr>
                              <w:pStyle w:val="54"/>
                              <w:rPr>
                                <w:rFonts w:ascii="宋体" w:hAnsi="宋体" w:cs="宋体"/>
                                <w:sz w:val="20"/>
                                <w:szCs w:val="20"/>
                              </w:rPr>
                            </w:pPr>
                          </w:p>
                          <w:p w14:paraId="33F05447">
                            <w:pPr>
                              <w:pStyle w:val="54"/>
                              <w:rPr>
                                <w:rFonts w:ascii="宋体" w:hAnsi="宋体" w:cs="宋体"/>
                                <w:sz w:val="20"/>
                                <w:szCs w:val="20"/>
                              </w:rPr>
                            </w:pPr>
                          </w:p>
                          <w:p w14:paraId="76EB8A38">
                            <w:pPr>
                              <w:pStyle w:val="54"/>
                              <w:rPr>
                                <w:rFonts w:ascii="宋体" w:hAnsi="宋体" w:cs="宋体"/>
                                <w:sz w:val="20"/>
                                <w:szCs w:val="20"/>
                              </w:rPr>
                            </w:pPr>
                          </w:p>
                          <w:p w14:paraId="1D134FF4">
                            <w:pPr>
                              <w:pStyle w:val="54"/>
                              <w:spacing w:before="161"/>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808热水器</w:t>
                            </w:r>
                          </w:p>
                        </w:tc>
                        <w:tc>
                          <w:tcPr>
                            <w:tcW w:w="1770" w:type="dxa"/>
                            <w:tcBorders>
                              <w:top w:val="single" w:color="auto" w:sz="4" w:space="0"/>
                              <w:left w:val="single" w:color="auto" w:sz="4" w:space="0"/>
                              <w:bottom w:val="single" w:color="auto" w:sz="4" w:space="0"/>
                              <w:right w:val="single" w:color="auto" w:sz="4" w:space="0"/>
                            </w:tcBorders>
                          </w:tcPr>
                          <w:p w14:paraId="2EF20C05">
                            <w:pPr>
                              <w:pStyle w:val="54"/>
                              <w:spacing w:before="12"/>
                              <w:rPr>
                                <w:rFonts w:ascii="宋体" w:hAnsi="宋体" w:cs="宋体"/>
                                <w:sz w:val="15"/>
                                <w:szCs w:val="15"/>
                              </w:rPr>
                            </w:pPr>
                          </w:p>
                          <w:p w14:paraId="26A12F46">
                            <w:pPr>
                              <w:pStyle w:val="54"/>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w w:val="99"/>
                                <w:sz w:val="20"/>
                                <w:szCs w:val="20"/>
                              </w:rPr>
                              <w:t>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372A5FCA">
                            <w:pPr>
                              <w:pStyle w:val="54"/>
                              <w:tabs>
                                <w:tab w:val="left" w:pos="1608"/>
                              </w:tabs>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《储水式电热水器能效</w:t>
                            </w:r>
                            <w:r>
                              <w:rPr>
                                <w:rFonts w:hint="eastAsia" w:ascii="宋体" w:hAnsi="宋体" w:cs="宋体"/>
                                <w:spacing w:val="9"/>
                                <w:w w:val="99"/>
                                <w:sz w:val="20"/>
                                <w:szCs w:val="20"/>
                                <w:lang w:eastAsia="zh-CN"/>
                              </w:rPr>
                              <w:t>限</w:t>
                            </w:r>
                            <w:r>
                              <w:rPr>
                                <w:rFonts w:hint="eastAsia" w:ascii="宋体" w:hAnsi="宋体" w:cs="宋体"/>
                                <w:spacing w:val="12"/>
                                <w:w w:val="99"/>
                                <w:sz w:val="20"/>
                                <w:szCs w:val="20"/>
                                <w:lang w:eastAsia="zh-CN"/>
                              </w:rPr>
                              <w:t>定值</w:t>
                            </w:r>
                            <w:r>
                              <w:rPr>
                                <w:rFonts w:hint="eastAsia" w:ascii="宋体" w:hAnsi="宋体" w:cs="宋体"/>
                                <w:w w:val="99"/>
                                <w:sz w:val="20"/>
                                <w:szCs w:val="20"/>
                                <w:lang w:eastAsia="zh-CN"/>
                              </w:rPr>
                              <w:t>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51</w:t>
                            </w:r>
                            <w:r>
                              <w:rPr>
                                <w:rFonts w:hint="eastAsia" w:ascii="宋体" w:hAnsi="宋体" w:cs="宋体"/>
                                <w:spacing w:val="1"/>
                                <w:w w:val="99"/>
                                <w:sz w:val="20"/>
                                <w:szCs w:val="20"/>
                                <w:lang w:eastAsia="zh-CN"/>
                              </w:rPr>
                              <w:t>9</w:t>
                            </w:r>
                            <w:r>
                              <w:rPr>
                                <w:rFonts w:hint="eastAsia" w:ascii="宋体" w:hAnsi="宋体" w:cs="宋体"/>
                                <w:w w:val="99"/>
                                <w:sz w:val="20"/>
                                <w:szCs w:val="20"/>
                                <w:lang w:eastAsia="zh-CN"/>
                              </w:rPr>
                              <w:t>）</w:t>
                            </w:r>
                          </w:p>
                        </w:tc>
                      </w:tr>
                      <w:tr w14:paraId="1B9F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0D7320">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B4F0E2E">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3430F703">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E3F8660">
                            <w:pPr>
                              <w:pStyle w:val="54"/>
                              <w:spacing w:before="2"/>
                              <w:rPr>
                                <w:rFonts w:ascii="宋体" w:hAnsi="宋体" w:cs="宋体"/>
                                <w:sz w:val="24"/>
                                <w:szCs w:val="24"/>
                                <w:lang w:eastAsia="zh-CN"/>
                              </w:rPr>
                            </w:pPr>
                          </w:p>
                          <w:p w14:paraId="1E51A50E">
                            <w:pPr>
                              <w:pStyle w:val="54"/>
                              <w:ind w:left="7"/>
                              <w:rPr>
                                <w:rFonts w:ascii="宋体" w:hAnsi="宋体" w:cs="宋体"/>
                                <w:sz w:val="20"/>
                                <w:szCs w:val="20"/>
                              </w:rPr>
                            </w:pPr>
                            <w:r>
                              <w:rPr>
                                <w:rFonts w:hint="eastAsia" w:ascii="宋体" w:hAnsi="宋体" w:cs="宋体"/>
                                <w:w w:val="99"/>
                                <w:sz w:val="20"/>
                                <w:szCs w:val="20"/>
                              </w:rPr>
                              <w:t>燃气热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560B4FB9">
                            <w:pPr>
                              <w:pStyle w:val="54"/>
                              <w:spacing w:before="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《家用燃气快速热水器</w:t>
                            </w:r>
                            <w:r>
                              <w:rPr>
                                <w:rFonts w:hint="eastAsia" w:ascii="宋体" w:hAnsi="宋体" w:cs="宋体"/>
                                <w:spacing w:val="9"/>
                                <w:w w:val="99"/>
                                <w:sz w:val="20"/>
                                <w:szCs w:val="20"/>
                                <w:lang w:eastAsia="zh-CN"/>
                              </w:rPr>
                              <w:t>和</w:t>
                            </w:r>
                            <w:r>
                              <w:rPr>
                                <w:rFonts w:hint="eastAsia" w:ascii="宋体" w:hAnsi="宋体" w:cs="宋体"/>
                                <w:spacing w:val="12"/>
                                <w:w w:val="99"/>
                                <w:sz w:val="20"/>
                                <w:szCs w:val="20"/>
                                <w:lang w:eastAsia="zh-CN"/>
                              </w:rPr>
                              <w:t>燃气</w:t>
                            </w:r>
                            <w:r>
                              <w:rPr>
                                <w:rFonts w:hint="eastAsia" w:ascii="宋体" w:hAnsi="宋体" w:cs="宋体"/>
                                <w:w w:val="99"/>
                                <w:sz w:val="20"/>
                                <w:szCs w:val="20"/>
                                <w:lang w:eastAsia="zh-CN"/>
                              </w:rPr>
                              <w:t>采暖热水</w:t>
                            </w:r>
                            <w:r>
                              <w:rPr>
                                <w:rFonts w:hint="eastAsia" w:ascii="宋体" w:hAnsi="宋体" w:cs="宋体"/>
                                <w:spacing w:val="2"/>
                                <w:w w:val="99"/>
                                <w:sz w:val="20"/>
                                <w:szCs w:val="20"/>
                                <w:lang w:eastAsia="zh-CN"/>
                              </w:rPr>
                              <w:t>炉</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w:t>
                            </w:r>
                            <w:r>
                              <w:rPr>
                                <w:rFonts w:hint="eastAsia" w:ascii="宋体" w:hAnsi="宋体" w:cs="宋体"/>
                                <w:w w:val="99"/>
                                <w:sz w:val="20"/>
                                <w:szCs w:val="20"/>
                                <w:lang w:eastAsia="zh-CN"/>
                              </w:rPr>
                              <w:t>06</w:t>
                            </w:r>
                            <w:r>
                              <w:rPr>
                                <w:rFonts w:hint="eastAsia" w:ascii="宋体" w:hAnsi="宋体" w:cs="宋体"/>
                                <w:spacing w:val="1"/>
                                <w:w w:val="99"/>
                                <w:sz w:val="20"/>
                                <w:szCs w:val="20"/>
                                <w:lang w:eastAsia="zh-CN"/>
                              </w:rPr>
                              <w:t>65</w:t>
                            </w:r>
                            <w:r>
                              <w:rPr>
                                <w:rFonts w:hint="eastAsia" w:ascii="宋体" w:hAnsi="宋体" w:cs="宋体"/>
                                <w:w w:val="99"/>
                                <w:sz w:val="20"/>
                                <w:szCs w:val="20"/>
                                <w:lang w:eastAsia="zh-CN"/>
                              </w:rPr>
                              <w:t>）</w:t>
                            </w:r>
                          </w:p>
                        </w:tc>
                      </w:tr>
                      <w:tr w14:paraId="34188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3"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31674AA">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D4A7880">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5B04EEAA">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01451556">
                            <w:pPr>
                              <w:pStyle w:val="54"/>
                              <w:rPr>
                                <w:rFonts w:ascii="宋体" w:hAnsi="宋体" w:cs="宋体"/>
                                <w:sz w:val="19"/>
                                <w:szCs w:val="19"/>
                                <w:lang w:eastAsia="zh-CN"/>
                              </w:rPr>
                            </w:pPr>
                          </w:p>
                          <w:p w14:paraId="2457A9DB">
                            <w:pPr>
                              <w:pStyle w:val="54"/>
                              <w:ind w:left="7"/>
                              <w:rPr>
                                <w:rFonts w:ascii="宋体" w:hAnsi="宋体" w:cs="宋体"/>
                                <w:sz w:val="20"/>
                                <w:szCs w:val="20"/>
                              </w:rPr>
                            </w:pPr>
                            <w:r>
                              <w:rPr>
                                <w:rFonts w:hint="eastAsia" w:ascii="宋体" w:hAnsi="宋体" w:cs="宋体"/>
                                <w:w w:val="99"/>
                                <w:sz w:val="20"/>
                                <w:szCs w:val="20"/>
                              </w:rPr>
                              <w:t>热泵热</w:t>
                            </w:r>
                            <w:r>
                              <w:rPr>
                                <w:rFonts w:hint="eastAsia" w:ascii="宋体" w:hAnsi="宋体" w:cs="宋体"/>
                                <w:spacing w:val="2"/>
                                <w:w w:val="99"/>
                                <w:sz w:val="20"/>
                                <w:szCs w:val="20"/>
                              </w:rPr>
                              <w:t>水</w:t>
                            </w:r>
                            <w:r>
                              <w:rPr>
                                <w:rFonts w:hint="eastAsia" w:ascii="宋体" w:hAnsi="宋体" w:cs="宋体"/>
                                <w:w w:val="99"/>
                                <w:sz w:val="20"/>
                                <w:szCs w:val="20"/>
                              </w:rPr>
                              <w:t>器</w:t>
                            </w:r>
                          </w:p>
                        </w:tc>
                        <w:tc>
                          <w:tcPr>
                            <w:tcW w:w="3765" w:type="dxa"/>
                            <w:tcBorders>
                              <w:top w:val="single" w:color="auto" w:sz="4" w:space="0"/>
                              <w:left w:val="single" w:color="auto" w:sz="4" w:space="0"/>
                              <w:bottom w:val="single" w:color="auto" w:sz="4" w:space="0"/>
                              <w:right w:val="single" w:color="auto" w:sz="4" w:space="0"/>
                            </w:tcBorders>
                          </w:tcPr>
                          <w:p w14:paraId="0D594CC8">
                            <w:pPr>
                              <w:pStyle w:val="54"/>
                              <w:spacing w:before="93" w:line="280" w:lineRule="auto"/>
                              <w:ind w:left="7" w:right="7"/>
                              <w:rPr>
                                <w:rFonts w:ascii="宋体" w:hAnsi="宋体" w:cs="宋体"/>
                                <w:sz w:val="20"/>
                                <w:szCs w:val="20"/>
                                <w:lang w:eastAsia="zh-CN"/>
                              </w:rPr>
                            </w:pPr>
                            <w:r>
                              <w:rPr>
                                <w:rFonts w:hint="eastAsia" w:ascii="宋体" w:hAnsi="宋体" w:cs="宋体"/>
                                <w:w w:val="99"/>
                                <w:sz w:val="20"/>
                                <w:szCs w:val="20"/>
                                <w:lang w:eastAsia="zh-CN"/>
                              </w:rPr>
                              <w:t>《热泵</w:t>
                            </w:r>
                            <w:r>
                              <w:rPr>
                                <w:rFonts w:hint="eastAsia" w:ascii="宋体" w:hAnsi="宋体" w:cs="宋体"/>
                                <w:spacing w:val="2"/>
                                <w:w w:val="99"/>
                                <w:sz w:val="20"/>
                                <w:szCs w:val="20"/>
                                <w:lang w:eastAsia="zh-CN"/>
                              </w:rPr>
                              <w:t>热</w:t>
                            </w:r>
                            <w:r>
                              <w:rPr>
                                <w:rFonts w:hint="eastAsia" w:ascii="宋体" w:hAnsi="宋体" w:cs="宋体"/>
                                <w:w w:val="99"/>
                                <w:sz w:val="20"/>
                                <w:szCs w:val="20"/>
                                <w:lang w:eastAsia="zh-CN"/>
                              </w:rPr>
                              <w:t>水</w:t>
                            </w:r>
                            <w:r>
                              <w:rPr>
                                <w:rFonts w:hint="eastAsia" w:ascii="宋体" w:hAnsi="宋体" w:cs="宋体"/>
                                <w:spacing w:val="-27"/>
                                <w:w w:val="99"/>
                                <w:sz w:val="20"/>
                                <w:szCs w:val="20"/>
                                <w:lang w:eastAsia="zh-CN"/>
                              </w:rPr>
                              <w:t>机</w:t>
                            </w:r>
                            <w:r>
                              <w:rPr>
                                <w:rFonts w:hint="eastAsia" w:ascii="宋体" w:hAnsi="宋体" w:cs="宋体"/>
                                <w:w w:val="99"/>
                                <w:sz w:val="20"/>
                                <w:szCs w:val="20"/>
                                <w:lang w:eastAsia="zh-CN"/>
                              </w:rPr>
                              <w:t>（器</w:t>
                            </w:r>
                            <w:r>
                              <w:rPr>
                                <w:rFonts w:hint="eastAsia" w:ascii="宋体" w:hAnsi="宋体" w:cs="宋体"/>
                                <w:spacing w:val="-27"/>
                                <w:w w:val="99"/>
                                <w:sz w:val="20"/>
                                <w:szCs w:val="20"/>
                                <w:lang w:eastAsia="zh-CN"/>
                              </w:rPr>
                              <w:t>）</w:t>
                            </w:r>
                            <w:r>
                              <w:rPr>
                                <w:rFonts w:hint="eastAsia" w:ascii="宋体" w:hAnsi="宋体" w:cs="宋体"/>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295</w:t>
                            </w:r>
                            <w:r>
                              <w:rPr>
                                <w:rFonts w:hint="eastAsia" w:ascii="宋体" w:hAnsi="宋体" w:cs="宋体"/>
                                <w:w w:val="99"/>
                                <w:sz w:val="20"/>
                                <w:szCs w:val="20"/>
                                <w:lang w:eastAsia="zh-CN"/>
                              </w:rPr>
                              <w:t>4</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1761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AFAA4F">
                            <w:pPr>
                              <w:widowControl/>
                              <w:jc w:val="left"/>
                              <w:rPr>
                                <w:rFonts w:ascii="Calibri" w:hAnsi="Calibri" w:eastAsia="Times New Roman"/>
                                <w:sz w:val="22"/>
                                <w:szCs w:val="22"/>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747F337">
                            <w:pPr>
                              <w:widowControl/>
                              <w:jc w:val="left"/>
                              <w:rPr>
                                <w:rFonts w:ascii="Calibri" w:hAnsi="Calibri" w:eastAsia="Times New Roman"/>
                                <w:sz w:val="22"/>
                                <w:szCs w:val="22"/>
                              </w:rPr>
                            </w:pPr>
                          </w:p>
                        </w:tc>
                        <w:tc>
                          <w:tcPr>
                            <w:tcW w:w="1665" w:type="dxa"/>
                            <w:vMerge w:val="continue"/>
                            <w:tcBorders>
                              <w:top w:val="single" w:color="auto" w:sz="4" w:space="0"/>
                              <w:left w:val="single" w:color="auto" w:sz="4" w:space="0"/>
                              <w:bottom w:val="single" w:color="auto" w:sz="4" w:space="0"/>
                              <w:right w:val="single" w:color="auto" w:sz="4" w:space="0"/>
                            </w:tcBorders>
                            <w:vAlign w:val="center"/>
                          </w:tcPr>
                          <w:p w14:paraId="09C3D4AC">
                            <w:pPr>
                              <w:widowControl/>
                              <w:jc w:val="left"/>
                              <w:rPr>
                                <w:rFonts w:ascii="宋体" w:hAnsi="宋体" w:eastAsia="Times New Roman" w:cs="宋体"/>
                                <w:kern w:val="0"/>
                                <w:sz w:val="20"/>
                                <w:szCs w:val="20"/>
                              </w:rPr>
                            </w:pPr>
                          </w:p>
                        </w:tc>
                        <w:tc>
                          <w:tcPr>
                            <w:tcW w:w="1770" w:type="dxa"/>
                            <w:tcBorders>
                              <w:top w:val="single" w:color="auto" w:sz="4" w:space="0"/>
                              <w:left w:val="single" w:color="auto" w:sz="4" w:space="0"/>
                              <w:bottom w:val="single" w:color="auto" w:sz="4" w:space="0"/>
                              <w:right w:val="single" w:color="auto" w:sz="4" w:space="0"/>
                            </w:tcBorders>
                          </w:tcPr>
                          <w:p w14:paraId="28E5AA35">
                            <w:pPr>
                              <w:pStyle w:val="54"/>
                              <w:spacing w:before="12"/>
                              <w:rPr>
                                <w:rFonts w:ascii="宋体" w:hAnsi="宋体" w:cs="宋体"/>
                                <w:sz w:val="15"/>
                                <w:szCs w:val="15"/>
                                <w:lang w:eastAsia="zh-CN"/>
                              </w:rPr>
                            </w:pPr>
                          </w:p>
                          <w:p w14:paraId="074F3879">
                            <w:pPr>
                              <w:pStyle w:val="54"/>
                              <w:ind w:left="7"/>
                              <w:rPr>
                                <w:rFonts w:ascii="宋体" w:hAnsi="宋体" w:cs="宋体"/>
                                <w:sz w:val="20"/>
                                <w:szCs w:val="20"/>
                              </w:rPr>
                            </w:pPr>
                            <w:r>
                              <w:rPr>
                                <w:rFonts w:hint="eastAsia" w:ascii="宋体" w:hAnsi="宋体" w:cs="宋体"/>
                                <w:w w:val="99"/>
                                <w:sz w:val="20"/>
                                <w:szCs w:val="20"/>
                              </w:rPr>
                              <w:t>太阳能</w:t>
                            </w:r>
                            <w:r>
                              <w:rPr>
                                <w:rFonts w:hint="eastAsia" w:ascii="宋体" w:hAnsi="宋体" w:cs="宋体"/>
                                <w:spacing w:val="2"/>
                                <w:w w:val="99"/>
                                <w:sz w:val="20"/>
                                <w:szCs w:val="20"/>
                              </w:rPr>
                              <w:t>热</w:t>
                            </w:r>
                            <w:r>
                              <w:rPr>
                                <w:rFonts w:hint="eastAsia" w:ascii="宋体" w:hAnsi="宋体" w:cs="宋体"/>
                                <w:w w:val="99"/>
                                <w:sz w:val="20"/>
                                <w:szCs w:val="20"/>
                              </w:rPr>
                              <w:t>水系统</w:t>
                            </w:r>
                          </w:p>
                        </w:tc>
                        <w:tc>
                          <w:tcPr>
                            <w:tcW w:w="3765" w:type="dxa"/>
                            <w:tcBorders>
                              <w:top w:val="single" w:color="auto" w:sz="4" w:space="0"/>
                              <w:left w:val="single" w:color="auto" w:sz="4" w:space="0"/>
                              <w:bottom w:val="single" w:color="auto" w:sz="4" w:space="0"/>
                              <w:right w:val="single" w:color="auto" w:sz="4" w:space="0"/>
                            </w:tcBorders>
                          </w:tcPr>
                          <w:p w14:paraId="03C860B3">
                            <w:pPr>
                              <w:pStyle w:val="54"/>
                              <w:spacing w:before="52"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《家用太阳能热水系统</w:t>
                            </w:r>
                            <w:r>
                              <w:rPr>
                                <w:rFonts w:hint="eastAsia" w:ascii="宋体" w:hAnsi="宋体" w:cs="宋体"/>
                                <w:spacing w:val="9"/>
                                <w:w w:val="99"/>
                                <w:sz w:val="20"/>
                                <w:szCs w:val="20"/>
                                <w:lang w:eastAsia="zh-CN"/>
                              </w:rPr>
                              <w:t>能</w:t>
                            </w:r>
                            <w:r>
                              <w:rPr>
                                <w:rFonts w:hint="eastAsia" w:ascii="宋体" w:hAnsi="宋体" w:cs="宋体"/>
                                <w:spacing w:val="12"/>
                                <w:w w:val="99"/>
                                <w:sz w:val="20"/>
                                <w:szCs w:val="20"/>
                                <w:lang w:eastAsia="zh-CN"/>
                              </w:rPr>
                              <w:t>效限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26</w:t>
                            </w:r>
                            <w:r>
                              <w:rPr>
                                <w:rFonts w:hint="eastAsia" w:ascii="宋体" w:hAnsi="宋体" w:cs="宋体"/>
                                <w:w w:val="99"/>
                                <w:sz w:val="20"/>
                                <w:szCs w:val="20"/>
                                <w:lang w:eastAsia="zh-CN"/>
                              </w:rPr>
                              <w:t>96</w:t>
                            </w:r>
                            <w:r>
                              <w:rPr>
                                <w:rFonts w:hint="eastAsia" w:ascii="宋体" w:hAnsi="宋体" w:cs="宋体"/>
                                <w:spacing w:val="-2"/>
                                <w:w w:val="99"/>
                                <w:sz w:val="20"/>
                                <w:szCs w:val="20"/>
                                <w:lang w:eastAsia="zh-CN"/>
                              </w:rPr>
                              <w:t>9</w:t>
                            </w:r>
                            <w:r>
                              <w:rPr>
                                <w:rFonts w:hint="eastAsia" w:ascii="宋体" w:hAnsi="宋体" w:cs="宋体"/>
                                <w:w w:val="99"/>
                                <w:sz w:val="20"/>
                                <w:szCs w:val="20"/>
                                <w:lang w:eastAsia="zh-CN"/>
                              </w:rPr>
                              <w:t>）</w:t>
                            </w:r>
                          </w:p>
                        </w:tc>
                      </w:tr>
                      <w:tr w14:paraId="4BA93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2" w:hRule="exact"/>
                        </w:trPr>
                        <w:tc>
                          <w:tcPr>
                            <w:tcW w:w="585" w:type="dxa"/>
                            <w:vMerge w:val="restart"/>
                            <w:tcBorders>
                              <w:top w:val="single" w:color="auto" w:sz="4" w:space="0"/>
                              <w:left w:val="single" w:color="auto" w:sz="4" w:space="0"/>
                              <w:bottom w:val="single" w:color="auto" w:sz="4" w:space="0"/>
                              <w:right w:val="single" w:color="auto" w:sz="4" w:space="0"/>
                            </w:tcBorders>
                          </w:tcPr>
                          <w:p w14:paraId="700CDE79">
                            <w:pPr>
                              <w:pStyle w:val="54"/>
                              <w:rPr>
                                <w:rFonts w:ascii="宋体" w:hAnsi="宋体" w:cs="宋体"/>
                                <w:sz w:val="20"/>
                                <w:szCs w:val="20"/>
                                <w:lang w:eastAsia="zh-CN"/>
                              </w:rPr>
                            </w:pPr>
                          </w:p>
                          <w:p w14:paraId="6B831797">
                            <w:pPr>
                              <w:pStyle w:val="54"/>
                              <w:rPr>
                                <w:rFonts w:ascii="宋体" w:hAnsi="宋体" w:cs="宋体"/>
                                <w:sz w:val="20"/>
                                <w:szCs w:val="20"/>
                                <w:lang w:eastAsia="zh-CN"/>
                              </w:rPr>
                            </w:pPr>
                          </w:p>
                          <w:p w14:paraId="11250937">
                            <w:pPr>
                              <w:pStyle w:val="54"/>
                              <w:rPr>
                                <w:rFonts w:ascii="宋体" w:hAnsi="宋体" w:cs="宋体"/>
                                <w:sz w:val="20"/>
                                <w:szCs w:val="20"/>
                                <w:lang w:eastAsia="zh-CN"/>
                              </w:rPr>
                            </w:pPr>
                          </w:p>
                          <w:p w14:paraId="34BBC47A">
                            <w:pPr>
                              <w:pStyle w:val="54"/>
                              <w:rPr>
                                <w:rFonts w:ascii="宋体" w:hAnsi="宋体" w:cs="宋体"/>
                                <w:sz w:val="20"/>
                                <w:szCs w:val="20"/>
                                <w:lang w:eastAsia="zh-CN"/>
                              </w:rPr>
                            </w:pPr>
                          </w:p>
                          <w:p w14:paraId="5D475424">
                            <w:pPr>
                              <w:pStyle w:val="54"/>
                              <w:rPr>
                                <w:rFonts w:ascii="宋体" w:hAnsi="宋体" w:cs="宋体"/>
                                <w:sz w:val="20"/>
                                <w:szCs w:val="20"/>
                                <w:lang w:eastAsia="zh-CN"/>
                              </w:rPr>
                            </w:pPr>
                          </w:p>
                          <w:p w14:paraId="02B96E71">
                            <w:pPr>
                              <w:pStyle w:val="54"/>
                              <w:spacing w:before="12"/>
                              <w:rPr>
                                <w:rFonts w:ascii="宋体" w:hAnsi="宋体" w:cs="宋体"/>
                                <w:sz w:val="23"/>
                                <w:szCs w:val="23"/>
                                <w:lang w:eastAsia="zh-CN"/>
                              </w:rPr>
                            </w:pPr>
                          </w:p>
                          <w:p w14:paraId="3C9B34CB">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1</w:t>
                            </w:r>
                          </w:p>
                        </w:tc>
                        <w:tc>
                          <w:tcPr>
                            <w:tcW w:w="1305" w:type="dxa"/>
                            <w:vMerge w:val="restart"/>
                            <w:tcBorders>
                              <w:top w:val="single" w:color="auto" w:sz="4" w:space="0"/>
                              <w:left w:val="single" w:color="auto" w:sz="4" w:space="0"/>
                              <w:bottom w:val="single" w:color="auto" w:sz="4" w:space="0"/>
                              <w:right w:val="single" w:color="auto" w:sz="4" w:space="0"/>
                            </w:tcBorders>
                          </w:tcPr>
                          <w:p w14:paraId="3503FE74">
                            <w:pPr>
                              <w:pStyle w:val="54"/>
                              <w:rPr>
                                <w:rFonts w:ascii="宋体" w:hAnsi="宋体" w:cs="宋体"/>
                                <w:sz w:val="20"/>
                                <w:szCs w:val="20"/>
                              </w:rPr>
                            </w:pPr>
                          </w:p>
                          <w:p w14:paraId="01CC1B8D">
                            <w:pPr>
                              <w:pStyle w:val="54"/>
                              <w:rPr>
                                <w:rFonts w:ascii="宋体" w:hAnsi="宋体" w:cs="宋体"/>
                                <w:sz w:val="20"/>
                                <w:szCs w:val="20"/>
                              </w:rPr>
                            </w:pPr>
                          </w:p>
                          <w:p w14:paraId="3BCA8CA8">
                            <w:pPr>
                              <w:pStyle w:val="54"/>
                              <w:rPr>
                                <w:rFonts w:ascii="宋体" w:hAnsi="宋体" w:cs="宋体"/>
                                <w:sz w:val="20"/>
                                <w:szCs w:val="20"/>
                              </w:rPr>
                            </w:pPr>
                          </w:p>
                          <w:p w14:paraId="076993A4">
                            <w:pPr>
                              <w:pStyle w:val="54"/>
                              <w:rPr>
                                <w:rFonts w:ascii="宋体" w:hAnsi="宋体" w:cs="宋体"/>
                                <w:sz w:val="20"/>
                                <w:szCs w:val="20"/>
                              </w:rPr>
                            </w:pPr>
                          </w:p>
                          <w:p w14:paraId="495FE1AF">
                            <w:pPr>
                              <w:pStyle w:val="54"/>
                              <w:rPr>
                                <w:rFonts w:ascii="宋体" w:hAnsi="宋体" w:cs="宋体"/>
                                <w:sz w:val="20"/>
                                <w:szCs w:val="20"/>
                              </w:rPr>
                            </w:pPr>
                          </w:p>
                          <w:p w14:paraId="3582F863">
                            <w:pPr>
                              <w:pStyle w:val="54"/>
                              <w:spacing w:before="157"/>
                              <w:ind w:left="7"/>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06</w:t>
                            </w:r>
                            <w:r>
                              <w:rPr>
                                <w:rFonts w:hint="eastAsia" w:ascii="宋体" w:hAnsi="宋体" w:cs="宋体"/>
                                <w:spacing w:val="1"/>
                                <w:w w:val="99"/>
                                <w:sz w:val="20"/>
                                <w:szCs w:val="20"/>
                              </w:rPr>
                              <w:t>1</w:t>
                            </w:r>
                            <w:r>
                              <w:rPr>
                                <w:rFonts w:hint="eastAsia" w:ascii="宋体" w:hAnsi="宋体" w:cs="宋体"/>
                                <w:w w:val="99"/>
                                <w:sz w:val="20"/>
                                <w:szCs w:val="20"/>
                              </w:rPr>
                              <w:t>9照明</w:t>
                            </w:r>
                          </w:p>
                          <w:p w14:paraId="5E0A6E77">
                            <w:pPr>
                              <w:pStyle w:val="54"/>
                              <w:spacing w:before="50"/>
                              <w:ind w:left="7"/>
                              <w:rPr>
                                <w:rFonts w:ascii="宋体" w:hAnsi="宋体" w:cs="宋体"/>
                                <w:sz w:val="20"/>
                                <w:szCs w:val="20"/>
                              </w:rPr>
                            </w:pPr>
                            <w:r>
                              <w:rPr>
                                <w:rFonts w:hint="eastAsia" w:ascii="宋体" w:hAnsi="宋体" w:cs="宋体"/>
                                <w:w w:val="99"/>
                                <w:sz w:val="20"/>
                                <w:szCs w:val="20"/>
                              </w:rPr>
                              <w:t>设备</w:t>
                            </w:r>
                          </w:p>
                        </w:tc>
                        <w:tc>
                          <w:tcPr>
                            <w:tcW w:w="1665" w:type="dxa"/>
                            <w:tcBorders>
                              <w:top w:val="single" w:color="auto" w:sz="4" w:space="0"/>
                              <w:left w:val="single" w:color="auto" w:sz="4" w:space="0"/>
                              <w:bottom w:val="single" w:color="auto" w:sz="4" w:space="0"/>
                              <w:right w:val="single" w:color="auto" w:sz="4" w:space="0"/>
                            </w:tcBorders>
                          </w:tcPr>
                          <w:p w14:paraId="7120DBF5">
                            <w:pPr>
                              <w:pStyle w:val="54"/>
                              <w:spacing w:before="133" w:line="280" w:lineRule="auto"/>
                              <w:ind w:left="7" w:right="7"/>
                              <w:rPr>
                                <w:rFonts w:ascii="宋体" w:hAnsi="宋体" w:cs="宋体"/>
                                <w:sz w:val="20"/>
                                <w:szCs w:val="20"/>
                                <w:lang w:eastAsia="zh-CN"/>
                              </w:rPr>
                            </w:pPr>
                            <w:r>
                              <w:rPr>
                                <w:rFonts w:hint="eastAsia" w:ascii="宋体" w:hAnsi="宋体" w:cs="宋体"/>
                                <w:w w:val="99"/>
                                <w:sz w:val="20"/>
                                <w:szCs w:val="20"/>
                                <w:lang w:eastAsia="zh-CN"/>
                              </w:rPr>
                              <w:t>★</w:t>
                            </w:r>
                            <w:r>
                              <w:rPr>
                                <w:rFonts w:hint="eastAsia" w:ascii="宋体" w:hAnsi="宋体" w:cs="宋体"/>
                                <w:spacing w:val="24"/>
                                <w:w w:val="99"/>
                                <w:sz w:val="20"/>
                                <w:szCs w:val="20"/>
                                <w:lang w:eastAsia="zh-CN"/>
                              </w:rPr>
                              <w:t>普</w:t>
                            </w:r>
                            <w:r>
                              <w:rPr>
                                <w:rFonts w:hint="eastAsia" w:ascii="宋体" w:hAnsi="宋体" w:cs="宋体"/>
                                <w:w w:val="99"/>
                                <w:sz w:val="20"/>
                                <w:szCs w:val="20"/>
                                <w:lang w:eastAsia="zh-CN"/>
                              </w:rPr>
                              <w:t>通照明用</w:t>
                            </w:r>
                            <w:r>
                              <w:rPr>
                                <w:rFonts w:hint="eastAsia" w:ascii="宋体" w:hAnsi="宋体" w:cs="宋体"/>
                                <w:spacing w:val="24"/>
                                <w:w w:val="99"/>
                                <w:sz w:val="20"/>
                                <w:szCs w:val="20"/>
                                <w:lang w:eastAsia="zh-CN"/>
                              </w:rPr>
                              <w:t>双</w:t>
                            </w:r>
                            <w:r>
                              <w:rPr>
                                <w:rFonts w:hint="eastAsia" w:ascii="宋体" w:hAnsi="宋体" w:cs="宋体"/>
                                <w:w w:val="99"/>
                                <w:sz w:val="20"/>
                                <w:szCs w:val="20"/>
                                <w:lang w:eastAsia="zh-CN"/>
                              </w:rPr>
                              <w:t>端荧光灯</w:t>
                            </w:r>
                          </w:p>
                        </w:tc>
                        <w:tc>
                          <w:tcPr>
                            <w:tcW w:w="1770" w:type="dxa"/>
                            <w:tcBorders>
                              <w:top w:val="single" w:color="auto" w:sz="4" w:space="0"/>
                              <w:left w:val="single" w:color="auto" w:sz="4" w:space="0"/>
                              <w:bottom w:val="single" w:color="auto" w:sz="4" w:space="0"/>
                              <w:right w:val="single" w:color="auto" w:sz="4" w:space="0"/>
                            </w:tcBorders>
                          </w:tcPr>
                          <w:p w14:paraId="3DBB415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4C1C5A5">
                            <w:pPr>
                              <w:pStyle w:val="54"/>
                              <w:spacing w:before="133"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《普通照明用双端荧光</w:t>
                            </w:r>
                            <w:r>
                              <w:rPr>
                                <w:rFonts w:hint="eastAsia" w:ascii="宋体" w:hAnsi="宋体" w:cs="宋体"/>
                                <w:spacing w:val="9"/>
                                <w:w w:val="99"/>
                                <w:sz w:val="20"/>
                                <w:szCs w:val="20"/>
                                <w:lang w:eastAsia="zh-CN"/>
                              </w:rPr>
                              <w:t>灯</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19</w:t>
                            </w:r>
                            <w:r>
                              <w:rPr>
                                <w:rFonts w:hint="eastAsia" w:ascii="宋体" w:hAnsi="宋体" w:cs="宋体"/>
                                <w:w w:val="99"/>
                                <w:sz w:val="20"/>
                                <w:szCs w:val="20"/>
                                <w:lang w:eastAsia="zh-CN"/>
                              </w:rPr>
                              <w:t>04</w:t>
                            </w:r>
                            <w:r>
                              <w:rPr>
                                <w:rFonts w:hint="eastAsia" w:ascii="宋体" w:hAnsi="宋体" w:cs="宋体"/>
                                <w:spacing w:val="1"/>
                                <w:w w:val="99"/>
                                <w:sz w:val="20"/>
                                <w:szCs w:val="20"/>
                                <w:lang w:eastAsia="zh-CN"/>
                              </w:rPr>
                              <w:t>3</w:t>
                            </w:r>
                            <w:r>
                              <w:rPr>
                                <w:rFonts w:hint="eastAsia" w:ascii="宋体" w:hAnsi="宋体" w:cs="宋体"/>
                                <w:w w:val="99"/>
                                <w:sz w:val="20"/>
                                <w:szCs w:val="20"/>
                                <w:lang w:eastAsia="zh-CN"/>
                              </w:rPr>
                              <w:t>）</w:t>
                            </w:r>
                          </w:p>
                        </w:tc>
                      </w:tr>
                      <w:tr w14:paraId="2FDD8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1"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593FDC4">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442F370F">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1DB02977">
                            <w:pPr>
                              <w:pStyle w:val="54"/>
                              <w:spacing w:before="92" w:line="280" w:lineRule="auto"/>
                              <w:ind w:left="7" w:right="2"/>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w:t>
                            </w:r>
                            <w:r>
                              <w:rPr>
                                <w:rFonts w:hint="eastAsia" w:ascii="宋体" w:hAnsi="宋体" w:cs="宋体"/>
                                <w:spacing w:val="12"/>
                                <w:w w:val="99"/>
                                <w:sz w:val="20"/>
                                <w:szCs w:val="20"/>
                              </w:rPr>
                              <w:t>道</w:t>
                            </w:r>
                            <w:r>
                              <w:rPr>
                                <w:rFonts w:hint="eastAsia" w:ascii="宋体" w:hAnsi="宋体" w:cs="宋体"/>
                                <w:spacing w:val="9"/>
                                <w:w w:val="99"/>
                                <w:sz w:val="20"/>
                                <w:szCs w:val="20"/>
                              </w:rPr>
                              <w:t>路</w:t>
                            </w:r>
                            <w:r>
                              <w:rPr>
                                <w:rFonts w:hint="eastAsia" w:ascii="宋体" w:hAnsi="宋体" w:cs="宋体"/>
                                <w:spacing w:val="13"/>
                                <w:w w:val="99"/>
                                <w:sz w:val="20"/>
                                <w:szCs w:val="20"/>
                              </w:rPr>
                              <w:t>/</w:t>
                            </w:r>
                            <w:r>
                              <w:rPr>
                                <w:rFonts w:hint="eastAsia" w:ascii="宋体" w:hAnsi="宋体" w:cs="宋体"/>
                                <w:spacing w:val="12"/>
                                <w:w w:val="99"/>
                                <w:sz w:val="20"/>
                                <w:szCs w:val="20"/>
                              </w:rPr>
                              <w:t>隧道照</w:t>
                            </w:r>
                            <w:r>
                              <w:rPr>
                                <w:rFonts w:hint="eastAsia" w:ascii="宋体" w:hAnsi="宋体" w:cs="宋体"/>
                                <w:w w:val="99"/>
                                <w:sz w:val="20"/>
                                <w:szCs w:val="20"/>
                              </w:rPr>
                              <w:t>明产品</w:t>
                            </w:r>
                          </w:p>
                        </w:tc>
                        <w:tc>
                          <w:tcPr>
                            <w:tcW w:w="1770" w:type="dxa"/>
                            <w:tcBorders>
                              <w:top w:val="single" w:color="auto" w:sz="4" w:space="0"/>
                              <w:left w:val="single" w:color="auto" w:sz="4" w:space="0"/>
                              <w:bottom w:val="single" w:color="auto" w:sz="4" w:space="0"/>
                              <w:right w:val="single" w:color="auto" w:sz="4" w:space="0"/>
                            </w:tcBorders>
                          </w:tcPr>
                          <w:p w14:paraId="02743E3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704CF2A">
                            <w:pPr>
                              <w:pStyle w:val="54"/>
                              <w:spacing w:before="92"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道</w:t>
                            </w:r>
                            <w:r>
                              <w:rPr>
                                <w:rFonts w:hint="eastAsia" w:ascii="宋体" w:hAnsi="宋体" w:cs="宋体"/>
                                <w:spacing w:val="4"/>
                                <w:w w:val="99"/>
                                <w:sz w:val="20"/>
                                <w:szCs w:val="20"/>
                                <w:lang w:eastAsia="zh-CN"/>
                              </w:rPr>
                              <w:t>路和隧道照</w:t>
                            </w:r>
                            <w:r>
                              <w:rPr>
                                <w:rFonts w:hint="eastAsia" w:ascii="宋体" w:hAnsi="宋体" w:cs="宋体"/>
                                <w:spacing w:val="2"/>
                                <w:w w:val="99"/>
                                <w:sz w:val="20"/>
                                <w:szCs w:val="20"/>
                                <w:lang w:eastAsia="zh-CN"/>
                              </w:rPr>
                              <w:t>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灯</w:t>
                            </w:r>
                            <w:r>
                              <w:rPr>
                                <w:rFonts w:hint="eastAsia" w:ascii="宋体" w:hAnsi="宋体" w:cs="宋体"/>
                                <w:spacing w:val="2"/>
                                <w:w w:val="99"/>
                                <w:sz w:val="20"/>
                                <w:szCs w:val="20"/>
                                <w:lang w:eastAsia="zh-CN"/>
                              </w:rPr>
                              <w:t>具</w:t>
                            </w:r>
                            <w:r>
                              <w:rPr>
                                <w:rFonts w:hint="eastAsia" w:ascii="宋体" w:hAnsi="宋体" w:cs="宋体"/>
                                <w:w w:val="99"/>
                                <w:sz w:val="20"/>
                                <w:szCs w:val="20"/>
                                <w:lang w:eastAsia="zh-CN"/>
                              </w:rPr>
                              <w:t>能效限定</w:t>
                            </w:r>
                            <w:r>
                              <w:rPr>
                                <w:rFonts w:hint="eastAsia" w:ascii="宋体" w:hAnsi="宋体" w:cs="宋体"/>
                                <w:spacing w:val="2"/>
                                <w:w w:val="99"/>
                                <w:sz w:val="20"/>
                                <w:szCs w:val="20"/>
                                <w:lang w:eastAsia="zh-CN"/>
                              </w:rPr>
                              <w:t>值</w:t>
                            </w:r>
                            <w:r>
                              <w:rPr>
                                <w:rFonts w:hint="eastAsia" w:ascii="宋体" w:hAnsi="宋体" w:cs="宋体"/>
                                <w:w w:val="99"/>
                                <w:sz w:val="20"/>
                                <w:szCs w:val="20"/>
                                <w:lang w:eastAsia="zh-CN"/>
                              </w:rPr>
                              <w:t>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106"/>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3747</w:t>
                            </w:r>
                            <w:r>
                              <w:rPr>
                                <w:rFonts w:hint="eastAsia" w:ascii="宋体" w:hAnsi="宋体" w:cs="宋体"/>
                                <w:w w:val="99"/>
                                <w:sz w:val="20"/>
                                <w:szCs w:val="20"/>
                                <w:lang w:eastAsia="zh-CN"/>
                              </w:rPr>
                              <w:t>8</w:t>
                            </w:r>
                          </w:p>
                        </w:tc>
                      </w:tr>
                      <w:tr w14:paraId="12A5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4"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7DF91F">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087B6483">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3B437818">
                            <w:pPr>
                              <w:pStyle w:val="54"/>
                              <w:spacing w:before="4"/>
                              <w:rPr>
                                <w:rFonts w:ascii="宋体" w:hAnsi="宋体" w:cs="宋体"/>
                                <w:sz w:val="18"/>
                                <w:szCs w:val="18"/>
                                <w:lang w:eastAsia="zh-CN"/>
                              </w:rPr>
                            </w:pPr>
                          </w:p>
                          <w:p w14:paraId="51A962A5">
                            <w:pPr>
                              <w:pStyle w:val="54"/>
                              <w:ind w:left="7"/>
                              <w:rPr>
                                <w:rFonts w:ascii="宋体" w:hAnsi="宋体" w:cs="宋体"/>
                                <w:sz w:val="20"/>
                                <w:szCs w:val="20"/>
                              </w:rPr>
                            </w:pPr>
                            <w:r>
                              <w:rPr>
                                <w:rFonts w:hint="eastAsia" w:ascii="宋体" w:hAnsi="宋体" w:cs="宋体"/>
                                <w:spacing w:val="1"/>
                                <w:w w:val="99"/>
                                <w:sz w:val="20"/>
                                <w:szCs w:val="20"/>
                              </w:rPr>
                              <w:t>LE</w:t>
                            </w:r>
                            <w:r>
                              <w:rPr>
                                <w:rFonts w:hint="eastAsia" w:ascii="宋体" w:hAnsi="宋体" w:cs="宋体"/>
                                <w:w w:val="99"/>
                                <w:sz w:val="20"/>
                                <w:szCs w:val="20"/>
                              </w:rPr>
                              <w:t>D筒灯</w:t>
                            </w:r>
                          </w:p>
                        </w:tc>
                        <w:tc>
                          <w:tcPr>
                            <w:tcW w:w="1770" w:type="dxa"/>
                            <w:tcBorders>
                              <w:top w:val="single" w:color="auto" w:sz="4" w:space="0"/>
                              <w:left w:val="single" w:color="auto" w:sz="4" w:space="0"/>
                              <w:bottom w:val="single" w:color="auto" w:sz="4" w:space="0"/>
                              <w:right w:val="single" w:color="auto" w:sz="4" w:space="0"/>
                            </w:tcBorders>
                          </w:tcPr>
                          <w:p w14:paraId="360E5EE8">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D7C4A3D">
                            <w:pPr>
                              <w:pStyle w:val="54"/>
                              <w:spacing w:before="83"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64F6E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C70F3A">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1213D40B">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6C272BA2">
                            <w:pPr>
                              <w:pStyle w:val="54"/>
                              <w:spacing w:before="5"/>
                              <w:rPr>
                                <w:rFonts w:ascii="宋体" w:hAnsi="宋体" w:cs="宋体"/>
                                <w:sz w:val="15"/>
                                <w:szCs w:val="15"/>
                                <w:lang w:eastAsia="zh-CN"/>
                              </w:rPr>
                            </w:pPr>
                          </w:p>
                          <w:p w14:paraId="08E95E4C">
                            <w:pPr>
                              <w:pStyle w:val="54"/>
                              <w:spacing w:line="280" w:lineRule="auto"/>
                              <w:ind w:left="7" w:right="7"/>
                              <w:rPr>
                                <w:rFonts w:ascii="宋体" w:hAnsi="宋体" w:cs="宋体"/>
                                <w:sz w:val="20"/>
                                <w:szCs w:val="20"/>
                                <w:lang w:eastAsia="zh-CN"/>
                              </w:rPr>
                            </w:pPr>
                            <w:r>
                              <w:rPr>
                                <w:rFonts w:hint="eastAsia" w:ascii="宋体" w:hAnsi="宋体" w:cs="宋体"/>
                                <w:w w:val="99"/>
                                <w:sz w:val="20"/>
                                <w:szCs w:val="20"/>
                                <w:lang w:eastAsia="zh-CN"/>
                              </w:rPr>
                              <w:t>普</w:t>
                            </w:r>
                            <w:r>
                              <w:rPr>
                                <w:rFonts w:hint="eastAsia" w:ascii="宋体" w:hAnsi="宋体" w:cs="宋体"/>
                                <w:spacing w:val="24"/>
                                <w:w w:val="99"/>
                                <w:sz w:val="20"/>
                                <w:szCs w:val="20"/>
                                <w:lang w:eastAsia="zh-CN"/>
                              </w:rPr>
                              <w:t>通</w:t>
                            </w:r>
                            <w:r>
                              <w:rPr>
                                <w:rFonts w:hint="eastAsia" w:ascii="宋体" w:hAnsi="宋体" w:cs="宋体"/>
                                <w:w w:val="99"/>
                                <w:sz w:val="20"/>
                                <w:szCs w:val="20"/>
                                <w:lang w:eastAsia="zh-CN"/>
                              </w:rPr>
                              <w:t>照明用非</w:t>
                            </w:r>
                            <w:r>
                              <w:rPr>
                                <w:rFonts w:hint="eastAsia" w:ascii="宋体" w:hAnsi="宋体" w:cs="宋体"/>
                                <w:spacing w:val="24"/>
                                <w:w w:val="99"/>
                                <w:sz w:val="20"/>
                                <w:szCs w:val="20"/>
                                <w:lang w:eastAsia="zh-CN"/>
                              </w:rPr>
                              <w:t>定</w:t>
                            </w:r>
                            <w:r>
                              <w:rPr>
                                <w:rFonts w:hint="eastAsia" w:ascii="宋体" w:hAnsi="宋体" w:cs="宋体"/>
                                <w:w w:val="99"/>
                                <w:sz w:val="20"/>
                                <w:szCs w:val="20"/>
                                <w:lang w:eastAsia="zh-CN"/>
                              </w:rPr>
                              <w:t>向自镇流</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D灯</w:t>
                            </w:r>
                          </w:p>
                        </w:tc>
                        <w:tc>
                          <w:tcPr>
                            <w:tcW w:w="1770" w:type="dxa"/>
                            <w:tcBorders>
                              <w:top w:val="single" w:color="auto" w:sz="4" w:space="0"/>
                              <w:left w:val="single" w:color="auto" w:sz="4" w:space="0"/>
                              <w:bottom w:val="single" w:color="auto" w:sz="4" w:space="0"/>
                              <w:right w:val="single" w:color="auto" w:sz="4" w:space="0"/>
                            </w:tcBorders>
                          </w:tcPr>
                          <w:p w14:paraId="3F0A0F01">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7F050C03">
                            <w:pPr>
                              <w:pStyle w:val="54"/>
                              <w:spacing w:before="5"/>
                              <w:rPr>
                                <w:rFonts w:ascii="宋体" w:hAnsi="宋体" w:cs="宋体"/>
                                <w:sz w:val="15"/>
                                <w:szCs w:val="15"/>
                                <w:lang w:eastAsia="zh-CN"/>
                              </w:rPr>
                            </w:pPr>
                          </w:p>
                          <w:p w14:paraId="54882D8D">
                            <w:pPr>
                              <w:pStyle w:val="54"/>
                              <w:spacing w:line="280" w:lineRule="auto"/>
                              <w:ind w:left="7" w:right="7"/>
                              <w:rPr>
                                <w:rFonts w:ascii="宋体" w:hAnsi="宋体" w:cs="宋体"/>
                                <w:sz w:val="20"/>
                                <w:szCs w:val="20"/>
                                <w:lang w:eastAsia="zh-CN"/>
                              </w:rPr>
                            </w:pPr>
                            <w:r>
                              <w:rPr>
                                <w:rFonts w:hint="eastAsia" w:ascii="宋体" w:hAnsi="宋体" w:cs="宋体"/>
                                <w:spacing w:val="4"/>
                                <w:w w:val="99"/>
                                <w:sz w:val="20"/>
                                <w:szCs w:val="20"/>
                                <w:lang w:eastAsia="zh-CN"/>
                              </w:rPr>
                              <w:t>《</w:t>
                            </w:r>
                            <w:r>
                              <w:rPr>
                                <w:rFonts w:hint="eastAsia" w:ascii="宋体" w:hAnsi="宋体" w:cs="宋体"/>
                                <w:spacing w:val="2"/>
                                <w:w w:val="99"/>
                                <w:sz w:val="20"/>
                                <w:szCs w:val="20"/>
                                <w:lang w:eastAsia="zh-CN"/>
                              </w:rPr>
                              <w:t>室</w:t>
                            </w:r>
                            <w:r>
                              <w:rPr>
                                <w:rFonts w:hint="eastAsia" w:ascii="宋体" w:hAnsi="宋体" w:cs="宋体"/>
                                <w:spacing w:val="4"/>
                                <w:w w:val="99"/>
                                <w:sz w:val="20"/>
                                <w:szCs w:val="20"/>
                                <w:lang w:eastAsia="zh-CN"/>
                              </w:rPr>
                              <w:t>内照明</w:t>
                            </w:r>
                            <w:r>
                              <w:rPr>
                                <w:rFonts w:hint="eastAsia" w:ascii="宋体" w:hAnsi="宋体" w:cs="宋体"/>
                                <w:w w:val="99"/>
                                <w:sz w:val="20"/>
                                <w:szCs w:val="20"/>
                                <w:lang w:eastAsia="zh-CN"/>
                              </w:rPr>
                              <w:t>用</w:t>
                            </w:r>
                            <w:r>
                              <w:rPr>
                                <w:rFonts w:hint="eastAsia" w:ascii="宋体" w:hAnsi="宋体" w:cs="宋体"/>
                                <w:spacing w:val="1"/>
                                <w:w w:val="99"/>
                                <w:sz w:val="20"/>
                                <w:szCs w:val="20"/>
                                <w:lang w:eastAsia="zh-CN"/>
                              </w:rPr>
                              <w:t>LE</w:t>
                            </w:r>
                            <w:r>
                              <w:rPr>
                                <w:rFonts w:hint="eastAsia" w:ascii="宋体" w:hAnsi="宋体" w:cs="宋体"/>
                                <w:w w:val="99"/>
                                <w:sz w:val="20"/>
                                <w:szCs w:val="20"/>
                                <w:lang w:eastAsia="zh-CN"/>
                              </w:rPr>
                              <w:t>D</w:t>
                            </w:r>
                            <w:r>
                              <w:rPr>
                                <w:rFonts w:hint="eastAsia" w:ascii="宋体" w:hAnsi="宋体" w:cs="宋体"/>
                                <w:spacing w:val="4"/>
                                <w:w w:val="99"/>
                                <w:sz w:val="20"/>
                                <w:szCs w:val="20"/>
                                <w:lang w:eastAsia="zh-CN"/>
                              </w:rPr>
                              <w:t>产</w:t>
                            </w:r>
                            <w:r>
                              <w:rPr>
                                <w:rFonts w:hint="eastAsia" w:ascii="宋体" w:hAnsi="宋体" w:cs="宋体"/>
                                <w:spacing w:val="2"/>
                                <w:w w:val="99"/>
                                <w:sz w:val="20"/>
                                <w:szCs w:val="20"/>
                                <w:lang w:eastAsia="zh-CN"/>
                              </w:rPr>
                              <w:t>品</w:t>
                            </w:r>
                            <w:r>
                              <w:rPr>
                                <w:rFonts w:hint="eastAsia" w:ascii="宋体" w:hAnsi="宋体" w:cs="宋体"/>
                                <w:spacing w:val="4"/>
                                <w:w w:val="99"/>
                                <w:sz w:val="20"/>
                                <w:szCs w:val="20"/>
                                <w:lang w:eastAsia="zh-CN"/>
                              </w:rPr>
                              <w:t>能效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定值及能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25</w:t>
                            </w:r>
                            <w:r>
                              <w:rPr>
                                <w:rFonts w:hint="eastAsia" w:ascii="宋体" w:hAnsi="宋体" w:cs="宋体"/>
                                <w:spacing w:val="-2"/>
                                <w:w w:val="99"/>
                                <w:sz w:val="20"/>
                                <w:szCs w:val="20"/>
                                <w:lang w:eastAsia="zh-CN"/>
                              </w:rPr>
                              <w:t>5</w:t>
                            </w:r>
                            <w:r>
                              <w:rPr>
                                <w:rFonts w:hint="eastAsia" w:ascii="宋体" w:hAnsi="宋体" w:cs="宋体"/>
                                <w:w w:val="99"/>
                                <w:sz w:val="20"/>
                                <w:szCs w:val="20"/>
                                <w:lang w:eastAsia="zh-CN"/>
                              </w:rPr>
                              <w:t>）</w:t>
                            </w:r>
                          </w:p>
                        </w:tc>
                      </w:tr>
                      <w:tr w14:paraId="3EAD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exact"/>
                        </w:trPr>
                        <w:tc>
                          <w:tcPr>
                            <w:tcW w:w="585" w:type="dxa"/>
                            <w:tcBorders>
                              <w:top w:val="single" w:color="auto" w:sz="4" w:space="0"/>
                              <w:left w:val="single" w:color="auto" w:sz="4" w:space="0"/>
                              <w:bottom w:val="single" w:color="auto" w:sz="4" w:space="0"/>
                              <w:right w:val="single" w:color="auto" w:sz="4" w:space="0"/>
                            </w:tcBorders>
                          </w:tcPr>
                          <w:p w14:paraId="2085FAFB">
                            <w:pPr>
                              <w:pStyle w:val="54"/>
                              <w:spacing w:before="1"/>
                              <w:rPr>
                                <w:rFonts w:ascii="宋体" w:hAnsi="宋体" w:cs="宋体"/>
                                <w:sz w:val="18"/>
                                <w:szCs w:val="18"/>
                                <w:lang w:eastAsia="zh-CN"/>
                              </w:rPr>
                            </w:pPr>
                          </w:p>
                          <w:p w14:paraId="16142FCC">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2</w:t>
                            </w:r>
                          </w:p>
                        </w:tc>
                        <w:tc>
                          <w:tcPr>
                            <w:tcW w:w="1305" w:type="dxa"/>
                            <w:tcBorders>
                              <w:top w:val="single" w:color="auto" w:sz="4" w:space="0"/>
                              <w:left w:val="single" w:color="auto" w:sz="4" w:space="0"/>
                              <w:bottom w:val="single" w:color="auto" w:sz="4" w:space="0"/>
                              <w:right w:val="single" w:color="auto" w:sz="4" w:space="0"/>
                            </w:tcBorders>
                          </w:tcPr>
                          <w:p w14:paraId="102A7049">
                            <w:pPr>
                              <w:pStyle w:val="54"/>
                              <w:spacing w:before="81"/>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910电</w:t>
                            </w:r>
                          </w:p>
                          <w:p w14:paraId="5B7CA6D5">
                            <w:pPr>
                              <w:pStyle w:val="54"/>
                              <w:spacing w:before="50"/>
                              <w:ind w:left="7"/>
                              <w:rPr>
                                <w:rFonts w:ascii="宋体" w:hAnsi="宋体" w:cs="宋体"/>
                                <w:sz w:val="20"/>
                                <w:szCs w:val="20"/>
                              </w:rPr>
                            </w:pPr>
                            <w:r>
                              <w:rPr>
                                <w:rFonts w:hint="eastAsia" w:ascii="宋体" w:hAnsi="宋体" w:cs="宋体"/>
                                <w:w w:val="99"/>
                                <w:sz w:val="20"/>
                                <w:szCs w:val="20"/>
                              </w:rPr>
                              <w:t>视设备</w:t>
                            </w:r>
                          </w:p>
                        </w:tc>
                        <w:tc>
                          <w:tcPr>
                            <w:tcW w:w="1665" w:type="dxa"/>
                            <w:tcBorders>
                              <w:top w:val="single" w:color="auto" w:sz="4" w:space="0"/>
                              <w:left w:val="single" w:color="auto" w:sz="4" w:space="0"/>
                              <w:bottom w:val="single" w:color="auto" w:sz="4" w:space="0"/>
                              <w:right w:val="single" w:color="auto" w:sz="4" w:space="0"/>
                            </w:tcBorders>
                          </w:tcPr>
                          <w:p w14:paraId="05F661BD">
                            <w:pPr>
                              <w:pStyle w:val="54"/>
                              <w:spacing w:before="81" w:line="280" w:lineRule="auto"/>
                              <w:ind w:left="7" w:right="5"/>
                              <w:rPr>
                                <w:rFonts w:ascii="宋体" w:hAnsi="宋体" w:cs="宋体"/>
                                <w:sz w:val="20"/>
                                <w:szCs w:val="20"/>
                                <w:lang w:eastAsia="zh-CN"/>
                              </w:rPr>
                            </w:pPr>
                            <w:r>
                              <w:rPr>
                                <w:rFonts w:hint="eastAsia" w:ascii="宋体" w:hAnsi="宋体" w:cs="宋体"/>
                                <w:spacing w:val="1"/>
                                <w:w w:val="99"/>
                                <w:sz w:val="20"/>
                                <w:szCs w:val="20"/>
                                <w:lang w:eastAsia="zh-CN"/>
                              </w:rPr>
                              <w:t>A02</w:t>
                            </w:r>
                            <w:r>
                              <w:rPr>
                                <w:rFonts w:hint="eastAsia" w:ascii="宋体" w:hAnsi="宋体" w:cs="宋体"/>
                                <w:w w:val="99"/>
                                <w:sz w:val="20"/>
                                <w:szCs w:val="20"/>
                                <w:lang w:eastAsia="zh-CN"/>
                              </w:rPr>
                              <w:t>09</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001普通电视设备（</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视机）</w:t>
                            </w:r>
                          </w:p>
                        </w:tc>
                        <w:tc>
                          <w:tcPr>
                            <w:tcW w:w="1770" w:type="dxa"/>
                            <w:tcBorders>
                              <w:top w:val="single" w:color="auto" w:sz="4" w:space="0"/>
                              <w:left w:val="single" w:color="auto" w:sz="4" w:space="0"/>
                              <w:bottom w:val="single" w:color="auto" w:sz="4" w:space="0"/>
                              <w:right w:val="single" w:color="auto" w:sz="4" w:space="0"/>
                            </w:tcBorders>
                          </w:tcPr>
                          <w:p w14:paraId="4D4597D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231606CB">
                            <w:pPr>
                              <w:pStyle w:val="54"/>
                              <w:spacing w:before="81"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《平板电视能效限定值</w:t>
                            </w:r>
                            <w:r>
                              <w:rPr>
                                <w:rFonts w:hint="eastAsia" w:ascii="宋体" w:hAnsi="宋体" w:cs="宋体"/>
                                <w:spacing w:val="9"/>
                                <w:w w:val="99"/>
                                <w:sz w:val="20"/>
                                <w:szCs w:val="20"/>
                                <w:lang w:eastAsia="zh-CN"/>
                              </w:rPr>
                              <w:t>及</w:t>
                            </w:r>
                            <w:r>
                              <w:rPr>
                                <w:rFonts w:hint="eastAsia" w:ascii="宋体" w:hAnsi="宋体" w:cs="宋体"/>
                                <w:spacing w:val="12"/>
                                <w:w w:val="99"/>
                                <w:sz w:val="20"/>
                                <w:szCs w:val="20"/>
                                <w:lang w:eastAsia="zh-CN"/>
                              </w:rPr>
                              <w:t>能效</w:t>
                            </w:r>
                            <w:r>
                              <w:rPr>
                                <w:rFonts w:hint="eastAsia" w:ascii="宋体" w:hAnsi="宋体" w:cs="宋体"/>
                                <w:w w:val="99"/>
                                <w:sz w:val="20"/>
                                <w:szCs w:val="20"/>
                                <w:lang w:eastAsia="zh-CN"/>
                              </w:rPr>
                              <w:t>等级》（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w:t>
                            </w:r>
                            <w:r>
                              <w:rPr>
                                <w:rFonts w:hint="eastAsia" w:ascii="宋体" w:hAnsi="宋体" w:cs="宋体"/>
                                <w:w w:val="99"/>
                                <w:sz w:val="20"/>
                                <w:szCs w:val="20"/>
                                <w:lang w:eastAsia="zh-CN"/>
                              </w:rPr>
                              <w:t>50）</w:t>
                            </w:r>
                          </w:p>
                        </w:tc>
                      </w:tr>
                      <w:tr w14:paraId="0CF5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2" w:hRule="exact"/>
                        </w:trPr>
                        <w:tc>
                          <w:tcPr>
                            <w:tcW w:w="585" w:type="dxa"/>
                            <w:tcBorders>
                              <w:top w:val="single" w:color="auto" w:sz="4" w:space="0"/>
                              <w:left w:val="single" w:color="auto" w:sz="4" w:space="0"/>
                              <w:bottom w:val="single" w:color="auto" w:sz="4" w:space="0"/>
                              <w:right w:val="single" w:color="auto" w:sz="4" w:space="0"/>
                            </w:tcBorders>
                          </w:tcPr>
                          <w:p w14:paraId="1BCA46AD">
                            <w:pPr>
                              <w:pStyle w:val="54"/>
                              <w:rPr>
                                <w:rFonts w:ascii="宋体" w:hAnsi="宋体" w:cs="宋体"/>
                                <w:sz w:val="20"/>
                                <w:szCs w:val="20"/>
                                <w:lang w:eastAsia="zh-CN"/>
                              </w:rPr>
                            </w:pPr>
                          </w:p>
                          <w:p w14:paraId="63309809">
                            <w:pPr>
                              <w:pStyle w:val="54"/>
                              <w:rPr>
                                <w:rFonts w:ascii="宋体" w:hAnsi="宋体" w:cs="宋体"/>
                                <w:sz w:val="20"/>
                                <w:szCs w:val="20"/>
                                <w:lang w:eastAsia="zh-CN"/>
                              </w:rPr>
                            </w:pPr>
                          </w:p>
                          <w:p w14:paraId="6924C3F2">
                            <w:pPr>
                              <w:pStyle w:val="54"/>
                              <w:spacing w:before="10"/>
                              <w:rPr>
                                <w:rFonts w:ascii="宋体" w:hAnsi="宋体" w:cs="宋体"/>
                                <w:sz w:val="21"/>
                                <w:szCs w:val="21"/>
                                <w:lang w:eastAsia="zh-CN"/>
                              </w:rPr>
                            </w:pPr>
                          </w:p>
                          <w:p w14:paraId="50AD2028">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3</w:t>
                            </w:r>
                          </w:p>
                        </w:tc>
                        <w:tc>
                          <w:tcPr>
                            <w:tcW w:w="1305" w:type="dxa"/>
                            <w:tcBorders>
                              <w:top w:val="single" w:color="auto" w:sz="4" w:space="0"/>
                              <w:left w:val="single" w:color="auto" w:sz="4" w:space="0"/>
                              <w:bottom w:val="single" w:color="auto" w:sz="4" w:space="0"/>
                              <w:right w:val="single" w:color="auto" w:sz="4" w:space="0"/>
                            </w:tcBorders>
                          </w:tcPr>
                          <w:p w14:paraId="4A880523">
                            <w:pPr>
                              <w:pStyle w:val="54"/>
                              <w:rPr>
                                <w:rFonts w:ascii="宋体" w:hAnsi="宋体" w:cs="宋体"/>
                                <w:sz w:val="20"/>
                                <w:szCs w:val="20"/>
                              </w:rPr>
                            </w:pPr>
                          </w:p>
                          <w:p w14:paraId="3A37A6F7">
                            <w:pPr>
                              <w:pStyle w:val="54"/>
                              <w:spacing w:before="11"/>
                              <w:rPr>
                                <w:rFonts w:ascii="宋体" w:hAnsi="宋体" w:cs="宋体"/>
                                <w:sz w:val="29"/>
                                <w:szCs w:val="29"/>
                              </w:rPr>
                            </w:pPr>
                          </w:p>
                          <w:p w14:paraId="7006CF41">
                            <w:pPr>
                              <w:pStyle w:val="54"/>
                              <w:ind w:left="7"/>
                              <w:rPr>
                                <w:rFonts w:ascii="宋体" w:hAnsi="宋体" w:cs="宋体"/>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A020</w:t>
                            </w:r>
                            <w:r>
                              <w:rPr>
                                <w:rFonts w:hint="eastAsia" w:ascii="宋体" w:hAnsi="宋体" w:cs="宋体"/>
                                <w:w w:val="99"/>
                                <w:sz w:val="20"/>
                                <w:szCs w:val="20"/>
                              </w:rPr>
                              <w:t>911视</w:t>
                            </w:r>
                          </w:p>
                          <w:p w14:paraId="61EBEFFF">
                            <w:pPr>
                              <w:pStyle w:val="54"/>
                              <w:spacing w:before="50"/>
                              <w:ind w:left="7"/>
                              <w:rPr>
                                <w:rFonts w:ascii="宋体" w:hAnsi="宋体" w:cs="宋体"/>
                                <w:sz w:val="20"/>
                                <w:szCs w:val="20"/>
                              </w:rPr>
                            </w:pPr>
                            <w:r>
                              <w:rPr>
                                <w:rFonts w:hint="eastAsia" w:ascii="宋体" w:hAnsi="宋体" w:cs="宋体"/>
                                <w:w w:val="99"/>
                                <w:sz w:val="20"/>
                                <w:szCs w:val="20"/>
                              </w:rPr>
                              <w:t>频设备</w:t>
                            </w:r>
                          </w:p>
                        </w:tc>
                        <w:tc>
                          <w:tcPr>
                            <w:tcW w:w="1665" w:type="dxa"/>
                            <w:tcBorders>
                              <w:top w:val="single" w:color="auto" w:sz="4" w:space="0"/>
                              <w:left w:val="single" w:color="auto" w:sz="4" w:space="0"/>
                              <w:bottom w:val="single" w:color="auto" w:sz="4" w:space="0"/>
                              <w:right w:val="single" w:color="auto" w:sz="4" w:space="0"/>
                            </w:tcBorders>
                          </w:tcPr>
                          <w:p w14:paraId="0DD50E04">
                            <w:pPr>
                              <w:pStyle w:val="54"/>
                              <w:rPr>
                                <w:rFonts w:ascii="宋体" w:hAnsi="宋体" w:cs="宋体"/>
                                <w:sz w:val="20"/>
                                <w:szCs w:val="20"/>
                              </w:rPr>
                            </w:pPr>
                          </w:p>
                          <w:p w14:paraId="075FE602">
                            <w:pPr>
                              <w:pStyle w:val="54"/>
                              <w:spacing w:before="11"/>
                              <w:rPr>
                                <w:rFonts w:ascii="宋体" w:hAnsi="宋体" w:cs="宋体"/>
                                <w:sz w:val="29"/>
                                <w:szCs w:val="29"/>
                              </w:rPr>
                            </w:pPr>
                          </w:p>
                          <w:p w14:paraId="1506DED2">
                            <w:pPr>
                              <w:pStyle w:val="54"/>
                              <w:spacing w:line="280" w:lineRule="auto"/>
                              <w:ind w:left="7" w:right="5"/>
                              <w:rPr>
                                <w:rFonts w:ascii="宋体" w:hAnsi="宋体" w:cs="宋体"/>
                                <w:sz w:val="20"/>
                                <w:szCs w:val="20"/>
                              </w:rPr>
                            </w:pPr>
                            <w:r>
                              <w:rPr>
                                <w:rFonts w:hint="eastAsia" w:ascii="宋体" w:hAnsi="宋体" w:cs="宋体"/>
                                <w:spacing w:val="1"/>
                                <w:w w:val="99"/>
                                <w:sz w:val="20"/>
                                <w:szCs w:val="20"/>
                              </w:rPr>
                              <w:t>A02</w:t>
                            </w:r>
                            <w:r>
                              <w:rPr>
                                <w:rFonts w:hint="eastAsia" w:ascii="宋体" w:hAnsi="宋体" w:cs="宋体"/>
                                <w:w w:val="99"/>
                                <w:sz w:val="20"/>
                                <w:szCs w:val="20"/>
                              </w:rPr>
                              <w:t>09</w:t>
                            </w:r>
                            <w:r>
                              <w:rPr>
                                <w:rFonts w:hint="eastAsia" w:ascii="宋体" w:hAnsi="宋体" w:cs="宋体"/>
                                <w:spacing w:val="1"/>
                                <w:w w:val="99"/>
                                <w:sz w:val="20"/>
                                <w:szCs w:val="20"/>
                              </w:rPr>
                              <w:t>1</w:t>
                            </w:r>
                            <w:r>
                              <w:rPr>
                                <w:rFonts w:hint="eastAsia" w:ascii="宋体" w:hAnsi="宋体" w:cs="宋体"/>
                                <w:w w:val="99"/>
                                <w:sz w:val="20"/>
                                <w:szCs w:val="20"/>
                              </w:rPr>
                              <w:t>107视频监控设备</w:t>
                            </w:r>
                          </w:p>
                        </w:tc>
                        <w:tc>
                          <w:tcPr>
                            <w:tcW w:w="1770" w:type="dxa"/>
                            <w:tcBorders>
                              <w:top w:val="single" w:color="auto" w:sz="4" w:space="0"/>
                              <w:left w:val="single" w:color="auto" w:sz="4" w:space="0"/>
                              <w:bottom w:val="single" w:color="auto" w:sz="4" w:space="0"/>
                              <w:right w:val="single" w:color="auto" w:sz="4" w:space="0"/>
                            </w:tcBorders>
                          </w:tcPr>
                          <w:p w14:paraId="7341AED5">
                            <w:pPr>
                              <w:pStyle w:val="54"/>
                              <w:rPr>
                                <w:rFonts w:ascii="宋体" w:hAnsi="宋体" w:cs="宋体"/>
                                <w:sz w:val="20"/>
                                <w:szCs w:val="20"/>
                              </w:rPr>
                            </w:pPr>
                          </w:p>
                          <w:p w14:paraId="6CFBB28B">
                            <w:pPr>
                              <w:pStyle w:val="54"/>
                              <w:rPr>
                                <w:rFonts w:ascii="宋体" w:hAnsi="宋体" w:cs="宋体"/>
                                <w:sz w:val="20"/>
                                <w:szCs w:val="20"/>
                              </w:rPr>
                            </w:pPr>
                          </w:p>
                          <w:p w14:paraId="24366C7E">
                            <w:pPr>
                              <w:pStyle w:val="54"/>
                              <w:spacing w:before="10"/>
                              <w:rPr>
                                <w:rFonts w:ascii="宋体" w:hAnsi="宋体" w:cs="宋体"/>
                                <w:sz w:val="21"/>
                                <w:szCs w:val="21"/>
                              </w:rPr>
                            </w:pPr>
                          </w:p>
                          <w:p w14:paraId="4E3395BA">
                            <w:pPr>
                              <w:pStyle w:val="54"/>
                              <w:ind w:left="7"/>
                              <w:rPr>
                                <w:rFonts w:ascii="宋体" w:hAnsi="宋体" w:cs="宋体"/>
                                <w:sz w:val="20"/>
                                <w:szCs w:val="20"/>
                              </w:rPr>
                            </w:pPr>
                            <w:r>
                              <w:rPr>
                                <w:rFonts w:hint="eastAsia" w:ascii="宋体" w:hAnsi="宋体" w:cs="宋体"/>
                                <w:w w:val="99"/>
                                <w:sz w:val="20"/>
                                <w:szCs w:val="20"/>
                              </w:rPr>
                              <w:t>监视器</w:t>
                            </w:r>
                          </w:p>
                        </w:tc>
                        <w:tc>
                          <w:tcPr>
                            <w:tcW w:w="3765" w:type="dxa"/>
                            <w:tcBorders>
                              <w:top w:val="single" w:color="auto" w:sz="4" w:space="0"/>
                              <w:left w:val="single" w:color="auto" w:sz="4" w:space="0"/>
                              <w:bottom w:val="single" w:color="auto" w:sz="4" w:space="0"/>
                              <w:right w:val="single" w:color="auto" w:sz="4" w:space="0"/>
                            </w:tcBorders>
                          </w:tcPr>
                          <w:p w14:paraId="43AC853F">
                            <w:pPr>
                              <w:pStyle w:val="54"/>
                              <w:spacing w:before="28" w:line="280" w:lineRule="auto"/>
                              <w:ind w:left="7" w:right="5"/>
                              <w:rPr>
                                <w:rFonts w:ascii="宋体" w:hAnsi="宋体" w:cs="宋体"/>
                                <w:sz w:val="20"/>
                                <w:szCs w:val="20"/>
                                <w:lang w:eastAsia="zh-CN"/>
                              </w:rPr>
                            </w:pPr>
                            <w:r>
                              <w:rPr>
                                <w:rFonts w:hint="eastAsia" w:ascii="宋体" w:hAnsi="宋体" w:cs="宋体"/>
                                <w:spacing w:val="12"/>
                                <w:w w:val="99"/>
                                <w:sz w:val="20"/>
                                <w:szCs w:val="20"/>
                                <w:lang w:eastAsia="zh-CN"/>
                              </w:rPr>
                              <w:t>以射频信号为主要信号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平板</w:t>
                            </w:r>
                            <w:r>
                              <w:rPr>
                                <w:rFonts w:hint="eastAsia" w:ascii="宋体" w:hAnsi="宋体" w:cs="宋体"/>
                                <w:spacing w:val="2"/>
                                <w:w w:val="99"/>
                                <w:sz w:val="20"/>
                                <w:szCs w:val="20"/>
                                <w:lang w:eastAsia="zh-CN"/>
                              </w:rPr>
                              <w:t>电</w:t>
                            </w:r>
                            <w:r>
                              <w:rPr>
                                <w:rFonts w:hint="eastAsia" w:ascii="宋体" w:hAnsi="宋体" w:cs="宋体"/>
                                <w:w w:val="99"/>
                                <w:sz w:val="20"/>
                                <w:szCs w:val="20"/>
                                <w:lang w:eastAsia="zh-CN"/>
                              </w:rPr>
                              <w:t>视能</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限定值及能效</w:t>
                            </w:r>
                            <w:r>
                              <w:rPr>
                                <w:rFonts w:hint="eastAsia" w:ascii="宋体" w:hAnsi="宋体" w:cs="宋体"/>
                                <w:spacing w:val="2"/>
                                <w:w w:val="99"/>
                                <w:sz w:val="20"/>
                                <w:szCs w:val="20"/>
                                <w:lang w:eastAsia="zh-CN"/>
                              </w:rPr>
                              <w:t>等</w:t>
                            </w:r>
                            <w:r>
                              <w:rPr>
                                <w:rFonts w:hint="eastAsia" w:ascii="宋体" w:hAnsi="宋体" w:cs="宋体"/>
                                <w:w w:val="99"/>
                                <w:sz w:val="20"/>
                                <w:szCs w:val="20"/>
                                <w:lang w:eastAsia="zh-CN"/>
                              </w:rPr>
                              <w:t>级》（</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24850</w:t>
                            </w:r>
                            <w:r>
                              <w:rPr>
                                <w:rFonts w:hint="eastAsia" w:ascii="宋体" w:hAnsi="宋体" w:cs="宋体"/>
                                <w:spacing w:val="-3"/>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2"/>
                                <w:w w:val="99"/>
                                <w:sz w:val="20"/>
                                <w:szCs w:val="20"/>
                                <w:lang w:eastAsia="zh-CN"/>
                              </w:rPr>
                              <w:t>以数字信号为主要信号</w:t>
                            </w:r>
                            <w:r>
                              <w:rPr>
                                <w:rFonts w:hint="eastAsia" w:ascii="宋体" w:hAnsi="宋体" w:cs="宋体"/>
                                <w:spacing w:val="9"/>
                                <w:w w:val="99"/>
                                <w:sz w:val="20"/>
                                <w:szCs w:val="20"/>
                                <w:lang w:eastAsia="zh-CN"/>
                              </w:rPr>
                              <w:t>输</w:t>
                            </w:r>
                            <w:r>
                              <w:rPr>
                                <w:rFonts w:hint="eastAsia" w:ascii="宋体" w:hAnsi="宋体" w:cs="宋体"/>
                                <w:spacing w:val="12"/>
                                <w:w w:val="99"/>
                                <w:sz w:val="20"/>
                                <w:szCs w:val="20"/>
                                <w:lang w:eastAsia="zh-CN"/>
                              </w:rPr>
                              <w:t>入的</w:t>
                            </w:r>
                            <w:r>
                              <w:rPr>
                                <w:rFonts w:hint="eastAsia" w:ascii="宋体" w:hAnsi="宋体" w:cs="宋体"/>
                                <w:w w:val="99"/>
                                <w:sz w:val="20"/>
                                <w:szCs w:val="20"/>
                                <w:lang w:eastAsia="zh-CN"/>
                              </w:rPr>
                              <w:t>监视器应</w:t>
                            </w:r>
                            <w:r>
                              <w:rPr>
                                <w:rFonts w:hint="eastAsia" w:ascii="宋体" w:hAnsi="宋体" w:cs="宋体"/>
                                <w:spacing w:val="2"/>
                                <w:w w:val="99"/>
                                <w:sz w:val="20"/>
                                <w:szCs w:val="20"/>
                                <w:lang w:eastAsia="zh-CN"/>
                              </w:rPr>
                              <w:t>符</w:t>
                            </w:r>
                            <w:r>
                              <w:rPr>
                                <w:rFonts w:hint="eastAsia" w:ascii="宋体" w:hAnsi="宋体" w:cs="宋体"/>
                                <w:spacing w:val="-58"/>
                                <w:w w:val="99"/>
                                <w:sz w:val="20"/>
                                <w:szCs w:val="20"/>
                                <w:lang w:eastAsia="zh-CN"/>
                              </w:rPr>
                              <w:t>合</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计算</w:t>
                            </w:r>
                            <w:r>
                              <w:rPr>
                                <w:rFonts w:hint="eastAsia" w:ascii="宋体" w:hAnsi="宋体" w:cs="宋体"/>
                                <w:spacing w:val="2"/>
                                <w:w w:val="99"/>
                                <w:sz w:val="20"/>
                                <w:szCs w:val="20"/>
                                <w:lang w:eastAsia="zh-CN"/>
                              </w:rPr>
                              <w:t>机</w:t>
                            </w:r>
                            <w:r>
                              <w:rPr>
                                <w:rFonts w:hint="eastAsia" w:ascii="宋体" w:hAnsi="宋体" w:cs="宋体"/>
                                <w:w w:val="99"/>
                                <w:sz w:val="20"/>
                                <w:szCs w:val="20"/>
                                <w:lang w:eastAsia="zh-CN"/>
                              </w:rPr>
                              <w:t>显示</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能效限定值及</w:t>
                            </w:r>
                            <w:r>
                              <w:rPr>
                                <w:rFonts w:hint="eastAsia" w:ascii="宋体" w:hAnsi="宋体" w:cs="宋体"/>
                                <w:spacing w:val="2"/>
                                <w:w w:val="99"/>
                                <w:sz w:val="20"/>
                                <w:szCs w:val="20"/>
                                <w:lang w:eastAsia="zh-CN"/>
                              </w:rPr>
                              <w:t>能</w:t>
                            </w:r>
                            <w:r>
                              <w:rPr>
                                <w:rFonts w:hint="eastAsia" w:ascii="宋体" w:hAnsi="宋体" w:cs="宋体"/>
                                <w:w w:val="99"/>
                                <w:sz w:val="20"/>
                                <w:szCs w:val="20"/>
                                <w:lang w:eastAsia="zh-CN"/>
                              </w:rPr>
                              <w:t>效等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21</w:t>
                            </w:r>
                            <w:r>
                              <w:rPr>
                                <w:rFonts w:hint="eastAsia" w:ascii="宋体" w:hAnsi="宋体" w:cs="宋体"/>
                                <w:w w:val="99"/>
                                <w:sz w:val="20"/>
                                <w:szCs w:val="20"/>
                                <w:lang w:eastAsia="zh-CN"/>
                              </w:rPr>
                              <w:t>52</w:t>
                            </w:r>
                            <w:r>
                              <w:rPr>
                                <w:rFonts w:hint="eastAsia" w:ascii="宋体" w:hAnsi="宋体" w:cs="宋体"/>
                                <w:spacing w:val="1"/>
                                <w:w w:val="99"/>
                                <w:sz w:val="20"/>
                                <w:szCs w:val="20"/>
                                <w:lang w:eastAsia="zh-CN"/>
                              </w:rPr>
                              <w:t>0</w:t>
                            </w:r>
                            <w:r>
                              <w:rPr>
                                <w:rFonts w:hint="eastAsia" w:ascii="宋体" w:hAnsi="宋体" w:cs="宋体"/>
                                <w:w w:val="99"/>
                                <w:sz w:val="20"/>
                                <w:szCs w:val="20"/>
                                <w:lang w:eastAsia="zh-CN"/>
                              </w:rPr>
                              <w:t>）</w:t>
                            </w:r>
                          </w:p>
                        </w:tc>
                      </w:tr>
                      <w:tr w14:paraId="17C2C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7" w:hRule="exact"/>
                        </w:trPr>
                        <w:tc>
                          <w:tcPr>
                            <w:tcW w:w="585" w:type="dxa"/>
                            <w:tcBorders>
                              <w:top w:val="single" w:color="auto" w:sz="4" w:space="0"/>
                              <w:left w:val="single" w:color="auto" w:sz="4" w:space="0"/>
                              <w:bottom w:val="single" w:color="auto" w:sz="4" w:space="0"/>
                              <w:right w:val="single" w:color="auto" w:sz="4" w:space="0"/>
                            </w:tcBorders>
                          </w:tcPr>
                          <w:p w14:paraId="30E4DEC8">
                            <w:pPr>
                              <w:pStyle w:val="54"/>
                              <w:spacing w:before="10"/>
                              <w:rPr>
                                <w:rFonts w:ascii="宋体" w:hAnsi="宋体" w:cs="宋体"/>
                                <w:sz w:val="17"/>
                                <w:szCs w:val="17"/>
                                <w:lang w:eastAsia="zh-CN"/>
                              </w:rPr>
                            </w:pPr>
                          </w:p>
                          <w:p w14:paraId="3ECD660E">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4</w:t>
                            </w:r>
                          </w:p>
                        </w:tc>
                        <w:tc>
                          <w:tcPr>
                            <w:tcW w:w="1305" w:type="dxa"/>
                            <w:tcBorders>
                              <w:top w:val="single" w:color="auto" w:sz="4" w:space="0"/>
                              <w:left w:val="single" w:color="auto" w:sz="4" w:space="0"/>
                              <w:bottom w:val="single" w:color="auto" w:sz="4" w:space="0"/>
                              <w:right w:val="single" w:color="auto" w:sz="4" w:space="0"/>
                            </w:tcBorders>
                          </w:tcPr>
                          <w:p w14:paraId="332826B9">
                            <w:pPr>
                              <w:pStyle w:val="54"/>
                              <w:spacing w:before="76"/>
                              <w:ind w:left="7"/>
                              <w:rPr>
                                <w:rFonts w:ascii="宋体" w:hAnsi="宋体" w:cs="宋体"/>
                                <w:sz w:val="20"/>
                                <w:szCs w:val="20"/>
                              </w:rPr>
                            </w:pPr>
                            <w:r>
                              <w:rPr>
                                <w:rFonts w:hint="eastAsia" w:ascii="宋体" w:hAnsi="宋体" w:cs="宋体"/>
                                <w:spacing w:val="1"/>
                                <w:w w:val="99"/>
                                <w:sz w:val="20"/>
                                <w:szCs w:val="20"/>
                              </w:rPr>
                              <w:t>A03</w:t>
                            </w:r>
                            <w:r>
                              <w:rPr>
                                <w:rFonts w:hint="eastAsia" w:ascii="宋体" w:hAnsi="宋体" w:cs="宋体"/>
                                <w:w w:val="99"/>
                                <w:sz w:val="20"/>
                                <w:szCs w:val="20"/>
                              </w:rPr>
                              <w:t>12</w:t>
                            </w:r>
                            <w:r>
                              <w:rPr>
                                <w:rFonts w:hint="eastAsia" w:ascii="宋体" w:hAnsi="宋体" w:cs="宋体"/>
                                <w:spacing w:val="1"/>
                                <w:w w:val="99"/>
                                <w:sz w:val="20"/>
                                <w:szCs w:val="20"/>
                              </w:rPr>
                              <w:t>1</w:t>
                            </w:r>
                            <w:r>
                              <w:rPr>
                                <w:rFonts w:hint="eastAsia" w:ascii="宋体" w:hAnsi="宋体" w:cs="宋体"/>
                                <w:w w:val="99"/>
                                <w:sz w:val="20"/>
                                <w:szCs w:val="20"/>
                              </w:rPr>
                              <w:t>0饮食</w:t>
                            </w:r>
                          </w:p>
                          <w:p w14:paraId="125E23C0">
                            <w:pPr>
                              <w:pStyle w:val="54"/>
                              <w:spacing w:before="50"/>
                              <w:ind w:left="7"/>
                              <w:rPr>
                                <w:rFonts w:ascii="宋体" w:hAnsi="宋体" w:cs="宋体"/>
                                <w:sz w:val="20"/>
                                <w:szCs w:val="20"/>
                              </w:rPr>
                            </w:pPr>
                            <w:r>
                              <w:rPr>
                                <w:rFonts w:hint="eastAsia" w:ascii="宋体" w:hAnsi="宋体" w:cs="宋体"/>
                                <w:w w:val="99"/>
                                <w:sz w:val="20"/>
                                <w:szCs w:val="20"/>
                              </w:rPr>
                              <w:t>炊事机械</w:t>
                            </w:r>
                          </w:p>
                        </w:tc>
                        <w:tc>
                          <w:tcPr>
                            <w:tcW w:w="1665" w:type="dxa"/>
                            <w:tcBorders>
                              <w:top w:val="single" w:color="auto" w:sz="4" w:space="0"/>
                              <w:left w:val="single" w:color="auto" w:sz="4" w:space="0"/>
                              <w:bottom w:val="single" w:color="auto" w:sz="4" w:space="0"/>
                              <w:right w:val="single" w:color="auto" w:sz="4" w:space="0"/>
                            </w:tcBorders>
                          </w:tcPr>
                          <w:p w14:paraId="073DEB31">
                            <w:pPr>
                              <w:pStyle w:val="54"/>
                              <w:spacing w:before="10"/>
                              <w:rPr>
                                <w:rFonts w:ascii="宋体" w:hAnsi="宋体" w:cs="宋体"/>
                                <w:sz w:val="17"/>
                                <w:szCs w:val="17"/>
                              </w:rPr>
                            </w:pPr>
                          </w:p>
                          <w:p w14:paraId="6170E85B">
                            <w:pPr>
                              <w:pStyle w:val="54"/>
                              <w:ind w:left="7"/>
                              <w:rPr>
                                <w:rFonts w:ascii="宋体" w:hAnsi="宋体" w:cs="宋体"/>
                                <w:sz w:val="20"/>
                                <w:szCs w:val="20"/>
                              </w:rPr>
                            </w:pPr>
                            <w:r>
                              <w:rPr>
                                <w:rFonts w:hint="eastAsia" w:ascii="宋体" w:hAnsi="宋体" w:cs="宋体"/>
                                <w:w w:val="99"/>
                                <w:sz w:val="20"/>
                                <w:szCs w:val="20"/>
                              </w:rPr>
                              <w:t>商用燃</w:t>
                            </w:r>
                            <w:r>
                              <w:rPr>
                                <w:rFonts w:hint="eastAsia" w:ascii="宋体" w:hAnsi="宋体" w:cs="宋体"/>
                                <w:spacing w:val="2"/>
                                <w:w w:val="99"/>
                                <w:sz w:val="20"/>
                                <w:szCs w:val="20"/>
                              </w:rPr>
                              <w:t>气</w:t>
                            </w:r>
                            <w:r>
                              <w:rPr>
                                <w:rFonts w:hint="eastAsia" w:ascii="宋体" w:hAnsi="宋体" w:cs="宋体"/>
                                <w:w w:val="99"/>
                                <w:sz w:val="20"/>
                                <w:szCs w:val="20"/>
                              </w:rPr>
                              <w:t>灶具</w:t>
                            </w:r>
                          </w:p>
                        </w:tc>
                        <w:tc>
                          <w:tcPr>
                            <w:tcW w:w="1770" w:type="dxa"/>
                            <w:tcBorders>
                              <w:top w:val="single" w:color="auto" w:sz="4" w:space="0"/>
                              <w:left w:val="single" w:color="auto" w:sz="4" w:space="0"/>
                              <w:bottom w:val="single" w:color="auto" w:sz="4" w:space="0"/>
                              <w:right w:val="single" w:color="auto" w:sz="4" w:space="0"/>
                            </w:tcBorders>
                          </w:tcPr>
                          <w:p w14:paraId="4F2879FD">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A602C76">
                            <w:pPr>
                              <w:pStyle w:val="54"/>
                              <w:spacing w:before="76"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《商用燃气灶具能效限</w:t>
                            </w:r>
                            <w:r>
                              <w:rPr>
                                <w:rFonts w:hint="eastAsia" w:ascii="宋体" w:hAnsi="宋体" w:cs="宋体"/>
                                <w:spacing w:val="9"/>
                                <w:w w:val="99"/>
                                <w:sz w:val="20"/>
                                <w:szCs w:val="20"/>
                                <w:lang w:eastAsia="zh-CN"/>
                              </w:rPr>
                              <w:t>定</w:t>
                            </w:r>
                            <w:r>
                              <w:rPr>
                                <w:rFonts w:hint="eastAsia" w:ascii="宋体" w:hAnsi="宋体" w:cs="宋体"/>
                                <w:spacing w:val="12"/>
                                <w:w w:val="99"/>
                                <w:sz w:val="20"/>
                                <w:szCs w:val="20"/>
                                <w:lang w:eastAsia="zh-CN"/>
                              </w:rPr>
                              <w:t>值及</w:t>
                            </w:r>
                            <w:r>
                              <w:rPr>
                                <w:rFonts w:hint="eastAsia" w:ascii="宋体" w:hAnsi="宋体" w:cs="宋体"/>
                                <w:w w:val="99"/>
                                <w:sz w:val="20"/>
                                <w:szCs w:val="20"/>
                                <w:lang w:eastAsia="zh-CN"/>
                              </w:rPr>
                              <w:t>能效等级</w:t>
                            </w:r>
                            <w:r>
                              <w:rPr>
                                <w:rFonts w:hint="eastAsia" w:ascii="宋体" w:hAnsi="宋体" w:cs="宋体"/>
                                <w:spacing w:val="2"/>
                                <w:w w:val="99"/>
                                <w:sz w:val="20"/>
                                <w:szCs w:val="20"/>
                                <w:lang w:eastAsia="zh-CN"/>
                              </w:rPr>
                              <w:t>》</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w:t>
                            </w:r>
                            <w:r>
                              <w:rPr>
                                <w:rFonts w:hint="eastAsia" w:ascii="宋体" w:hAnsi="宋体" w:cs="宋体"/>
                                <w:w w:val="99"/>
                                <w:sz w:val="20"/>
                                <w:szCs w:val="20"/>
                                <w:lang w:eastAsia="zh-CN"/>
                              </w:rPr>
                              <w:t>53</w:t>
                            </w:r>
                            <w:r>
                              <w:rPr>
                                <w:rFonts w:hint="eastAsia" w:ascii="宋体" w:hAnsi="宋体" w:cs="宋体"/>
                                <w:spacing w:val="1"/>
                                <w:w w:val="99"/>
                                <w:sz w:val="20"/>
                                <w:szCs w:val="20"/>
                                <w:lang w:eastAsia="zh-CN"/>
                              </w:rPr>
                              <w:t>1</w:t>
                            </w:r>
                            <w:r>
                              <w:rPr>
                                <w:rFonts w:hint="eastAsia" w:ascii="宋体" w:hAnsi="宋体" w:cs="宋体"/>
                                <w:w w:val="99"/>
                                <w:sz w:val="20"/>
                                <w:szCs w:val="20"/>
                                <w:lang w:eastAsia="zh-CN"/>
                              </w:rPr>
                              <w:t>）</w:t>
                            </w:r>
                          </w:p>
                        </w:tc>
                      </w:tr>
                      <w:tr w14:paraId="650D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restart"/>
                            <w:tcBorders>
                              <w:top w:val="single" w:color="auto" w:sz="4" w:space="0"/>
                              <w:left w:val="single" w:color="auto" w:sz="4" w:space="0"/>
                              <w:bottom w:val="single" w:color="auto" w:sz="4" w:space="0"/>
                              <w:right w:val="single" w:color="auto" w:sz="4" w:space="0"/>
                            </w:tcBorders>
                          </w:tcPr>
                          <w:p w14:paraId="4C8D8EDF">
                            <w:pPr>
                              <w:pStyle w:val="54"/>
                              <w:rPr>
                                <w:rFonts w:ascii="宋体" w:hAnsi="宋体" w:cs="宋体"/>
                                <w:sz w:val="20"/>
                                <w:szCs w:val="20"/>
                                <w:lang w:eastAsia="zh-CN"/>
                              </w:rPr>
                            </w:pPr>
                          </w:p>
                          <w:p w14:paraId="2615C170">
                            <w:pPr>
                              <w:pStyle w:val="54"/>
                              <w:rPr>
                                <w:rFonts w:ascii="宋体" w:hAnsi="宋体" w:cs="宋体"/>
                                <w:sz w:val="20"/>
                                <w:szCs w:val="20"/>
                                <w:lang w:eastAsia="zh-CN"/>
                              </w:rPr>
                            </w:pPr>
                          </w:p>
                          <w:p w14:paraId="30D08EFA">
                            <w:pPr>
                              <w:pStyle w:val="54"/>
                              <w:rPr>
                                <w:rFonts w:ascii="宋体" w:hAnsi="宋体" w:cs="宋体"/>
                                <w:sz w:val="20"/>
                                <w:szCs w:val="20"/>
                                <w:lang w:eastAsia="zh-CN"/>
                              </w:rPr>
                            </w:pPr>
                          </w:p>
                          <w:p w14:paraId="48E67E54">
                            <w:pPr>
                              <w:pStyle w:val="54"/>
                              <w:spacing w:before="1"/>
                              <w:rPr>
                                <w:rFonts w:ascii="宋体" w:hAnsi="宋体" w:cs="宋体"/>
                                <w:sz w:val="29"/>
                                <w:szCs w:val="29"/>
                                <w:lang w:eastAsia="zh-CN"/>
                              </w:rPr>
                            </w:pPr>
                          </w:p>
                          <w:p w14:paraId="111FC826">
                            <w:pPr>
                              <w:pStyle w:val="54"/>
                              <w:ind w:left="182"/>
                              <w:rPr>
                                <w:rFonts w:ascii="宋体" w:hAnsi="宋体" w:cs="宋体"/>
                                <w:sz w:val="20"/>
                                <w:szCs w:val="20"/>
                              </w:rPr>
                            </w:pPr>
                            <w:r>
                              <w:rPr>
                                <w:rFonts w:hint="eastAsia" w:ascii="宋体"/>
                                <w:spacing w:val="1"/>
                                <w:w w:val="99"/>
                                <w:sz w:val="20"/>
                              </w:rPr>
                              <w:t>1</w:t>
                            </w:r>
                            <w:r>
                              <w:rPr>
                                <w:rFonts w:hint="eastAsia" w:ascii="宋体"/>
                                <w:w w:val="99"/>
                                <w:sz w:val="20"/>
                              </w:rPr>
                              <w:t>5</w:t>
                            </w:r>
                          </w:p>
                        </w:tc>
                        <w:tc>
                          <w:tcPr>
                            <w:tcW w:w="1305" w:type="dxa"/>
                            <w:vMerge w:val="restart"/>
                            <w:tcBorders>
                              <w:top w:val="single" w:color="auto" w:sz="4" w:space="0"/>
                              <w:left w:val="single" w:color="auto" w:sz="4" w:space="0"/>
                              <w:bottom w:val="single" w:color="auto" w:sz="4" w:space="0"/>
                              <w:right w:val="single" w:color="auto" w:sz="4" w:space="0"/>
                            </w:tcBorders>
                          </w:tcPr>
                          <w:p w14:paraId="5E46FD64">
                            <w:pPr>
                              <w:pStyle w:val="54"/>
                              <w:rPr>
                                <w:rFonts w:ascii="宋体" w:hAnsi="宋体" w:cs="宋体"/>
                                <w:sz w:val="20"/>
                                <w:szCs w:val="20"/>
                              </w:rPr>
                            </w:pPr>
                          </w:p>
                          <w:p w14:paraId="7CEF901C">
                            <w:pPr>
                              <w:pStyle w:val="54"/>
                              <w:rPr>
                                <w:rFonts w:ascii="宋体" w:hAnsi="宋体" w:cs="宋体"/>
                                <w:sz w:val="20"/>
                                <w:szCs w:val="20"/>
                              </w:rPr>
                            </w:pPr>
                          </w:p>
                          <w:p w14:paraId="019A7537">
                            <w:pPr>
                              <w:pStyle w:val="54"/>
                              <w:spacing w:before="9"/>
                              <w:rPr>
                                <w:rFonts w:ascii="宋体" w:hAnsi="宋体" w:cs="宋体"/>
                                <w:sz w:val="17"/>
                                <w:szCs w:val="17"/>
                              </w:rPr>
                            </w:pPr>
                          </w:p>
                          <w:p w14:paraId="2A502195">
                            <w:pPr>
                              <w:pStyle w:val="54"/>
                              <w:ind w:left="7"/>
                              <w:rPr>
                                <w:rFonts w:ascii="宋体" w:hAnsi="宋体" w:cs="宋体"/>
                                <w:w w:val="99"/>
                                <w:sz w:val="20"/>
                                <w:szCs w:val="20"/>
                              </w:rPr>
                            </w:pPr>
                            <w:r>
                              <w:rPr>
                                <w:rFonts w:hint="eastAsia" w:ascii="宋体" w:hAnsi="宋体" w:cs="宋体"/>
                                <w:w w:val="99"/>
                                <w:sz w:val="20"/>
                                <w:szCs w:val="20"/>
                                <w:lang w:eastAsia="zh-CN"/>
                              </w:rPr>
                              <w:t>★</w:t>
                            </w:r>
                            <w:r>
                              <w:rPr>
                                <w:rFonts w:hint="eastAsia" w:ascii="宋体" w:hAnsi="宋体" w:cs="宋体"/>
                                <w:spacing w:val="1"/>
                                <w:w w:val="99"/>
                                <w:sz w:val="20"/>
                                <w:szCs w:val="20"/>
                              </w:rPr>
                              <w:t>A060</w:t>
                            </w:r>
                            <w:r>
                              <w:rPr>
                                <w:rFonts w:hint="eastAsia" w:ascii="宋体" w:hAnsi="宋体" w:cs="宋体"/>
                                <w:w w:val="99"/>
                                <w:sz w:val="20"/>
                                <w:szCs w:val="20"/>
                              </w:rPr>
                              <w:t>805</w:t>
                            </w:r>
                          </w:p>
                          <w:p w14:paraId="30CA828D">
                            <w:pPr>
                              <w:pStyle w:val="54"/>
                              <w:ind w:left="7"/>
                              <w:rPr>
                                <w:rFonts w:ascii="宋体" w:hAnsi="宋体" w:cs="宋体"/>
                                <w:sz w:val="20"/>
                                <w:szCs w:val="20"/>
                              </w:rPr>
                            </w:pPr>
                            <w:r>
                              <w:rPr>
                                <w:rFonts w:hint="eastAsia" w:ascii="宋体" w:hAnsi="宋体" w:cs="宋体"/>
                                <w:w w:val="99"/>
                                <w:sz w:val="20"/>
                                <w:szCs w:val="20"/>
                              </w:rPr>
                              <w:t>便器</w:t>
                            </w:r>
                          </w:p>
                        </w:tc>
                        <w:tc>
                          <w:tcPr>
                            <w:tcW w:w="1665" w:type="dxa"/>
                            <w:tcBorders>
                              <w:top w:val="single" w:color="auto" w:sz="4" w:space="0"/>
                              <w:left w:val="single" w:color="auto" w:sz="4" w:space="0"/>
                              <w:bottom w:val="single" w:color="auto" w:sz="4" w:space="0"/>
                              <w:right w:val="single" w:color="auto" w:sz="4" w:space="0"/>
                            </w:tcBorders>
                          </w:tcPr>
                          <w:p w14:paraId="4CC20CB5">
                            <w:pPr>
                              <w:pStyle w:val="54"/>
                              <w:spacing w:before="5"/>
                              <w:rPr>
                                <w:rFonts w:ascii="宋体" w:hAnsi="宋体" w:cs="宋体"/>
                                <w:sz w:val="21"/>
                                <w:szCs w:val="21"/>
                              </w:rPr>
                            </w:pPr>
                          </w:p>
                          <w:p w14:paraId="4ABABB05">
                            <w:pPr>
                              <w:pStyle w:val="54"/>
                              <w:ind w:left="7"/>
                              <w:rPr>
                                <w:rFonts w:ascii="宋体" w:hAnsi="宋体" w:cs="宋体"/>
                                <w:sz w:val="20"/>
                                <w:szCs w:val="20"/>
                              </w:rPr>
                            </w:pPr>
                            <w:r>
                              <w:rPr>
                                <w:rFonts w:hint="eastAsia" w:ascii="宋体" w:hAnsi="宋体" w:cs="宋体"/>
                                <w:w w:val="99"/>
                                <w:sz w:val="20"/>
                                <w:szCs w:val="20"/>
                              </w:rPr>
                              <w:t>坐便器</w:t>
                            </w:r>
                          </w:p>
                        </w:tc>
                        <w:tc>
                          <w:tcPr>
                            <w:tcW w:w="1770" w:type="dxa"/>
                            <w:tcBorders>
                              <w:top w:val="single" w:color="auto" w:sz="4" w:space="0"/>
                              <w:left w:val="single" w:color="auto" w:sz="4" w:space="0"/>
                              <w:bottom w:val="single" w:color="auto" w:sz="4" w:space="0"/>
                              <w:right w:val="single" w:color="auto" w:sz="4" w:space="0"/>
                            </w:tcBorders>
                          </w:tcPr>
                          <w:p w14:paraId="046A9907">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312235F1">
                            <w:pPr>
                              <w:pStyle w:val="54"/>
                              <w:spacing w:before="124"/>
                              <w:ind w:left="7"/>
                              <w:rPr>
                                <w:rFonts w:ascii="宋体" w:hAnsi="宋体" w:cs="宋体"/>
                                <w:sz w:val="20"/>
                                <w:szCs w:val="20"/>
                                <w:lang w:eastAsia="zh-CN"/>
                              </w:rPr>
                            </w:pPr>
                            <w:r>
                              <w:rPr>
                                <w:rFonts w:hint="eastAsia" w:ascii="宋体" w:hAnsi="宋体" w:cs="宋体"/>
                                <w:w w:val="99"/>
                                <w:sz w:val="20"/>
                                <w:szCs w:val="20"/>
                                <w:lang w:eastAsia="zh-CN"/>
                              </w:rPr>
                              <w:t>《坐便</w:t>
                            </w:r>
                            <w:r>
                              <w:rPr>
                                <w:rFonts w:hint="eastAsia" w:ascii="宋体" w:hAnsi="宋体" w:cs="宋体"/>
                                <w:spacing w:val="2"/>
                                <w:w w:val="99"/>
                                <w:sz w:val="20"/>
                                <w:szCs w:val="20"/>
                                <w:lang w:eastAsia="zh-CN"/>
                              </w:rPr>
                              <w:t>器</w:t>
                            </w:r>
                            <w:r>
                              <w:rPr>
                                <w:rFonts w:hint="eastAsia" w:ascii="宋体" w:hAnsi="宋体" w:cs="宋体"/>
                                <w:w w:val="99"/>
                                <w:sz w:val="20"/>
                                <w:szCs w:val="20"/>
                                <w:lang w:eastAsia="zh-CN"/>
                              </w:rPr>
                              <w:t>水效</w:t>
                            </w:r>
                            <w:r>
                              <w:rPr>
                                <w:rFonts w:hint="eastAsia" w:ascii="宋体" w:hAnsi="宋体" w:cs="宋体"/>
                                <w:spacing w:val="2"/>
                                <w:w w:val="99"/>
                                <w:sz w:val="20"/>
                                <w:szCs w:val="20"/>
                                <w:lang w:eastAsia="zh-CN"/>
                              </w:rPr>
                              <w:t>限</w:t>
                            </w:r>
                            <w:r>
                              <w:rPr>
                                <w:rFonts w:hint="eastAsia" w:ascii="宋体" w:hAnsi="宋体" w:cs="宋体"/>
                                <w:w w:val="99"/>
                                <w:sz w:val="20"/>
                                <w:szCs w:val="20"/>
                                <w:lang w:eastAsia="zh-CN"/>
                              </w:rPr>
                              <w:t>定值</w:t>
                            </w:r>
                            <w:r>
                              <w:rPr>
                                <w:rFonts w:hint="eastAsia" w:ascii="宋体" w:hAnsi="宋体" w:cs="宋体"/>
                                <w:spacing w:val="2"/>
                                <w:w w:val="99"/>
                                <w:sz w:val="20"/>
                                <w:szCs w:val="20"/>
                                <w:lang w:eastAsia="zh-CN"/>
                              </w:rPr>
                              <w:t>及</w:t>
                            </w:r>
                            <w:r>
                              <w:rPr>
                                <w:rFonts w:hint="eastAsia" w:ascii="宋体" w:hAnsi="宋体" w:cs="宋体"/>
                                <w:w w:val="99"/>
                                <w:sz w:val="20"/>
                                <w:szCs w:val="20"/>
                                <w:lang w:eastAsia="zh-CN"/>
                              </w:rPr>
                              <w:t>水</w:t>
                            </w:r>
                            <w:r>
                              <w:rPr>
                                <w:rFonts w:hint="eastAsia" w:ascii="宋体" w:hAnsi="宋体" w:cs="宋体"/>
                                <w:spacing w:val="2"/>
                                <w:w w:val="99"/>
                                <w:sz w:val="20"/>
                                <w:szCs w:val="20"/>
                                <w:lang w:eastAsia="zh-CN"/>
                              </w:rPr>
                              <w:t>效</w:t>
                            </w:r>
                            <w:r>
                              <w:rPr>
                                <w:rFonts w:hint="eastAsia" w:ascii="宋体" w:hAnsi="宋体" w:cs="宋体"/>
                                <w:w w:val="99"/>
                                <w:sz w:val="20"/>
                                <w:szCs w:val="20"/>
                                <w:lang w:eastAsia="zh-CN"/>
                              </w:rPr>
                              <w:t>等级》</w:t>
                            </w:r>
                          </w:p>
                          <w:p w14:paraId="24B46D89">
                            <w:pPr>
                              <w:pStyle w:val="54"/>
                              <w:spacing w:before="50"/>
                              <w:ind w:left="7"/>
                              <w:rPr>
                                <w:rFonts w:ascii="宋体" w:hAnsi="宋体" w:cs="宋体"/>
                                <w:sz w:val="20"/>
                                <w:szCs w:val="20"/>
                              </w:rPr>
                            </w:pPr>
                            <w:r>
                              <w:rPr>
                                <w:rFonts w:hint="eastAsia" w:ascii="宋体" w:hAnsi="宋体" w:cs="宋体"/>
                                <w:w w:val="99"/>
                                <w:sz w:val="20"/>
                                <w:szCs w:val="20"/>
                              </w:rPr>
                              <w:t>（</w:t>
                            </w:r>
                            <w:r>
                              <w:rPr>
                                <w:rFonts w:hint="eastAsia" w:ascii="宋体" w:hAnsi="宋体" w:cs="宋体"/>
                                <w:spacing w:val="1"/>
                                <w:w w:val="99"/>
                                <w:sz w:val="20"/>
                                <w:szCs w:val="20"/>
                              </w:rPr>
                              <w:t>G</w:t>
                            </w:r>
                            <w:r>
                              <w:rPr>
                                <w:rFonts w:hint="eastAsia" w:ascii="宋体" w:hAnsi="宋体" w:cs="宋体"/>
                                <w:w w:val="99"/>
                                <w:sz w:val="20"/>
                                <w:szCs w:val="20"/>
                              </w:rPr>
                              <w:t>B</w:t>
                            </w:r>
                            <w:r>
                              <w:rPr>
                                <w:rFonts w:hint="eastAsia" w:ascii="宋体" w:hAnsi="宋体" w:cs="宋体"/>
                                <w:spacing w:val="1"/>
                                <w:w w:val="99"/>
                                <w:sz w:val="20"/>
                                <w:szCs w:val="20"/>
                              </w:rPr>
                              <w:t>2</w:t>
                            </w:r>
                            <w:r>
                              <w:rPr>
                                <w:rFonts w:hint="eastAsia" w:ascii="宋体" w:hAnsi="宋体" w:cs="宋体"/>
                                <w:w w:val="99"/>
                                <w:sz w:val="20"/>
                                <w:szCs w:val="20"/>
                              </w:rPr>
                              <w:t>55</w:t>
                            </w:r>
                            <w:r>
                              <w:rPr>
                                <w:rFonts w:hint="eastAsia" w:ascii="宋体" w:hAnsi="宋体" w:cs="宋体"/>
                                <w:spacing w:val="1"/>
                                <w:w w:val="99"/>
                                <w:sz w:val="20"/>
                                <w:szCs w:val="20"/>
                              </w:rPr>
                              <w:t>02</w:t>
                            </w:r>
                            <w:r>
                              <w:rPr>
                                <w:rFonts w:hint="eastAsia" w:ascii="宋体" w:hAnsi="宋体" w:cs="宋体"/>
                                <w:w w:val="99"/>
                                <w:sz w:val="20"/>
                                <w:szCs w:val="20"/>
                              </w:rPr>
                              <w:t>）</w:t>
                            </w:r>
                          </w:p>
                        </w:tc>
                      </w:tr>
                      <w:tr w14:paraId="7BEC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C1B2ADB">
                            <w:pPr>
                              <w:widowControl/>
                              <w:jc w:val="left"/>
                              <w:rPr>
                                <w:rFonts w:ascii="宋体" w:hAnsi="宋体" w:eastAsia="Times New Roman" w:cs="宋体"/>
                                <w:kern w:val="0"/>
                                <w:sz w:val="20"/>
                                <w:szCs w:val="20"/>
                                <w:lang w:eastAsia="en-US"/>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3DE7A2F6">
                            <w:pPr>
                              <w:widowControl/>
                              <w:jc w:val="left"/>
                              <w:rPr>
                                <w:rFonts w:ascii="宋体" w:hAnsi="宋体" w:eastAsia="Times New Roman" w:cs="宋体"/>
                                <w:kern w:val="0"/>
                                <w:sz w:val="20"/>
                                <w:szCs w:val="20"/>
                                <w:lang w:eastAsia="en-US"/>
                              </w:rPr>
                            </w:pPr>
                          </w:p>
                        </w:tc>
                        <w:tc>
                          <w:tcPr>
                            <w:tcW w:w="1665" w:type="dxa"/>
                            <w:tcBorders>
                              <w:top w:val="single" w:color="auto" w:sz="4" w:space="0"/>
                              <w:left w:val="single" w:color="auto" w:sz="4" w:space="0"/>
                              <w:bottom w:val="single" w:color="auto" w:sz="4" w:space="0"/>
                              <w:right w:val="single" w:color="auto" w:sz="4" w:space="0"/>
                            </w:tcBorders>
                          </w:tcPr>
                          <w:p w14:paraId="3C87C58D">
                            <w:pPr>
                              <w:pStyle w:val="54"/>
                              <w:spacing w:before="5"/>
                              <w:rPr>
                                <w:rFonts w:ascii="宋体" w:hAnsi="宋体" w:cs="宋体"/>
                                <w:sz w:val="21"/>
                                <w:szCs w:val="21"/>
                              </w:rPr>
                            </w:pPr>
                          </w:p>
                          <w:p w14:paraId="09A12BEF">
                            <w:pPr>
                              <w:pStyle w:val="54"/>
                              <w:ind w:left="7"/>
                              <w:rPr>
                                <w:rFonts w:ascii="宋体" w:hAnsi="宋体" w:cs="宋体"/>
                                <w:sz w:val="20"/>
                                <w:szCs w:val="20"/>
                              </w:rPr>
                            </w:pPr>
                            <w:r>
                              <w:rPr>
                                <w:rFonts w:hint="eastAsia" w:ascii="宋体" w:hAnsi="宋体" w:cs="宋体"/>
                                <w:w w:val="99"/>
                                <w:sz w:val="20"/>
                                <w:szCs w:val="20"/>
                              </w:rPr>
                              <w:t>蹲便器</w:t>
                            </w:r>
                          </w:p>
                        </w:tc>
                        <w:tc>
                          <w:tcPr>
                            <w:tcW w:w="1770" w:type="dxa"/>
                            <w:tcBorders>
                              <w:top w:val="single" w:color="auto" w:sz="4" w:space="0"/>
                              <w:left w:val="single" w:color="auto" w:sz="4" w:space="0"/>
                              <w:bottom w:val="single" w:color="auto" w:sz="4" w:space="0"/>
                              <w:right w:val="single" w:color="auto" w:sz="4" w:space="0"/>
                            </w:tcBorders>
                          </w:tcPr>
                          <w:p w14:paraId="52704225">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0600B481">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《蹲便器用水效率限定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307</w:t>
                            </w:r>
                            <w:r>
                              <w:rPr>
                                <w:rFonts w:hint="eastAsia" w:ascii="宋体" w:hAnsi="宋体" w:cs="宋体"/>
                                <w:w w:val="99"/>
                                <w:sz w:val="20"/>
                                <w:szCs w:val="20"/>
                                <w:lang w:eastAsia="zh-CN"/>
                              </w:rPr>
                              <w:t>1</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r w14:paraId="4DAA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8" w:hRule="exact"/>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2D0935">
                            <w:pPr>
                              <w:widowControl/>
                              <w:jc w:val="left"/>
                              <w:rPr>
                                <w:rFonts w:ascii="宋体" w:hAnsi="宋体" w:eastAsia="Times New Roman" w:cs="宋体"/>
                                <w:kern w:val="0"/>
                                <w:sz w:val="20"/>
                                <w:szCs w:val="20"/>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14:paraId="6DA7C337">
                            <w:pPr>
                              <w:widowControl/>
                              <w:jc w:val="left"/>
                              <w:rPr>
                                <w:rFonts w:ascii="宋体" w:hAnsi="宋体" w:eastAsia="Times New Roman" w:cs="宋体"/>
                                <w:kern w:val="0"/>
                                <w:sz w:val="20"/>
                                <w:szCs w:val="20"/>
                              </w:rPr>
                            </w:pPr>
                          </w:p>
                        </w:tc>
                        <w:tc>
                          <w:tcPr>
                            <w:tcW w:w="1665" w:type="dxa"/>
                            <w:tcBorders>
                              <w:top w:val="single" w:color="auto" w:sz="4" w:space="0"/>
                              <w:left w:val="single" w:color="auto" w:sz="4" w:space="0"/>
                              <w:bottom w:val="single" w:color="auto" w:sz="4" w:space="0"/>
                              <w:right w:val="single" w:color="auto" w:sz="4" w:space="0"/>
                            </w:tcBorders>
                          </w:tcPr>
                          <w:p w14:paraId="4D063412">
                            <w:pPr>
                              <w:pStyle w:val="54"/>
                              <w:spacing w:before="5"/>
                              <w:rPr>
                                <w:rFonts w:ascii="宋体" w:hAnsi="宋体" w:cs="宋体"/>
                                <w:sz w:val="21"/>
                                <w:szCs w:val="21"/>
                                <w:lang w:eastAsia="zh-CN"/>
                              </w:rPr>
                            </w:pPr>
                          </w:p>
                          <w:p w14:paraId="0049662F">
                            <w:pPr>
                              <w:pStyle w:val="54"/>
                              <w:ind w:left="7"/>
                              <w:rPr>
                                <w:rFonts w:ascii="宋体" w:hAnsi="宋体" w:cs="宋体"/>
                                <w:sz w:val="20"/>
                                <w:szCs w:val="20"/>
                              </w:rPr>
                            </w:pPr>
                            <w:r>
                              <w:rPr>
                                <w:rFonts w:hint="eastAsia" w:ascii="宋体" w:hAnsi="宋体" w:cs="宋体"/>
                                <w:w w:val="99"/>
                                <w:sz w:val="20"/>
                                <w:szCs w:val="20"/>
                              </w:rPr>
                              <w:t>小便器</w:t>
                            </w:r>
                          </w:p>
                        </w:tc>
                        <w:tc>
                          <w:tcPr>
                            <w:tcW w:w="1770" w:type="dxa"/>
                            <w:tcBorders>
                              <w:top w:val="single" w:color="auto" w:sz="4" w:space="0"/>
                              <w:left w:val="single" w:color="auto" w:sz="4" w:space="0"/>
                              <w:bottom w:val="single" w:color="auto" w:sz="4" w:space="0"/>
                              <w:right w:val="single" w:color="auto" w:sz="4" w:space="0"/>
                            </w:tcBorders>
                          </w:tcPr>
                          <w:p w14:paraId="5F2CE3FF">
                            <w:pPr>
                              <w:rPr>
                                <w:rFonts w:ascii="Calibri" w:hAnsi="Calibri"/>
                                <w:sz w:val="22"/>
                                <w:szCs w:val="22"/>
                              </w:rPr>
                            </w:pPr>
                          </w:p>
                        </w:tc>
                        <w:tc>
                          <w:tcPr>
                            <w:tcW w:w="3765" w:type="dxa"/>
                            <w:tcBorders>
                              <w:top w:val="single" w:color="auto" w:sz="4" w:space="0"/>
                              <w:left w:val="single" w:color="auto" w:sz="4" w:space="0"/>
                              <w:bottom w:val="single" w:color="auto" w:sz="4" w:space="0"/>
                              <w:right w:val="single" w:color="auto" w:sz="4" w:space="0"/>
                            </w:tcBorders>
                          </w:tcPr>
                          <w:p w14:paraId="6C5CFCEE">
                            <w:pPr>
                              <w:pStyle w:val="54"/>
                              <w:spacing w:before="124" w:line="280" w:lineRule="auto"/>
                              <w:ind w:left="7" w:right="4"/>
                              <w:rPr>
                                <w:rFonts w:ascii="宋体" w:hAnsi="宋体" w:cs="宋体"/>
                                <w:sz w:val="20"/>
                                <w:szCs w:val="20"/>
                                <w:lang w:eastAsia="zh-CN"/>
                              </w:rPr>
                            </w:pPr>
                            <w:r>
                              <w:rPr>
                                <w:rFonts w:hint="eastAsia" w:ascii="宋体" w:hAnsi="宋体" w:cs="宋体"/>
                                <w:spacing w:val="12"/>
                                <w:w w:val="99"/>
                                <w:sz w:val="20"/>
                                <w:szCs w:val="20"/>
                                <w:lang w:eastAsia="zh-CN"/>
                              </w:rPr>
                              <w:t>《小便器用水效率限定</w:t>
                            </w:r>
                            <w:r>
                              <w:rPr>
                                <w:rFonts w:hint="eastAsia" w:ascii="宋体" w:hAnsi="宋体" w:cs="宋体"/>
                                <w:spacing w:val="9"/>
                                <w:w w:val="99"/>
                                <w:sz w:val="20"/>
                                <w:szCs w:val="20"/>
                                <w:lang w:eastAsia="zh-CN"/>
                              </w:rPr>
                              <w:t>值</w:t>
                            </w:r>
                            <w:r>
                              <w:rPr>
                                <w:rFonts w:hint="eastAsia" w:ascii="宋体" w:hAnsi="宋体" w:cs="宋体"/>
                                <w:spacing w:val="12"/>
                                <w:w w:val="99"/>
                                <w:sz w:val="20"/>
                                <w:szCs w:val="20"/>
                                <w:lang w:eastAsia="zh-CN"/>
                              </w:rPr>
                              <w:t>及用</w:t>
                            </w:r>
                            <w:r>
                              <w:rPr>
                                <w:rFonts w:hint="eastAsia" w:ascii="宋体" w:hAnsi="宋体" w:cs="宋体"/>
                                <w:w w:val="99"/>
                                <w:sz w:val="20"/>
                                <w:szCs w:val="20"/>
                                <w:lang w:eastAsia="zh-CN"/>
                              </w:rPr>
                              <w:t>水效率等</w:t>
                            </w:r>
                            <w:r>
                              <w:rPr>
                                <w:rFonts w:hint="eastAsia" w:ascii="宋体" w:hAnsi="宋体" w:cs="宋体"/>
                                <w:spacing w:val="2"/>
                                <w:w w:val="99"/>
                                <w:sz w:val="20"/>
                                <w:szCs w:val="20"/>
                                <w:lang w:eastAsia="zh-CN"/>
                              </w:rPr>
                              <w:t>级</w:t>
                            </w:r>
                            <w:r>
                              <w:rPr>
                                <w:rFonts w:hint="eastAsia" w:ascii="宋体" w:hAnsi="宋体" w:cs="宋体"/>
                                <w:w w:val="99"/>
                                <w:sz w:val="20"/>
                                <w:szCs w:val="20"/>
                                <w:lang w:eastAsia="zh-CN"/>
                              </w:rPr>
                              <w:t>》（</w:t>
                            </w:r>
                            <w:r>
                              <w:rPr>
                                <w:rFonts w:hint="eastAsia" w:ascii="宋体" w:hAnsi="宋体" w:cs="宋体"/>
                                <w:spacing w:val="1"/>
                                <w:w w:val="99"/>
                                <w:sz w:val="20"/>
                                <w:szCs w:val="20"/>
                                <w:lang w:eastAsia="zh-CN"/>
                              </w:rPr>
                              <w:t>G</w:t>
                            </w:r>
                            <w:r>
                              <w:rPr>
                                <w:rFonts w:hint="eastAsia" w:ascii="宋体" w:hAnsi="宋体" w:cs="宋体"/>
                                <w:w w:val="99"/>
                                <w:sz w:val="20"/>
                                <w:szCs w:val="20"/>
                                <w:lang w:eastAsia="zh-CN"/>
                              </w:rPr>
                              <w:t>B</w:t>
                            </w:r>
                            <w:r>
                              <w:rPr>
                                <w:rFonts w:hint="eastAsia" w:ascii="宋体" w:hAnsi="宋体" w:cs="宋体"/>
                                <w:spacing w:val="1"/>
                                <w:w w:val="99"/>
                                <w:sz w:val="20"/>
                                <w:szCs w:val="20"/>
                                <w:lang w:eastAsia="zh-CN"/>
                              </w:rPr>
                              <w:t>283</w:t>
                            </w:r>
                            <w:r>
                              <w:rPr>
                                <w:rFonts w:hint="eastAsia" w:ascii="宋体" w:hAnsi="宋体" w:cs="宋体"/>
                                <w:w w:val="99"/>
                                <w:sz w:val="20"/>
                                <w:szCs w:val="20"/>
                                <w:lang w:eastAsia="zh-CN"/>
                              </w:rPr>
                              <w:t>7</w:t>
                            </w:r>
                            <w:r>
                              <w:rPr>
                                <w:rFonts w:hint="eastAsia" w:ascii="宋体" w:hAnsi="宋体" w:cs="宋体"/>
                                <w:spacing w:val="-1"/>
                                <w:w w:val="99"/>
                                <w:sz w:val="20"/>
                                <w:szCs w:val="20"/>
                                <w:lang w:eastAsia="zh-CN"/>
                              </w:rPr>
                              <w:t>7</w:t>
                            </w:r>
                            <w:r>
                              <w:rPr>
                                <w:rFonts w:hint="eastAsia" w:ascii="宋体" w:hAnsi="宋体" w:cs="宋体"/>
                                <w:w w:val="99"/>
                                <w:sz w:val="20"/>
                                <w:szCs w:val="20"/>
                                <w:lang w:eastAsia="zh-CN"/>
                              </w:rPr>
                              <w:t>）</w:t>
                            </w:r>
                          </w:p>
                        </w:tc>
                      </w:tr>
                    </w:tbl>
                    <w:p w14:paraId="2075D279">
                      <w:pPr>
                        <w:rPr>
                          <w:rFonts w:ascii="Calibri" w:hAnsi="Calibri"/>
                          <w:sz w:val="22"/>
                          <w:szCs w:val="22"/>
                        </w:rPr>
                      </w:pPr>
                    </w:p>
                  </w:txbxContent>
                </v:textbox>
              </v:shape>
            </w:pict>
          </mc:Fallback>
        </mc:AlternateContent>
      </w:r>
    </w:p>
    <w:p w14:paraId="7D0EF8D3">
      <w:pPr>
        <w:rPr>
          <w:rFonts w:hint="eastAsia" w:ascii="宋体" w:hAnsi="宋体" w:eastAsia="宋体" w:cs="宋体"/>
          <w:color w:val="000000" w:themeColor="text1"/>
          <w:sz w:val="20"/>
          <w:szCs w:val="20"/>
          <w14:textFill>
            <w14:solidFill>
              <w14:schemeClr w14:val="tx1"/>
            </w14:solidFill>
          </w14:textFill>
        </w:rPr>
      </w:pPr>
    </w:p>
    <w:p w14:paraId="619D33D4">
      <w:pPr>
        <w:rPr>
          <w:rFonts w:hint="eastAsia" w:ascii="宋体" w:hAnsi="宋体" w:eastAsia="宋体" w:cs="宋体"/>
          <w:color w:val="000000" w:themeColor="text1"/>
          <w:sz w:val="20"/>
          <w:szCs w:val="20"/>
          <w14:textFill>
            <w14:solidFill>
              <w14:schemeClr w14:val="tx1"/>
            </w14:solidFill>
          </w14:textFill>
        </w:rPr>
      </w:pPr>
    </w:p>
    <w:p w14:paraId="27A0E161">
      <w:pPr>
        <w:spacing w:before="13"/>
        <w:rPr>
          <w:rFonts w:hint="eastAsia" w:ascii="宋体" w:hAnsi="宋体" w:eastAsia="宋体" w:cs="宋体"/>
          <w:color w:val="000000" w:themeColor="text1"/>
          <w:sz w:val="24"/>
          <w14:textFill>
            <w14:solidFill>
              <w14:schemeClr w14:val="tx1"/>
            </w14:solidFill>
          </w14:textFill>
        </w:rPr>
      </w:pPr>
    </w:p>
    <w:p w14:paraId="555E19BB">
      <w:pPr>
        <w:rPr>
          <w:rFonts w:hint="eastAsia" w:ascii="宋体" w:hAnsi="宋体" w:eastAsia="宋体" w:cs="宋体"/>
          <w:color w:val="000000" w:themeColor="text1"/>
          <w:sz w:val="20"/>
          <w:szCs w:val="20"/>
          <w14:textFill>
            <w14:solidFill>
              <w14:schemeClr w14:val="tx1"/>
            </w14:solidFill>
          </w14:textFill>
        </w:rPr>
      </w:pPr>
    </w:p>
    <w:p w14:paraId="6C66FA5E">
      <w:pPr>
        <w:rPr>
          <w:rFonts w:hint="eastAsia" w:ascii="宋体" w:hAnsi="宋体" w:eastAsia="宋体" w:cs="宋体"/>
          <w:color w:val="000000" w:themeColor="text1"/>
          <w:sz w:val="20"/>
          <w:szCs w:val="20"/>
          <w14:textFill>
            <w14:solidFill>
              <w14:schemeClr w14:val="tx1"/>
            </w14:solidFill>
          </w14:textFill>
        </w:rPr>
      </w:pPr>
    </w:p>
    <w:p w14:paraId="2E7FED4D">
      <w:pPr>
        <w:rPr>
          <w:rFonts w:hint="eastAsia" w:ascii="宋体" w:hAnsi="宋体" w:eastAsia="宋体" w:cs="宋体"/>
          <w:color w:val="000000" w:themeColor="text1"/>
          <w:sz w:val="20"/>
          <w:szCs w:val="20"/>
          <w14:textFill>
            <w14:solidFill>
              <w14:schemeClr w14:val="tx1"/>
            </w14:solidFill>
          </w14:textFill>
        </w:rPr>
      </w:pPr>
    </w:p>
    <w:p w14:paraId="1AF08CA5">
      <w:pPr>
        <w:rPr>
          <w:rFonts w:hint="eastAsia" w:ascii="宋体" w:hAnsi="宋体" w:eastAsia="宋体" w:cs="宋体"/>
          <w:color w:val="000000" w:themeColor="text1"/>
          <w:sz w:val="20"/>
          <w:szCs w:val="20"/>
          <w14:textFill>
            <w14:solidFill>
              <w14:schemeClr w14:val="tx1"/>
            </w14:solidFill>
          </w14:textFill>
        </w:rPr>
      </w:pPr>
    </w:p>
    <w:p w14:paraId="597AD44B">
      <w:pPr>
        <w:rPr>
          <w:rFonts w:hint="eastAsia" w:ascii="宋体" w:hAnsi="宋体" w:eastAsia="宋体" w:cs="宋体"/>
          <w:color w:val="000000" w:themeColor="text1"/>
          <w:sz w:val="20"/>
          <w:szCs w:val="20"/>
          <w14:textFill>
            <w14:solidFill>
              <w14:schemeClr w14:val="tx1"/>
            </w14:solidFill>
          </w14:textFill>
        </w:rPr>
      </w:pPr>
    </w:p>
    <w:p w14:paraId="7135C2BB">
      <w:pPr>
        <w:rPr>
          <w:rFonts w:hint="eastAsia" w:ascii="宋体" w:hAnsi="宋体" w:eastAsia="宋体" w:cs="宋体"/>
          <w:color w:val="000000" w:themeColor="text1"/>
          <w:sz w:val="20"/>
          <w:szCs w:val="20"/>
          <w14:textFill>
            <w14:solidFill>
              <w14:schemeClr w14:val="tx1"/>
            </w14:solidFill>
          </w14:textFill>
        </w:rPr>
      </w:pPr>
    </w:p>
    <w:p w14:paraId="219ED3DB">
      <w:pPr>
        <w:rPr>
          <w:rFonts w:hint="eastAsia" w:ascii="宋体" w:hAnsi="宋体" w:eastAsia="宋体" w:cs="宋体"/>
          <w:color w:val="000000" w:themeColor="text1"/>
          <w:sz w:val="20"/>
          <w:szCs w:val="20"/>
          <w14:textFill>
            <w14:solidFill>
              <w14:schemeClr w14:val="tx1"/>
            </w14:solidFill>
          </w14:textFill>
        </w:rPr>
      </w:pPr>
    </w:p>
    <w:p w14:paraId="686F9DB7">
      <w:pPr>
        <w:rPr>
          <w:rFonts w:hint="eastAsia" w:ascii="宋体" w:hAnsi="宋体" w:eastAsia="宋体" w:cs="宋体"/>
          <w:color w:val="000000" w:themeColor="text1"/>
          <w:sz w:val="20"/>
          <w:szCs w:val="20"/>
          <w14:textFill>
            <w14:solidFill>
              <w14:schemeClr w14:val="tx1"/>
            </w14:solidFill>
          </w14:textFill>
        </w:rPr>
      </w:pPr>
    </w:p>
    <w:p w14:paraId="5900B1E7">
      <w:pPr>
        <w:rPr>
          <w:rFonts w:hint="eastAsia" w:ascii="宋体" w:hAnsi="宋体" w:eastAsia="宋体" w:cs="宋体"/>
          <w:color w:val="000000" w:themeColor="text1"/>
          <w:sz w:val="20"/>
          <w:szCs w:val="20"/>
          <w14:textFill>
            <w14:solidFill>
              <w14:schemeClr w14:val="tx1"/>
            </w14:solidFill>
          </w14:textFill>
        </w:rPr>
      </w:pPr>
    </w:p>
    <w:p w14:paraId="089BC747">
      <w:pPr>
        <w:rPr>
          <w:rFonts w:hint="eastAsia" w:ascii="宋体" w:hAnsi="宋体" w:eastAsia="宋体" w:cs="宋体"/>
          <w:color w:val="000000" w:themeColor="text1"/>
          <w:sz w:val="20"/>
          <w:szCs w:val="20"/>
          <w14:textFill>
            <w14:solidFill>
              <w14:schemeClr w14:val="tx1"/>
            </w14:solidFill>
          </w14:textFill>
        </w:rPr>
      </w:pPr>
    </w:p>
    <w:p w14:paraId="4CAAAE94">
      <w:pPr>
        <w:rPr>
          <w:rFonts w:hint="eastAsia" w:ascii="宋体" w:hAnsi="宋体" w:eastAsia="宋体" w:cs="宋体"/>
          <w:color w:val="000000" w:themeColor="text1"/>
          <w:sz w:val="20"/>
          <w:szCs w:val="20"/>
          <w14:textFill>
            <w14:solidFill>
              <w14:schemeClr w14:val="tx1"/>
            </w14:solidFill>
          </w14:textFill>
        </w:rPr>
      </w:pPr>
    </w:p>
    <w:p w14:paraId="5C8E8623">
      <w:pPr>
        <w:rPr>
          <w:rFonts w:hint="eastAsia" w:ascii="宋体" w:hAnsi="宋体" w:eastAsia="宋体" w:cs="宋体"/>
          <w:color w:val="000000" w:themeColor="text1"/>
          <w:sz w:val="20"/>
          <w:szCs w:val="20"/>
          <w14:textFill>
            <w14:solidFill>
              <w14:schemeClr w14:val="tx1"/>
            </w14:solidFill>
          </w14:textFill>
        </w:rPr>
      </w:pPr>
    </w:p>
    <w:p w14:paraId="5D8581EA">
      <w:pPr>
        <w:rPr>
          <w:rFonts w:hint="eastAsia" w:ascii="宋体" w:hAnsi="宋体" w:eastAsia="宋体" w:cs="宋体"/>
          <w:color w:val="000000" w:themeColor="text1"/>
          <w:sz w:val="20"/>
          <w:szCs w:val="20"/>
          <w14:textFill>
            <w14:solidFill>
              <w14:schemeClr w14:val="tx1"/>
            </w14:solidFill>
          </w14:textFill>
        </w:rPr>
      </w:pPr>
    </w:p>
    <w:p w14:paraId="585E99E4">
      <w:pPr>
        <w:rPr>
          <w:rFonts w:hint="eastAsia" w:ascii="宋体" w:hAnsi="宋体" w:eastAsia="宋体" w:cs="宋体"/>
          <w:color w:val="000000" w:themeColor="text1"/>
          <w:sz w:val="20"/>
          <w:szCs w:val="20"/>
          <w14:textFill>
            <w14:solidFill>
              <w14:schemeClr w14:val="tx1"/>
            </w14:solidFill>
          </w14:textFill>
        </w:rPr>
      </w:pPr>
    </w:p>
    <w:p w14:paraId="21879323">
      <w:pPr>
        <w:rPr>
          <w:rFonts w:hint="eastAsia" w:ascii="宋体" w:hAnsi="宋体" w:eastAsia="宋体" w:cs="宋体"/>
          <w:color w:val="000000" w:themeColor="text1"/>
          <w:sz w:val="20"/>
          <w:szCs w:val="20"/>
          <w14:textFill>
            <w14:solidFill>
              <w14:schemeClr w14:val="tx1"/>
            </w14:solidFill>
          </w14:textFill>
        </w:rPr>
      </w:pPr>
    </w:p>
    <w:p w14:paraId="1A71E469">
      <w:pPr>
        <w:rPr>
          <w:rFonts w:hint="eastAsia" w:ascii="宋体" w:hAnsi="宋体" w:eastAsia="宋体" w:cs="宋体"/>
          <w:color w:val="000000" w:themeColor="text1"/>
          <w:sz w:val="20"/>
          <w:szCs w:val="20"/>
          <w14:textFill>
            <w14:solidFill>
              <w14:schemeClr w14:val="tx1"/>
            </w14:solidFill>
          </w14:textFill>
        </w:rPr>
      </w:pPr>
    </w:p>
    <w:p w14:paraId="2193BCC8">
      <w:pPr>
        <w:rPr>
          <w:rFonts w:hint="eastAsia" w:ascii="宋体" w:hAnsi="宋体" w:eastAsia="宋体" w:cs="宋体"/>
          <w:color w:val="000000" w:themeColor="text1"/>
          <w:sz w:val="20"/>
          <w:szCs w:val="20"/>
          <w14:textFill>
            <w14:solidFill>
              <w14:schemeClr w14:val="tx1"/>
            </w14:solidFill>
          </w14:textFill>
        </w:rPr>
      </w:pPr>
    </w:p>
    <w:p w14:paraId="5AB664DD">
      <w:pPr>
        <w:rPr>
          <w:rFonts w:hint="eastAsia" w:ascii="宋体" w:hAnsi="宋体" w:eastAsia="宋体" w:cs="宋体"/>
          <w:color w:val="000000" w:themeColor="text1"/>
          <w:sz w:val="20"/>
          <w:szCs w:val="20"/>
          <w14:textFill>
            <w14:solidFill>
              <w14:schemeClr w14:val="tx1"/>
            </w14:solidFill>
          </w14:textFill>
        </w:rPr>
      </w:pPr>
    </w:p>
    <w:p w14:paraId="55C5D4EC">
      <w:pPr>
        <w:rPr>
          <w:rFonts w:hint="eastAsia" w:ascii="宋体" w:hAnsi="宋体" w:eastAsia="宋体" w:cs="宋体"/>
          <w:color w:val="000000" w:themeColor="text1"/>
          <w:sz w:val="20"/>
          <w:szCs w:val="20"/>
          <w14:textFill>
            <w14:solidFill>
              <w14:schemeClr w14:val="tx1"/>
            </w14:solidFill>
          </w14:textFill>
        </w:rPr>
      </w:pPr>
    </w:p>
    <w:p w14:paraId="78DF93A4">
      <w:pPr>
        <w:rPr>
          <w:rFonts w:hint="eastAsia" w:ascii="宋体" w:hAnsi="宋体" w:eastAsia="宋体" w:cs="宋体"/>
          <w:color w:val="000000" w:themeColor="text1"/>
          <w:sz w:val="20"/>
          <w:szCs w:val="20"/>
          <w14:textFill>
            <w14:solidFill>
              <w14:schemeClr w14:val="tx1"/>
            </w14:solidFill>
          </w14:textFill>
        </w:rPr>
      </w:pPr>
    </w:p>
    <w:p w14:paraId="59DDDFCD">
      <w:pPr>
        <w:rPr>
          <w:rFonts w:hint="eastAsia" w:ascii="宋体" w:hAnsi="宋体" w:eastAsia="宋体" w:cs="宋体"/>
          <w:color w:val="000000" w:themeColor="text1"/>
          <w:sz w:val="20"/>
          <w:szCs w:val="20"/>
          <w14:textFill>
            <w14:solidFill>
              <w14:schemeClr w14:val="tx1"/>
            </w14:solidFill>
          </w14:textFill>
        </w:rPr>
      </w:pPr>
    </w:p>
    <w:p w14:paraId="058A7EF5">
      <w:pPr>
        <w:rPr>
          <w:rFonts w:hint="eastAsia" w:ascii="宋体" w:hAnsi="宋体" w:eastAsia="宋体" w:cs="宋体"/>
          <w:color w:val="000000" w:themeColor="text1"/>
          <w:sz w:val="20"/>
          <w:szCs w:val="20"/>
          <w14:textFill>
            <w14:solidFill>
              <w14:schemeClr w14:val="tx1"/>
            </w14:solidFill>
          </w14:textFill>
        </w:rPr>
      </w:pPr>
    </w:p>
    <w:p w14:paraId="73FEEE41">
      <w:pPr>
        <w:rPr>
          <w:rFonts w:hint="eastAsia" w:ascii="宋体" w:hAnsi="宋体" w:eastAsia="宋体" w:cs="宋体"/>
          <w:color w:val="000000" w:themeColor="text1"/>
          <w:sz w:val="20"/>
          <w:szCs w:val="20"/>
          <w14:textFill>
            <w14:solidFill>
              <w14:schemeClr w14:val="tx1"/>
            </w14:solidFill>
          </w14:textFill>
        </w:rPr>
      </w:pPr>
    </w:p>
    <w:p w14:paraId="16EBFF2A">
      <w:pPr>
        <w:rPr>
          <w:rFonts w:hint="eastAsia" w:ascii="宋体" w:hAnsi="宋体" w:eastAsia="宋体" w:cs="宋体"/>
          <w:color w:val="000000" w:themeColor="text1"/>
          <w:sz w:val="20"/>
          <w:szCs w:val="20"/>
          <w14:textFill>
            <w14:solidFill>
              <w14:schemeClr w14:val="tx1"/>
            </w14:solidFill>
          </w14:textFill>
        </w:rPr>
      </w:pPr>
    </w:p>
    <w:p w14:paraId="2E59E4F0">
      <w:pPr>
        <w:rPr>
          <w:rFonts w:hint="eastAsia" w:ascii="宋体" w:hAnsi="宋体" w:eastAsia="宋体" w:cs="宋体"/>
          <w:color w:val="000000" w:themeColor="text1"/>
          <w:sz w:val="20"/>
          <w:szCs w:val="20"/>
          <w14:textFill>
            <w14:solidFill>
              <w14:schemeClr w14:val="tx1"/>
            </w14:solidFill>
          </w14:textFill>
        </w:rPr>
      </w:pPr>
    </w:p>
    <w:p w14:paraId="75C280B4">
      <w:pPr>
        <w:rPr>
          <w:rFonts w:hint="eastAsia" w:ascii="宋体" w:hAnsi="宋体" w:eastAsia="宋体" w:cs="宋体"/>
          <w:color w:val="000000" w:themeColor="text1"/>
          <w:sz w:val="20"/>
          <w:szCs w:val="20"/>
          <w14:textFill>
            <w14:solidFill>
              <w14:schemeClr w14:val="tx1"/>
            </w14:solidFill>
          </w14:textFill>
        </w:rPr>
      </w:pPr>
    </w:p>
    <w:p w14:paraId="58BDE7BF">
      <w:pPr>
        <w:rPr>
          <w:rFonts w:hint="eastAsia" w:ascii="宋体" w:hAnsi="宋体" w:eastAsia="宋体" w:cs="宋体"/>
          <w:color w:val="000000" w:themeColor="text1"/>
          <w:sz w:val="20"/>
          <w:szCs w:val="20"/>
          <w14:textFill>
            <w14:solidFill>
              <w14:schemeClr w14:val="tx1"/>
            </w14:solidFill>
          </w14:textFill>
        </w:rPr>
      </w:pPr>
    </w:p>
    <w:p w14:paraId="573B55BC">
      <w:pPr>
        <w:rPr>
          <w:rFonts w:hint="eastAsia" w:ascii="宋体" w:hAnsi="宋体" w:eastAsia="宋体" w:cs="宋体"/>
          <w:color w:val="000000" w:themeColor="text1"/>
          <w:sz w:val="20"/>
          <w:szCs w:val="20"/>
          <w14:textFill>
            <w14:solidFill>
              <w14:schemeClr w14:val="tx1"/>
            </w14:solidFill>
          </w14:textFill>
        </w:rPr>
      </w:pPr>
    </w:p>
    <w:p w14:paraId="1BDF7450">
      <w:pPr>
        <w:rPr>
          <w:rFonts w:hint="eastAsia" w:ascii="宋体" w:hAnsi="宋体" w:eastAsia="宋体" w:cs="宋体"/>
          <w:color w:val="000000" w:themeColor="text1"/>
          <w:sz w:val="20"/>
          <w:szCs w:val="20"/>
          <w14:textFill>
            <w14:solidFill>
              <w14:schemeClr w14:val="tx1"/>
            </w14:solidFill>
          </w14:textFill>
        </w:rPr>
      </w:pPr>
    </w:p>
    <w:p w14:paraId="653077F5">
      <w:pPr>
        <w:rPr>
          <w:rFonts w:hint="eastAsia" w:ascii="宋体" w:hAnsi="宋体" w:eastAsia="宋体" w:cs="宋体"/>
          <w:color w:val="000000" w:themeColor="text1"/>
          <w:sz w:val="20"/>
          <w:szCs w:val="20"/>
          <w14:textFill>
            <w14:solidFill>
              <w14:schemeClr w14:val="tx1"/>
            </w14:solidFill>
          </w14:textFill>
        </w:rPr>
      </w:pPr>
    </w:p>
    <w:p w14:paraId="34C19E1F">
      <w:pPr>
        <w:rPr>
          <w:rFonts w:hint="eastAsia" w:ascii="宋体" w:hAnsi="宋体" w:eastAsia="宋体" w:cs="宋体"/>
          <w:color w:val="000000" w:themeColor="text1"/>
          <w:sz w:val="20"/>
          <w:szCs w:val="20"/>
          <w14:textFill>
            <w14:solidFill>
              <w14:schemeClr w14:val="tx1"/>
            </w14:solidFill>
          </w14:textFill>
        </w:rPr>
      </w:pPr>
    </w:p>
    <w:p w14:paraId="0EF4DFAC">
      <w:pPr>
        <w:spacing w:before="3"/>
        <w:rPr>
          <w:rFonts w:hint="eastAsia" w:ascii="宋体" w:hAnsi="宋体" w:eastAsia="宋体" w:cs="宋体"/>
          <w:color w:val="000000" w:themeColor="text1"/>
          <w:sz w:val="29"/>
          <w:szCs w:val="29"/>
          <w14:textFill>
            <w14:solidFill>
              <w14:schemeClr w14:val="tx1"/>
            </w14:solidFill>
          </w14:textFill>
        </w:rPr>
      </w:pPr>
    </w:p>
    <w:p w14:paraId="48B0E273">
      <w:pPr>
        <w:widowControl/>
        <w:jc w:val="left"/>
        <w:rPr>
          <w:rFonts w:hint="eastAsia" w:ascii="宋体" w:hAnsi="宋体" w:eastAsia="宋体" w:cs="宋体"/>
          <w:color w:val="000000" w:themeColor="text1"/>
          <w:sz w:val="20"/>
          <w:szCs w:val="20"/>
          <w14:textFill>
            <w14:solidFill>
              <w14:schemeClr w14:val="tx1"/>
            </w14:solidFill>
          </w14:textFill>
        </w:rPr>
      </w:pPr>
    </w:p>
    <w:p w14:paraId="01830FCC">
      <w:pPr>
        <w:spacing w:before="4"/>
        <w:rPr>
          <w:rFonts w:hint="eastAsia" w:ascii="宋体" w:hAnsi="宋体" w:eastAsia="宋体" w:cs="宋体"/>
          <w:color w:val="000000" w:themeColor="text1"/>
          <w:sz w:val="6"/>
          <w:szCs w:val="6"/>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p>
    <w:tbl>
      <w:tblPr>
        <w:tblStyle w:val="24"/>
        <w:tblW w:w="9120" w:type="dxa"/>
        <w:tblInd w:w="-339" w:type="dxa"/>
        <w:tblLayout w:type="fixed"/>
        <w:tblCellMar>
          <w:top w:w="0" w:type="dxa"/>
          <w:left w:w="0" w:type="dxa"/>
          <w:bottom w:w="0" w:type="dxa"/>
          <w:right w:w="0" w:type="dxa"/>
        </w:tblCellMar>
      </w:tblPr>
      <w:tblGrid>
        <w:gridCol w:w="615"/>
        <w:gridCol w:w="1290"/>
        <w:gridCol w:w="2077"/>
        <w:gridCol w:w="1373"/>
        <w:gridCol w:w="3765"/>
      </w:tblGrid>
      <w:tr w14:paraId="3A26BEBB">
        <w:tblPrEx>
          <w:tblCellMar>
            <w:top w:w="0" w:type="dxa"/>
            <w:left w:w="0" w:type="dxa"/>
            <w:bottom w:w="0" w:type="dxa"/>
            <w:right w:w="0" w:type="dxa"/>
          </w:tblCellMar>
        </w:tblPrEx>
        <w:trPr>
          <w:trHeight w:val="943" w:hRule="exact"/>
        </w:trPr>
        <w:tc>
          <w:tcPr>
            <w:tcW w:w="615" w:type="dxa"/>
            <w:tcBorders>
              <w:top w:val="single" w:color="000000" w:sz="4" w:space="0"/>
              <w:left w:val="single" w:color="000000" w:sz="4" w:space="0"/>
              <w:bottom w:val="single" w:color="000000" w:sz="4" w:space="0"/>
              <w:right w:val="single" w:color="000000" w:sz="4" w:space="0"/>
            </w:tcBorders>
          </w:tcPr>
          <w:p w14:paraId="4AA227A6">
            <w:pPr>
              <w:pStyle w:val="54"/>
              <w:spacing w:before="8"/>
              <w:rPr>
                <w:rFonts w:hint="eastAsia" w:ascii="宋体" w:hAnsi="宋体" w:eastAsia="宋体" w:cs="宋体"/>
                <w:color w:val="000000" w:themeColor="text1"/>
                <w:sz w:val="23"/>
                <w:szCs w:val="23"/>
                <w:lang w:eastAsia="zh-CN"/>
                <w14:textFill>
                  <w14:solidFill>
                    <w14:schemeClr w14:val="tx1"/>
                  </w14:solidFill>
                </w14:textFill>
              </w:rPr>
            </w:pPr>
          </w:p>
          <w:p w14:paraId="0A3B668A">
            <w:pPr>
              <w:pStyle w:val="54"/>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16</w:t>
            </w:r>
          </w:p>
        </w:tc>
        <w:tc>
          <w:tcPr>
            <w:tcW w:w="1290" w:type="dxa"/>
            <w:tcBorders>
              <w:top w:val="single" w:color="000000" w:sz="4" w:space="0"/>
              <w:left w:val="single" w:color="000000" w:sz="4" w:space="0"/>
              <w:bottom w:val="single" w:color="000000" w:sz="4" w:space="0"/>
              <w:right w:val="single" w:color="000000" w:sz="4" w:space="0"/>
            </w:tcBorders>
          </w:tcPr>
          <w:p w14:paraId="5F5BD484">
            <w:pPr>
              <w:pStyle w:val="54"/>
              <w:spacing w:before="153"/>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cs="宋体"/>
                <w:color w:val="000000" w:themeColor="text1"/>
                <w:sz w:val="20"/>
                <w:szCs w:val="20"/>
                <w:lang w:eastAsia="zh-CN"/>
                <w14:textFill>
                  <w14:solidFill>
                    <w14:schemeClr w14:val="tx1"/>
                  </w14:solidFill>
                </w14:textFill>
              </w:rPr>
              <w:t>★</w:t>
            </w:r>
            <w:r>
              <w:rPr>
                <w:rFonts w:hint="eastAsia" w:ascii="宋体" w:hAnsi="宋体" w:eastAsia="宋体" w:cs="宋体"/>
                <w:color w:val="000000" w:themeColor="text1"/>
                <w:sz w:val="20"/>
                <w:szCs w:val="20"/>
                <w14:textFill>
                  <w14:solidFill>
                    <w14:schemeClr w14:val="tx1"/>
                  </w14:solidFill>
                </w14:textFill>
              </w:rPr>
              <w:t>A060806水</w:t>
            </w:r>
          </w:p>
          <w:p w14:paraId="2FF5D657">
            <w:pPr>
              <w:pStyle w:val="54"/>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9"/>
                <w:sz w:val="20"/>
                <w:szCs w:val="20"/>
                <w14:textFill>
                  <w14:solidFill>
                    <w14:schemeClr w14:val="tx1"/>
                  </w14:solidFill>
                </w14:textFill>
              </w:rPr>
              <w:t>嘴</w:t>
            </w:r>
          </w:p>
        </w:tc>
        <w:tc>
          <w:tcPr>
            <w:tcW w:w="2077" w:type="dxa"/>
            <w:tcBorders>
              <w:top w:val="single" w:color="000000" w:sz="4" w:space="0"/>
              <w:left w:val="single" w:color="000000" w:sz="4" w:space="0"/>
              <w:bottom w:val="single" w:color="000000" w:sz="4" w:space="0"/>
              <w:right w:val="single" w:color="000000" w:sz="4" w:space="0"/>
            </w:tcBorders>
          </w:tcPr>
          <w:p w14:paraId="23CFAA3B">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79E2C436">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166F6068">
            <w:pPr>
              <w:pStyle w:val="54"/>
              <w:spacing w:before="153"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《水嘴用水效率限定值及用水效</w:t>
            </w:r>
            <w:r>
              <w:rPr>
                <w:rFonts w:hint="eastAsia" w:ascii="宋体" w:hAnsi="宋体" w:eastAsia="宋体" w:cs="宋体"/>
                <w:color w:val="000000" w:themeColor="text1"/>
                <w:sz w:val="20"/>
                <w:szCs w:val="20"/>
                <w:lang w:eastAsia="zh-CN"/>
                <w14:textFill>
                  <w14:solidFill>
                    <w14:schemeClr w14:val="tx1"/>
                  </w14:solidFill>
                </w14:textFill>
              </w:rPr>
              <w:t>率等级》（GB 25501）</w:t>
            </w:r>
          </w:p>
        </w:tc>
      </w:tr>
      <w:tr w14:paraId="75DFD13F">
        <w:tblPrEx>
          <w:tblCellMar>
            <w:top w:w="0" w:type="dxa"/>
            <w:left w:w="0" w:type="dxa"/>
            <w:bottom w:w="0" w:type="dxa"/>
            <w:right w:w="0" w:type="dxa"/>
          </w:tblCellMar>
        </w:tblPrEx>
        <w:trPr>
          <w:trHeight w:val="862" w:hRule="exact"/>
        </w:trPr>
        <w:tc>
          <w:tcPr>
            <w:tcW w:w="615" w:type="dxa"/>
            <w:tcBorders>
              <w:top w:val="single" w:color="000000" w:sz="4" w:space="0"/>
              <w:left w:val="single" w:color="000000" w:sz="4" w:space="0"/>
              <w:bottom w:val="single" w:color="000000" w:sz="4" w:space="0"/>
              <w:right w:val="single" w:color="000000" w:sz="4" w:space="0"/>
            </w:tcBorders>
          </w:tcPr>
          <w:p w14:paraId="3ACBCD2E">
            <w:pPr>
              <w:pStyle w:val="54"/>
              <w:spacing w:before="6"/>
              <w:rPr>
                <w:rFonts w:hint="eastAsia" w:ascii="宋体" w:hAnsi="宋体" w:eastAsia="宋体" w:cs="宋体"/>
                <w:color w:val="000000" w:themeColor="text1"/>
                <w:sz w:val="20"/>
                <w:szCs w:val="20"/>
                <w:lang w:eastAsia="zh-CN"/>
                <w14:textFill>
                  <w14:solidFill>
                    <w14:schemeClr w14:val="tx1"/>
                  </w14:solidFill>
                </w14:textFill>
              </w:rPr>
            </w:pPr>
          </w:p>
          <w:p w14:paraId="479B1895">
            <w:pPr>
              <w:pStyle w:val="54"/>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17</w:t>
            </w:r>
          </w:p>
        </w:tc>
        <w:tc>
          <w:tcPr>
            <w:tcW w:w="1290" w:type="dxa"/>
            <w:tcBorders>
              <w:top w:val="single" w:color="000000" w:sz="4" w:space="0"/>
              <w:left w:val="single" w:color="000000" w:sz="4" w:space="0"/>
              <w:bottom w:val="single" w:color="000000" w:sz="4" w:space="0"/>
              <w:right w:val="single" w:color="000000" w:sz="4" w:space="0"/>
            </w:tcBorders>
          </w:tcPr>
          <w:p w14:paraId="0478302A">
            <w:pPr>
              <w:pStyle w:val="54"/>
              <w:spacing w:before="112"/>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A060807便器</w:t>
            </w:r>
          </w:p>
          <w:p w14:paraId="7937603D">
            <w:pPr>
              <w:pStyle w:val="54"/>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冲洗阀</w:t>
            </w:r>
          </w:p>
        </w:tc>
        <w:tc>
          <w:tcPr>
            <w:tcW w:w="2077" w:type="dxa"/>
            <w:tcBorders>
              <w:top w:val="single" w:color="000000" w:sz="4" w:space="0"/>
              <w:left w:val="single" w:color="000000" w:sz="4" w:space="0"/>
              <w:bottom w:val="single" w:color="000000" w:sz="4" w:space="0"/>
              <w:right w:val="single" w:color="000000" w:sz="4" w:space="0"/>
            </w:tcBorders>
          </w:tcPr>
          <w:p w14:paraId="26C01660">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38D03265">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03427389">
            <w:pPr>
              <w:pStyle w:val="54"/>
              <w:spacing w:before="112"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《便器冲洗阀用水效率限定值及</w:t>
            </w:r>
            <w:r>
              <w:rPr>
                <w:rFonts w:hint="eastAsia" w:ascii="宋体" w:hAnsi="宋体" w:eastAsia="宋体" w:cs="宋体"/>
                <w:color w:val="000000" w:themeColor="text1"/>
                <w:sz w:val="20"/>
                <w:szCs w:val="20"/>
                <w:lang w:eastAsia="zh-CN"/>
                <w14:textFill>
                  <w14:solidFill>
                    <w14:schemeClr w14:val="tx1"/>
                  </w14:solidFill>
                </w14:textFill>
              </w:rPr>
              <w:t>用水效率等级》（GB28379）</w:t>
            </w:r>
          </w:p>
        </w:tc>
      </w:tr>
      <w:tr w14:paraId="5400480E">
        <w:tblPrEx>
          <w:tblCellMar>
            <w:top w:w="0" w:type="dxa"/>
            <w:left w:w="0" w:type="dxa"/>
            <w:bottom w:w="0" w:type="dxa"/>
            <w:right w:w="0" w:type="dxa"/>
          </w:tblCellMar>
        </w:tblPrEx>
        <w:trPr>
          <w:trHeight w:val="902" w:hRule="exact"/>
        </w:trPr>
        <w:tc>
          <w:tcPr>
            <w:tcW w:w="615" w:type="dxa"/>
            <w:tcBorders>
              <w:top w:val="single" w:color="000000" w:sz="4" w:space="0"/>
              <w:left w:val="single" w:color="000000" w:sz="4" w:space="0"/>
              <w:bottom w:val="single" w:color="000000" w:sz="4" w:space="0"/>
              <w:right w:val="single" w:color="000000" w:sz="4" w:space="0"/>
            </w:tcBorders>
          </w:tcPr>
          <w:p w14:paraId="197A8668">
            <w:pPr>
              <w:pStyle w:val="54"/>
              <w:spacing w:before="12"/>
              <w:rPr>
                <w:rFonts w:hint="eastAsia" w:ascii="宋体" w:hAnsi="宋体" w:eastAsia="宋体" w:cs="宋体"/>
                <w:color w:val="000000" w:themeColor="text1"/>
                <w:sz w:val="21"/>
                <w:szCs w:val="21"/>
                <w:lang w:eastAsia="zh-CN"/>
                <w14:textFill>
                  <w14:solidFill>
                    <w14:schemeClr w14:val="tx1"/>
                  </w14:solidFill>
                </w14:textFill>
              </w:rPr>
            </w:pPr>
          </w:p>
          <w:p w14:paraId="3EADE736">
            <w:pPr>
              <w:pStyle w:val="54"/>
              <w:ind w:left="182"/>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14:textFill>
                  <w14:solidFill>
                    <w14:schemeClr w14:val="tx1"/>
                  </w14:solidFill>
                </w14:textFill>
              </w:rPr>
              <w:t>18</w:t>
            </w:r>
          </w:p>
        </w:tc>
        <w:tc>
          <w:tcPr>
            <w:tcW w:w="1290" w:type="dxa"/>
            <w:tcBorders>
              <w:top w:val="single" w:color="000000" w:sz="4" w:space="0"/>
              <w:left w:val="single" w:color="000000" w:sz="4" w:space="0"/>
              <w:bottom w:val="single" w:color="000000" w:sz="4" w:space="0"/>
              <w:right w:val="single" w:color="000000" w:sz="4" w:space="0"/>
            </w:tcBorders>
          </w:tcPr>
          <w:p w14:paraId="29D7B67D">
            <w:pPr>
              <w:pStyle w:val="54"/>
              <w:spacing w:before="131"/>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t>A060810淋浴</w:t>
            </w:r>
          </w:p>
          <w:p w14:paraId="4D67FB75">
            <w:pPr>
              <w:pStyle w:val="54"/>
              <w:spacing w:before="50"/>
              <w:ind w:left="7"/>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w w:val="99"/>
                <w:sz w:val="20"/>
                <w:szCs w:val="20"/>
                <w14:textFill>
                  <w14:solidFill>
                    <w14:schemeClr w14:val="tx1"/>
                  </w14:solidFill>
                </w14:textFill>
              </w:rPr>
              <w:t>器</w:t>
            </w:r>
          </w:p>
        </w:tc>
        <w:tc>
          <w:tcPr>
            <w:tcW w:w="2077" w:type="dxa"/>
            <w:tcBorders>
              <w:top w:val="single" w:color="000000" w:sz="4" w:space="0"/>
              <w:left w:val="single" w:color="000000" w:sz="4" w:space="0"/>
              <w:bottom w:val="single" w:color="000000" w:sz="4" w:space="0"/>
              <w:right w:val="single" w:color="000000" w:sz="4" w:space="0"/>
            </w:tcBorders>
          </w:tcPr>
          <w:p w14:paraId="0E2012E2">
            <w:pPr>
              <w:rPr>
                <w:rFonts w:hint="eastAsia" w:ascii="宋体" w:hAnsi="宋体" w:eastAsia="宋体" w:cs="宋体"/>
                <w:color w:val="000000" w:themeColor="text1"/>
                <w:sz w:val="22"/>
                <w:szCs w:val="22"/>
                <w:lang w:eastAsia="en-US"/>
                <w14:textFill>
                  <w14:solidFill>
                    <w14:schemeClr w14:val="tx1"/>
                  </w14:solidFill>
                </w14:textFill>
              </w:rPr>
            </w:pPr>
          </w:p>
        </w:tc>
        <w:tc>
          <w:tcPr>
            <w:tcW w:w="1373" w:type="dxa"/>
            <w:tcBorders>
              <w:top w:val="single" w:color="000000" w:sz="4" w:space="0"/>
              <w:left w:val="single" w:color="000000" w:sz="4" w:space="0"/>
              <w:bottom w:val="single" w:color="000000" w:sz="4" w:space="0"/>
              <w:right w:val="single" w:color="000000" w:sz="4" w:space="0"/>
            </w:tcBorders>
          </w:tcPr>
          <w:p w14:paraId="37CDE24D">
            <w:pPr>
              <w:rPr>
                <w:rFonts w:hint="eastAsia" w:ascii="宋体" w:hAnsi="宋体" w:eastAsia="宋体" w:cs="宋体"/>
                <w:color w:val="000000" w:themeColor="text1"/>
                <w:sz w:val="22"/>
                <w:szCs w:val="22"/>
                <w:lang w:eastAsia="en-US"/>
                <w14:textFill>
                  <w14:solidFill>
                    <w14:schemeClr w14:val="tx1"/>
                  </w14:solidFill>
                </w14:textFill>
              </w:rPr>
            </w:pPr>
          </w:p>
        </w:tc>
        <w:tc>
          <w:tcPr>
            <w:tcW w:w="3765" w:type="dxa"/>
            <w:tcBorders>
              <w:top w:val="single" w:color="000000" w:sz="4" w:space="0"/>
              <w:left w:val="single" w:color="000000" w:sz="4" w:space="0"/>
              <w:bottom w:val="single" w:color="000000" w:sz="4" w:space="0"/>
              <w:right w:val="single" w:color="000000" w:sz="4" w:space="0"/>
            </w:tcBorders>
          </w:tcPr>
          <w:p w14:paraId="2EDC18B8">
            <w:pPr>
              <w:pStyle w:val="54"/>
              <w:spacing w:before="131" w:line="280" w:lineRule="auto"/>
              <w:ind w:left="7" w:right="4"/>
              <w:rPr>
                <w:rFonts w:hint="eastAsia" w:ascii="宋体" w:hAnsi="宋体" w:eastAsia="宋体" w:cs="宋体"/>
                <w:color w:val="000000" w:themeColor="text1"/>
                <w:sz w:val="20"/>
                <w:szCs w:val="20"/>
                <w:lang w:eastAsia="zh-CN"/>
                <w14:textFill>
                  <w14:solidFill>
                    <w14:schemeClr w14:val="tx1"/>
                  </w14:solidFill>
                </w14:textFill>
              </w:rPr>
            </w:pPr>
            <w:r>
              <w:rPr>
                <w:rFonts w:hint="eastAsia" w:ascii="宋体" w:hAnsi="宋体" w:eastAsia="宋体" w:cs="宋体"/>
                <w:color w:val="000000" w:themeColor="text1"/>
                <w:spacing w:val="10"/>
                <w:sz w:val="20"/>
                <w:szCs w:val="20"/>
                <w:lang w:eastAsia="zh-CN"/>
                <w14:textFill>
                  <w14:solidFill>
                    <w14:schemeClr w14:val="tx1"/>
                  </w14:solidFill>
                </w14:textFill>
              </w:rPr>
              <w:t>《淋浴器用水效率限定值及用水</w:t>
            </w:r>
            <w:r>
              <w:rPr>
                <w:rFonts w:hint="eastAsia" w:ascii="宋体" w:hAnsi="宋体" w:eastAsia="宋体" w:cs="宋体"/>
                <w:color w:val="000000" w:themeColor="text1"/>
                <w:sz w:val="20"/>
                <w:szCs w:val="20"/>
                <w:lang w:eastAsia="zh-CN"/>
                <w14:textFill>
                  <w14:solidFill>
                    <w14:schemeClr w14:val="tx1"/>
                  </w14:solidFill>
                </w14:textFill>
              </w:rPr>
              <w:t>效率等级》（GB28378）</w:t>
            </w:r>
          </w:p>
        </w:tc>
      </w:tr>
    </w:tbl>
    <w:p w14:paraId="312492BD">
      <w:pPr>
        <w:pStyle w:val="1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3"/>
          <w:szCs w:val="21"/>
          <w14:textFill>
            <w14:solidFill>
              <w14:schemeClr w14:val="tx1"/>
            </w14:solidFill>
          </w14:textFill>
        </w:rPr>
        <w:t>注：1.节能产品认证应依据相关国家标准的最新版本，依据国家标准中二级能效（水效）</w:t>
      </w:r>
      <w:r>
        <w:rPr>
          <w:rFonts w:hint="eastAsia" w:ascii="宋体" w:hAnsi="宋体" w:eastAsia="宋体" w:cs="宋体"/>
          <w:color w:val="000000" w:themeColor="text1"/>
          <w:szCs w:val="21"/>
          <w14:textFill>
            <w14:solidFill>
              <w14:schemeClr w14:val="tx1"/>
            </w14:solidFill>
          </w14:textFill>
        </w:rPr>
        <w:t>指标。</w:t>
      </w:r>
    </w:p>
    <w:p w14:paraId="1455B665">
      <w:pPr>
        <w:pStyle w:val="10"/>
        <w:spacing w:line="36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2..以“</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”标注的为政府强制采购产品。</w:t>
      </w:r>
    </w:p>
    <w:p w14:paraId="07A81F1D">
      <w:pPr>
        <w:widowControl/>
        <w:jc w:val="left"/>
        <w:rPr>
          <w:rFonts w:hint="eastAsia" w:ascii="宋体" w:hAnsi="宋体" w:eastAsia="宋体" w:cs="宋体"/>
          <w:color w:val="000000" w:themeColor="text1"/>
          <w:sz w:val="20"/>
          <w:szCs w:val="20"/>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p>
    <w:p w14:paraId="62559A27">
      <w:pPr>
        <w:pStyle w:val="14"/>
        <w:jc w:val="left"/>
        <w:rPr>
          <w:rFonts w:hint="eastAsia" w:ascii="宋体" w:hAnsi="宋体" w:eastAsia="宋体" w:cs="宋体"/>
          <w:sz w:val="36"/>
          <w:szCs w:val="32"/>
        </w:rPr>
      </w:pPr>
      <w:r>
        <w:rPr>
          <w:rFonts w:hint="eastAsia" w:ascii="宋体" w:hAnsi="宋体" w:eastAsia="宋体" w:cs="宋体"/>
          <w:sz w:val="36"/>
          <w:szCs w:val="32"/>
        </w:rPr>
        <w:t>附件2：</w:t>
      </w:r>
    </w:p>
    <w:p w14:paraId="4724DFD3">
      <w:pPr>
        <w:spacing w:line="528" w:lineRule="exact"/>
        <w:ind w:left="2055" w:hanging="2054" w:hangingChars="467"/>
        <w:jc w:val="center"/>
        <w:rPr>
          <w:rFonts w:hint="eastAsia" w:ascii="宋体" w:hAnsi="宋体" w:eastAsia="宋体" w:cs="宋体"/>
          <w:sz w:val="44"/>
          <w:szCs w:val="40"/>
        </w:rPr>
      </w:pPr>
      <w:r>
        <w:rPr>
          <w:rFonts w:hint="eastAsia" w:ascii="宋体" w:hAnsi="宋体" w:eastAsia="宋体" w:cs="宋体"/>
          <w:sz w:val="44"/>
          <w:szCs w:val="40"/>
        </w:rPr>
        <w:t>中小微企业划型标准</w:t>
      </w:r>
    </w:p>
    <w:tbl>
      <w:tblPr>
        <w:tblStyle w:val="24"/>
        <w:tblW w:w="9497" w:type="dxa"/>
        <w:jc w:val="center"/>
        <w:tblLayout w:type="fixed"/>
        <w:tblCellMar>
          <w:top w:w="0" w:type="dxa"/>
          <w:left w:w="108" w:type="dxa"/>
          <w:bottom w:w="0" w:type="dxa"/>
          <w:right w:w="108" w:type="dxa"/>
        </w:tblCellMar>
      </w:tblPr>
      <w:tblGrid>
        <w:gridCol w:w="1985"/>
        <w:gridCol w:w="1984"/>
        <w:gridCol w:w="851"/>
        <w:gridCol w:w="1842"/>
        <w:gridCol w:w="1701"/>
        <w:gridCol w:w="1134"/>
      </w:tblGrid>
      <w:tr w14:paraId="29AF152A">
        <w:tblPrEx>
          <w:tblCellMar>
            <w:top w:w="0" w:type="dxa"/>
            <w:left w:w="108" w:type="dxa"/>
            <w:bottom w:w="0" w:type="dxa"/>
            <w:right w:w="108" w:type="dxa"/>
          </w:tblCellMar>
        </w:tblPrEx>
        <w:trPr>
          <w:trHeight w:val="567" w:hRule="atLeast"/>
          <w:jc w:val="center"/>
        </w:trPr>
        <w:tc>
          <w:tcPr>
            <w:tcW w:w="1985" w:type="dxa"/>
            <w:tcBorders>
              <w:top w:val="single" w:color="auto" w:sz="4" w:space="0"/>
              <w:left w:val="single" w:color="auto" w:sz="4" w:space="0"/>
              <w:bottom w:val="single" w:color="auto" w:sz="4" w:space="0"/>
              <w:right w:val="single" w:color="auto" w:sz="4" w:space="0"/>
            </w:tcBorders>
            <w:vAlign w:val="center"/>
          </w:tcPr>
          <w:p w14:paraId="123462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行业名称</w:t>
            </w:r>
          </w:p>
        </w:tc>
        <w:tc>
          <w:tcPr>
            <w:tcW w:w="1984" w:type="dxa"/>
            <w:tcBorders>
              <w:top w:val="single" w:color="auto" w:sz="4" w:space="0"/>
              <w:left w:val="nil"/>
              <w:bottom w:val="single" w:color="auto" w:sz="4" w:space="0"/>
              <w:right w:val="single" w:color="auto" w:sz="4" w:space="0"/>
            </w:tcBorders>
            <w:vAlign w:val="center"/>
          </w:tcPr>
          <w:p w14:paraId="3AB932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指标名称</w:t>
            </w:r>
          </w:p>
        </w:tc>
        <w:tc>
          <w:tcPr>
            <w:tcW w:w="851" w:type="dxa"/>
            <w:tcBorders>
              <w:top w:val="single" w:color="auto" w:sz="4" w:space="0"/>
              <w:left w:val="nil"/>
              <w:bottom w:val="single" w:color="auto" w:sz="4" w:space="0"/>
              <w:right w:val="single" w:color="auto" w:sz="4" w:space="0"/>
            </w:tcBorders>
            <w:vAlign w:val="center"/>
          </w:tcPr>
          <w:p w14:paraId="50DFC3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计量单位</w:t>
            </w:r>
          </w:p>
        </w:tc>
        <w:tc>
          <w:tcPr>
            <w:tcW w:w="1842" w:type="dxa"/>
            <w:tcBorders>
              <w:top w:val="single" w:color="auto" w:sz="4" w:space="0"/>
              <w:left w:val="nil"/>
              <w:bottom w:val="single" w:color="auto" w:sz="4" w:space="0"/>
              <w:right w:val="single" w:color="auto" w:sz="4" w:space="0"/>
            </w:tcBorders>
            <w:vAlign w:val="center"/>
          </w:tcPr>
          <w:p w14:paraId="66F4D7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中型</w:t>
            </w:r>
          </w:p>
        </w:tc>
        <w:tc>
          <w:tcPr>
            <w:tcW w:w="1701" w:type="dxa"/>
            <w:tcBorders>
              <w:top w:val="single" w:color="auto" w:sz="4" w:space="0"/>
              <w:left w:val="nil"/>
              <w:bottom w:val="single" w:color="auto" w:sz="4" w:space="0"/>
              <w:right w:val="single" w:color="auto" w:sz="4" w:space="0"/>
            </w:tcBorders>
            <w:vAlign w:val="center"/>
          </w:tcPr>
          <w:p w14:paraId="5373DCD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小型</w:t>
            </w:r>
          </w:p>
        </w:tc>
        <w:tc>
          <w:tcPr>
            <w:tcW w:w="1134" w:type="dxa"/>
            <w:tcBorders>
              <w:top w:val="single" w:color="auto" w:sz="4" w:space="0"/>
              <w:left w:val="nil"/>
              <w:bottom w:val="single" w:color="auto" w:sz="4" w:space="0"/>
              <w:right w:val="single" w:color="auto" w:sz="4" w:space="0"/>
            </w:tcBorders>
            <w:vAlign w:val="center"/>
          </w:tcPr>
          <w:p w14:paraId="179D316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kern w:val="0"/>
                <w:sz w:val="28"/>
              </w:rPr>
            </w:pPr>
            <w:r>
              <w:rPr>
                <w:rFonts w:hint="eastAsia" w:ascii="宋体" w:hAnsi="宋体" w:eastAsia="宋体" w:cs="宋体"/>
                <w:b/>
                <w:kern w:val="0"/>
                <w:sz w:val="28"/>
              </w:rPr>
              <w:t>微型</w:t>
            </w:r>
          </w:p>
        </w:tc>
      </w:tr>
      <w:tr w14:paraId="29DF7177">
        <w:tblPrEx>
          <w:tblCellMar>
            <w:top w:w="0" w:type="dxa"/>
            <w:left w:w="108" w:type="dxa"/>
            <w:bottom w:w="0" w:type="dxa"/>
            <w:right w:w="108" w:type="dxa"/>
          </w:tblCellMar>
        </w:tblPrEx>
        <w:trPr>
          <w:trHeight w:val="567" w:hRule="atLeast"/>
          <w:jc w:val="center"/>
        </w:trPr>
        <w:tc>
          <w:tcPr>
            <w:tcW w:w="1985" w:type="dxa"/>
            <w:tcBorders>
              <w:top w:val="nil"/>
              <w:left w:val="single" w:color="auto" w:sz="4" w:space="0"/>
              <w:bottom w:val="single" w:color="auto" w:sz="4" w:space="0"/>
              <w:right w:val="single" w:color="auto" w:sz="4" w:space="0"/>
            </w:tcBorders>
            <w:vAlign w:val="center"/>
          </w:tcPr>
          <w:p w14:paraId="4872C0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农、林、牧、渔</w:t>
            </w:r>
          </w:p>
        </w:tc>
        <w:tc>
          <w:tcPr>
            <w:tcW w:w="1984" w:type="dxa"/>
            <w:tcBorders>
              <w:top w:val="nil"/>
              <w:left w:val="nil"/>
              <w:bottom w:val="single" w:color="auto" w:sz="4" w:space="0"/>
              <w:right w:val="single" w:color="auto" w:sz="4" w:space="0"/>
            </w:tcBorders>
            <w:vAlign w:val="center"/>
          </w:tcPr>
          <w:p w14:paraId="2EC5CF5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DAD7E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BA280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500≤Y＜20000</w:t>
            </w:r>
          </w:p>
        </w:tc>
        <w:tc>
          <w:tcPr>
            <w:tcW w:w="1701" w:type="dxa"/>
            <w:tcBorders>
              <w:top w:val="nil"/>
              <w:left w:val="nil"/>
              <w:bottom w:val="single" w:color="auto" w:sz="4" w:space="0"/>
              <w:right w:val="single" w:color="auto" w:sz="4" w:space="0"/>
            </w:tcBorders>
            <w:vAlign w:val="center"/>
          </w:tcPr>
          <w:p w14:paraId="6ED0614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50≤Y＜500</w:t>
            </w:r>
          </w:p>
        </w:tc>
        <w:tc>
          <w:tcPr>
            <w:tcW w:w="1134" w:type="dxa"/>
            <w:tcBorders>
              <w:top w:val="nil"/>
              <w:left w:val="nil"/>
              <w:bottom w:val="single" w:color="auto" w:sz="4" w:space="0"/>
              <w:right w:val="single" w:color="auto" w:sz="4" w:space="0"/>
            </w:tcBorders>
            <w:vAlign w:val="center"/>
          </w:tcPr>
          <w:p w14:paraId="2B66242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w:t>
            </w:r>
          </w:p>
        </w:tc>
      </w:tr>
      <w:tr w14:paraId="448D8ABE">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DC1D7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工业</w:t>
            </w:r>
          </w:p>
        </w:tc>
        <w:tc>
          <w:tcPr>
            <w:tcW w:w="1984" w:type="dxa"/>
            <w:tcBorders>
              <w:top w:val="nil"/>
              <w:left w:val="nil"/>
              <w:bottom w:val="single" w:color="auto" w:sz="4" w:space="0"/>
              <w:right w:val="single" w:color="auto" w:sz="4" w:space="0"/>
            </w:tcBorders>
            <w:vAlign w:val="center"/>
          </w:tcPr>
          <w:p w14:paraId="66DD6C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751F47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05B9B3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380909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251B2BB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19B826F0">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24C63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738E9EF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09B79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31770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2000≤Y＜40000</w:t>
            </w:r>
          </w:p>
        </w:tc>
        <w:tc>
          <w:tcPr>
            <w:tcW w:w="1701" w:type="dxa"/>
            <w:tcBorders>
              <w:top w:val="nil"/>
              <w:left w:val="nil"/>
              <w:bottom w:val="single" w:color="auto" w:sz="4" w:space="0"/>
              <w:right w:val="single" w:color="auto" w:sz="4" w:space="0"/>
            </w:tcBorders>
            <w:vAlign w:val="center"/>
          </w:tcPr>
          <w:p w14:paraId="7E0727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300≤Y＜2000</w:t>
            </w:r>
          </w:p>
        </w:tc>
        <w:tc>
          <w:tcPr>
            <w:tcW w:w="1134" w:type="dxa"/>
            <w:tcBorders>
              <w:top w:val="nil"/>
              <w:left w:val="nil"/>
              <w:bottom w:val="single" w:color="auto" w:sz="4" w:space="0"/>
              <w:right w:val="single" w:color="auto" w:sz="4" w:space="0"/>
            </w:tcBorders>
            <w:vAlign w:val="center"/>
          </w:tcPr>
          <w:p w14:paraId="5FAE68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Y＜300</w:t>
            </w:r>
          </w:p>
        </w:tc>
      </w:tr>
      <w:tr w14:paraId="55CD7A76">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82B74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建筑业</w:t>
            </w:r>
          </w:p>
        </w:tc>
        <w:tc>
          <w:tcPr>
            <w:tcW w:w="1984" w:type="dxa"/>
            <w:tcBorders>
              <w:top w:val="nil"/>
              <w:left w:val="nil"/>
              <w:bottom w:val="single" w:color="auto" w:sz="4" w:space="0"/>
              <w:right w:val="single" w:color="auto" w:sz="4" w:space="0"/>
            </w:tcBorders>
            <w:vAlign w:val="center"/>
          </w:tcPr>
          <w:p w14:paraId="70F22C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12137F7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8EA2D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6000≤Y＜80000</w:t>
            </w:r>
          </w:p>
        </w:tc>
        <w:tc>
          <w:tcPr>
            <w:tcW w:w="1701" w:type="dxa"/>
            <w:tcBorders>
              <w:top w:val="nil"/>
              <w:left w:val="nil"/>
              <w:bottom w:val="single" w:color="auto" w:sz="4" w:space="0"/>
              <w:right w:val="single" w:color="auto" w:sz="4" w:space="0"/>
            </w:tcBorders>
            <w:vAlign w:val="center"/>
          </w:tcPr>
          <w:p w14:paraId="119F597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300≤Y＜6000</w:t>
            </w:r>
          </w:p>
        </w:tc>
        <w:tc>
          <w:tcPr>
            <w:tcW w:w="1134" w:type="dxa"/>
            <w:tcBorders>
              <w:top w:val="nil"/>
              <w:left w:val="nil"/>
              <w:bottom w:val="single" w:color="auto" w:sz="4" w:space="0"/>
              <w:right w:val="single" w:color="auto" w:sz="4" w:space="0"/>
            </w:tcBorders>
            <w:vAlign w:val="center"/>
          </w:tcPr>
          <w:p w14:paraId="232FBB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Y＜300</w:t>
            </w:r>
          </w:p>
        </w:tc>
      </w:tr>
      <w:tr w14:paraId="00677D00">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2213CEE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46E9763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5D2988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9CC91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5000≤Z＜80000</w:t>
            </w:r>
          </w:p>
        </w:tc>
        <w:tc>
          <w:tcPr>
            <w:tcW w:w="1701" w:type="dxa"/>
            <w:tcBorders>
              <w:top w:val="nil"/>
              <w:left w:val="nil"/>
              <w:bottom w:val="single" w:color="auto" w:sz="4" w:space="0"/>
              <w:right w:val="single" w:color="auto" w:sz="4" w:space="0"/>
            </w:tcBorders>
            <w:vAlign w:val="center"/>
          </w:tcPr>
          <w:p w14:paraId="4DFDA0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300≤Z＜5000</w:t>
            </w:r>
          </w:p>
        </w:tc>
        <w:tc>
          <w:tcPr>
            <w:tcW w:w="1134" w:type="dxa"/>
            <w:tcBorders>
              <w:top w:val="nil"/>
              <w:left w:val="nil"/>
              <w:bottom w:val="single" w:color="auto" w:sz="4" w:space="0"/>
              <w:right w:val="single" w:color="auto" w:sz="4" w:space="0"/>
            </w:tcBorders>
            <w:vAlign w:val="center"/>
          </w:tcPr>
          <w:p w14:paraId="54A9D48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Z＜300</w:t>
            </w:r>
          </w:p>
        </w:tc>
      </w:tr>
      <w:tr w14:paraId="2B4B2AEB">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3E76B87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批发业</w:t>
            </w:r>
          </w:p>
        </w:tc>
        <w:tc>
          <w:tcPr>
            <w:tcW w:w="1984" w:type="dxa"/>
            <w:tcBorders>
              <w:top w:val="nil"/>
              <w:left w:val="nil"/>
              <w:bottom w:val="single" w:color="auto" w:sz="4" w:space="0"/>
              <w:right w:val="single" w:color="auto" w:sz="4" w:space="0"/>
            </w:tcBorders>
            <w:vAlign w:val="center"/>
          </w:tcPr>
          <w:p w14:paraId="470831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30D364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7028A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20≤X＜200</w:t>
            </w:r>
          </w:p>
        </w:tc>
        <w:tc>
          <w:tcPr>
            <w:tcW w:w="1701" w:type="dxa"/>
            <w:tcBorders>
              <w:top w:val="nil"/>
              <w:left w:val="nil"/>
              <w:bottom w:val="single" w:color="auto" w:sz="4" w:space="0"/>
              <w:right w:val="single" w:color="auto" w:sz="4" w:space="0"/>
            </w:tcBorders>
            <w:vAlign w:val="center"/>
          </w:tcPr>
          <w:p w14:paraId="3BD9A00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5≤X＜20</w:t>
            </w:r>
          </w:p>
        </w:tc>
        <w:tc>
          <w:tcPr>
            <w:tcW w:w="1134" w:type="dxa"/>
            <w:tcBorders>
              <w:top w:val="nil"/>
              <w:left w:val="nil"/>
              <w:bottom w:val="single" w:color="auto" w:sz="4" w:space="0"/>
              <w:right w:val="single" w:color="auto" w:sz="4" w:space="0"/>
            </w:tcBorders>
            <w:vAlign w:val="center"/>
          </w:tcPr>
          <w:p w14:paraId="016A99D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X＜5</w:t>
            </w:r>
          </w:p>
        </w:tc>
      </w:tr>
      <w:tr w14:paraId="74840292">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E0566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58D98AA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78DD164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0BA8A3E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5000≤Y＜40000</w:t>
            </w:r>
          </w:p>
        </w:tc>
        <w:tc>
          <w:tcPr>
            <w:tcW w:w="1701" w:type="dxa"/>
            <w:tcBorders>
              <w:top w:val="nil"/>
              <w:left w:val="nil"/>
              <w:bottom w:val="single" w:color="auto" w:sz="4" w:space="0"/>
              <w:right w:val="single" w:color="auto" w:sz="4" w:space="0"/>
            </w:tcBorders>
            <w:vAlign w:val="center"/>
          </w:tcPr>
          <w:p w14:paraId="4B4378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1000≤Y＜5000</w:t>
            </w:r>
          </w:p>
        </w:tc>
        <w:tc>
          <w:tcPr>
            <w:tcW w:w="1134" w:type="dxa"/>
            <w:tcBorders>
              <w:top w:val="nil"/>
              <w:left w:val="nil"/>
              <w:bottom w:val="single" w:color="auto" w:sz="4" w:space="0"/>
              <w:right w:val="single" w:color="auto" w:sz="4" w:space="0"/>
            </w:tcBorders>
            <w:vAlign w:val="center"/>
          </w:tcPr>
          <w:p w14:paraId="3A3B9C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Y＜1000</w:t>
            </w:r>
          </w:p>
        </w:tc>
      </w:tr>
      <w:tr w14:paraId="38F65438">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BB5DF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零售业</w:t>
            </w:r>
          </w:p>
        </w:tc>
        <w:tc>
          <w:tcPr>
            <w:tcW w:w="1984" w:type="dxa"/>
            <w:tcBorders>
              <w:top w:val="nil"/>
              <w:left w:val="nil"/>
              <w:bottom w:val="single" w:color="auto" w:sz="4" w:space="0"/>
              <w:right w:val="single" w:color="auto" w:sz="4" w:space="0"/>
            </w:tcBorders>
            <w:vAlign w:val="center"/>
          </w:tcPr>
          <w:p w14:paraId="38950C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73753AE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781915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50≤X＜300</w:t>
            </w:r>
          </w:p>
        </w:tc>
        <w:tc>
          <w:tcPr>
            <w:tcW w:w="1701" w:type="dxa"/>
            <w:tcBorders>
              <w:top w:val="nil"/>
              <w:left w:val="nil"/>
              <w:bottom w:val="single" w:color="auto" w:sz="4" w:space="0"/>
              <w:right w:val="single" w:color="auto" w:sz="4" w:space="0"/>
            </w:tcBorders>
            <w:vAlign w:val="center"/>
          </w:tcPr>
          <w:p w14:paraId="4DD5702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10≤X＜50</w:t>
            </w:r>
          </w:p>
        </w:tc>
        <w:tc>
          <w:tcPr>
            <w:tcW w:w="1134" w:type="dxa"/>
            <w:tcBorders>
              <w:top w:val="nil"/>
              <w:left w:val="nil"/>
              <w:bottom w:val="single" w:color="auto" w:sz="4" w:space="0"/>
              <w:right w:val="single" w:color="auto" w:sz="4" w:space="0"/>
            </w:tcBorders>
            <w:vAlign w:val="center"/>
          </w:tcPr>
          <w:p w14:paraId="00777B9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79DAB07B">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D3A18E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A2B7F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79DE52F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9A7454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500≤Y＜20000</w:t>
            </w:r>
          </w:p>
        </w:tc>
        <w:tc>
          <w:tcPr>
            <w:tcW w:w="1701" w:type="dxa"/>
            <w:tcBorders>
              <w:top w:val="nil"/>
              <w:left w:val="nil"/>
              <w:bottom w:val="single" w:color="auto" w:sz="4" w:space="0"/>
              <w:right w:val="single" w:color="auto" w:sz="4" w:space="0"/>
            </w:tcBorders>
            <w:vAlign w:val="center"/>
          </w:tcPr>
          <w:p w14:paraId="3AFAB0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100≤Y＜500</w:t>
            </w:r>
          </w:p>
        </w:tc>
        <w:tc>
          <w:tcPr>
            <w:tcW w:w="1134" w:type="dxa"/>
            <w:tcBorders>
              <w:top w:val="nil"/>
              <w:left w:val="nil"/>
              <w:bottom w:val="single" w:color="auto" w:sz="4" w:space="0"/>
              <w:right w:val="single" w:color="auto" w:sz="4" w:space="0"/>
            </w:tcBorders>
            <w:vAlign w:val="center"/>
          </w:tcPr>
          <w:p w14:paraId="4A83F1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7486A113">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B7BB80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交通运输业</w:t>
            </w:r>
          </w:p>
        </w:tc>
        <w:tc>
          <w:tcPr>
            <w:tcW w:w="1984" w:type="dxa"/>
            <w:tcBorders>
              <w:top w:val="nil"/>
              <w:left w:val="nil"/>
              <w:bottom w:val="single" w:color="auto" w:sz="4" w:space="0"/>
              <w:right w:val="single" w:color="auto" w:sz="4" w:space="0"/>
            </w:tcBorders>
            <w:vAlign w:val="center"/>
          </w:tcPr>
          <w:p w14:paraId="33571F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6CB150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4D50EEF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2A39302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36C9A4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2ECA0D1E">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5E8D3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22417F8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44C1F1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8BD9F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3000≤Y＜30000</w:t>
            </w:r>
          </w:p>
        </w:tc>
        <w:tc>
          <w:tcPr>
            <w:tcW w:w="1701" w:type="dxa"/>
            <w:tcBorders>
              <w:top w:val="nil"/>
              <w:left w:val="nil"/>
              <w:bottom w:val="single" w:color="auto" w:sz="4" w:space="0"/>
              <w:right w:val="single" w:color="auto" w:sz="4" w:space="0"/>
            </w:tcBorders>
            <w:vAlign w:val="center"/>
          </w:tcPr>
          <w:p w14:paraId="4BB4104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200≤Y＜3000</w:t>
            </w:r>
          </w:p>
        </w:tc>
        <w:tc>
          <w:tcPr>
            <w:tcW w:w="1134" w:type="dxa"/>
            <w:tcBorders>
              <w:top w:val="nil"/>
              <w:left w:val="nil"/>
              <w:bottom w:val="single" w:color="auto" w:sz="4" w:space="0"/>
              <w:right w:val="single" w:color="auto" w:sz="4" w:space="0"/>
            </w:tcBorders>
            <w:vAlign w:val="center"/>
          </w:tcPr>
          <w:p w14:paraId="4DB89B8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Y＜200</w:t>
            </w:r>
          </w:p>
        </w:tc>
      </w:tr>
      <w:tr w14:paraId="04275989">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C0BA2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仓储业</w:t>
            </w:r>
          </w:p>
        </w:tc>
        <w:tc>
          <w:tcPr>
            <w:tcW w:w="1984" w:type="dxa"/>
            <w:tcBorders>
              <w:top w:val="nil"/>
              <w:left w:val="nil"/>
              <w:bottom w:val="single" w:color="auto" w:sz="4" w:space="0"/>
              <w:right w:val="single" w:color="auto" w:sz="4" w:space="0"/>
            </w:tcBorders>
            <w:vAlign w:val="center"/>
          </w:tcPr>
          <w:p w14:paraId="16D8BB1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3758309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594710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100≤X＜200</w:t>
            </w:r>
          </w:p>
        </w:tc>
        <w:tc>
          <w:tcPr>
            <w:tcW w:w="1701" w:type="dxa"/>
            <w:tcBorders>
              <w:top w:val="nil"/>
              <w:left w:val="nil"/>
              <w:bottom w:val="single" w:color="auto" w:sz="4" w:space="0"/>
              <w:right w:val="single" w:color="auto" w:sz="4" w:space="0"/>
            </w:tcBorders>
            <w:vAlign w:val="center"/>
          </w:tcPr>
          <w:p w14:paraId="36DF9B2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20≤X＜100</w:t>
            </w:r>
          </w:p>
        </w:tc>
        <w:tc>
          <w:tcPr>
            <w:tcW w:w="1134" w:type="dxa"/>
            <w:tcBorders>
              <w:top w:val="nil"/>
              <w:left w:val="nil"/>
              <w:bottom w:val="single" w:color="auto" w:sz="4" w:space="0"/>
              <w:right w:val="single" w:color="auto" w:sz="4" w:space="0"/>
            </w:tcBorders>
            <w:vAlign w:val="center"/>
          </w:tcPr>
          <w:p w14:paraId="215A45C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5327A802">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45E5E1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4A4D15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6829F2C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CEA44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1000≤Y＜30000</w:t>
            </w:r>
          </w:p>
        </w:tc>
        <w:tc>
          <w:tcPr>
            <w:tcW w:w="1701" w:type="dxa"/>
            <w:tcBorders>
              <w:top w:val="nil"/>
              <w:left w:val="nil"/>
              <w:bottom w:val="single" w:color="auto" w:sz="4" w:space="0"/>
              <w:right w:val="single" w:color="auto" w:sz="4" w:space="0"/>
            </w:tcBorders>
            <w:vAlign w:val="center"/>
          </w:tcPr>
          <w:p w14:paraId="290F224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100≤Y＜1000</w:t>
            </w:r>
          </w:p>
        </w:tc>
        <w:tc>
          <w:tcPr>
            <w:tcW w:w="1134" w:type="dxa"/>
            <w:tcBorders>
              <w:top w:val="nil"/>
              <w:left w:val="nil"/>
              <w:bottom w:val="single" w:color="auto" w:sz="4" w:space="0"/>
              <w:right w:val="single" w:color="auto" w:sz="4" w:space="0"/>
            </w:tcBorders>
            <w:vAlign w:val="center"/>
          </w:tcPr>
          <w:p w14:paraId="2051511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2C43959E">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78DB0A9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邮政业</w:t>
            </w:r>
          </w:p>
        </w:tc>
        <w:tc>
          <w:tcPr>
            <w:tcW w:w="1984" w:type="dxa"/>
            <w:tcBorders>
              <w:top w:val="nil"/>
              <w:left w:val="nil"/>
              <w:bottom w:val="single" w:color="auto" w:sz="4" w:space="0"/>
              <w:right w:val="single" w:color="auto" w:sz="4" w:space="0"/>
            </w:tcBorders>
            <w:vAlign w:val="center"/>
          </w:tcPr>
          <w:p w14:paraId="1D60A9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5BB912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52838E5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0E61EF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20≤X＜300</w:t>
            </w:r>
          </w:p>
        </w:tc>
        <w:tc>
          <w:tcPr>
            <w:tcW w:w="1134" w:type="dxa"/>
            <w:tcBorders>
              <w:top w:val="nil"/>
              <w:left w:val="nil"/>
              <w:bottom w:val="single" w:color="auto" w:sz="4" w:space="0"/>
              <w:right w:val="single" w:color="auto" w:sz="4" w:space="0"/>
            </w:tcBorders>
            <w:vAlign w:val="center"/>
          </w:tcPr>
          <w:p w14:paraId="4011B6C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X＜20</w:t>
            </w:r>
          </w:p>
        </w:tc>
      </w:tr>
      <w:tr w14:paraId="38D6FB9C">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71F34B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08F541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17CC9D0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6488B2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2000≤Y＜30000</w:t>
            </w:r>
          </w:p>
        </w:tc>
        <w:tc>
          <w:tcPr>
            <w:tcW w:w="1701" w:type="dxa"/>
            <w:tcBorders>
              <w:top w:val="nil"/>
              <w:left w:val="nil"/>
              <w:bottom w:val="single" w:color="auto" w:sz="4" w:space="0"/>
              <w:right w:val="single" w:color="auto" w:sz="4" w:space="0"/>
            </w:tcBorders>
            <w:vAlign w:val="center"/>
          </w:tcPr>
          <w:p w14:paraId="69BE74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59D4E98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7D0F4B03">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2C7A19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住宿业</w:t>
            </w:r>
          </w:p>
        </w:tc>
        <w:tc>
          <w:tcPr>
            <w:tcW w:w="1984" w:type="dxa"/>
            <w:tcBorders>
              <w:top w:val="nil"/>
              <w:left w:val="nil"/>
              <w:bottom w:val="single" w:color="auto" w:sz="4" w:space="0"/>
              <w:right w:val="single" w:color="auto" w:sz="4" w:space="0"/>
            </w:tcBorders>
            <w:vAlign w:val="center"/>
          </w:tcPr>
          <w:p w14:paraId="17A1943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0A626D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67F066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09D454B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16A740F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2B8DC4CE">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020E9D1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33D79BC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566416E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7F5605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2000≤Y＜10000</w:t>
            </w:r>
          </w:p>
        </w:tc>
        <w:tc>
          <w:tcPr>
            <w:tcW w:w="1701" w:type="dxa"/>
            <w:tcBorders>
              <w:top w:val="nil"/>
              <w:left w:val="nil"/>
              <w:bottom w:val="single" w:color="auto" w:sz="4" w:space="0"/>
              <w:right w:val="single" w:color="auto" w:sz="4" w:space="0"/>
            </w:tcBorders>
            <w:vAlign w:val="center"/>
          </w:tcPr>
          <w:p w14:paraId="27B5109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4EB6092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2FEFFBB2">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600E3F3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餐饮业</w:t>
            </w:r>
          </w:p>
        </w:tc>
        <w:tc>
          <w:tcPr>
            <w:tcW w:w="1984" w:type="dxa"/>
            <w:tcBorders>
              <w:top w:val="nil"/>
              <w:left w:val="nil"/>
              <w:bottom w:val="single" w:color="auto" w:sz="4" w:space="0"/>
              <w:right w:val="single" w:color="auto" w:sz="4" w:space="0"/>
            </w:tcBorders>
            <w:vAlign w:val="center"/>
          </w:tcPr>
          <w:p w14:paraId="0055D4D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2329AAC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5A70EE5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1B621D4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0AC2B1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0D295885">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20679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30FD4CD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7C7A2C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3A4140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2000≤Y＜10000</w:t>
            </w:r>
          </w:p>
        </w:tc>
        <w:tc>
          <w:tcPr>
            <w:tcW w:w="1701" w:type="dxa"/>
            <w:tcBorders>
              <w:top w:val="nil"/>
              <w:left w:val="nil"/>
              <w:bottom w:val="single" w:color="auto" w:sz="4" w:space="0"/>
              <w:right w:val="single" w:color="auto" w:sz="4" w:space="0"/>
            </w:tcBorders>
            <w:vAlign w:val="center"/>
          </w:tcPr>
          <w:p w14:paraId="1941D27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100≤Y＜2000</w:t>
            </w:r>
          </w:p>
        </w:tc>
        <w:tc>
          <w:tcPr>
            <w:tcW w:w="1134" w:type="dxa"/>
            <w:tcBorders>
              <w:top w:val="nil"/>
              <w:left w:val="nil"/>
              <w:bottom w:val="single" w:color="auto" w:sz="4" w:space="0"/>
              <w:right w:val="single" w:color="auto" w:sz="4" w:space="0"/>
            </w:tcBorders>
            <w:vAlign w:val="center"/>
          </w:tcPr>
          <w:p w14:paraId="1CE7EF5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11D9EBBA">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54638DD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信息传输业</w:t>
            </w:r>
          </w:p>
        </w:tc>
        <w:tc>
          <w:tcPr>
            <w:tcW w:w="1984" w:type="dxa"/>
            <w:tcBorders>
              <w:top w:val="nil"/>
              <w:left w:val="nil"/>
              <w:bottom w:val="single" w:color="auto" w:sz="4" w:space="0"/>
              <w:right w:val="single" w:color="auto" w:sz="4" w:space="0"/>
            </w:tcBorders>
            <w:vAlign w:val="center"/>
          </w:tcPr>
          <w:p w14:paraId="0B4DB8A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551B97B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7FC0C3B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100≤X＜2000</w:t>
            </w:r>
          </w:p>
        </w:tc>
        <w:tc>
          <w:tcPr>
            <w:tcW w:w="1701" w:type="dxa"/>
            <w:tcBorders>
              <w:top w:val="nil"/>
              <w:left w:val="nil"/>
              <w:bottom w:val="single" w:color="auto" w:sz="4" w:space="0"/>
              <w:right w:val="single" w:color="auto" w:sz="4" w:space="0"/>
            </w:tcBorders>
            <w:vAlign w:val="center"/>
          </w:tcPr>
          <w:p w14:paraId="37501D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33281E3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7D8F69D9">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14083A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61EBA06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2BF1DE0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156D6A6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1000≤Y＜100000</w:t>
            </w:r>
          </w:p>
        </w:tc>
        <w:tc>
          <w:tcPr>
            <w:tcW w:w="1701" w:type="dxa"/>
            <w:tcBorders>
              <w:top w:val="nil"/>
              <w:left w:val="nil"/>
              <w:bottom w:val="single" w:color="auto" w:sz="4" w:space="0"/>
              <w:right w:val="single" w:color="auto" w:sz="4" w:space="0"/>
            </w:tcBorders>
            <w:vAlign w:val="center"/>
          </w:tcPr>
          <w:p w14:paraId="78FA44A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100≤Y＜1000</w:t>
            </w:r>
          </w:p>
        </w:tc>
        <w:tc>
          <w:tcPr>
            <w:tcW w:w="1134" w:type="dxa"/>
            <w:tcBorders>
              <w:top w:val="nil"/>
              <w:left w:val="nil"/>
              <w:bottom w:val="single" w:color="auto" w:sz="4" w:space="0"/>
              <w:right w:val="single" w:color="auto" w:sz="4" w:space="0"/>
            </w:tcBorders>
            <w:vAlign w:val="center"/>
          </w:tcPr>
          <w:p w14:paraId="1CD166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0EC18137">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2FFCB6D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软件和信息技术服务业</w:t>
            </w:r>
          </w:p>
        </w:tc>
        <w:tc>
          <w:tcPr>
            <w:tcW w:w="1984" w:type="dxa"/>
            <w:tcBorders>
              <w:top w:val="nil"/>
              <w:left w:val="nil"/>
              <w:bottom w:val="single" w:color="auto" w:sz="4" w:space="0"/>
              <w:right w:val="single" w:color="auto" w:sz="4" w:space="0"/>
            </w:tcBorders>
            <w:vAlign w:val="center"/>
          </w:tcPr>
          <w:p w14:paraId="380E9C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45CE3E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3BEE2EE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19344EE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32D6D3B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2CA990BD">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A8A14F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76928AC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35506F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5E751F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1000≤Y＜10000</w:t>
            </w:r>
          </w:p>
        </w:tc>
        <w:tc>
          <w:tcPr>
            <w:tcW w:w="1701" w:type="dxa"/>
            <w:tcBorders>
              <w:top w:val="nil"/>
              <w:left w:val="nil"/>
              <w:bottom w:val="single" w:color="auto" w:sz="4" w:space="0"/>
              <w:right w:val="single" w:color="auto" w:sz="4" w:space="0"/>
            </w:tcBorders>
            <w:vAlign w:val="center"/>
          </w:tcPr>
          <w:p w14:paraId="6E80B3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50≤Y＜1000</w:t>
            </w:r>
          </w:p>
        </w:tc>
        <w:tc>
          <w:tcPr>
            <w:tcW w:w="1134" w:type="dxa"/>
            <w:tcBorders>
              <w:top w:val="nil"/>
              <w:left w:val="nil"/>
              <w:bottom w:val="single" w:color="auto" w:sz="4" w:space="0"/>
              <w:right w:val="single" w:color="auto" w:sz="4" w:space="0"/>
            </w:tcBorders>
            <w:vAlign w:val="center"/>
          </w:tcPr>
          <w:p w14:paraId="144E93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w:t>
            </w:r>
          </w:p>
        </w:tc>
      </w:tr>
      <w:tr w14:paraId="594C6209">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12D5A4C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房地产开发经营</w:t>
            </w:r>
          </w:p>
        </w:tc>
        <w:tc>
          <w:tcPr>
            <w:tcW w:w="1984" w:type="dxa"/>
            <w:tcBorders>
              <w:top w:val="nil"/>
              <w:left w:val="nil"/>
              <w:bottom w:val="single" w:color="auto" w:sz="4" w:space="0"/>
              <w:right w:val="single" w:color="auto" w:sz="4" w:space="0"/>
            </w:tcBorders>
            <w:vAlign w:val="center"/>
          </w:tcPr>
          <w:p w14:paraId="73E18FC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226234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6511F15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1000≤Y＜200000</w:t>
            </w:r>
          </w:p>
        </w:tc>
        <w:tc>
          <w:tcPr>
            <w:tcW w:w="1701" w:type="dxa"/>
            <w:tcBorders>
              <w:top w:val="nil"/>
              <w:left w:val="nil"/>
              <w:bottom w:val="single" w:color="auto" w:sz="4" w:space="0"/>
              <w:right w:val="single" w:color="auto" w:sz="4" w:space="0"/>
            </w:tcBorders>
            <w:vAlign w:val="center"/>
          </w:tcPr>
          <w:p w14:paraId="17AEBF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100≤X＜1000</w:t>
            </w:r>
          </w:p>
        </w:tc>
        <w:tc>
          <w:tcPr>
            <w:tcW w:w="1134" w:type="dxa"/>
            <w:tcBorders>
              <w:top w:val="nil"/>
              <w:left w:val="nil"/>
              <w:bottom w:val="single" w:color="auto" w:sz="4" w:space="0"/>
              <w:right w:val="single" w:color="auto" w:sz="4" w:space="0"/>
            </w:tcBorders>
            <w:vAlign w:val="center"/>
          </w:tcPr>
          <w:p w14:paraId="5A2490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X＜100</w:t>
            </w:r>
          </w:p>
        </w:tc>
      </w:tr>
      <w:tr w14:paraId="5859DD2F">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70BC02C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1BE96DF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4552129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683D070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5000≤Z＜10000</w:t>
            </w:r>
          </w:p>
        </w:tc>
        <w:tc>
          <w:tcPr>
            <w:tcW w:w="1701" w:type="dxa"/>
            <w:tcBorders>
              <w:top w:val="nil"/>
              <w:left w:val="nil"/>
              <w:bottom w:val="single" w:color="auto" w:sz="4" w:space="0"/>
              <w:right w:val="single" w:color="auto" w:sz="4" w:space="0"/>
            </w:tcBorders>
            <w:vAlign w:val="center"/>
          </w:tcPr>
          <w:p w14:paraId="190D64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2000≤Y＜5000</w:t>
            </w:r>
          </w:p>
        </w:tc>
        <w:tc>
          <w:tcPr>
            <w:tcW w:w="1134" w:type="dxa"/>
            <w:tcBorders>
              <w:top w:val="nil"/>
              <w:left w:val="nil"/>
              <w:bottom w:val="single" w:color="auto" w:sz="4" w:space="0"/>
              <w:right w:val="single" w:color="auto" w:sz="4" w:space="0"/>
            </w:tcBorders>
            <w:vAlign w:val="center"/>
          </w:tcPr>
          <w:p w14:paraId="27E23F3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Y＜2000</w:t>
            </w:r>
          </w:p>
        </w:tc>
      </w:tr>
      <w:tr w14:paraId="24B17F7E">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0695E2F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物业管理</w:t>
            </w:r>
          </w:p>
        </w:tc>
        <w:tc>
          <w:tcPr>
            <w:tcW w:w="1984" w:type="dxa"/>
            <w:tcBorders>
              <w:top w:val="nil"/>
              <w:left w:val="nil"/>
              <w:bottom w:val="single" w:color="auto" w:sz="4" w:space="0"/>
              <w:right w:val="single" w:color="auto" w:sz="4" w:space="0"/>
            </w:tcBorders>
            <w:vAlign w:val="center"/>
          </w:tcPr>
          <w:p w14:paraId="5C0591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484348B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2920BE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300≤X＜1000</w:t>
            </w:r>
          </w:p>
        </w:tc>
        <w:tc>
          <w:tcPr>
            <w:tcW w:w="1701" w:type="dxa"/>
            <w:tcBorders>
              <w:top w:val="nil"/>
              <w:left w:val="nil"/>
              <w:bottom w:val="single" w:color="auto" w:sz="4" w:space="0"/>
              <w:right w:val="single" w:color="auto" w:sz="4" w:space="0"/>
            </w:tcBorders>
            <w:vAlign w:val="center"/>
          </w:tcPr>
          <w:p w14:paraId="63E6A70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134" w:type="dxa"/>
            <w:tcBorders>
              <w:top w:val="nil"/>
              <w:left w:val="nil"/>
              <w:bottom w:val="single" w:color="auto" w:sz="4" w:space="0"/>
              <w:right w:val="single" w:color="auto" w:sz="4" w:space="0"/>
            </w:tcBorders>
            <w:vAlign w:val="center"/>
          </w:tcPr>
          <w:p w14:paraId="1DA5FA1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X＜100</w:t>
            </w:r>
          </w:p>
        </w:tc>
      </w:tr>
      <w:tr w14:paraId="468C0B4C">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6682335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61683B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营业收入（Y）</w:t>
            </w:r>
          </w:p>
        </w:tc>
        <w:tc>
          <w:tcPr>
            <w:tcW w:w="851" w:type="dxa"/>
            <w:tcBorders>
              <w:top w:val="nil"/>
              <w:left w:val="nil"/>
              <w:bottom w:val="single" w:color="auto" w:sz="4" w:space="0"/>
              <w:right w:val="single" w:color="auto" w:sz="4" w:space="0"/>
            </w:tcBorders>
            <w:vAlign w:val="center"/>
          </w:tcPr>
          <w:p w14:paraId="269A6F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388971C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1000≤Y＜5000</w:t>
            </w:r>
          </w:p>
        </w:tc>
        <w:tc>
          <w:tcPr>
            <w:tcW w:w="1701" w:type="dxa"/>
            <w:tcBorders>
              <w:top w:val="nil"/>
              <w:left w:val="nil"/>
              <w:bottom w:val="single" w:color="auto" w:sz="4" w:space="0"/>
              <w:right w:val="single" w:color="auto" w:sz="4" w:space="0"/>
            </w:tcBorders>
            <w:vAlign w:val="center"/>
          </w:tcPr>
          <w:p w14:paraId="7196278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500≤Y＜1000</w:t>
            </w:r>
          </w:p>
        </w:tc>
        <w:tc>
          <w:tcPr>
            <w:tcW w:w="1134" w:type="dxa"/>
            <w:tcBorders>
              <w:top w:val="nil"/>
              <w:left w:val="nil"/>
              <w:bottom w:val="single" w:color="auto" w:sz="4" w:space="0"/>
              <w:right w:val="single" w:color="auto" w:sz="4" w:space="0"/>
            </w:tcBorders>
            <w:vAlign w:val="center"/>
          </w:tcPr>
          <w:p w14:paraId="7B74E31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Y＜500</w:t>
            </w:r>
          </w:p>
        </w:tc>
      </w:tr>
      <w:tr w14:paraId="2DCE309B">
        <w:tblPrEx>
          <w:tblCellMar>
            <w:top w:w="0" w:type="dxa"/>
            <w:left w:w="108" w:type="dxa"/>
            <w:bottom w:w="0" w:type="dxa"/>
            <w:right w:w="108" w:type="dxa"/>
          </w:tblCellMar>
        </w:tblPrEx>
        <w:trPr>
          <w:trHeight w:val="567" w:hRule="atLeast"/>
          <w:jc w:val="center"/>
        </w:trPr>
        <w:tc>
          <w:tcPr>
            <w:tcW w:w="1985" w:type="dxa"/>
            <w:vMerge w:val="restart"/>
            <w:tcBorders>
              <w:top w:val="nil"/>
              <w:left w:val="single" w:color="auto" w:sz="4" w:space="0"/>
              <w:bottom w:val="single" w:color="auto" w:sz="4" w:space="0"/>
              <w:right w:val="single" w:color="auto" w:sz="4" w:space="0"/>
            </w:tcBorders>
            <w:vAlign w:val="center"/>
          </w:tcPr>
          <w:p w14:paraId="47EA1F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租赁和商务服务业</w:t>
            </w:r>
          </w:p>
        </w:tc>
        <w:tc>
          <w:tcPr>
            <w:tcW w:w="1984" w:type="dxa"/>
            <w:tcBorders>
              <w:top w:val="nil"/>
              <w:left w:val="nil"/>
              <w:bottom w:val="single" w:color="auto" w:sz="4" w:space="0"/>
              <w:right w:val="single" w:color="auto" w:sz="4" w:space="0"/>
            </w:tcBorders>
            <w:vAlign w:val="center"/>
          </w:tcPr>
          <w:p w14:paraId="26FE0E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4B6E18C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58106B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1F7D81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199627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r w14:paraId="27012304">
        <w:tblPrEx>
          <w:tblCellMar>
            <w:top w:w="0" w:type="dxa"/>
            <w:left w:w="108" w:type="dxa"/>
            <w:bottom w:w="0" w:type="dxa"/>
            <w:right w:w="108" w:type="dxa"/>
          </w:tblCellMar>
        </w:tblPrEx>
        <w:trPr>
          <w:trHeight w:val="567" w:hRule="atLeast"/>
          <w:jc w:val="center"/>
        </w:trPr>
        <w:tc>
          <w:tcPr>
            <w:tcW w:w="1985" w:type="dxa"/>
            <w:vMerge w:val="continue"/>
            <w:tcBorders>
              <w:top w:val="nil"/>
              <w:left w:val="single" w:color="auto" w:sz="4" w:space="0"/>
              <w:bottom w:val="single" w:color="auto" w:sz="4" w:space="0"/>
              <w:right w:val="single" w:color="auto" w:sz="4" w:space="0"/>
            </w:tcBorders>
            <w:vAlign w:val="center"/>
          </w:tcPr>
          <w:p w14:paraId="4AD54D8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p>
        </w:tc>
        <w:tc>
          <w:tcPr>
            <w:tcW w:w="1984" w:type="dxa"/>
            <w:tcBorders>
              <w:top w:val="nil"/>
              <w:left w:val="nil"/>
              <w:bottom w:val="single" w:color="auto" w:sz="4" w:space="0"/>
              <w:right w:val="single" w:color="auto" w:sz="4" w:space="0"/>
            </w:tcBorders>
            <w:vAlign w:val="center"/>
          </w:tcPr>
          <w:p w14:paraId="25AAF3E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资产总额（Z）</w:t>
            </w:r>
          </w:p>
        </w:tc>
        <w:tc>
          <w:tcPr>
            <w:tcW w:w="851" w:type="dxa"/>
            <w:tcBorders>
              <w:top w:val="nil"/>
              <w:left w:val="nil"/>
              <w:bottom w:val="single" w:color="auto" w:sz="4" w:space="0"/>
              <w:right w:val="single" w:color="auto" w:sz="4" w:space="0"/>
            </w:tcBorders>
            <w:vAlign w:val="center"/>
          </w:tcPr>
          <w:p w14:paraId="56FD2D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万元</w:t>
            </w:r>
          </w:p>
        </w:tc>
        <w:tc>
          <w:tcPr>
            <w:tcW w:w="1842" w:type="dxa"/>
            <w:tcBorders>
              <w:top w:val="nil"/>
              <w:left w:val="nil"/>
              <w:bottom w:val="single" w:color="auto" w:sz="4" w:space="0"/>
              <w:right w:val="single" w:color="auto" w:sz="4" w:space="0"/>
            </w:tcBorders>
            <w:vAlign w:val="center"/>
          </w:tcPr>
          <w:p w14:paraId="0282AF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8000≤Z＜120000</w:t>
            </w:r>
          </w:p>
        </w:tc>
        <w:tc>
          <w:tcPr>
            <w:tcW w:w="1701" w:type="dxa"/>
            <w:tcBorders>
              <w:top w:val="nil"/>
              <w:left w:val="nil"/>
              <w:bottom w:val="single" w:color="auto" w:sz="4" w:space="0"/>
              <w:right w:val="single" w:color="auto" w:sz="4" w:space="0"/>
            </w:tcBorders>
            <w:vAlign w:val="center"/>
          </w:tcPr>
          <w:p w14:paraId="6FBAEF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100≤Z＜8000</w:t>
            </w:r>
          </w:p>
        </w:tc>
        <w:tc>
          <w:tcPr>
            <w:tcW w:w="1134" w:type="dxa"/>
            <w:tcBorders>
              <w:top w:val="nil"/>
              <w:left w:val="nil"/>
              <w:bottom w:val="single" w:color="auto" w:sz="4" w:space="0"/>
              <w:right w:val="single" w:color="auto" w:sz="4" w:space="0"/>
            </w:tcBorders>
            <w:vAlign w:val="center"/>
          </w:tcPr>
          <w:p w14:paraId="13BA4D0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Y＜100</w:t>
            </w:r>
          </w:p>
        </w:tc>
      </w:tr>
      <w:tr w14:paraId="368E7DB8">
        <w:tblPrEx>
          <w:tblCellMar>
            <w:top w:w="0" w:type="dxa"/>
            <w:left w:w="108" w:type="dxa"/>
            <w:bottom w:w="0" w:type="dxa"/>
            <w:right w:w="108" w:type="dxa"/>
          </w:tblCellMar>
        </w:tblPrEx>
        <w:trPr>
          <w:trHeight w:val="567" w:hRule="atLeast"/>
          <w:jc w:val="center"/>
        </w:trPr>
        <w:tc>
          <w:tcPr>
            <w:tcW w:w="1985" w:type="dxa"/>
            <w:tcBorders>
              <w:top w:val="nil"/>
              <w:left w:val="single" w:color="auto" w:sz="4" w:space="0"/>
              <w:bottom w:val="single" w:color="auto" w:sz="4" w:space="0"/>
              <w:right w:val="single" w:color="auto" w:sz="4" w:space="0"/>
            </w:tcBorders>
            <w:vAlign w:val="center"/>
          </w:tcPr>
          <w:p w14:paraId="02A05C9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kern w:val="0"/>
                <w:szCs w:val="18"/>
              </w:rPr>
            </w:pPr>
            <w:r>
              <w:rPr>
                <w:rFonts w:hint="eastAsia" w:ascii="宋体" w:hAnsi="宋体" w:eastAsia="宋体" w:cs="宋体"/>
                <w:b/>
                <w:bCs/>
                <w:kern w:val="0"/>
                <w:szCs w:val="18"/>
              </w:rPr>
              <w:t>其他未列明行业</w:t>
            </w:r>
          </w:p>
        </w:tc>
        <w:tc>
          <w:tcPr>
            <w:tcW w:w="1984" w:type="dxa"/>
            <w:tcBorders>
              <w:top w:val="nil"/>
              <w:left w:val="nil"/>
              <w:bottom w:val="single" w:color="auto" w:sz="4" w:space="0"/>
              <w:right w:val="single" w:color="auto" w:sz="4" w:space="0"/>
            </w:tcBorders>
            <w:vAlign w:val="center"/>
          </w:tcPr>
          <w:p w14:paraId="525C521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从业人员（X）</w:t>
            </w:r>
          </w:p>
        </w:tc>
        <w:tc>
          <w:tcPr>
            <w:tcW w:w="851" w:type="dxa"/>
            <w:tcBorders>
              <w:top w:val="nil"/>
              <w:left w:val="nil"/>
              <w:bottom w:val="single" w:color="auto" w:sz="4" w:space="0"/>
              <w:right w:val="single" w:color="auto" w:sz="4" w:space="0"/>
            </w:tcBorders>
            <w:vAlign w:val="center"/>
          </w:tcPr>
          <w:p w14:paraId="05C5F02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人</w:t>
            </w:r>
          </w:p>
        </w:tc>
        <w:tc>
          <w:tcPr>
            <w:tcW w:w="1842" w:type="dxa"/>
            <w:tcBorders>
              <w:top w:val="nil"/>
              <w:left w:val="nil"/>
              <w:bottom w:val="single" w:color="auto" w:sz="4" w:space="0"/>
              <w:right w:val="single" w:color="auto" w:sz="4" w:space="0"/>
            </w:tcBorders>
            <w:vAlign w:val="center"/>
          </w:tcPr>
          <w:p w14:paraId="122713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100≤X＜300</w:t>
            </w:r>
          </w:p>
        </w:tc>
        <w:tc>
          <w:tcPr>
            <w:tcW w:w="1701" w:type="dxa"/>
            <w:tcBorders>
              <w:top w:val="nil"/>
              <w:left w:val="nil"/>
              <w:bottom w:val="single" w:color="auto" w:sz="4" w:space="0"/>
              <w:right w:val="single" w:color="auto" w:sz="4" w:space="0"/>
            </w:tcBorders>
            <w:vAlign w:val="center"/>
          </w:tcPr>
          <w:p w14:paraId="04F0B4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10≤X＜100</w:t>
            </w:r>
          </w:p>
        </w:tc>
        <w:tc>
          <w:tcPr>
            <w:tcW w:w="1134" w:type="dxa"/>
            <w:tcBorders>
              <w:top w:val="nil"/>
              <w:left w:val="nil"/>
              <w:bottom w:val="single" w:color="auto" w:sz="4" w:space="0"/>
              <w:right w:val="single" w:color="auto" w:sz="4" w:space="0"/>
            </w:tcBorders>
            <w:vAlign w:val="center"/>
          </w:tcPr>
          <w:p w14:paraId="75821D3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kern w:val="0"/>
                <w:szCs w:val="18"/>
              </w:rPr>
            </w:pPr>
            <w:r>
              <w:rPr>
                <w:rFonts w:hint="eastAsia" w:ascii="宋体" w:hAnsi="宋体" w:eastAsia="宋体" w:cs="宋体"/>
                <w:kern w:val="0"/>
                <w:szCs w:val="18"/>
              </w:rPr>
              <w:t>X＜10</w:t>
            </w:r>
          </w:p>
        </w:tc>
      </w:tr>
    </w:tbl>
    <w:p w14:paraId="3A630C74">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 w:val="22"/>
          <w:szCs w:val="21"/>
        </w:rPr>
      </w:pPr>
      <w:r>
        <w:rPr>
          <w:rFonts w:hint="eastAsia" w:ascii="宋体" w:hAnsi="宋体" w:eastAsia="宋体" w:cs="宋体"/>
          <w:sz w:val="22"/>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608D2152">
      <w:pPr>
        <w:pStyle w:val="21"/>
        <w:rPr>
          <w:rFonts w:hint="eastAsia" w:ascii="宋体" w:hAnsi="宋体" w:eastAsia="宋体" w:cs="宋体"/>
        </w:rPr>
      </w:pPr>
    </w:p>
    <w:p w14:paraId="7F9121A9">
      <w:pPr>
        <w:pStyle w:val="10"/>
        <w:rPr>
          <w:rFonts w:hint="eastAsia" w:ascii="宋体" w:hAnsi="宋体" w:eastAsia="宋体" w:cs="宋体"/>
        </w:rPr>
      </w:pPr>
    </w:p>
    <w:p w14:paraId="3330E5C3">
      <w:pPr>
        <w:pStyle w:val="2"/>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0"/>
          <w:szCs w:val="20"/>
          <w14:textFill>
            <w14:solidFill>
              <w14:schemeClr w14:val="tx1"/>
            </w14:solidFill>
          </w14:textFill>
        </w:rPr>
        <w:br w:type="page"/>
      </w:r>
      <w:bookmarkStart w:id="76" w:name="_Toc100252374"/>
      <w:r>
        <w:rPr>
          <w:rFonts w:hint="eastAsia" w:ascii="宋体" w:hAnsi="宋体" w:eastAsia="宋体" w:cs="宋体"/>
          <w:color w:val="000000" w:themeColor="text1"/>
          <w14:textFill>
            <w14:solidFill>
              <w14:schemeClr w14:val="tx1"/>
            </w14:solidFill>
          </w14:textFill>
        </w:rPr>
        <w:t>第四章</w:t>
      </w:r>
      <w:bookmarkStart w:id="77" w:name="_Hlk68601507"/>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评审程序和评定成交的标准</w:t>
      </w:r>
      <w:bookmarkEnd w:id="76"/>
      <w:bookmarkEnd w:id="77"/>
    </w:p>
    <w:p w14:paraId="59185AF7">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一、评审程序</w:t>
      </w:r>
    </w:p>
    <w:p w14:paraId="782035A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1.确认谈判文件</w:t>
      </w:r>
    </w:p>
    <w:p w14:paraId="149F3EE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由谈判小组确认谈判文件。</w:t>
      </w:r>
    </w:p>
    <w:p w14:paraId="58F53632">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2.资格审查</w:t>
      </w:r>
    </w:p>
    <w:p w14:paraId="159A09A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2.1响应文件开启后，谈判小组依法对供应商的资格证明文件进行审查。</w:t>
      </w:r>
    </w:p>
    <w:p w14:paraId="52231F2B">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注：</w:t>
      </w:r>
      <w:r>
        <w:rPr>
          <w:rFonts w:hint="eastAsia" w:ascii="宋体" w:hAnsi="宋体" w:eastAsia="宋体" w:cs="宋体"/>
          <w:color w:val="000000" w:themeColor="text1"/>
          <w14:textFill>
            <w14:solidFill>
              <w14:schemeClr w14:val="tx1"/>
            </w14:solidFill>
          </w14:textFill>
        </w:rPr>
        <w:t>谈判小组</w:t>
      </w:r>
      <w:r>
        <w:rPr>
          <w:rFonts w:hint="eastAsia" w:ascii="宋体" w:hAnsi="宋体" w:eastAsia="宋体" w:cs="宋体"/>
          <w:color w:val="000000" w:themeColor="text1"/>
          <w:szCs w:val="21"/>
          <w14:textFill>
            <w14:solidFill>
              <w14:schemeClr w14:val="tx1"/>
            </w14:solidFill>
          </w14:textFill>
        </w:rPr>
        <w:t>在资格审查结束前，对供应商进行信用查询。</w:t>
      </w:r>
    </w:p>
    <w:p w14:paraId="65AA6E9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（1）查询渠道：</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“信用中国”网站</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www.creditchina.gov.cn</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、中国政府采购网</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www.ccgp.gov.cn</w:t>
      </w:r>
      <w:r>
        <w:rPr>
          <w:rFonts w:hint="eastAsia" w:ascii="宋体" w:hAnsi="宋体" w:eastAsia="宋体" w:cs="宋体"/>
          <w:color w:val="000000" w:themeColor="text1"/>
          <w:szCs w:val="21"/>
          <w:lang w:eastAsia="zh-CN"/>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链接入口。</w:t>
      </w:r>
    </w:p>
    <w:p w14:paraId="4A591592">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（2）信用查询截止时点：资格审查结束前。</w:t>
      </w:r>
    </w:p>
    <w:p w14:paraId="0AAC5CDF">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（3）查询记录和证据留存方式：在查询网站中直接查询，截图另存为电子文档作为评审资料保存。</w:t>
      </w:r>
    </w:p>
    <w:p w14:paraId="5A39EA0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信用信息使用规则：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的，视同联合体存在不良信用记录。</w:t>
      </w:r>
    </w:p>
    <w:p w14:paraId="25755E8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2.2资格审查标准为本谈判文件中载明对供应商资格要求的条件。本项目资格审查采用合格制，凡符合谈判文件规定的供应商资格要求的供应商均通过资格审查。</w:t>
      </w:r>
    </w:p>
    <w:p w14:paraId="5A2375F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 供应商有下列情形之一的，资格审查不通过，其响应文件按无效处理：</w:t>
      </w:r>
    </w:p>
    <w:p w14:paraId="21901E2C">
      <w:pPr>
        <w:keepNext w:val="0"/>
        <w:keepLines w:val="0"/>
        <w:pageBreakBefore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（1）不具备谈判文件中规定的资格要求的；</w:t>
      </w:r>
    </w:p>
    <w:p w14:paraId="7F10C3B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（2）未按谈判文件规定的方式获取本谈判文件的供应商；</w:t>
      </w:r>
    </w:p>
    <w:p w14:paraId="6CE0B159">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（3）响应文件中的资格证明文件缺少任一项“供应商须知前附表”资格证明文件规定的“必须提供”的文件资料的；</w:t>
      </w:r>
    </w:p>
    <w:p w14:paraId="189EA1C6">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（4）响应文件中的资格证明文件出现任一项不符合“供应商须知前附表”资格证明文件规定的“必须提供”的文件资料要求或者无效的；</w:t>
      </w:r>
    </w:p>
    <w:p w14:paraId="15106D9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（5）同一合同项下的不同供应商，单位负责人为同一人或者存在直接控股、管理关系的；为本项目提供过整体设计、规范编制或者项目管理、监理、检测等服务的供应商，再参加该采购项目的其他采购活动的。</w:t>
      </w:r>
    </w:p>
    <w:p w14:paraId="642E33D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2.4通过资格审查的合格供应商不足3家（本章3.7条规定除外）的，不得进入符合性审查环节，应当重新开展采购活动。</w:t>
      </w:r>
    </w:p>
    <w:p w14:paraId="0336654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3.符合性审查</w:t>
      </w:r>
    </w:p>
    <w:p w14:paraId="6D040E4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3.1谈判小组应当对符合资格的供应商的响应文件进行竞标报价、商务、技术等实质性要求符合性审查，以确定其是否满足谈判文件的实质性要求。</w:t>
      </w:r>
    </w:p>
    <w:p w14:paraId="4D1BFBD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谈判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C87DD1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pacing w:val="-6"/>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3.3谈判小组要求供应商澄清、说明或者更正响应文件应当以电子澄清函形式作出。供应商的澄清、说明或者更正应当已电子回函形式按照谈判小组的要求作出明确的澄清、说明或者更正，未按谈判小组的要求作出明确澄清、说明或者更正的供应商的响应文件将按照有利于采购人的原则由谈判小组进行判定。供应商的澄清、说明或者更正必须加盖电子</w:t>
      </w:r>
      <w:r>
        <w:rPr>
          <w:rFonts w:hint="eastAsia" w:ascii="宋体" w:hAnsi="宋体" w:eastAsia="宋体" w:cs="宋体"/>
          <w:color w:val="000000" w:themeColor="text1"/>
          <w14:textFill>
            <w14:solidFill>
              <w14:schemeClr w14:val="tx1"/>
            </w14:solidFill>
          </w14:textFill>
        </w:rPr>
        <w:t>签章</w:t>
      </w:r>
      <w:r>
        <w:rPr>
          <w:rFonts w:hint="eastAsia" w:ascii="宋体" w:hAnsi="宋体" w:eastAsia="宋体" w:cs="宋体"/>
          <w:color w:val="000000" w:themeColor="text1"/>
          <w:spacing w:val="-6"/>
          <w:szCs w:val="21"/>
          <w14:textFill>
            <w14:solidFill>
              <w14:schemeClr w14:val="tx1"/>
            </w14:solidFill>
          </w14:textFill>
        </w:rPr>
        <w:t>。</w:t>
      </w:r>
    </w:p>
    <w:p w14:paraId="6ABBAB5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异常情况处理：如遇无法正常使用线上发送澄清函的情况，将启动书面形式办理。启动书面形式办理的情况下，谈判小组以书面形式要求供应商在规定时间内作出必要的澄清、说明或者补正。供应商的澄清、说明或者补正必须采用书面形式，并加盖公章，或者由法定代表人或者其授权的代表签字。</w:t>
      </w:r>
    </w:p>
    <w:p w14:paraId="4911289A">
      <w:pPr>
        <w:keepNext w:val="0"/>
        <w:keepLines w:val="0"/>
        <w:pageBreakBefore w:val="0"/>
        <w:kinsoku/>
        <w:wordWrap/>
        <w:overflowPunct/>
        <w:topLinePunct w:val="0"/>
        <w:autoSpaceDE/>
        <w:autoSpaceDN/>
        <w:bidi w:val="0"/>
        <w:adjustRightInd/>
        <w:spacing w:line="400" w:lineRule="exact"/>
        <w:ind w:firstLine="396"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pacing w:val="-6"/>
          <w:szCs w:val="21"/>
          <w14:textFill>
            <w14:solidFill>
              <w14:schemeClr w14:val="tx1"/>
            </w14:solidFill>
          </w14:textFill>
        </w:rPr>
        <w:t>3.4</w:t>
      </w:r>
      <w:r>
        <w:rPr>
          <w:rFonts w:hint="eastAsia" w:ascii="宋体" w:hAnsi="宋体" w:eastAsia="宋体" w:cs="宋体"/>
          <w:color w:val="000000" w:themeColor="text1"/>
          <w:szCs w:val="21"/>
          <w14:textFill>
            <w14:solidFill>
              <w14:schemeClr w14:val="tx1"/>
            </w14:solidFill>
          </w14:textFill>
        </w:rPr>
        <w:t>首次响应文件报价出现前后不一致的，按照下列规定修正：</w:t>
      </w:r>
    </w:p>
    <w:p w14:paraId="051F376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（1）响应文件中报价表内容与响应文件中相应内容不一致的，以报价表为准；</w:t>
      </w:r>
    </w:p>
    <w:p w14:paraId="4F6A3E5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（2）大写金额和小写金额不一致的，以大写金额为准；</w:t>
      </w:r>
    </w:p>
    <w:p w14:paraId="114BEBA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（3）单价金额小数点或者百分比有明显错位的，以报价表的总价为准，并修改单价；</w:t>
      </w:r>
    </w:p>
    <w:p w14:paraId="22789AA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（4）总价金额与按单价汇总金额不一致的，以单价金额计算结果为准。</w:t>
      </w:r>
    </w:p>
    <w:p w14:paraId="23115EA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同时出现两种以上不一致的，按照以上（1）-（4）规定的顺序逐条进行修正。修正后的报价经供应商确认后产生约束力，供应商不确认的，其响应文件按无效响应处理。</w:t>
      </w:r>
    </w:p>
    <w:p w14:paraId="2136D46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3.5商务技术报价评审</w:t>
      </w:r>
    </w:p>
    <w:p w14:paraId="2B6C6D2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在评审时，如发现下列情形之一的，将被视为响应文件无效处理：</w:t>
      </w:r>
    </w:p>
    <w:p w14:paraId="7849BDA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（1）商务技术评审</w:t>
      </w:r>
    </w:p>
    <w:p w14:paraId="0F385DF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1）响应文件未按谈判文件要求签署、盖章的；</w:t>
      </w:r>
    </w:p>
    <w:p w14:paraId="34AC39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2）委托代理人未能出具有效身份证或者出具的身份证与授权委托书中的信息不符的；</w:t>
      </w:r>
    </w:p>
    <w:p w14:paraId="3FD84D5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3）提交的竞标保证金无效的或者未按照谈判文件的规定提交竞标保证金；</w:t>
      </w:r>
    </w:p>
    <w:p w14:paraId="23440BE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响应文件未提供任一项“供应商须知前附表”商务技术文件中“必须提供”或者“委托时必须提供”的文件资料；响应文件提供的商务技术文件出现任一项不符合“供应商须知前附表”商务技术文件中“必须提供”或者“委托时必须提供”文件资料要求的规定或者提供的商务技术文件无效；</w:t>
      </w:r>
    </w:p>
    <w:p w14:paraId="7EFD31C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5）商务要求允许负偏离的条款数超过“供应商须知前附表”规定项数的；</w:t>
      </w:r>
    </w:p>
    <w:p w14:paraId="7D7E55B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6）未对竞标有效期作出响应或者响应文件承诺的竞标有效期不满足谈判文件要求；</w:t>
      </w:r>
    </w:p>
    <w:p w14:paraId="3897991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7）响应文件的实质性内容未使用中文表述、使用计量单位不符合谈判文件要求的；</w:t>
      </w:r>
    </w:p>
    <w:p w14:paraId="2F416B5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8）响应文件中的文件资料因填写不齐全或者内容虚假或者出现其他情形而导致被谈判小组认定无效的；</w:t>
      </w:r>
    </w:p>
    <w:p w14:paraId="2D652AA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9）响应文件含有采购人不能接受的附加条件的；</w:t>
      </w:r>
    </w:p>
    <w:p w14:paraId="048BBF0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10）属于“供应商须知正文”第7.5条的情形的；</w:t>
      </w:r>
    </w:p>
    <w:p w14:paraId="0C3E9E5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11）技术评审允许负偏离的条款数超过“供应商须知前附表”规定项数的；</w:t>
      </w:r>
    </w:p>
    <w:p w14:paraId="7D6CA0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12）虚假竞标，或者出现其他情形而导致被谈判小组认定无效的；</w:t>
      </w:r>
    </w:p>
    <w:p w14:paraId="0E894F1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bookmarkStart w:id="78" w:name="_Hlk71704147"/>
      <w:r>
        <w:rPr>
          <w:rFonts w:hint="eastAsia" w:ascii="宋体" w:hAnsi="宋体" w:eastAsia="宋体" w:cs="宋体"/>
          <w:color w:val="000000" w:themeColor="text1"/>
          <w:szCs w:val="21"/>
          <w14:textFill>
            <w14:solidFill>
              <w14:schemeClr w14:val="tx1"/>
            </w14:solidFill>
          </w14:textFill>
        </w:rPr>
        <w:t>谈判文件未载明允许提供备选（替代）竞标方案或明确不允许提供备选（替代）竞标方案时，供应商提供了备选（替代）竞标方案的；</w:t>
      </w:r>
      <w:bookmarkEnd w:id="78"/>
    </w:p>
    <w:p w14:paraId="38C92B5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14）响应文件标注的项目名称或者项目编号与谈判文件标注的项目名称或者项目编号不一致的；</w:t>
      </w:r>
    </w:p>
    <w:p w14:paraId="454A674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15）谈判文件明确不允许分包，响应文件拟分包的；</w:t>
      </w:r>
    </w:p>
    <w:p w14:paraId="6553CAA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16）未响应谈判文件实质性要求；</w:t>
      </w:r>
    </w:p>
    <w:p w14:paraId="39E16E7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17）法律、法规和谈判文件规定的其他无效情形。</w:t>
      </w:r>
    </w:p>
    <w:p w14:paraId="5ABFEFE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（2）报价评审</w:t>
      </w:r>
    </w:p>
    <w:p w14:paraId="5A5BB84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1）响应文件未提供“供应商须知前附表”报价文件中规定的“竞标报价表”的；</w:t>
      </w:r>
    </w:p>
    <w:p w14:paraId="334F55B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2）未采用人民币报价或者未按照谈判文件标明的币种报价的；</w:t>
      </w:r>
    </w:p>
    <w:p w14:paraId="5E24D4B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供应商未就所竞标分标进行报价或者存在漏项报价；供应商未就所竞标分标的单项内容作唯一报价；供应商未就所竞标分标的全部内容作完整唯一总价报价；供应商响应文件中存在有选择、有条件报价的（谈判文件允许有备选方案或者其他约定的除外）；</w:t>
      </w:r>
    </w:p>
    <w:p w14:paraId="5039781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竞标报价（包含首次报价、最后报价）超过所竞标分标规定的采购预算金额或者最高限价的（如本项目公布了最高限价）；竞标报价（包含首次报价、最后报价）超过谈判文件分项采购预算金额或者最高限价的（如本项目公布了最高限价）；</w:t>
      </w:r>
    </w:p>
    <w:p w14:paraId="5357C6E8">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谈判文件分项采购预算金额或者最高限价的（如本项目公布了最高限价）。</w:t>
      </w:r>
    </w:p>
    <w:p w14:paraId="27508B0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6）响应文件响应的标的数量及单位与竞争性谈判采购文件要求实质性不一致的。</w:t>
      </w:r>
    </w:p>
    <w:p w14:paraId="347F6563">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3.6谈判小组对响应文件进行评审，未实质性响应谈判文件的响应文件按无效处理。谈判小组应当将资格和符合性不通过的情况告知有关供应商。谈判小组从符合谈判文件规定的相应资格条件的供应商名单中确定不少于3家的供应商参加谈判。</w:t>
      </w:r>
    </w:p>
    <w:p w14:paraId="0C6F0D7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3.7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14:paraId="7A6A980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3.8除本章3.7条规定的情形外，通过符合性审查的合格供应商不足3家的，不得进入谈判环节，应当重新开展采购活动。</w:t>
      </w:r>
    </w:p>
    <w:p w14:paraId="43EA425C">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4.谈判程序</w:t>
      </w:r>
    </w:p>
    <w:p w14:paraId="6D508CD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4.1谈判小组</w:t>
      </w:r>
      <w:r>
        <w:rPr>
          <w:rFonts w:hint="eastAsia" w:ascii="宋体" w:hAnsi="宋体" w:eastAsia="宋体" w:cs="宋体"/>
          <w:color w:val="000000" w:themeColor="text1"/>
          <w:szCs w:val="21"/>
          <w14:textFill>
            <w14:solidFill>
              <w14:schemeClr w14:val="tx1"/>
            </w14:solidFill>
          </w14:textFill>
        </w:rPr>
        <w:t>集中与单一供应商分别进行谈判，并给予所有参加谈判的供应商平等的谈判机会。符合谈判资格的供应商必须在接到谈判通知后规定时间内参加谈判，未在规定时间内参加谈判的，视同放弃参加谈判权利，其响应文件按无效处理。</w:t>
      </w:r>
    </w:p>
    <w:p w14:paraId="1517DEF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4.2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14:paraId="0DD3479B">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4.3对谈判文件作出的实质性变动是谈判文件的有效组成部分，由谈判小组及时以电子澄清函形式同时通知所有参加谈判的供应商。</w:t>
      </w:r>
    </w:p>
    <w:p w14:paraId="77ACEAC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4.4供应商必须按照谈判文件的变动情况和谈判小组的要求以回函的形式重新提交响应文件，并加盖电子签章。参加谈判的供应商未在规定时间内重新提交响应文件的，视同退出谈判，其响应文件按无效处理。</w:t>
      </w:r>
    </w:p>
    <w:p w14:paraId="3BF20D07">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4.5谈判中，谈判的任何一方不得透露与谈判有关的其他供应商的技术资料、价格和其他信息。</w:t>
      </w:r>
    </w:p>
    <w:p w14:paraId="0CC42A9B">
      <w:pPr>
        <w:keepNext w:val="0"/>
        <w:keepLines w:val="0"/>
        <w:pageBreakBefore w:val="0"/>
        <w:widowControl/>
        <w:tabs>
          <w:tab w:val="left" w:pos="540"/>
        </w:tabs>
        <w:kinsoku/>
        <w:wordWrap/>
        <w:overflowPunct/>
        <w:topLinePunct w:val="0"/>
        <w:autoSpaceDE/>
        <w:autoSpaceDN/>
        <w:bidi w:val="0"/>
        <w:adjustRightInd/>
        <w:spacing w:line="400" w:lineRule="exact"/>
        <w:ind w:firstLine="420" w:firstLineChars="200"/>
        <w:jc w:val="left"/>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4.6谈判小组应对谈判过程和重要谈判内容进行记录。</w:t>
      </w:r>
    </w:p>
    <w:p w14:paraId="3205C7CD">
      <w:pPr>
        <w:keepNext w:val="0"/>
        <w:keepLines w:val="0"/>
        <w:pageBreakBefore w:val="0"/>
        <w:tabs>
          <w:tab w:val="left" w:pos="2835"/>
        </w:tabs>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4.7除本章第3.7条外，对谈判过程提交的响应文件进行有效性、完整性和响应程度审查，通过审查的合格供应商不足3家的，采购人或者采购代理机构应当重新开展采购活动。</w:t>
      </w:r>
    </w:p>
    <w:p w14:paraId="0D391A64">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5.最后报价</w:t>
      </w:r>
    </w:p>
    <w:p w14:paraId="7DAC1C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5.1谈判文件能够详细列明采购标的的技术、服务要求的，谈判结束后，谈判小组应当要求所有继续参加谈判的供应商在规定时间内在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开标大厅提交最后报价，除本章第3.7条外，提交最后报价的供应商不得少于3家，否则应当重新采购。</w:t>
      </w:r>
    </w:p>
    <w:p w14:paraId="233E4F0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5.2谈判文件不能详细列明采购标的的技术、服务要求，需经谈判由供应商提供最后设计方案或者解决方案的，谈判结束后，谈判小组应当按照少数服从多数的原则投票推荐3家以上供应商的设计方案或者解决方案，并要求其在规定时间内在</w:t>
      </w:r>
      <w:r>
        <w:rPr>
          <w:rFonts w:hint="eastAsia" w:ascii="宋体" w:hAnsi="宋体" w:cs="宋体"/>
          <w:color w:val="000000" w:themeColor="text1"/>
          <w:szCs w:val="21"/>
          <w:lang w:eastAsia="zh-CN"/>
          <w14:textFill>
            <w14:solidFill>
              <w14:schemeClr w14:val="tx1"/>
            </w14:solidFill>
          </w14:textFill>
        </w:rPr>
        <w:t>广西政府采购云平台</w:t>
      </w:r>
      <w:r>
        <w:rPr>
          <w:rFonts w:hint="eastAsia" w:ascii="宋体" w:hAnsi="宋体" w:eastAsia="宋体" w:cs="宋体"/>
          <w:color w:val="000000" w:themeColor="text1"/>
          <w:szCs w:val="21"/>
          <w14:textFill>
            <w14:solidFill>
              <w14:schemeClr w14:val="tx1"/>
            </w14:solidFill>
          </w14:textFill>
        </w:rPr>
        <w:t>开标大厅提交最后报价。</w:t>
      </w:r>
    </w:p>
    <w:p w14:paraId="1237F51A">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5.3最后报价是供应商响应文件的有效组成部分。</w:t>
      </w:r>
    </w:p>
    <w:p w14:paraId="34FDA745">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5.4已经提交响应文件的供应商，在提交最后报价之前，可以根据谈判情况退出谈判，退出谈判的供应商的响应文件按无效响应处理。采购人、采购代理机构将退还退出谈判的供应商的保证金。</w:t>
      </w:r>
    </w:p>
    <w:p w14:paraId="4D1A251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5.5供应商未在规定时间内提交最后报价的，视为退出谈判，其响应文件按无效处理。</w:t>
      </w:r>
    </w:p>
    <w:p w14:paraId="1B92A7C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5.6最后报价统一开启后，谈判小组对最后报价进行有效性、完整性和响应程度的审查。</w:t>
      </w:r>
    </w:p>
    <w:p w14:paraId="1B0B95AD">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5.7最后报价出现前后不一致的，按照本章第3.4条的规定修正。</w:t>
      </w:r>
    </w:p>
    <w:p w14:paraId="6E8938F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5.8修正后的报价出现下列情形的，按无效响应处理：</w:t>
      </w:r>
    </w:p>
    <w:p w14:paraId="0CBC5B6C">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（1）供应商不确认的（全流程电子化评标采取在线确认）；</w:t>
      </w:r>
    </w:p>
    <w:p w14:paraId="70EEAED0">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（2）经供应商确认修正后的竞标报价（包含首次报价、最后报价）超过所竞标分标规定的采购预算金额或者最高限价的（如本项目公布了最高限价）；</w:t>
      </w:r>
    </w:p>
    <w:p w14:paraId="6764E572">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（3）经供应商确认修正后的竞标报价（包含首次报价、最后报价）超过分项采购预算金额或者最高限价的（如本项目公布了最高限价）。</w:t>
      </w:r>
    </w:p>
    <w:p w14:paraId="75958FE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5.9经供应商确认修正后的最后报价作为评审及签订合同的依据。</w:t>
      </w:r>
    </w:p>
    <w:p w14:paraId="54A6061F">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5.10供应商出现最后报价按无效响应处理或者响应文件按无效处理时</w:t>
      </w:r>
      <w:r>
        <w:rPr>
          <w:rFonts w:hint="eastAsia" w:ascii="宋体" w:hAnsi="宋体" w:eastAsia="宋体" w:cs="宋体"/>
          <w:color w:val="000000" w:themeColor="text1"/>
          <w:sz w:val="22"/>
          <w:szCs w:val="22"/>
          <w14:textFill>
            <w14:solidFill>
              <w14:schemeClr w14:val="tx1"/>
            </w14:solidFill>
          </w14:textFill>
        </w:rPr>
        <w:t>，谈判小组应当告知有关供应商</w:t>
      </w:r>
      <w:r>
        <w:rPr>
          <w:rFonts w:hint="eastAsia" w:ascii="宋体" w:hAnsi="宋体" w:eastAsia="宋体" w:cs="宋体"/>
          <w:color w:val="000000" w:themeColor="text1"/>
          <w:szCs w:val="21"/>
          <w14:textFill>
            <w14:solidFill>
              <w14:schemeClr w14:val="tx1"/>
            </w14:solidFill>
          </w14:textFill>
        </w:rPr>
        <w:t>。</w:t>
      </w:r>
    </w:p>
    <w:p w14:paraId="6CDC128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5.11最后报价结束后，谈判小组不得再与供应商进行任何形式的商谈。</w:t>
      </w:r>
    </w:p>
    <w:p w14:paraId="043544CF">
      <w:pPr>
        <w:keepNext w:val="0"/>
        <w:keepLines w:val="0"/>
        <w:pageBreakBefore w:val="0"/>
        <w:kinsoku/>
        <w:wordWrap/>
        <w:overflowPunct/>
        <w:topLinePunct w:val="0"/>
        <w:autoSpaceDE/>
        <w:autoSpaceDN/>
        <w:bidi w:val="0"/>
        <w:adjustRightInd/>
        <w:spacing w:line="400" w:lineRule="exact"/>
        <w:ind w:firstLine="472" w:firstLineChars="196"/>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6.最后报价政府采购政策性扣除</w:t>
      </w:r>
    </w:p>
    <w:p w14:paraId="7A5DD019">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6.1评审价为供应商的最后报价进行政策性扣除后的价格，评审价只是作为评审时使用。最终成交供应商的成交金额等于最后报价（如有修正，以确认修正后的最后报价为准）。</w:t>
      </w:r>
    </w:p>
    <w:p w14:paraId="1E78C036">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6.2</w:t>
      </w:r>
      <w:r>
        <w:rPr>
          <w:rFonts w:hint="eastAsia" w:ascii="宋体" w:hAnsi="宋体" w:eastAsia="宋体" w:cs="宋体"/>
          <w:color w:val="000000" w:themeColor="text1"/>
          <w14:textFill>
            <w14:solidFill>
              <w14:schemeClr w14:val="tx1"/>
            </w14:solidFill>
          </w14:textFill>
        </w:rPr>
        <w:t>政策性扣除计算方法。</w:t>
      </w:r>
    </w:p>
    <w:p w14:paraId="2DC811E3">
      <w:pPr>
        <w:keepNext w:val="0"/>
        <w:keepLines w:val="0"/>
        <w:pageBreakBefore w:val="0"/>
        <w:kinsoku/>
        <w:wordWrap/>
        <w:overflowPunct/>
        <w:topLinePunct w:val="0"/>
        <w:autoSpaceDE/>
        <w:autoSpaceDN/>
        <w:bidi w:val="0"/>
        <w:adjustRightInd/>
        <w:spacing w:line="400" w:lineRule="exact"/>
        <w:ind w:firstLine="369" w:firstLineChars="176"/>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根据《政府采购促进中小企业发展管理办法》（财库〔2020〕46号）的规定，供应商在其响应文件中提供《中小企业声明函》，</w:t>
      </w:r>
      <w:r>
        <w:rPr>
          <w:rFonts w:hint="eastAsia" w:ascii="宋体" w:hAnsi="宋体" w:eastAsia="宋体" w:cs="宋体"/>
          <w:bCs/>
          <w:color w:val="000000" w:themeColor="text1"/>
          <w:szCs w:val="21"/>
          <w14:textFill>
            <w14:solidFill>
              <w14:schemeClr w14:val="tx1"/>
            </w14:solidFill>
          </w14:textFill>
        </w:rPr>
        <w:t>且其竞标全部货物由小微企业制造的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bCs/>
          <w:color w:val="000000" w:themeColor="text1"/>
          <w:szCs w:val="21"/>
          <w14:textFill>
            <w14:solidFill>
              <w14:schemeClr w14:val="tx1"/>
            </w14:solidFill>
          </w14:textFill>
        </w:rPr>
        <w:t>对供应商的竞标报价给予</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0%的扣除，扣除后的价格为评审价，即评审价=竞标报价×（1-</w:t>
      </w:r>
      <w:r>
        <w:rPr>
          <w:rFonts w:hint="eastAsia" w:ascii="宋体" w:hAnsi="宋体" w:cs="宋体"/>
          <w:bCs/>
          <w:color w:val="000000" w:themeColor="text1"/>
          <w:szCs w:val="21"/>
          <w:lang w:val="en-US" w:eastAsia="zh-CN"/>
          <w14:textFill>
            <w14:solidFill>
              <w14:schemeClr w14:val="tx1"/>
            </w14:solidFill>
          </w14:textFill>
        </w:rPr>
        <w:t>2</w:t>
      </w:r>
      <w:r>
        <w:rPr>
          <w:rFonts w:hint="eastAsia" w:ascii="宋体" w:hAnsi="宋体" w:eastAsia="宋体" w:cs="宋体"/>
          <w:bCs/>
          <w:color w:val="000000" w:themeColor="text1"/>
          <w:szCs w:val="21"/>
          <w14:textFill>
            <w14:solidFill>
              <w14:schemeClr w14:val="tx1"/>
            </w14:solidFill>
          </w14:textFill>
        </w:rPr>
        <w:t>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范围为</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r>
        <w:rPr>
          <w:rFonts w:hint="eastAsia" w:ascii="宋体" w:hAnsi="宋体" w:cs="宋体"/>
          <w:bCs/>
          <w:color w:val="000000" w:themeColor="text1"/>
          <w:szCs w:val="21"/>
          <w:lang w:val="en-US" w:eastAsia="zh-CN"/>
          <w14:textFill>
            <w14:solidFill>
              <w14:schemeClr w14:val="tx1"/>
            </w14:solidFill>
          </w14:textFill>
        </w:rPr>
        <w:t>6</w:t>
      </w:r>
      <w:r>
        <w:rPr>
          <w:rFonts w:hint="eastAsia" w:ascii="宋体" w:hAnsi="宋体" w:eastAsia="宋体" w:cs="宋体"/>
          <w:bCs/>
          <w:color w:val="000000" w:themeColor="text1"/>
          <w:szCs w:val="21"/>
          <w14:textFill>
            <w14:solidFill>
              <w14:schemeClr w14:val="tx1"/>
            </w14:solidFill>
          </w14:textFill>
        </w:rPr>
        <w:t>%）的扣除，用扣除后的价格参加评审，扣除后的价格为评审价，即评审价=竞标报价×（1-</w:t>
      </w:r>
      <w:r>
        <w:rPr>
          <w:rFonts w:hint="eastAsia" w:ascii="宋体" w:hAnsi="宋体" w:cs="宋体"/>
          <w:bCs/>
          <w:color w:val="000000" w:themeColor="text1"/>
          <w:szCs w:val="21"/>
          <w:lang w:val="en-US" w:eastAsia="zh-CN"/>
          <w14:textFill>
            <w14:solidFill>
              <w14:schemeClr w14:val="tx1"/>
            </w14:solidFill>
          </w14:textFill>
        </w:rPr>
        <w:t>4</w:t>
      </w:r>
      <w:r>
        <w:rPr>
          <w:rFonts w:hint="eastAsia" w:ascii="宋体" w:hAnsi="宋体" w:eastAsia="宋体" w:cs="宋体"/>
          <w:bCs/>
          <w:color w:val="000000" w:themeColor="text1"/>
          <w:szCs w:val="21"/>
          <w14:textFill>
            <w14:solidFill>
              <w14:schemeClr w14:val="tx1"/>
            </w14:solidFill>
          </w14:textFill>
        </w:rPr>
        <w:t>%）。</w:t>
      </w:r>
    </w:p>
    <w:p w14:paraId="280C40DE">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hint="eastAsia" w:ascii="宋体" w:hAnsi="宋体" w:eastAsia="宋体" w:cs="宋体"/>
          <w:bCs/>
          <w:color w:val="000000" w:themeColor="text1"/>
          <w:szCs w:val="21"/>
          <w14:textFill>
            <w14:solidFill>
              <w14:schemeClr w14:val="tx1"/>
            </w14:solidFill>
          </w14:textFill>
        </w:rPr>
        <w:t>监狱企业属于小型、微型企业的，</w:t>
      </w:r>
      <w:r>
        <w:rPr>
          <w:rFonts w:hint="eastAsia" w:ascii="宋体" w:hAnsi="宋体" w:eastAsia="宋体" w:cs="宋体"/>
          <w:color w:val="000000" w:themeColor="text1"/>
          <w:szCs w:val="21"/>
          <w14:textFill>
            <w14:solidFill>
              <w14:schemeClr w14:val="tx1"/>
            </w14:solidFill>
          </w14:textFill>
        </w:rPr>
        <w:t>不重复享受政策。</w:t>
      </w:r>
    </w:p>
    <w:p w14:paraId="330F3871">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6.4按照《关于促进残疾人就业政府采购政策的通知》（财库〔2017〕141号）的规定，残疾人福利性单位视同小型、微型企业，享受预留份额、评审中价格扣除等</w:t>
      </w:r>
      <w:r>
        <w:rPr>
          <w:rFonts w:hint="eastAsia" w:ascii="宋体" w:hAnsi="宋体" w:eastAsia="宋体" w:cs="宋体"/>
          <w:color w:val="000000" w:themeColor="text1"/>
          <w14:textFill>
            <w14:solidFill>
              <w14:schemeClr w14:val="tx1"/>
            </w14:solidFill>
          </w14:textFill>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1AF61384">
      <w:pPr>
        <w:keepNext w:val="0"/>
        <w:keepLines w:val="0"/>
        <w:pageBreakBefore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6.5除上述情况外，评审价＝最后报价。</w:t>
      </w:r>
    </w:p>
    <w:p w14:paraId="3DCF16BD">
      <w:pPr>
        <w:keepNext w:val="0"/>
        <w:keepLines w:val="0"/>
        <w:pageBreakBefore w:val="0"/>
        <w:kinsoku/>
        <w:wordWrap/>
        <w:overflowPunct/>
        <w:topLinePunct w:val="0"/>
        <w:autoSpaceDE/>
        <w:autoSpaceDN/>
        <w:bidi w:val="0"/>
        <w:adjustRightInd/>
        <w:spacing w:line="400" w:lineRule="exact"/>
        <w:jc w:val="center"/>
        <w:textAlignment w:val="auto"/>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二、评定成交的标准</w:t>
      </w:r>
    </w:p>
    <w:p w14:paraId="0D515219">
      <w:pPr>
        <w:keepNext w:val="0"/>
        <w:keepLines w:val="0"/>
        <w:pageBreakBefore w:val="0"/>
        <w:kinsoku/>
        <w:wordWrap/>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7.成交候选人推荐</w:t>
      </w:r>
    </w:p>
    <w:p w14:paraId="4F12EAE1">
      <w:pPr>
        <w:keepNext w:val="0"/>
        <w:keepLines w:val="0"/>
        <w:pageBreakBefore w:val="0"/>
        <w:kinsoku/>
        <w:wordWrap/>
        <w:overflowPunct/>
        <w:topLinePunct w:val="0"/>
        <w:autoSpaceDE/>
        <w:autoSpaceDN/>
        <w:bidi w:val="0"/>
        <w:adjustRightInd/>
        <w:spacing w:line="400" w:lineRule="exact"/>
        <w:ind w:firstLine="420" w:firstLineChars="200"/>
        <w:contextualSpacing/>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谈判小组应当从质量和服务均能满足谈判文件实质性响应要求的供应商中，按照评审价由低到高的顺序提出3名以上成交候选人（评审价相同时，按照最后报价由低到高顺序依次推荐；最后报价相同时，由谈判小组按“供应商须知前附表”第26条规定的顺序推荐），并编写评审报告，评审报告通过电子交易平台向采购人、采购代理机构提交。</w:t>
      </w:r>
      <w:r>
        <w:rPr>
          <w:rFonts w:hint="eastAsia" w:ascii="宋体" w:hAnsi="宋体" w:eastAsia="宋体" w:cs="宋体"/>
          <w:color w:val="000000" w:themeColor="text1"/>
          <w14:textFill>
            <w14:solidFill>
              <w14:schemeClr w14:val="tx1"/>
            </w14:solidFill>
          </w14:textFill>
        </w:rPr>
        <w:br w:type="page"/>
      </w:r>
    </w:p>
    <w:p w14:paraId="304B5878">
      <w:pPr>
        <w:pStyle w:val="10"/>
        <w:rPr>
          <w:rFonts w:hint="eastAsia" w:ascii="宋体" w:hAnsi="宋体" w:eastAsia="宋体" w:cs="宋体"/>
        </w:rPr>
      </w:pPr>
    </w:p>
    <w:p w14:paraId="7A70C3A9">
      <w:pPr>
        <w:rPr>
          <w:rFonts w:hint="eastAsia" w:ascii="宋体" w:hAnsi="宋体" w:eastAsia="宋体" w:cs="宋体"/>
          <w:color w:val="000000" w:themeColor="text1"/>
          <w14:textFill>
            <w14:solidFill>
              <w14:schemeClr w14:val="tx1"/>
            </w14:solidFill>
          </w14:textFill>
        </w:rPr>
      </w:pPr>
    </w:p>
    <w:p w14:paraId="4F9A4F62">
      <w:pPr>
        <w:rPr>
          <w:rFonts w:hint="eastAsia" w:ascii="宋体" w:hAnsi="宋体" w:eastAsia="宋体" w:cs="宋体"/>
          <w:color w:val="000000" w:themeColor="text1"/>
          <w14:textFill>
            <w14:solidFill>
              <w14:schemeClr w14:val="tx1"/>
            </w14:solidFill>
          </w14:textFill>
        </w:rPr>
      </w:pPr>
    </w:p>
    <w:p w14:paraId="6F156A6C">
      <w:pPr>
        <w:rPr>
          <w:rFonts w:hint="eastAsia" w:ascii="宋体" w:hAnsi="宋体" w:eastAsia="宋体" w:cs="宋体"/>
          <w:color w:val="000000" w:themeColor="text1"/>
          <w14:textFill>
            <w14:solidFill>
              <w14:schemeClr w14:val="tx1"/>
            </w14:solidFill>
          </w14:textFill>
        </w:rPr>
      </w:pPr>
    </w:p>
    <w:p w14:paraId="5E83F256">
      <w:pPr>
        <w:rPr>
          <w:rFonts w:hint="eastAsia" w:ascii="宋体" w:hAnsi="宋体" w:eastAsia="宋体" w:cs="宋体"/>
          <w:color w:val="000000" w:themeColor="text1"/>
          <w14:textFill>
            <w14:solidFill>
              <w14:schemeClr w14:val="tx1"/>
            </w14:solidFill>
          </w14:textFill>
        </w:rPr>
      </w:pPr>
    </w:p>
    <w:p w14:paraId="1BC3B1BD">
      <w:pPr>
        <w:rPr>
          <w:rFonts w:hint="eastAsia" w:ascii="宋体" w:hAnsi="宋体" w:eastAsia="宋体" w:cs="宋体"/>
          <w:color w:val="000000" w:themeColor="text1"/>
          <w14:textFill>
            <w14:solidFill>
              <w14:schemeClr w14:val="tx1"/>
            </w14:solidFill>
          </w14:textFill>
        </w:rPr>
      </w:pPr>
    </w:p>
    <w:p w14:paraId="36D1A040">
      <w:pPr>
        <w:rPr>
          <w:rFonts w:hint="eastAsia" w:ascii="宋体" w:hAnsi="宋体" w:eastAsia="宋体" w:cs="宋体"/>
          <w:color w:val="000000" w:themeColor="text1"/>
          <w14:textFill>
            <w14:solidFill>
              <w14:schemeClr w14:val="tx1"/>
            </w14:solidFill>
          </w14:textFill>
        </w:rPr>
      </w:pPr>
    </w:p>
    <w:p w14:paraId="472E3678">
      <w:pPr>
        <w:rPr>
          <w:rFonts w:hint="eastAsia" w:ascii="宋体" w:hAnsi="宋体" w:eastAsia="宋体" w:cs="宋体"/>
          <w:color w:val="000000" w:themeColor="text1"/>
          <w14:textFill>
            <w14:solidFill>
              <w14:schemeClr w14:val="tx1"/>
            </w14:solidFill>
          </w14:textFill>
        </w:rPr>
      </w:pPr>
    </w:p>
    <w:p w14:paraId="4BF50F7E">
      <w:pPr>
        <w:rPr>
          <w:rFonts w:hint="eastAsia" w:ascii="宋体" w:hAnsi="宋体" w:eastAsia="宋体" w:cs="宋体"/>
          <w:color w:val="000000" w:themeColor="text1"/>
          <w14:textFill>
            <w14:solidFill>
              <w14:schemeClr w14:val="tx1"/>
            </w14:solidFill>
          </w14:textFill>
        </w:rPr>
      </w:pPr>
    </w:p>
    <w:p w14:paraId="1E18A53E">
      <w:pPr>
        <w:rPr>
          <w:rFonts w:hint="eastAsia" w:ascii="宋体" w:hAnsi="宋体" w:eastAsia="宋体" w:cs="宋体"/>
          <w:color w:val="000000" w:themeColor="text1"/>
          <w14:textFill>
            <w14:solidFill>
              <w14:schemeClr w14:val="tx1"/>
            </w14:solidFill>
          </w14:textFill>
        </w:rPr>
      </w:pPr>
    </w:p>
    <w:p w14:paraId="1E02498A">
      <w:pPr>
        <w:rPr>
          <w:rFonts w:hint="eastAsia" w:ascii="宋体" w:hAnsi="宋体" w:eastAsia="宋体" w:cs="宋体"/>
          <w:color w:val="000000" w:themeColor="text1"/>
          <w14:textFill>
            <w14:solidFill>
              <w14:schemeClr w14:val="tx1"/>
            </w14:solidFill>
          </w14:textFill>
        </w:rPr>
      </w:pPr>
    </w:p>
    <w:p w14:paraId="6EFD0F18">
      <w:pPr>
        <w:rPr>
          <w:rFonts w:hint="eastAsia" w:ascii="宋体" w:hAnsi="宋体" w:eastAsia="宋体" w:cs="宋体"/>
          <w:color w:val="000000" w:themeColor="text1"/>
          <w14:textFill>
            <w14:solidFill>
              <w14:schemeClr w14:val="tx1"/>
            </w14:solidFill>
          </w14:textFill>
        </w:rPr>
      </w:pPr>
    </w:p>
    <w:p w14:paraId="5CE81547">
      <w:pPr>
        <w:rPr>
          <w:rFonts w:hint="eastAsia" w:ascii="宋体" w:hAnsi="宋体" w:eastAsia="宋体" w:cs="宋体"/>
          <w:color w:val="000000" w:themeColor="text1"/>
          <w14:textFill>
            <w14:solidFill>
              <w14:schemeClr w14:val="tx1"/>
            </w14:solidFill>
          </w14:textFill>
        </w:rPr>
      </w:pPr>
    </w:p>
    <w:p w14:paraId="53A842C0">
      <w:pPr>
        <w:rPr>
          <w:rFonts w:hint="eastAsia" w:ascii="宋体" w:hAnsi="宋体" w:eastAsia="宋体" w:cs="宋体"/>
          <w:color w:val="000000" w:themeColor="text1"/>
          <w14:textFill>
            <w14:solidFill>
              <w14:schemeClr w14:val="tx1"/>
            </w14:solidFill>
          </w14:textFill>
        </w:rPr>
      </w:pPr>
    </w:p>
    <w:p w14:paraId="3FB42631">
      <w:pPr>
        <w:pStyle w:val="2"/>
        <w:jc w:val="center"/>
        <w:rPr>
          <w:rFonts w:hint="eastAsia" w:ascii="宋体" w:hAnsi="宋体" w:eastAsia="宋体" w:cs="宋体"/>
          <w:color w:val="000000" w:themeColor="text1"/>
          <w14:textFill>
            <w14:solidFill>
              <w14:schemeClr w14:val="tx1"/>
            </w14:solidFill>
          </w14:textFill>
        </w:rPr>
      </w:pPr>
      <w:bookmarkStart w:id="79" w:name="_Toc100252375"/>
      <w:r>
        <w:rPr>
          <w:rFonts w:hint="eastAsia" w:ascii="宋体" w:hAnsi="宋体" w:eastAsia="宋体" w:cs="宋体"/>
          <w:color w:val="000000" w:themeColor="text1"/>
          <w14:textFill>
            <w14:solidFill>
              <w14:schemeClr w14:val="tx1"/>
            </w14:solidFill>
          </w14:textFill>
        </w:rPr>
        <w:t>第五章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响应文件格式</w:t>
      </w:r>
      <w:bookmarkEnd w:id="79"/>
    </w:p>
    <w:p w14:paraId="14F2044F">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4FF3C83C">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4BAC81E7">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75DE2CC5">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791BDB71">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43931D58">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720A3064">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0685D162">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79E037A1">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0802C7BA">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2AD18E01">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3E57164D">
      <w:pPr>
        <w:spacing w:line="240" w:lineRule="atLeast"/>
        <w:rPr>
          <w:rFonts w:hint="eastAsia" w:ascii="宋体" w:hAnsi="宋体" w:eastAsia="宋体" w:cs="宋体"/>
          <w:b/>
          <w:color w:val="000000" w:themeColor="text1"/>
          <w:sz w:val="32"/>
          <w:szCs w:val="32"/>
          <w14:textFill>
            <w14:solidFill>
              <w14:schemeClr w14:val="tx1"/>
            </w14:solidFill>
          </w14:textFill>
        </w:rPr>
      </w:pPr>
    </w:p>
    <w:p w14:paraId="7A3699F2">
      <w:pPr>
        <w:rPr>
          <w:rFonts w:hint="eastAsia" w:ascii="宋体" w:hAnsi="宋体" w:eastAsia="宋体" w:cs="宋体"/>
          <w:color w:val="000000" w:themeColor="text1"/>
          <w14:textFill>
            <w14:solidFill>
              <w14:schemeClr w14:val="tx1"/>
            </w14:solidFill>
          </w14:textFill>
        </w:rPr>
      </w:pPr>
    </w:p>
    <w:p w14:paraId="77110799">
      <w:pPr>
        <w:rPr>
          <w:rFonts w:hint="eastAsia" w:ascii="宋体" w:hAnsi="宋体" w:eastAsia="宋体" w:cs="宋体"/>
          <w:color w:val="000000" w:themeColor="text1"/>
          <w14:textFill>
            <w14:solidFill>
              <w14:schemeClr w14:val="tx1"/>
            </w14:solidFill>
          </w14:textFill>
        </w:rPr>
      </w:pPr>
    </w:p>
    <w:p w14:paraId="76110594">
      <w:pPr>
        <w:rPr>
          <w:rFonts w:hint="eastAsia" w:ascii="宋体" w:hAnsi="宋体" w:eastAsia="宋体" w:cs="宋体"/>
          <w:color w:val="000000" w:themeColor="text1"/>
          <w14:textFill>
            <w14:solidFill>
              <w14:schemeClr w14:val="tx1"/>
            </w14:solidFill>
          </w14:textFill>
        </w:rPr>
      </w:pPr>
    </w:p>
    <w:p w14:paraId="73A54F21">
      <w:pP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br w:type="page"/>
      </w:r>
      <w:bookmarkStart w:id="80" w:name="_Toc71366060"/>
      <w:bookmarkStart w:id="81" w:name="_Toc71365382"/>
      <w:r>
        <w:rPr>
          <w:rFonts w:hint="eastAsia" w:ascii="宋体" w:hAnsi="宋体" w:eastAsia="宋体" w:cs="宋体"/>
          <w:b/>
          <w:color w:val="000000" w:themeColor="text1"/>
          <w:sz w:val="32"/>
          <w:szCs w:val="32"/>
          <w14:textFill>
            <w14:solidFill>
              <w14:schemeClr w14:val="tx1"/>
            </w14:solidFill>
          </w14:textFill>
        </w:rPr>
        <w:t>一、资格证明文件格式</w:t>
      </w:r>
      <w:bookmarkEnd w:id="80"/>
      <w:bookmarkEnd w:id="81"/>
    </w:p>
    <w:p w14:paraId="6BECE3D5">
      <w:pPr>
        <w:snapToGrid w:val="0"/>
        <w:spacing w:beforeLines="50" w:after="50" w:line="360" w:lineRule="auto"/>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1.资格证明文件封面格式：</w:t>
      </w:r>
    </w:p>
    <w:p w14:paraId="01F3748C">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3B0BC4C5">
      <w:pPr>
        <w:snapToGrid w:val="0"/>
        <w:spacing w:beforeLines="50" w:after="50"/>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2B935C09">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5C37485B">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资格证明文件</w:t>
      </w:r>
    </w:p>
    <w:p w14:paraId="4F6AED1D">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3654CA7D">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7B2F9478">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67FAC867">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743DBAF4">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1161DAB8">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2F1D7001">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FEE6DFF">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3399F136">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36FAA0CB">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2237D6E2">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42139234">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34AF938E">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43C5E836">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1788ED41">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62966446">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363C625A">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595F44F1">
      <w:pPr>
        <w:snapToGrid w:val="0"/>
        <w:spacing w:beforeLines="50" w:after="50" w:line="360" w:lineRule="auto"/>
        <w:ind w:left="142"/>
        <w:jc w:val="left"/>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2.资格证明文件目录</w:t>
      </w:r>
    </w:p>
    <w:p w14:paraId="7FAC180A">
      <w:pPr>
        <w:snapToGrid w:val="0"/>
        <w:spacing w:beforeLines="50" w:after="50" w:line="360" w:lineRule="auto"/>
        <w:ind w:firstLine="645"/>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5980C969">
      <w:pPr>
        <w:snapToGrid w:val="0"/>
        <w:spacing w:beforeLines="50" w:after="50" w:line="360" w:lineRule="auto"/>
        <w:rPr>
          <w:rFonts w:hint="eastAsia" w:ascii="宋体" w:hAnsi="宋体" w:eastAsia="宋体" w:cs="宋体"/>
          <w:color w:val="000000" w:themeColor="text1"/>
          <w:sz w:val="24"/>
          <w:szCs w:val="20"/>
          <w14:textFill>
            <w14:solidFill>
              <w14:schemeClr w14:val="tx1"/>
            </w14:solidFill>
          </w14:textFill>
        </w:rPr>
      </w:pPr>
    </w:p>
    <w:p w14:paraId="724774BE">
      <w:pPr>
        <w:spacing w:line="360" w:lineRule="auto"/>
        <w:rPr>
          <w:rFonts w:hint="eastAsia" w:ascii="宋体" w:hAnsi="宋体" w:eastAsia="宋体" w:cs="宋体"/>
          <w:color w:val="000000" w:themeColor="text1"/>
          <w:szCs w:val="21"/>
          <w14:textFill>
            <w14:solidFill>
              <w14:schemeClr w14:val="tx1"/>
            </w14:solidFill>
          </w14:textFill>
        </w:rPr>
      </w:pPr>
    </w:p>
    <w:p w14:paraId="0F2AA89C">
      <w:pPr>
        <w:spacing w:line="360" w:lineRule="auto"/>
        <w:rPr>
          <w:rFonts w:hint="eastAsia" w:ascii="宋体" w:hAnsi="宋体" w:eastAsia="宋体" w:cs="宋体"/>
          <w:color w:val="000000" w:themeColor="text1"/>
          <w:szCs w:val="21"/>
          <w14:textFill>
            <w14:solidFill>
              <w14:schemeClr w14:val="tx1"/>
            </w14:solidFill>
          </w14:textFill>
        </w:rPr>
      </w:pPr>
    </w:p>
    <w:p w14:paraId="5249A0FC">
      <w:pPr>
        <w:spacing w:line="360" w:lineRule="auto"/>
        <w:rPr>
          <w:rFonts w:hint="eastAsia" w:ascii="宋体" w:hAnsi="宋体" w:eastAsia="宋体" w:cs="宋体"/>
          <w:color w:val="000000" w:themeColor="text1"/>
          <w:szCs w:val="21"/>
          <w14:textFill>
            <w14:solidFill>
              <w14:schemeClr w14:val="tx1"/>
            </w14:solidFill>
          </w14:textFill>
        </w:rPr>
      </w:pPr>
    </w:p>
    <w:p w14:paraId="367E5048">
      <w:pPr>
        <w:spacing w:line="360" w:lineRule="auto"/>
        <w:rPr>
          <w:rFonts w:hint="eastAsia" w:ascii="宋体" w:hAnsi="宋体" w:eastAsia="宋体" w:cs="宋体"/>
          <w:color w:val="000000" w:themeColor="text1"/>
          <w:szCs w:val="21"/>
          <w14:textFill>
            <w14:solidFill>
              <w14:schemeClr w14:val="tx1"/>
            </w14:solidFill>
          </w14:textFill>
        </w:rPr>
      </w:pPr>
    </w:p>
    <w:p w14:paraId="48410F79">
      <w:pPr>
        <w:spacing w:line="300" w:lineRule="auto"/>
        <w:rPr>
          <w:rFonts w:hint="eastAsia" w:ascii="宋体" w:hAnsi="宋体" w:eastAsia="宋体" w:cs="宋体"/>
          <w:color w:val="000000" w:themeColor="text1"/>
          <w:szCs w:val="21"/>
          <w14:textFill>
            <w14:solidFill>
              <w14:schemeClr w14:val="tx1"/>
            </w14:solidFill>
          </w14:textFill>
        </w:rPr>
      </w:pPr>
    </w:p>
    <w:p w14:paraId="01C341C7">
      <w:pPr>
        <w:spacing w:line="300" w:lineRule="auto"/>
        <w:rPr>
          <w:rFonts w:hint="eastAsia" w:ascii="宋体" w:hAnsi="宋体" w:eastAsia="宋体" w:cs="宋体"/>
          <w:color w:val="000000" w:themeColor="text1"/>
          <w:szCs w:val="21"/>
          <w14:textFill>
            <w14:solidFill>
              <w14:schemeClr w14:val="tx1"/>
            </w14:solidFill>
          </w14:textFill>
        </w:rPr>
      </w:pPr>
    </w:p>
    <w:p w14:paraId="5FD68B9B">
      <w:pPr>
        <w:spacing w:line="300" w:lineRule="auto"/>
        <w:rPr>
          <w:rFonts w:hint="eastAsia" w:ascii="宋体" w:hAnsi="宋体" w:eastAsia="宋体" w:cs="宋体"/>
          <w:color w:val="000000" w:themeColor="text1"/>
          <w:szCs w:val="21"/>
          <w14:textFill>
            <w14:solidFill>
              <w14:schemeClr w14:val="tx1"/>
            </w14:solidFill>
          </w14:textFill>
        </w:rPr>
      </w:pPr>
    </w:p>
    <w:p w14:paraId="4D2EC18D">
      <w:pPr>
        <w:spacing w:line="300" w:lineRule="auto"/>
        <w:rPr>
          <w:rFonts w:hint="eastAsia" w:ascii="宋体" w:hAnsi="宋体" w:eastAsia="宋体" w:cs="宋体"/>
          <w:color w:val="000000" w:themeColor="text1"/>
          <w:szCs w:val="21"/>
          <w14:textFill>
            <w14:solidFill>
              <w14:schemeClr w14:val="tx1"/>
            </w14:solidFill>
          </w14:textFill>
        </w:rPr>
      </w:pPr>
    </w:p>
    <w:p w14:paraId="1BEA74E9">
      <w:pPr>
        <w:spacing w:line="300" w:lineRule="auto"/>
        <w:rPr>
          <w:rFonts w:hint="eastAsia" w:ascii="宋体" w:hAnsi="宋体" w:eastAsia="宋体" w:cs="宋体"/>
          <w:color w:val="000000" w:themeColor="text1"/>
          <w:szCs w:val="21"/>
          <w14:textFill>
            <w14:solidFill>
              <w14:schemeClr w14:val="tx1"/>
            </w14:solidFill>
          </w14:textFill>
        </w:rPr>
      </w:pPr>
    </w:p>
    <w:p w14:paraId="1CF70E73">
      <w:pPr>
        <w:spacing w:line="300" w:lineRule="auto"/>
        <w:rPr>
          <w:rFonts w:hint="eastAsia" w:ascii="宋体" w:hAnsi="宋体" w:eastAsia="宋体" w:cs="宋体"/>
          <w:color w:val="000000" w:themeColor="text1"/>
          <w:szCs w:val="21"/>
          <w14:textFill>
            <w14:solidFill>
              <w14:schemeClr w14:val="tx1"/>
            </w14:solidFill>
          </w14:textFill>
        </w:rPr>
      </w:pPr>
    </w:p>
    <w:p w14:paraId="0CD0C7A3">
      <w:pPr>
        <w:spacing w:line="300" w:lineRule="auto"/>
        <w:rPr>
          <w:rFonts w:hint="eastAsia" w:ascii="宋体" w:hAnsi="宋体" w:eastAsia="宋体" w:cs="宋体"/>
          <w:color w:val="000000" w:themeColor="text1"/>
          <w:szCs w:val="21"/>
          <w14:textFill>
            <w14:solidFill>
              <w14:schemeClr w14:val="tx1"/>
            </w14:solidFill>
          </w14:textFill>
        </w:rPr>
      </w:pPr>
    </w:p>
    <w:p w14:paraId="2A30A955">
      <w:pPr>
        <w:spacing w:line="300" w:lineRule="auto"/>
        <w:rPr>
          <w:rFonts w:hint="eastAsia" w:ascii="宋体" w:hAnsi="宋体" w:eastAsia="宋体" w:cs="宋体"/>
          <w:color w:val="000000" w:themeColor="text1"/>
          <w:szCs w:val="21"/>
          <w14:textFill>
            <w14:solidFill>
              <w14:schemeClr w14:val="tx1"/>
            </w14:solidFill>
          </w14:textFill>
        </w:rPr>
      </w:pPr>
    </w:p>
    <w:p w14:paraId="2A885F30">
      <w:pPr>
        <w:spacing w:line="300" w:lineRule="auto"/>
        <w:rPr>
          <w:rFonts w:hint="eastAsia" w:ascii="宋体" w:hAnsi="宋体" w:eastAsia="宋体" w:cs="宋体"/>
          <w:color w:val="000000" w:themeColor="text1"/>
          <w:szCs w:val="21"/>
          <w14:textFill>
            <w14:solidFill>
              <w14:schemeClr w14:val="tx1"/>
            </w14:solidFill>
          </w14:textFill>
        </w:rPr>
      </w:pPr>
    </w:p>
    <w:p w14:paraId="2FC3C180">
      <w:pPr>
        <w:spacing w:line="300" w:lineRule="auto"/>
        <w:rPr>
          <w:rFonts w:hint="eastAsia" w:ascii="宋体" w:hAnsi="宋体" w:eastAsia="宋体" w:cs="宋体"/>
          <w:color w:val="000000" w:themeColor="text1"/>
          <w:szCs w:val="21"/>
          <w14:textFill>
            <w14:solidFill>
              <w14:schemeClr w14:val="tx1"/>
            </w14:solidFill>
          </w14:textFill>
        </w:rPr>
      </w:pPr>
    </w:p>
    <w:p w14:paraId="6A0714FF">
      <w:pPr>
        <w:spacing w:line="300" w:lineRule="auto"/>
        <w:rPr>
          <w:rFonts w:hint="eastAsia" w:ascii="宋体" w:hAnsi="宋体" w:eastAsia="宋体" w:cs="宋体"/>
          <w:color w:val="000000" w:themeColor="text1"/>
          <w:szCs w:val="21"/>
          <w14:textFill>
            <w14:solidFill>
              <w14:schemeClr w14:val="tx1"/>
            </w14:solidFill>
          </w14:textFill>
        </w:rPr>
      </w:pPr>
    </w:p>
    <w:p w14:paraId="1672DABD">
      <w:pPr>
        <w:spacing w:line="320" w:lineRule="exact"/>
        <w:jc w:val="left"/>
        <w:rPr>
          <w:rFonts w:hint="eastAsia" w:ascii="宋体" w:hAnsi="宋体" w:eastAsia="宋体" w:cs="宋体"/>
          <w:color w:val="000000" w:themeColor="text1"/>
          <w:szCs w:val="21"/>
          <w14:textFill>
            <w14:solidFill>
              <w14:schemeClr w14:val="tx1"/>
            </w14:solidFill>
          </w14:textFill>
        </w:rPr>
      </w:pPr>
    </w:p>
    <w:p w14:paraId="519F5F0C">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供应商直接控股、管理关系信息表</w:t>
      </w:r>
    </w:p>
    <w:p w14:paraId="4CF25761">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p>
    <w:p w14:paraId="37160477">
      <w:pPr>
        <w:snapToGrid w:val="0"/>
        <w:spacing w:beforeLines="50" w:after="5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供应商直接控股股东信息表</w:t>
      </w:r>
    </w:p>
    <w:p w14:paraId="50D29CD9">
      <w:pPr>
        <w:snapToGrid w:val="0"/>
        <w:spacing w:before="50" w:afterLines="50"/>
        <w:jc w:val="center"/>
        <w:rPr>
          <w:rFonts w:hint="eastAsia" w:ascii="宋体" w:hAnsi="宋体" w:eastAsia="宋体" w:cs="宋体"/>
          <w:b/>
          <w:color w:val="000000" w:themeColor="text1"/>
          <w:sz w:val="32"/>
          <w:szCs w:val="32"/>
          <w14:textFill>
            <w14:solidFill>
              <w14:schemeClr w14:val="tx1"/>
            </w14:solidFill>
          </w14:textFill>
        </w:rPr>
      </w:pPr>
    </w:p>
    <w:tbl>
      <w:tblPr>
        <w:tblStyle w:val="24"/>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4C6C9DB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6B25D82">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26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B0A0F4F">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0C5F7E5">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362124">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93863C5">
            <w:pPr>
              <w:widowControl/>
              <w:spacing w:line="360" w:lineRule="auto"/>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备注</w:t>
            </w:r>
          </w:p>
        </w:tc>
      </w:tr>
      <w:tr w14:paraId="37DA24D6">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98CE8CD">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E0D6A8">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482B5B6">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A054A5">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D5D5083">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60F018E3">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A31449">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8E5DD8">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35203E">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71827B2">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BB5008">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6C96B33C">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F966704">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D3202">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C5F824">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0E6FC3">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2180C9">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r w14:paraId="4A7992FA">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095104">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p>
        </w:tc>
        <w:tc>
          <w:tcPr>
            <w:tcW w:w="26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AD294D">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14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4913E6B">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4287"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769FB9">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c>
          <w:tcPr>
            <w:tcW w:w="87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E2E720">
            <w:pPr>
              <w:widowControl/>
              <w:spacing w:line="360" w:lineRule="auto"/>
              <w:jc w:val="center"/>
              <w:rPr>
                <w:rFonts w:hint="eastAsia" w:ascii="宋体" w:hAnsi="宋体" w:eastAsia="宋体" w:cs="宋体"/>
                <w:color w:val="000000" w:themeColor="text1"/>
                <w:kern w:val="0"/>
                <w:sz w:val="28"/>
                <w:szCs w:val="28"/>
                <w14:textFill>
                  <w14:solidFill>
                    <w14:schemeClr w14:val="tx1"/>
                  </w14:solidFill>
                </w14:textFill>
              </w:rPr>
            </w:pPr>
          </w:p>
        </w:tc>
      </w:tr>
    </w:tbl>
    <w:p w14:paraId="06F336AA">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5A9B856E">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9693F78">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2.本表所指的控股关系仅限于直接控股关系，不包括间接的控股关系。公司实际控制人与公司之间的关系不属于本表所指的直接控股关系。</w:t>
      </w:r>
    </w:p>
    <w:p w14:paraId="7BAAFF2D">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3.供应商不存在直接控股股东的，则在“直接控股股东名称”填“无”。</w:t>
      </w:r>
    </w:p>
    <w:p w14:paraId="1EC0F68A">
      <w:pPr>
        <w:spacing w:line="360" w:lineRule="auto"/>
        <w:ind w:firstLine="420" w:firstLineChars="200"/>
        <w:contextualSpacing/>
        <w:jc w:val="left"/>
        <w:rPr>
          <w:rFonts w:hint="eastAsia" w:ascii="宋体" w:hAnsi="宋体" w:eastAsia="宋体" w:cs="宋体"/>
          <w:color w:val="000000" w:themeColor="text1"/>
          <w:szCs w:val="21"/>
          <w14:textFill>
            <w14:solidFill>
              <w14:schemeClr w14:val="tx1"/>
            </w14:solidFill>
          </w14:textFill>
        </w:rPr>
      </w:pPr>
    </w:p>
    <w:p w14:paraId="084D8DA3">
      <w:pPr>
        <w:spacing w:line="360" w:lineRule="auto"/>
        <w:ind w:firstLine="560" w:firstLineChars="200"/>
        <w:contextualSpacing/>
        <w:jc w:val="left"/>
        <w:rPr>
          <w:rFonts w:hint="eastAsia" w:ascii="宋体" w:hAnsi="宋体" w:eastAsia="宋体" w:cs="宋体"/>
          <w:color w:val="000000" w:themeColor="text1"/>
          <w:sz w:val="28"/>
          <w:szCs w:val="28"/>
          <w14:textFill>
            <w14:solidFill>
              <w14:schemeClr w14:val="tx1"/>
            </w14:solidFill>
          </w14:textFill>
        </w:rPr>
      </w:pPr>
    </w:p>
    <w:p w14:paraId="022AB681">
      <w:pPr>
        <w:spacing w:line="360" w:lineRule="auto"/>
        <w:ind w:right="480"/>
        <w:contextualSpacing/>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2980B772">
      <w:pPr>
        <w:spacing w:line="360" w:lineRule="auto"/>
        <w:ind w:right="480" w:firstLine="3000" w:firstLineChars="1250"/>
        <w:contextualSpacing/>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59D40C60">
      <w:pPr>
        <w:spacing w:line="360" w:lineRule="auto"/>
        <w:ind w:right="480" w:firstLine="5280" w:firstLineChars="2200"/>
        <w:contextualSpacing/>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477CD1DE">
      <w:pPr>
        <w:snapToGrid w:val="0"/>
        <w:jc w:val="center"/>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br w:type="page"/>
      </w:r>
    </w:p>
    <w:p w14:paraId="0830FDB4">
      <w:pPr>
        <w:snapToGrid w:val="0"/>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供应商直接管理关系信息表</w:t>
      </w:r>
    </w:p>
    <w:p w14:paraId="34296993">
      <w:pPr>
        <w:snapToGrid w:val="0"/>
        <w:jc w:val="center"/>
        <w:rPr>
          <w:rFonts w:hint="eastAsia" w:ascii="宋体" w:hAnsi="宋体" w:eastAsia="宋体" w:cs="宋体"/>
          <w:b/>
          <w:color w:val="000000" w:themeColor="text1"/>
          <w:sz w:val="32"/>
          <w:szCs w:val="32"/>
          <w14:textFill>
            <w14:solidFill>
              <w14:schemeClr w14:val="tx1"/>
            </w14:solidFill>
          </w14:textFill>
        </w:rPr>
      </w:pPr>
    </w:p>
    <w:tbl>
      <w:tblPr>
        <w:tblStyle w:val="24"/>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24A314E4">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609E4C3">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序号</w:t>
            </w:r>
          </w:p>
        </w:tc>
        <w:tc>
          <w:tcPr>
            <w:tcW w:w="3600"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24EA5E7">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B5273BC">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3D9555D">
            <w:pPr>
              <w:widowControl/>
              <w:jc w:val="center"/>
              <w:rPr>
                <w:rFonts w:hint="eastAsia"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备注</w:t>
            </w:r>
          </w:p>
        </w:tc>
      </w:tr>
      <w:tr w14:paraId="473ADB1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40D4437">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1730734">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BF8FE5">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179F9A">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04DA44B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2BD7CC">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061C888">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9997023">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F1B1D1">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701C972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2CCD4B">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3</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D17F83B">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FA1ED2D">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FFCA3B">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r w14:paraId="669C87A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E4A554">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w:t>
            </w:r>
          </w:p>
        </w:tc>
        <w:tc>
          <w:tcPr>
            <w:tcW w:w="3600"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9E3FEBA">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355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7B550B9">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c>
          <w:tcPr>
            <w:tcW w:w="168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22DD504">
            <w:pPr>
              <w:widowControl/>
              <w:wordWrap w:val="0"/>
              <w:spacing w:line="200" w:lineRule="atLeast"/>
              <w:jc w:val="center"/>
              <w:rPr>
                <w:rFonts w:hint="eastAsia" w:ascii="宋体" w:hAnsi="宋体" w:eastAsia="宋体" w:cs="宋体"/>
                <w:color w:val="000000" w:themeColor="text1"/>
                <w:kern w:val="0"/>
                <w:sz w:val="28"/>
                <w:szCs w:val="28"/>
                <w14:textFill>
                  <w14:solidFill>
                    <w14:schemeClr w14:val="tx1"/>
                  </w14:solidFill>
                </w14:textFill>
              </w:rPr>
            </w:pPr>
          </w:p>
        </w:tc>
      </w:tr>
    </w:tbl>
    <w:p w14:paraId="7097327D">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p>
    <w:p w14:paraId="76CDAE53">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1.管理关系：是指不具有出资持股关系的其他单位之间存在的管理与被管理关系，如一些上下级关系的事业单位和团体组织。</w:t>
      </w:r>
    </w:p>
    <w:p w14:paraId="57E81741">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pacing w:val="-6"/>
          <w:sz w:val="24"/>
          <w14:textFill>
            <w14:solidFill>
              <w14:schemeClr w14:val="tx1"/>
            </w14:solidFill>
          </w14:textFill>
        </w:rPr>
        <w:t>本表所指的管理关系仅限于直接管理关系，不包括间接的管理关系。</w:t>
      </w:r>
    </w:p>
    <w:p w14:paraId="3E238E26">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3.供应商不存在直接管理关系的，则在“直接管理关系单位名称”填“无”。</w:t>
      </w:r>
    </w:p>
    <w:p w14:paraId="3D12D432">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065E4C94">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5E095360">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617F6A99">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33A4D39D">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3C16B451">
      <w:pPr>
        <w:spacing w:line="360" w:lineRule="auto"/>
        <w:contextualSpacing/>
        <w:jc w:val="left"/>
        <w:rPr>
          <w:rFonts w:hint="eastAsia" w:ascii="宋体" w:hAnsi="宋体" w:eastAsia="宋体" w:cs="宋体"/>
          <w:color w:val="000000" w:themeColor="text1"/>
          <w:sz w:val="28"/>
          <w:szCs w:val="28"/>
          <w14:textFill>
            <w14:solidFill>
              <w14:schemeClr w14:val="tx1"/>
            </w14:solidFill>
          </w14:textFill>
        </w:rPr>
      </w:pPr>
    </w:p>
    <w:p w14:paraId="242A21D3">
      <w:pPr>
        <w:spacing w:line="360" w:lineRule="auto"/>
        <w:ind w:right="480"/>
        <w:contextualSpacing/>
        <w:jc w:val="center"/>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5E65B89A">
      <w:pPr>
        <w:spacing w:line="360" w:lineRule="auto"/>
        <w:ind w:right="480" w:firstLine="3360" w:firstLineChars="14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683FE2ED">
      <w:pPr>
        <w:spacing w:line="360" w:lineRule="auto"/>
        <w:ind w:right="480" w:firstLine="240" w:firstLineChars="100"/>
        <w:contextualSpacing/>
        <w:jc w:val="center"/>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29ECAE50">
      <w:pPr>
        <w:spacing w:line="50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br w:type="page"/>
      </w:r>
      <w:r>
        <w:rPr>
          <w:rFonts w:hint="eastAsia" w:ascii="宋体" w:hAnsi="宋体" w:eastAsia="宋体" w:cs="宋体"/>
          <w:b/>
          <w:color w:val="000000" w:themeColor="text1"/>
          <w:sz w:val="32"/>
          <w:szCs w:val="32"/>
          <w14:textFill>
            <w14:solidFill>
              <w14:schemeClr w14:val="tx1"/>
            </w14:solidFill>
          </w14:textFill>
        </w:rPr>
        <w:t>竞标声明</w:t>
      </w:r>
    </w:p>
    <w:p w14:paraId="786AFB5F">
      <w:pPr>
        <w:spacing w:line="320" w:lineRule="exact"/>
        <w:jc w:val="center"/>
        <w:rPr>
          <w:rFonts w:hint="eastAsia" w:ascii="宋体" w:hAnsi="宋体" w:eastAsia="宋体" w:cs="宋体"/>
          <w:color w:val="000000" w:themeColor="text1"/>
          <w:sz w:val="24"/>
          <w:szCs w:val="20"/>
          <w14:textFill>
            <w14:solidFill>
              <w14:schemeClr w14:val="tx1"/>
            </w14:solidFill>
          </w14:textFill>
        </w:rPr>
      </w:pPr>
    </w:p>
    <w:p w14:paraId="15605869">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（采购人名称）</w:t>
      </w:r>
      <w:r>
        <w:rPr>
          <w:rFonts w:hint="eastAsia" w:ascii="宋体" w:hAnsi="宋体" w:eastAsia="宋体" w:cs="宋体"/>
          <w:color w:val="000000" w:themeColor="text1"/>
          <w:sz w:val="24"/>
          <w14:textFill>
            <w14:solidFill>
              <w14:schemeClr w14:val="tx1"/>
            </w14:solidFill>
          </w14:textFill>
        </w:rPr>
        <w:t>：</w:t>
      </w:r>
    </w:p>
    <w:p w14:paraId="05C9A90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系中华人民共和国合法供应商，经营地址。</w:t>
      </w:r>
    </w:p>
    <w:p w14:paraId="3C5B76F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我方愿意参加贵方组织的</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项目的竞标，为便于贵方公正、择优地确定成交供应商及其竞标产品和服务，我方就本次竞标有关事项郑重声明如下：</w:t>
      </w:r>
    </w:p>
    <w:p w14:paraId="6FFCBA4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1.我方向贵方提交的所有响应文件、资料都是准确的和真实的。</w:t>
      </w:r>
    </w:p>
    <w:p w14:paraId="373780C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2.我方不是为本次采购项目提供整体设计、规范编制或者项目管理、监理、检测等服务的供应商。</w:t>
      </w:r>
    </w:p>
    <w:p w14:paraId="7828789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3.在此，我方宣布同意如下：</w:t>
      </w:r>
    </w:p>
    <w:p w14:paraId="63F30A56">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（1）将按谈判文件的约定履行合同责任和义务；</w:t>
      </w:r>
    </w:p>
    <w:p w14:paraId="79064FE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（2）已详细审查全部谈判文件，包括补遗文件（如有）；</w:t>
      </w:r>
    </w:p>
    <w:p w14:paraId="68D0B64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（3）同意提供按照贵方可能要求的与谈判有关的一切数据或者资料；</w:t>
      </w:r>
    </w:p>
    <w:p w14:paraId="19B4EF6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（4）响应谈判文件规定的竞标有效期。</w:t>
      </w:r>
    </w:p>
    <w:p w14:paraId="6BF8208D">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4.我方承诺符合《中华人民共和国政府采购法》第二十二条规定：</w:t>
      </w:r>
    </w:p>
    <w:p w14:paraId="78A4D250">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（1）具有独立承担民事责任的能力；</w:t>
      </w:r>
    </w:p>
    <w:p w14:paraId="2D3FBDF6">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（2）具有良好的商业信誉和健全的财务会计制度；</w:t>
      </w:r>
    </w:p>
    <w:p w14:paraId="0F6E7560">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（3）具有履行合同所必需的设备和专业技术能力；</w:t>
      </w:r>
    </w:p>
    <w:p w14:paraId="30F51F2D">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（4）有依法缴纳税收和社会保障资金的良好记录；</w:t>
      </w:r>
    </w:p>
    <w:p w14:paraId="2397C896">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（5）参加政府采购活动前三年内，在经营活动中没有重大违法记录；</w:t>
      </w:r>
    </w:p>
    <w:p w14:paraId="57D7ED6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（6）法律、行政法规规定的其他条件。</w:t>
      </w:r>
    </w:p>
    <w:p w14:paraId="7400D44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ED3DFFD">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7BFF986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□我方本次响应文件</w:t>
      </w:r>
      <w:r>
        <w:rPr>
          <w:rFonts w:hint="eastAsia" w:ascii="宋体" w:hAnsi="宋体" w:eastAsia="宋体" w:cs="宋体"/>
          <w:color w:val="000000" w:themeColor="text1"/>
          <w:kern w:val="0"/>
          <w:sz w:val="24"/>
          <w14:textFill>
            <w14:solidFill>
              <w14:schemeClr w14:val="tx1"/>
            </w14:solidFill>
          </w14:textFill>
        </w:rPr>
        <w:t>内容中</w:t>
      </w:r>
      <w:r>
        <w:rPr>
          <w:rFonts w:hint="eastAsia" w:ascii="宋体" w:hAnsi="宋体" w:eastAsia="宋体" w:cs="宋体"/>
          <w:color w:val="000000" w:themeColor="text1"/>
          <w:sz w:val="24"/>
          <w14:textFill>
            <w14:solidFill>
              <w14:schemeClr w14:val="tx1"/>
            </w14:solidFill>
          </w14:textFill>
        </w:rPr>
        <w:t>未</w:t>
      </w:r>
      <w:r>
        <w:rPr>
          <w:rFonts w:hint="eastAsia" w:ascii="宋体" w:hAnsi="宋体" w:eastAsia="宋体" w:cs="宋体"/>
          <w:color w:val="000000" w:themeColor="text1"/>
          <w:kern w:val="0"/>
          <w:sz w:val="24"/>
          <w14:textFill>
            <w14:solidFill>
              <w14:schemeClr w14:val="tx1"/>
            </w14:solidFill>
          </w14:textFill>
        </w:rPr>
        <w:t>涉及商业秘密；</w:t>
      </w:r>
    </w:p>
    <w:p w14:paraId="10BEFA3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□我方本次响应文件</w:t>
      </w:r>
      <w:r>
        <w:rPr>
          <w:rFonts w:hint="eastAsia" w:ascii="宋体" w:hAnsi="宋体" w:eastAsia="宋体" w:cs="宋体"/>
          <w:color w:val="000000" w:themeColor="text1"/>
          <w:kern w:val="0"/>
          <w:sz w:val="24"/>
          <w14:textFill>
            <w14:solidFill>
              <w14:schemeClr w14:val="tx1"/>
            </w14:solidFill>
          </w14:textFill>
        </w:rPr>
        <w:t>涉及商业秘密的内容有：；</w:t>
      </w:r>
    </w:p>
    <w:p w14:paraId="389E740F">
      <w:pPr>
        <w:pStyle w:val="14"/>
        <w:spacing w:line="360" w:lineRule="auto"/>
        <w:ind w:firstLine="480" w:firstLineChars="200"/>
        <w:contextualSpacing/>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7.与本谈判有关的一切正式往来信函请寄：邮政编号：</w:t>
      </w:r>
    </w:p>
    <w:p w14:paraId="0C53E9C6">
      <w:pPr>
        <w:pStyle w:val="14"/>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电话/传真：电子邮箱：</w:t>
      </w:r>
    </w:p>
    <w:p w14:paraId="57D15164">
      <w:pPr>
        <w:pStyle w:val="12"/>
        <w:tabs>
          <w:tab w:val="left" w:pos="939"/>
        </w:tabs>
        <w:spacing w:line="360" w:lineRule="auto"/>
        <w:ind w:left="141" w:leftChars="67"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开户银行：帐号/行号：</w:t>
      </w:r>
    </w:p>
    <w:p w14:paraId="473B1DFB">
      <w:pPr>
        <w:pStyle w:val="12"/>
        <w:tabs>
          <w:tab w:val="left" w:pos="939"/>
        </w:tabs>
        <w:spacing w:line="360" w:lineRule="auto"/>
        <w:ind w:left="141" w:leftChars="67" w:firstLine="360" w:firstLineChars="15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8.以上事项如有虚假或者隐瞒，我方愿意承担一切后果，并不再寻求任何旨在减轻或者免除法律责任的辩解。</w:t>
      </w:r>
    </w:p>
    <w:p w14:paraId="61B967ED">
      <w:pPr>
        <w:pStyle w:val="12"/>
        <w:tabs>
          <w:tab w:val="left" w:pos="939"/>
        </w:tabs>
        <w:spacing w:line="360" w:lineRule="auto"/>
        <w:ind w:left="141" w:leftChars="67" w:firstLine="360" w:firstLineChars="15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特此承诺。</w:t>
      </w:r>
    </w:p>
    <w:p w14:paraId="33FBFF47">
      <w:pPr>
        <w:spacing w:line="360" w:lineRule="auto"/>
        <w:contextualSpacing/>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注：如为联合体竞标，盖章处须加盖联合体牵头人电子签章并由联合体牵头人法定代表人分别签字或者盖章或者电子签名，否则响应文件按无效处理。</w:t>
      </w:r>
    </w:p>
    <w:p w14:paraId="795CA716">
      <w:pPr>
        <w:spacing w:line="360" w:lineRule="auto"/>
        <w:contextualSpacing/>
        <w:jc w:val="left"/>
        <w:rPr>
          <w:rFonts w:hint="eastAsia" w:ascii="宋体" w:hAnsi="宋体" w:eastAsia="宋体" w:cs="宋体"/>
          <w:color w:val="000000" w:themeColor="text1"/>
          <w:szCs w:val="21"/>
          <w14:textFill>
            <w14:solidFill>
              <w14:schemeClr w14:val="tx1"/>
            </w14:solidFill>
          </w14:textFill>
        </w:rPr>
      </w:pPr>
    </w:p>
    <w:p w14:paraId="75008C3C">
      <w:pPr>
        <w:keepNext w:val="0"/>
        <w:keepLines w:val="0"/>
        <w:pageBreakBefore w:val="0"/>
        <w:widowControl w:val="0"/>
        <w:kinsoku/>
        <w:wordWrap/>
        <w:overflowPunct/>
        <w:topLinePunct w:val="0"/>
        <w:autoSpaceDE/>
        <w:autoSpaceDN/>
        <w:bidi w:val="0"/>
        <w:adjustRightInd/>
        <w:snapToGrid/>
        <w:spacing w:line="360" w:lineRule="auto"/>
        <w:ind w:firstLine="1800" w:firstLineChars="750"/>
        <w:contextualSpacing/>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法定代表人（签字或者盖章或者电子签名）：</w:t>
      </w:r>
    </w:p>
    <w:p w14:paraId="71337059">
      <w:pPr>
        <w:keepNext w:val="0"/>
        <w:keepLines w:val="0"/>
        <w:pageBreakBefore w:val="0"/>
        <w:widowControl w:val="0"/>
        <w:kinsoku/>
        <w:wordWrap/>
        <w:overflowPunct/>
        <w:topLinePunct w:val="0"/>
        <w:autoSpaceDE/>
        <w:autoSpaceDN/>
        <w:bidi w:val="0"/>
        <w:adjustRightInd/>
        <w:snapToGrid/>
        <w:spacing w:line="360" w:lineRule="auto"/>
        <w:ind w:firstLine="4320" w:firstLineChars="1800"/>
        <w:contextualSpacing/>
        <w:textAlignment w:val="auto"/>
        <w:rPr>
          <w:rFonts w:hint="eastAsia" w:ascii="宋体" w:hAnsi="宋体" w:eastAsia="宋体" w:cs="宋体"/>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供应商（电子签章）：</w:t>
      </w:r>
    </w:p>
    <w:p w14:paraId="4BBFAF01">
      <w:pPr>
        <w:keepNext w:val="0"/>
        <w:keepLines w:val="0"/>
        <w:pageBreakBefore w:val="0"/>
        <w:widowControl w:val="0"/>
        <w:kinsoku/>
        <w:wordWrap/>
        <w:overflowPunct/>
        <w:topLinePunct w:val="0"/>
        <w:autoSpaceDE/>
        <w:autoSpaceDN/>
        <w:bidi w:val="0"/>
        <w:adjustRightInd/>
        <w:snapToGrid/>
        <w:spacing w:line="360" w:lineRule="auto"/>
        <w:ind w:right="482" w:firstLine="240" w:firstLineChars="100"/>
        <w:contextualSpacing/>
        <w:jc w:val="center"/>
        <w:textAlignment w:val="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年月日</w:t>
      </w:r>
    </w:p>
    <w:p w14:paraId="07223630">
      <w:pPr>
        <w:pStyle w:val="6"/>
        <w:overflowPunct w:val="0"/>
        <w:spacing w:line="520" w:lineRule="exact"/>
        <w:ind w:firstLine="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color w:val="000000" w:themeColor="text1"/>
          <w:sz w:val="32"/>
          <w:szCs w:val="32"/>
          <w14:textFill>
            <w14:solidFill>
              <w14:schemeClr w14:val="tx1"/>
            </w14:solidFill>
          </w14:textFill>
        </w:rPr>
        <w:t>联合体竞标协议书</w:t>
      </w:r>
    </w:p>
    <w:p w14:paraId="63C69176">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42225DC1">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（所有成员单位名称）自愿组成（联合体名称）联合体，共同参加（项目名称）采购项目竞标。现就联合体竞标事宜订立如下协议。</w:t>
      </w:r>
    </w:p>
    <w:p w14:paraId="78700D15">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1.（某成员单位名称）为（联合体名称）牵头人。</w:t>
      </w:r>
    </w:p>
    <w:p w14:paraId="6C37CB48">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联合体各成员授权牵头人代表联合体参加竞标活动，签署文件及对文件的盖章，提交和接收相关的资料、信息及指示，进行合同谈判活动，负责合同实施阶段的组织和协调工作，以及处理与本竞标项目有关的一切事宜。</w:t>
      </w:r>
    </w:p>
    <w:p w14:paraId="2E5A8B85">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3.联合体牵头人在本项目中签署和盖章的一切文件和处理的一切事宜，联合体各成员均予以承认。联合体各成员将严格按照谈判文件、响应文件和合同的要求全面履行义务，并向采购人承担连带责任。</w:t>
      </w:r>
    </w:p>
    <w:p w14:paraId="33F68D60">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4.联合体各成员单位内部的职责分工如下：。</w:t>
      </w:r>
    </w:p>
    <w:p w14:paraId="51566672">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5.本</w:t>
      </w:r>
      <w:r>
        <w:rPr>
          <w:rFonts w:hint="eastAsia" w:ascii="宋体" w:hAnsi="宋体" w:eastAsia="宋体" w:cs="宋体"/>
          <w:color w:val="000000" w:themeColor="text1"/>
          <w:spacing w:val="-6"/>
          <w:sz w:val="24"/>
          <w:szCs w:val="24"/>
          <w14:textFill>
            <w14:solidFill>
              <w14:schemeClr w14:val="tx1"/>
            </w14:solidFill>
          </w14:textFill>
        </w:rPr>
        <w:t>协议书自所有成员单位法定代表人或者其委托代理人签字或者盖单位章之日起生效，合同履行完毕后自动失效。</w:t>
      </w:r>
    </w:p>
    <w:p w14:paraId="06AC1DBE">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6.本协议书一式份，联合体成员和采购人各执一份。</w:t>
      </w:r>
    </w:p>
    <w:p w14:paraId="51269D8B">
      <w:pPr>
        <w:pStyle w:val="6"/>
        <w:overflowPunct w:val="0"/>
        <w:spacing w:line="360" w:lineRule="auto"/>
        <w:ind w:firstLine="480" w:firstLineChars="20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注：本协议书应附法定代表人身份证明书；有委托代理的，应附权委托书（格式自拟）。</w:t>
      </w:r>
    </w:p>
    <w:p w14:paraId="4EA72C3A">
      <w:pPr>
        <w:pStyle w:val="6"/>
        <w:overflowPunct w:val="0"/>
        <w:spacing w:line="360" w:lineRule="auto"/>
        <w:ind w:firstLineChars="175"/>
        <w:contextualSpacing/>
        <w:rPr>
          <w:rFonts w:hint="eastAsia" w:ascii="宋体" w:hAnsi="宋体" w:eastAsia="宋体" w:cs="宋体"/>
          <w:color w:val="000000" w:themeColor="text1"/>
          <w:sz w:val="24"/>
          <w:szCs w:val="24"/>
          <w14:textFill>
            <w14:solidFill>
              <w14:schemeClr w14:val="tx1"/>
            </w14:solidFill>
          </w14:textFill>
        </w:rPr>
      </w:pPr>
    </w:p>
    <w:p w14:paraId="3E63D1BD">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联合体牵头人名称（电子签章）：</w:t>
      </w:r>
    </w:p>
    <w:p w14:paraId="733A8C45">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1B4236DC">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6FA95F4E">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联合体成员名称（盖公章或者电子签章）：</w:t>
      </w:r>
    </w:p>
    <w:p w14:paraId="2FAF9163">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4438E84C">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p>
    <w:p w14:paraId="08CA17E2">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联合体成员名称（盖公章或者电子签章）：</w:t>
      </w:r>
    </w:p>
    <w:p w14:paraId="75C5BB8E">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法定代表人或者其委托代理人（签字或者电子签名）：</w:t>
      </w:r>
    </w:p>
    <w:p w14:paraId="32BC2942">
      <w:pPr>
        <w:pStyle w:val="6"/>
        <w:overflowPunct w:val="0"/>
        <w:spacing w:line="360" w:lineRule="auto"/>
        <w:ind w:firstLine="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663CA7CA">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381B21F">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6FC6A534">
      <w:pPr>
        <w:spacing w:line="360" w:lineRule="auto"/>
        <w:contextualSpacing/>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753CC81C">
      <w:pPr>
        <w:spacing w:line="360" w:lineRule="auto"/>
        <w:ind w:right="420"/>
        <w:contextualSpacing/>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二、</w:t>
      </w:r>
      <w:r>
        <w:rPr>
          <w:rFonts w:hint="eastAsia" w:ascii="宋体" w:hAnsi="宋体" w:eastAsia="宋体" w:cs="宋体"/>
          <w:b/>
          <w:color w:val="000000" w:themeColor="text1"/>
          <w:sz w:val="32"/>
          <w:szCs w:val="32"/>
          <w14:textFill>
            <w14:solidFill>
              <w14:schemeClr w14:val="tx1"/>
            </w14:solidFill>
          </w14:textFill>
        </w:rPr>
        <w:t>报价文件格式</w:t>
      </w:r>
    </w:p>
    <w:p w14:paraId="7C4C091F">
      <w:pPr>
        <w:snapToGrid w:val="0"/>
        <w:spacing w:beforeLines="50" w:after="50"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1.报价文件封面格式</w:t>
      </w:r>
    </w:p>
    <w:p w14:paraId="4C4EAD1C">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4C15AC5D">
      <w:pPr>
        <w:snapToGrid w:val="0"/>
        <w:spacing w:beforeLines="50" w:after="50"/>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534B44A7">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0C6C4CD2">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418CF2D0">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报价文件</w:t>
      </w:r>
    </w:p>
    <w:p w14:paraId="79078D5A">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5418CEE9">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51F30C46">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47B02B6E">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52CD391D">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43B7FF44">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7FF13FF8">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78B524C9">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520DEDA8">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7AB6923">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46A6624D">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7D31A926">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3B2DA2A8">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13BD7F01">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3F18A151">
      <w:pPr>
        <w:pStyle w:val="6"/>
        <w:snapToGrid w:val="0"/>
        <w:spacing w:before="50" w:after="50"/>
        <w:ind w:firstLine="0"/>
        <w:rPr>
          <w:rFonts w:hint="eastAsia" w:ascii="宋体" w:hAnsi="宋体" w:eastAsia="宋体" w:cs="宋体"/>
          <w:bCs/>
          <w:color w:val="000000" w:themeColor="text1"/>
          <w:sz w:val="32"/>
          <w:szCs w:val="32"/>
          <w14:textFill>
            <w14:solidFill>
              <w14:schemeClr w14:val="tx1"/>
            </w14:solidFill>
          </w14:textFill>
        </w:rPr>
      </w:pPr>
    </w:p>
    <w:p w14:paraId="3C18641B">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73F47687">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4A7D892F">
      <w:pPr>
        <w:snapToGrid w:val="0"/>
        <w:spacing w:beforeLines="50" w:after="50" w:line="360" w:lineRule="auto"/>
        <w:ind w:left="142"/>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2.报价文件目录</w:t>
      </w:r>
    </w:p>
    <w:p w14:paraId="1ED6CFFC">
      <w:pPr>
        <w:tabs>
          <w:tab w:val="left" w:pos="3479"/>
        </w:tabs>
        <w:spacing w:line="520" w:lineRule="exact"/>
        <w:jc w:val="left"/>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428D53D9">
      <w:pPr>
        <w:tabs>
          <w:tab w:val="left" w:pos="3479"/>
        </w:tabs>
        <w:spacing w:line="520" w:lineRule="exact"/>
        <w:jc w:val="center"/>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Cs/>
          <w:color w:val="000000" w:themeColor="text1"/>
          <w:sz w:val="44"/>
          <w:szCs w:val="44"/>
          <w14:textFill>
            <w14:solidFill>
              <w14:schemeClr w14:val="tx1"/>
            </w14:solidFill>
          </w14:textFill>
        </w:rPr>
        <w:t>竞标报价表</w:t>
      </w:r>
    </w:p>
    <w:p w14:paraId="1AF592B8">
      <w:pPr>
        <w:spacing w:line="520" w:lineRule="exact"/>
        <w:jc w:val="center"/>
        <w:rPr>
          <w:rFonts w:hint="eastAsia" w:ascii="宋体" w:hAnsi="宋体" w:eastAsia="宋体" w:cs="宋体"/>
          <w:bCs/>
          <w:color w:val="000000" w:themeColor="text1"/>
          <w:sz w:val="32"/>
          <w:szCs w:val="32"/>
          <w14:textFill>
            <w14:solidFill>
              <w14:schemeClr w14:val="tx1"/>
            </w14:solidFill>
          </w14:textFill>
        </w:rPr>
      </w:pPr>
    </w:p>
    <w:p w14:paraId="72DF6446">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分标（如有）：</w:t>
      </w:r>
    </w:p>
    <w:p w14:paraId="6DCD9731">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p>
    <w:p w14:paraId="30B60033">
      <w:pPr>
        <w:snapToGrid w:val="0"/>
        <w:spacing w:before="50" w:after="50" w:line="360" w:lineRule="auto"/>
        <w:ind w:firstLine="5520" w:firstLineChars="23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单位：元</w:t>
      </w:r>
    </w:p>
    <w:tbl>
      <w:tblPr>
        <w:tblStyle w:val="24"/>
        <w:tblW w:w="105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7"/>
        <w:gridCol w:w="1065"/>
        <w:gridCol w:w="1005"/>
        <w:gridCol w:w="504"/>
        <w:gridCol w:w="414"/>
        <w:gridCol w:w="1065"/>
        <w:gridCol w:w="1200"/>
        <w:gridCol w:w="1095"/>
        <w:gridCol w:w="1095"/>
        <w:gridCol w:w="780"/>
        <w:gridCol w:w="1725"/>
      </w:tblGrid>
      <w:tr w14:paraId="2AA226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1E84238C">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项号</w:t>
            </w:r>
          </w:p>
        </w:tc>
        <w:tc>
          <w:tcPr>
            <w:tcW w:w="1065" w:type="dxa"/>
            <w:tcBorders>
              <w:top w:val="single" w:color="auto" w:sz="4" w:space="0"/>
              <w:left w:val="single" w:color="auto" w:sz="4" w:space="0"/>
              <w:bottom w:val="single" w:color="auto" w:sz="4" w:space="0"/>
              <w:right w:val="single" w:color="auto" w:sz="4" w:space="0"/>
            </w:tcBorders>
            <w:vAlign w:val="center"/>
          </w:tcPr>
          <w:p w14:paraId="34338902">
            <w:pPr>
              <w:spacing w:line="360" w:lineRule="auto"/>
              <w:jc w:val="center"/>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cs="宋体"/>
                <w:b/>
                <w:bCs/>
                <w:color w:val="000000" w:themeColor="text1"/>
                <w:sz w:val="24"/>
                <w:lang w:eastAsia="zh-CN"/>
                <w14:textFill>
                  <w14:solidFill>
                    <w14:schemeClr w14:val="tx1"/>
                  </w14:solidFill>
                </w14:textFill>
              </w:rPr>
              <w:t>标的名称</w:t>
            </w:r>
          </w:p>
        </w:tc>
        <w:tc>
          <w:tcPr>
            <w:tcW w:w="1005" w:type="dxa"/>
            <w:tcBorders>
              <w:top w:val="single" w:color="auto" w:sz="4" w:space="0"/>
              <w:left w:val="single" w:color="auto" w:sz="4" w:space="0"/>
              <w:bottom w:val="single" w:color="auto" w:sz="4" w:space="0"/>
              <w:right w:val="single" w:color="auto" w:sz="4" w:space="0"/>
            </w:tcBorders>
            <w:vAlign w:val="center"/>
          </w:tcPr>
          <w:p w14:paraId="5E70879C">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数量</w:t>
            </w:r>
          </w:p>
          <w:p w14:paraId="69618EF8">
            <w:pPr>
              <w:pStyle w:val="53"/>
              <w:numPr>
                <w:ilvl w:val="0"/>
                <w:numId w:val="2"/>
              </w:numPr>
              <w:spacing w:line="360" w:lineRule="auto"/>
              <w:ind w:firstLineChars="0"/>
              <w:jc w:val="center"/>
              <w:rPr>
                <w:rFonts w:hint="eastAsia" w:ascii="宋体" w:hAnsi="宋体" w:eastAsia="宋体" w:cs="宋体"/>
                <w:b/>
                <w:bCs/>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2F57F6EE">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单位</w:t>
            </w:r>
          </w:p>
        </w:tc>
        <w:tc>
          <w:tcPr>
            <w:tcW w:w="414" w:type="dxa"/>
            <w:tcBorders>
              <w:top w:val="single" w:color="auto" w:sz="4" w:space="0"/>
              <w:left w:val="single" w:color="auto" w:sz="4" w:space="0"/>
              <w:bottom w:val="single" w:color="auto" w:sz="4" w:space="0"/>
              <w:right w:val="single" w:color="auto" w:sz="4" w:space="0"/>
            </w:tcBorders>
            <w:vAlign w:val="center"/>
          </w:tcPr>
          <w:p w14:paraId="77D9A3D8">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品牌</w:t>
            </w:r>
          </w:p>
        </w:tc>
        <w:tc>
          <w:tcPr>
            <w:tcW w:w="1065" w:type="dxa"/>
            <w:tcBorders>
              <w:top w:val="single" w:color="auto" w:sz="4" w:space="0"/>
              <w:left w:val="single" w:color="auto" w:sz="4" w:space="0"/>
              <w:bottom w:val="single" w:color="auto" w:sz="4" w:space="0"/>
              <w:right w:val="single" w:color="auto" w:sz="4" w:space="0"/>
            </w:tcBorders>
            <w:vAlign w:val="center"/>
          </w:tcPr>
          <w:p w14:paraId="299E3158">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规格</w:t>
            </w:r>
          </w:p>
          <w:p w14:paraId="23205791">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型号</w:t>
            </w:r>
          </w:p>
        </w:tc>
        <w:tc>
          <w:tcPr>
            <w:tcW w:w="1200" w:type="dxa"/>
            <w:tcBorders>
              <w:top w:val="single" w:color="auto" w:sz="4" w:space="0"/>
              <w:left w:val="single" w:color="auto" w:sz="4" w:space="0"/>
              <w:bottom w:val="single" w:color="auto" w:sz="4" w:space="0"/>
              <w:right w:val="single" w:color="auto" w:sz="4" w:space="0"/>
            </w:tcBorders>
            <w:vAlign w:val="center"/>
          </w:tcPr>
          <w:p w14:paraId="0A7BE59B">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制造商</w:t>
            </w:r>
          </w:p>
        </w:tc>
        <w:tc>
          <w:tcPr>
            <w:tcW w:w="1095" w:type="dxa"/>
            <w:tcBorders>
              <w:top w:val="single" w:color="auto" w:sz="4" w:space="0"/>
              <w:left w:val="single" w:color="auto" w:sz="4" w:space="0"/>
              <w:bottom w:val="single" w:color="auto" w:sz="4" w:space="0"/>
              <w:right w:val="single" w:color="auto" w:sz="4" w:space="0"/>
            </w:tcBorders>
            <w:vAlign w:val="center"/>
          </w:tcPr>
          <w:p w14:paraId="4311113F">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原产地</w:t>
            </w:r>
          </w:p>
        </w:tc>
        <w:tc>
          <w:tcPr>
            <w:tcW w:w="1095" w:type="dxa"/>
            <w:tcBorders>
              <w:top w:val="single" w:color="auto" w:sz="4" w:space="0"/>
              <w:left w:val="single" w:color="auto" w:sz="4" w:space="0"/>
              <w:bottom w:val="single" w:color="auto" w:sz="4" w:space="0"/>
              <w:right w:val="single" w:color="auto" w:sz="4" w:space="0"/>
            </w:tcBorders>
            <w:vAlign w:val="center"/>
          </w:tcPr>
          <w:p w14:paraId="6C4602DA">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参数性能、指标及配置</w:t>
            </w:r>
          </w:p>
        </w:tc>
        <w:tc>
          <w:tcPr>
            <w:tcW w:w="780" w:type="dxa"/>
            <w:tcBorders>
              <w:top w:val="single" w:color="auto" w:sz="4" w:space="0"/>
              <w:left w:val="single" w:color="auto" w:sz="4" w:space="0"/>
              <w:bottom w:val="single" w:color="auto" w:sz="4" w:space="0"/>
              <w:right w:val="single" w:color="auto" w:sz="4" w:space="0"/>
            </w:tcBorders>
            <w:vAlign w:val="center"/>
          </w:tcPr>
          <w:p w14:paraId="68EA7581">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单价</w:t>
            </w:r>
          </w:p>
          <w:p w14:paraId="098AFFAA">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②</w:t>
            </w:r>
          </w:p>
        </w:tc>
        <w:tc>
          <w:tcPr>
            <w:tcW w:w="1725" w:type="dxa"/>
            <w:tcBorders>
              <w:top w:val="single" w:color="auto" w:sz="4" w:space="0"/>
              <w:left w:val="single" w:color="auto" w:sz="4" w:space="0"/>
              <w:bottom w:val="single" w:color="auto" w:sz="4" w:space="0"/>
              <w:right w:val="single" w:color="auto" w:sz="4" w:space="0"/>
            </w:tcBorders>
            <w:vAlign w:val="center"/>
          </w:tcPr>
          <w:p w14:paraId="47D8979A">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竞标报价</w:t>
            </w:r>
          </w:p>
          <w:p w14:paraId="01D38124">
            <w:pPr>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③=①×②</w:t>
            </w:r>
          </w:p>
        </w:tc>
      </w:tr>
      <w:tr w14:paraId="026613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44AEA1C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p>
        </w:tc>
        <w:tc>
          <w:tcPr>
            <w:tcW w:w="1065" w:type="dxa"/>
            <w:tcBorders>
              <w:top w:val="single" w:color="auto" w:sz="4" w:space="0"/>
              <w:left w:val="single" w:color="auto" w:sz="4" w:space="0"/>
              <w:bottom w:val="single" w:color="auto" w:sz="4" w:space="0"/>
              <w:right w:val="single" w:color="auto" w:sz="4" w:space="0"/>
            </w:tcBorders>
            <w:vAlign w:val="center"/>
          </w:tcPr>
          <w:p w14:paraId="5056F0DC">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3796401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419F3F5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078F3EDE">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27D592B4">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6835B3E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38166201">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376240E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0335B11D">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6A3D30AA">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758BF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75F9814C">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p>
        </w:tc>
        <w:tc>
          <w:tcPr>
            <w:tcW w:w="1065" w:type="dxa"/>
            <w:tcBorders>
              <w:top w:val="single" w:color="auto" w:sz="4" w:space="0"/>
              <w:left w:val="single" w:color="auto" w:sz="4" w:space="0"/>
              <w:bottom w:val="single" w:color="auto" w:sz="4" w:space="0"/>
              <w:right w:val="single" w:color="auto" w:sz="4" w:space="0"/>
            </w:tcBorders>
            <w:vAlign w:val="center"/>
          </w:tcPr>
          <w:p w14:paraId="538453FA">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05" w:type="dxa"/>
            <w:tcBorders>
              <w:top w:val="single" w:color="auto" w:sz="4" w:space="0"/>
              <w:left w:val="single" w:color="auto" w:sz="4" w:space="0"/>
              <w:bottom w:val="single" w:color="auto" w:sz="4" w:space="0"/>
              <w:right w:val="single" w:color="auto" w:sz="4" w:space="0"/>
            </w:tcBorders>
            <w:vAlign w:val="center"/>
          </w:tcPr>
          <w:p w14:paraId="5428F4A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130EF73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25E3FB3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53F71438">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3CB59C1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288177E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0C7E026B">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55D7964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5998C5A6">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6B1EF4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07" w:type="dxa"/>
            <w:tcBorders>
              <w:top w:val="single" w:color="auto" w:sz="4" w:space="0"/>
              <w:left w:val="single" w:color="auto" w:sz="4" w:space="0"/>
              <w:bottom w:val="single" w:color="auto" w:sz="4" w:space="0"/>
              <w:right w:val="single" w:color="auto" w:sz="4" w:space="0"/>
            </w:tcBorders>
            <w:vAlign w:val="center"/>
          </w:tcPr>
          <w:p w14:paraId="259BFB40">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65" w:type="dxa"/>
            <w:tcBorders>
              <w:top w:val="single" w:color="auto" w:sz="4" w:space="0"/>
              <w:left w:val="single" w:color="auto" w:sz="4" w:space="0"/>
              <w:bottom w:val="single" w:color="auto" w:sz="4" w:space="0"/>
              <w:right w:val="single" w:color="auto" w:sz="4" w:space="0"/>
            </w:tcBorders>
            <w:vAlign w:val="center"/>
          </w:tcPr>
          <w:p w14:paraId="27E4FCE4">
            <w:pPr>
              <w:spacing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1005" w:type="dxa"/>
            <w:tcBorders>
              <w:top w:val="single" w:color="auto" w:sz="4" w:space="0"/>
              <w:left w:val="single" w:color="auto" w:sz="4" w:space="0"/>
              <w:bottom w:val="single" w:color="auto" w:sz="4" w:space="0"/>
              <w:right w:val="single" w:color="auto" w:sz="4" w:space="0"/>
            </w:tcBorders>
            <w:vAlign w:val="center"/>
          </w:tcPr>
          <w:p w14:paraId="20251D40">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504" w:type="dxa"/>
            <w:tcBorders>
              <w:top w:val="single" w:color="auto" w:sz="4" w:space="0"/>
              <w:left w:val="single" w:color="auto" w:sz="4" w:space="0"/>
              <w:bottom w:val="single" w:color="auto" w:sz="4" w:space="0"/>
              <w:right w:val="single" w:color="auto" w:sz="4" w:space="0"/>
            </w:tcBorders>
            <w:vAlign w:val="center"/>
          </w:tcPr>
          <w:p w14:paraId="300C8CB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414" w:type="dxa"/>
            <w:tcBorders>
              <w:top w:val="single" w:color="auto" w:sz="4" w:space="0"/>
              <w:left w:val="single" w:color="auto" w:sz="4" w:space="0"/>
              <w:bottom w:val="single" w:color="auto" w:sz="4" w:space="0"/>
              <w:right w:val="single" w:color="auto" w:sz="4" w:space="0"/>
            </w:tcBorders>
            <w:vAlign w:val="center"/>
          </w:tcPr>
          <w:p w14:paraId="60D0AB0F">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65" w:type="dxa"/>
            <w:tcBorders>
              <w:top w:val="single" w:color="auto" w:sz="4" w:space="0"/>
              <w:left w:val="single" w:color="auto" w:sz="4" w:space="0"/>
              <w:bottom w:val="single" w:color="auto" w:sz="4" w:space="0"/>
              <w:right w:val="single" w:color="auto" w:sz="4" w:space="0"/>
            </w:tcBorders>
            <w:vAlign w:val="center"/>
          </w:tcPr>
          <w:p w14:paraId="2CE03763">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200" w:type="dxa"/>
            <w:tcBorders>
              <w:top w:val="single" w:color="auto" w:sz="4" w:space="0"/>
              <w:left w:val="single" w:color="auto" w:sz="4" w:space="0"/>
              <w:bottom w:val="single" w:color="auto" w:sz="4" w:space="0"/>
              <w:right w:val="single" w:color="auto" w:sz="4" w:space="0"/>
            </w:tcBorders>
            <w:vAlign w:val="center"/>
          </w:tcPr>
          <w:p w14:paraId="33DEE15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tcPr>
          <w:p w14:paraId="172DE30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095" w:type="dxa"/>
            <w:tcBorders>
              <w:top w:val="single" w:color="auto" w:sz="4" w:space="0"/>
              <w:left w:val="single" w:color="auto" w:sz="4" w:space="0"/>
              <w:bottom w:val="single" w:color="auto" w:sz="4" w:space="0"/>
              <w:right w:val="single" w:color="auto" w:sz="4" w:space="0"/>
            </w:tcBorders>
            <w:vAlign w:val="center"/>
          </w:tcPr>
          <w:p w14:paraId="7A381689">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780" w:type="dxa"/>
            <w:tcBorders>
              <w:top w:val="single" w:color="auto" w:sz="4" w:space="0"/>
              <w:left w:val="single" w:color="auto" w:sz="4" w:space="0"/>
              <w:bottom w:val="single" w:color="auto" w:sz="4" w:space="0"/>
              <w:right w:val="single" w:color="auto" w:sz="4" w:space="0"/>
            </w:tcBorders>
            <w:vAlign w:val="center"/>
          </w:tcPr>
          <w:p w14:paraId="2C53EA12">
            <w:pPr>
              <w:spacing w:line="360" w:lineRule="auto"/>
              <w:jc w:val="center"/>
              <w:rPr>
                <w:rFonts w:hint="eastAsia" w:ascii="宋体" w:hAnsi="宋体" w:eastAsia="宋体" w:cs="宋体"/>
                <w:color w:val="000000" w:themeColor="text1"/>
                <w:sz w:val="24"/>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vAlign w:val="center"/>
          </w:tcPr>
          <w:p w14:paraId="5BE60A7D">
            <w:pPr>
              <w:spacing w:line="360" w:lineRule="auto"/>
              <w:jc w:val="center"/>
              <w:rPr>
                <w:rFonts w:hint="eastAsia" w:ascii="宋体" w:hAnsi="宋体" w:eastAsia="宋体" w:cs="宋体"/>
                <w:color w:val="000000" w:themeColor="text1"/>
                <w:sz w:val="24"/>
                <w14:textFill>
                  <w14:solidFill>
                    <w14:schemeClr w14:val="tx1"/>
                  </w14:solidFill>
                </w14:textFill>
              </w:rPr>
            </w:pPr>
          </w:p>
        </w:tc>
      </w:tr>
      <w:tr w14:paraId="5F44FC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0555" w:type="dxa"/>
            <w:gridSpan w:val="11"/>
            <w:tcBorders>
              <w:top w:val="single" w:color="auto" w:sz="4" w:space="0"/>
              <w:left w:val="single" w:color="auto" w:sz="4" w:space="0"/>
              <w:bottom w:val="single" w:color="auto" w:sz="4" w:space="0"/>
              <w:right w:val="single" w:color="auto" w:sz="4" w:space="0"/>
            </w:tcBorders>
          </w:tcPr>
          <w:p w14:paraId="402F7B1F">
            <w:pPr>
              <w:snapToGrid w:val="0"/>
              <w:spacing w:before="50" w:after="50"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合计金额大写：人民币（￥）</w:t>
            </w:r>
          </w:p>
          <w:p w14:paraId="10B5CD5D">
            <w:pPr>
              <w:snapToGrid w:val="0"/>
              <w:spacing w:before="50" w:after="50"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u w:val="single"/>
                <w14:textFill>
                  <w14:solidFill>
                    <w14:schemeClr w14:val="tx1"/>
                  </w14:solidFill>
                </w14:textFill>
              </w:rPr>
              <w:t>竞标货物中，属于优先采购节能产品总值为￥（具体明细详见附表，附表格式自拟），占本竞标报价的比例为    %；属于优先采购环境标志产品总值为￥（具体明细详见附表，附表格式自拟），占本竞标报价的比例为   %。</w:t>
            </w:r>
          </w:p>
        </w:tc>
      </w:tr>
    </w:tbl>
    <w:p w14:paraId="66D02B08">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w:t>
      </w:r>
      <w:r>
        <w:rPr>
          <w:rFonts w:hint="eastAsia" w:ascii="宋体" w:hAnsi="宋体" w:cs="宋体"/>
          <w:color w:val="000000" w:themeColor="text1"/>
          <w:sz w:val="24"/>
          <w:lang w:eastAsia="zh-CN"/>
          <w14:textFill>
            <w14:solidFill>
              <w14:schemeClr w14:val="tx1"/>
            </w14:solidFill>
          </w14:textFill>
        </w:rPr>
        <w:t>：</w:t>
      </w:r>
    </w:p>
    <w:p w14:paraId="55BF3310">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1.以上竞标报价表中“货物名称、数量及单位、品牌、规格型号、制造商、原产地、参数性能、指标及配置”必须如实填写完整，品牌、规格型号没有则填无，填写有缺漏</w:t>
      </w:r>
      <w:r>
        <w:rPr>
          <w:rFonts w:hint="eastAsia" w:ascii="宋体" w:hAnsi="宋体" w:eastAsia="宋体" w:cs="宋体"/>
          <w:bCs/>
          <w:color w:val="000000" w:themeColor="text1"/>
          <w:sz w:val="24"/>
          <w14:textFill>
            <w14:solidFill>
              <w14:schemeClr w14:val="tx1"/>
            </w14:solidFill>
          </w14:textFill>
        </w:rPr>
        <w:t>的，</w:t>
      </w:r>
      <w:r>
        <w:rPr>
          <w:rFonts w:hint="eastAsia" w:ascii="宋体" w:hAnsi="宋体" w:eastAsia="宋体" w:cs="宋体"/>
          <w:b/>
          <w:color w:val="000000" w:themeColor="text1"/>
          <w:sz w:val="24"/>
          <w14:textFill>
            <w14:solidFill>
              <w14:schemeClr w14:val="tx1"/>
            </w14:solidFill>
          </w14:textFill>
        </w:rPr>
        <w:t>其响应文件按无效处理。</w:t>
      </w:r>
    </w:p>
    <w:p w14:paraId="24D35F7F">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2.供应商的报价表必须加盖供应商电子签章并由法定代表人或者委托代理人签字或者电子签名，</w:t>
      </w:r>
      <w:r>
        <w:rPr>
          <w:rFonts w:hint="eastAsia" w:ascii="宋体" w:hAnsi="宋体" w:eastAsia="宋体" w:cs="宋体"/>
          <w:b/>
          <w:color w:val="000000" w:themeColor="text1"/>
          <w:sz w:val="24"/>
          <w14:textFill>
            <w14:solidFill>
              <w14:schemeClr w14:val="tx1"/>
            </w14:solidFill>
          </w14:textFill>
        </w:rPr>
        <w:t>否则其响应文件按无效处理</w:t>
      </w:r>
      <w:r>
        <w:rPr>
          <w:rFonts w:hint="eastAsia" w:ascii="宋体" w:hAnsi="宋体" w:eastAsia="宋体" w:cs="宋体"/>
          <w:color w:val="000000" w:themeColor="text1"/>
          <w:sz w:val="24"/>
          <w14:textFill>
            <w14:solidFill>
              <w14:schemeClr w14:val="tx1"/>
            </w14:solidFill>
          </w14:textFill>
        </w:rPr>
        <w:t>。</w:t>
      </w:r>
    </w:p>
    <w:p w14:paraId="48DA3D2A">
      <w:pPr>
        <w:spacing w:line="360" w:lineRule="auto"/>
        <w:ind w:firstLine="480" w:firstLineChars="200"/>
        <w:contextualSpacing/>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报价一经涂改，应在涂改处加盖供应商公章或者加盖电子签章或者由法定代表人或者授权委托人签字（或者电子签名）</w:t>
      </w:r>
      <w:r>
        <w:rPr>
          <w:rFonts w:hint="eastAsia" w:ascii="宋体" w:hAnsi="宋体" w:eastAsia="宋体" w:cs="宋体"/>
          <w:b/>
          <w:color w:val="000000" w:themeColor="text1"/>
          <w:sz w:val="24"/>
          <w14:textFill>
            <w14:solidFill>
              <w14:schemeClr w14:val="tx1"/>
            </w14:solidFill>
          </w14:textFill>
        </w:rPr>
        <w:t>，否则其响应文件按无效处理。</w:t>
      </w:r>
    </w:p>
    <w:p w14:paraId="31F1EA08">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4.谈判文件中列明采购专用耗材的，应按谈判文件规定的耗材量或者按耗材的常规试用量提供报价。</w:t>
      </w:r>
    </w:p>
    <w:p w14:paraId="5721D1FA">
      <w:pPr>
        <w:spacing w:line="360" w:lineRule="auto"/>
        <w:ind w:firstLine="480" w:firstLineChars="200"/>
        <w:contextualSpacing/>
        <w:jc w:val="left"/>
        <w:rPr>
          <w:rFonts w:hint="eastAsia" w:ascii="宋体" w:hAnsi="宋体" w:eastAsia="宋体" w:cs="宋体"/>
          <w:i/>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5.如为联合体竞标，“供应商名称”处必须列明联合体各方名称，标注联合体牵头人名称，</w:t>
      </w:r>
      <w:r>
        <w:rPr>
          <w:rFonts w:hint="eastAsia" w:ascii="宋体" w:hAnsi="宋体" w:eastAsia="宋体" w:cs="宋体"/>
          <w:b/>
          <w:color w:val="000000" w:themeColor="text1"/>
          <w:sz w:val="24"/>
          <w14:textFill>
            <w14:solidFill>
              <w14:schemeClr w14:val="tx1"/>
            </w14:solidFill>
          </w14:textFill>
        </w:rPr>
        <w:t>否则其响应文件按无效处理。</w:t>
      </w:r>
    </w:p>
    <w:p w14:paraId="1760F2AD">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6.如为联合体竞标，</w:t>
      </w:r>
      <w:r>
        <w:rPr>
          <w:rFonts w:hint="eastAsia" w:ascii="宋体" w:hAnsi="宋体" w:eastAsia="宋体" w:cs="宋体"/>
          <w:color w:val="000000" w:themeColor="text1"/>
          <w:spacing w:val="-6"/>
          <w:sz w:val="24"/>
          <w14:textFill>
            <w14:solidFill>
              <w14:schemeClr w14:val="tx1"/>
            </w14:solidFill>
          </w14:textFill>
        </w:rPr>
        <w:t>盖章处须加盖联合体牵头人电子签章</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否则其响应文件按无效处理。</w:t>
      </w:r>
    </w:p>
    <w:p w14:paraId="77BE36F9">
      <w:pPr>
        <w:spacing w:line="360" w:lineRule="auto"/>
        <w:ind w:firstLine="480" w:firstLineChars="200"/>
        <w:contextualSpacing/>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w:t>
      </w:r>
      <w:r>
        <w:rPr>
          <w:rFonts w:hint="eastAsia" w:ascii="宋体" w:hAnsi="宋体" w:eastAsia="宋体" w:cs="宋体"/>
          <w:color w:val="000000" w:themeColor="text1"/>
          <w:spacing w:val="-6"/>
          <w:sz w:val="24"/>
          <w14:textFill>
            <w14:solidFill>
              <w14:schemeClr w14:val="tx1"/>
            </w14:solidFill>
          </w14:textFill>
        </w:rPr>
        <w:t>如有多分标，分别列明各分标的报价表，</w:t>
      </w:r>
      <w:r>
        <w:rPr>
          <w:rFonts w:hint="eastAsia" w:ascii="宋体" w:hAnsi="宋体" w:eastAsia="宋体" w:cs="宋体"/>
          <w:b/>
          <w:color w:val="000000" w:themeColor="text1"/>
          <w:spacing w:val="-6"/>
          <w:sz w:val="24"/>
          <w14:textFill>
            <w14:solidFill>
              <w14:schemeClr w14:val="tx1"/>
            </w14:solidFill>
          </w14:textFill>
        </w:rPr>
        <w:t>否则其响应文件按无效处理。</w:t>
      </w:r>
    </w:p>
    <w:p w14:paraId="24D341E4">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p>
    <w:p w14:paraId="28284C99">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0AE1C195">
      <w:pPr>
        <w:spacing w:line="360" w:lineRule="auto"/>
        <w:ind w:right="-817" w:rightChars="-389" w:firstLine="2640" w:firstLineChars="11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569FCD8F">
      <w:pPr>
        <w:spacing w:line="360" w:lineRule="auto"/>
        <w:ind w:right="-817" w:rightChars="-389" w:firstLine="2640" w:firstLineChars="1100"/>
        <w:contextualSpacing/>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68E4B660">
      <w:pPr>
        <w:spacing w:line="360" w:lineRule="auto"/>
        <w:ind w:right="420"/>
        <w:contextualSpacing/>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三、</w:t>
      </w:r>
      <w:r>
        <w:rPr>
          <w:rFonts w:hint="eastAsia" w:ascii="宋体" w:hAnsi="宋体" w:eastAsia="宋体" w:cs="宋体"/>
          <w:b/>
          <w:color w:val="000000" w:themeColor="text1"/>
          <w:sz w:val="32"/>
          <w:szCs w:val="32"/>
          <w14:textFill>
            <w14:solidFill>
              <w14:schemeClr w14:val="tx1"/>
            </w14:solidFill>
          </w14:textFill>
        </w:rPr>
        <w:t>商务技术文件格式</w:t>
      </w:r>
    </w:p>
    <w:p w14:paraId="48DD5CC0">
      <w:pPr>
        <w:snapToGrid w:val="0"/>
        <w:spacing w:beforeLines="50" w:after="50" w:line="360" w:lineRule="auto"/>
        <w:jc w:val="left"/>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1.商务技术文件封面格式</w:t>
      </w:r>
    </w:p>
    <w:p w14:paraId="6BE63E85">
      <w:pPr>
        <w:snapToGrid w:val="0"/>
        <w:spacing w:beforeLines="50" w:after="50"/>
        <w:rPr>
          <w:rFonts w:hint="eastAsia" w:ascii="宋体" w:hAnsi="宋体" w:eastAsia="宋体" w:cs="宋体"/>
          <w:bCs/>
          <w:color w:val="000000" w:themeColor="text1"/>
          <w:sz w:val="32"/>
          <w:szCs w:val="20"/>
          <w14:textFill>
            <w14:solidFill>
              <w14:schemeClr w14:val="tx1"/>
            </w14:solidFill>
          </w14:textFill>
        </w:rPr>
      </w:pPr>
    </w:p>
    <w:p w14:paraId="1916DC41">
      <w:pPr>
        <w:snapToGrid w:val="0"/>
        <w:spacing w:beforeLines="50" w:after="50"/>
        <w:jc w:val="center"/>
        <w:rPr>
          <w:rFonts w:hint="eastAsia" w:ascii="宋体" w:hAnsi="宋体" w:eastAsia="宋体" w:cs="宋体"/>
          <w:color w:val="000000" w:themeColor="text1"/>
          <w:sz w:val="24"/>
          <w:szCs w:val="20"/>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电子响应文件</w:t>
      </w:r>
    </w:p>
    <w:p w14:paraId="3C9CDCC9">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4B9E6996">
      <w:pPr>
        <w:snapToGrid w:val="0"/>
        <w:spacing w:beforeLines="50" w:after="50"/>
        <w:rPr>
          <w:rFonts w:hint="eastAsia" w:ascii="宋体" w:hAnsi="宋体" w:eastAsia="宋体" w:cs="宋体"/>
          <w:color w:val="000000" w:themeColor="text1"/>
          <w:sz w:val="24"/>
          <w:szCs w:val="20"/>
          <w14:textFill>
            <w14:solidFill>
              <w14:schemeClr w14:val="tx1"/>
            </w14:solidFill>
          </w14:textFill>
        </w:rPr>
      </w:pPr>
    </w:p>
    <w:p w14:paraId="5EE351C2">
      <w:pPr>
        <w:snapToGrid w:val="0"/>
        <w:spacing w:beforeLines="50" w:after="50"/>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商务技术文件</w:t>
      </w:r>
    </w:p>
    <w:p w14:paraId="4EA88A09">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2B8F4F29">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037036C7">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6320FFF7">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09BE8317">
      <w:pPr>
        <w:snapToGrid w:val="0"/>
        <w:spacing w:beforeLines="50" w:after="50"/>
        <w:rPr>
          <w:rFonts w:hint="eastAsia" w:ascii="宋体" w:hAnsi="宋体" w:eastAsia="宋体" w:cs="宋体"/>
          <w:bCs/>
          <w:color w:val="000000" w:themeColor="text1"/>
          <w:sz w:val="24"/>
          <w:szCs w:val="20"/>
          <w14:textFill>
            <w14:solidFill>
              <w14:schemeClr w14:val="tx1"/>
            </w14:solidFill>
          </w14:textFill>
        </w:rPr>
      </w:pPr>
    </w:p>
    <w:p w14:paraId="2F90CD4F">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项目名称：</w:t>
      </w:r>
    </w:p>
    <w:p w14:paraId="13B11E36">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556C55DF">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项目编号：</w:t>
      </w:r>
    </w:p>
    <w:p w14:paraId="3F2E6DDE">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207F3B88">
      <w:pPr>
        <w:snapToGrid w:val="0"/>
        <w:spacing w:beforeLines="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所竞分标（如有则填写，无分标时填写“无”或者留空）：</w:t>
      </w:r>
    </w:p>
    <w:p w14:paraId="518F7112">
      <w:pPr>
        <w:snapToGrid w:val="0"/>
        <w:spacing w:beforeLines="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7998C60B">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r>
        <w:rPr>
          <w:rFonts w:hint="eastAsia" w:ascii="宋体" w:hAnsi="宋体" w:eastAsia="宋体" w:cs="宋体"/>
          <w:bCs/>
          <w:color w:val="000000" w:themeColor="text1"/>
          <w:sz w:val="32"/>
          <w:szCs w:val="32"/>
          <w14:textFill>
            <w14:solidFill>
              <w14:schemeClr w14:val="tx1"/>
            </w14:solidFill>
          </w14:textFill>
        </w:rPr>
        <w:t>供应商名称：</w:t>
      </w:r>
    </w:p>
    <w:p w14:paraId="4F3871EF">
      <w:pPr>
        <w:pStyle w:val="6"/>
        <w:snapToGrid w:val="0"/>
        <w:spacing w:before="50" w:after="50"/>
        <w:ind w:firstLine="640" w:firstLineChars="200"/>
        <w:rPr>
          <w:rFonts w:hint="eastAsia" w:ascii="宋体" w:hAnsi="宋体" w:eastAsia="宋体" w:cs="宋体"/>
          <w:bCs/>
          <w:color w:val="000000" w:themeColor="text1"/>
          <w:sz w:val="32"/>
          <w:szCs w:val="32"/>
          <w14:textFill>
            <w14:solidFill>
              <w14:schemeClr w14:val="tx1"/>
            </w14:solidFill>
          </w14:textFill>
        </w:rPr>
      </w:pPr>
    </w:p>
    <w:p w14:paraId="6EF045D3">
      <w:pPr>
        <w:pStyle w:val="6"/>
        <w:snapToGrid w:val="0"/>
        <w:spacing w:before="50" w:after="50"/>
        <w:ind w:firstLine="720" w:firstLineChars="225"/>
        <w:rPr>
          <w:rFonts w:hint="eastAsia" w:ascii="宋体" w:hAnsi="宋体" w:eastAsia="宋体" w:cs="宋体"/>
          <w:bCs/>
          <w:color w:val="000000" w:themeColor="text1"/>
          <w:sz w:val="32"/>
          <w:szCs w:val="32"/>
          <w14:textFill>
            <w14:solidFill>
              <w14:schemeClr w14:val="tx1"/>
            </w14:solidFill>
          </w14:textFill>
        </w:rPr>
      </w:pPr>
    </w:p>
    <w:p w14:paraId="1147D6C5">
      <w:pPr>
        <w:pStyle w:val="6"/>
        <w:snapToGrid w:val="0"/>
        <w:spacing w:before="50" w:after="50"/>
        <w:ind w:firstLine="0"/>
        <w:rPr>
          <w:rFonts w:hint="eastAsia" w:ascii="宋体" w:hAnsi="宋体" w:eastAsia="宋体" w:cs="宋体"/>
          <w:bCs/>
          <w:color w:val="000000" w:themeColor="text1"/>
          <w:sz w:val="32"/>
          <w:szCs w:val="32"/>
          <w14:textFill>
            <w14:solidFill>
              <w14:schemeClr w14:val="tx1"/>
            </w14:solidFill>
          </w14:textFill>
        </w:rPr>
      </w:pPr>
    </w:p>
    <w:p w14:paraId="0BA81417">
      <w:pPr>
        <w:pStyle w:val="6"/>
        <w:snapToGrid w:val="0"/>
        <w:spacing w:before="50" w:after="50"/>
        <w:ind w:firstLine="1280" w:firstLineChars="400"/>
        <w:rPr>
          <w:rFonts w:hint="eastAsia" w:ascii="宋体" w:hAnsi="宋体" w:eastAsia="宋体" w:cs="宋体"/>
          <w:bCs/>
          <w:color w:val="000000" w:themeColor="text1"/>
          <w:sz w:val="32"/>
          <w:szCs w:val="32"/>
          <w14:textFill>
            <w14:solidFill>
              <w14:schemeClr w14:val="tx1"/>
            </w14:solidFill>
          </w14:textFill>
        </w:rPr>
      </w:pPr>
    </w:p>
    <w:p w14:paraId="08CDCBB8">
      <w:pPr>
        <w:snapToGrid w:val="0"/>
        <w:spacing w:beforeLines="50" w:after="5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年月日</w:t>
      </w:r>
    </w:p>
    <w:p w14:paraId="074F6A35">
      <w:pPr>
        <w:snapToGrid w:val="0"/>
        <w:spacing w:beforeLines="50" w:after="50" w:line="360" w:lineRule="auto"/>
        <w:ind w:left="142"/>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b/>
          <w:bCs/>
          <w:color w:val="000000" w:themeColor="text1"/>
          <w:sz w:val="32"/>
          <w:szCs w:val="32"/>
          <w14:textFill>
            <w14:solidFill>
              <w14:schemeClr w14:val="tx1"/>
            </w14:solidFill>
          </w14:textFill>
        </w:rPr>
        <w:t>2.商务技术文件目录</w:t>
      </w:r>
    </w:p>
    <w:p w14:paraId="640982D0">
      <w:pPr>
        <w:snapToGrid w:val="0"/>
        <w:spacing w:beforeLines="50" w:after="50" w:line="360" w:lineRule="auto"/>
        <w:ind w:firstLine="640" w:firstLineChars="200"/>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根据谈判文件规定及供应商提供的材料自行编写目录（部分格式后附）。</w:t>
      </w:r>
    </w:p>
    <w:p w14:paraId="752A4163">
      <w:pPr>
        <w:spacing w:line="400" w:lineRule="exact"/>
        <w:rPr>
          <w:rFonts w:hint="eastAsia" w:ascii="宋体" w:hAnsi="宋体" w:eastAsia="宋体" w:cs="宋体"/>
          <w:color w:val="000000" w:themeColor="text1"/>
          <w:sz w:val="32"/>
          <w:szCs w:val="32"/>
          <w14:textFill>
            <w14:solidFill>
              <w14:schemeClr w14:val="tx1"/>
            </w14:solidFill>
          </w14:textFill>
        </w:rPr>
      </w:pPr>
    </w:p>
    <w:p w14:paraId="48BF922B">
      <w:pPr>
        <w:spacing w:line="520" w:lineRule="exact"/>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无串通竞标行为的承诺函</w:t>
      </w:r>
    </w:p>
    <w:p w14:paraId="5AB1789C">
      <w:pPr>
        <w:spacing w:line="360" w:lineRule="auto"/>
        <w:ind w:firstLine="640" w:firstLineChars="200"/>
        <w:contextualSpacing/>
        <w:rPr>
          <w:rFonts w:hint="eastAsia" w:ascii="宋体" w:hAnsi="宋体" w:eastAsia="宋体" w:cs="宋体"/>
          <w:color w:val="000000" w:themeColor="text1"/>
          <w:sz w:val="32"/>
          <w:szCs w:val="32"/>
          <w14:textFill>
            <w14:solidFill>
              <w14:schemeClr w14:val="tx1"/>
            </w14:solidFill>
          </w14:textFill>
        </w:rPr>
      </w:pPr>
    </w:p>
    <w:p w14:paraId="02A8CE9F">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一、我方承诺无下列相互串通竞标的情形：</w:t>
      </w:r>
    </w:p>
    <w:p w14:paraId="3717A2F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1.不同供应商的响应文件由同一单位或者个人编制；</w:t>
      </w:r>
    </w:p>
    <w:p w14:paraId="67496688">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2.不同供应商委托同一单位或者个人办理竞标事宜；</w:t>
      </w:r>
    </w:p>
    <w:p w14:paraId="4044CB2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3.不同的供应商的响应文件载明的项目管理员为同一个人；</w:t>
      </w:r>
    </w:p>
    <w:p w14:paraId="3A6E8A2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4.不</w:t>
      </w:r>
      <w:r>
        <w:rPr>
          <w:rFonts w:hint="eastAsia" w:ascii="宋体" w:hAnsi="宋体" w:eastAsia="宋体" w:cs="宋体"/>
          <w:color w:val="000000" w:themeColor="text1"/>
          <w:spacing w:val="-6"/>
          <w:sz w:val="24"/>
          <w14:textFill>
            <w14:solidFill>
              <w14:schemeClr w14:val="tx1"/>
            </w14:solidFill>
          </w14:textFill>
        </w:rPr>
        <w:t>同供应商的响应文件异常一致或者竞标报价呈规律性差异；</w:t>
      </w:r>
    </w:p>
    <w:p w14:paraId="00D9A22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5.不同供应商的响应文件相互混装；</w:t>
      </w:r>
    </w:p>
    <w:p w14:paraId="2848590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6.不同供应商的竞标保证金从同一单位或者个人账户转出。</w:t>
      </w:r>
    </w:p>
    <w:p w14:paraId="0C789404">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二、我方承诺无下列恶意串通的情形：</w:t>
      </w:r>
    </w:p>
    <w:p w14:paraId="6634CF7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1.供应商直接或者间接从采购人或者采购代理机构处获得其他供应商的相关信息并修改其响应文件；</w:t>
      </w:r>
    </w:p>
    <w:p w14:paraId="00104006">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2.供应商按照采购人或者采购代理机构的授意撤换、修改响应文件；</w:t>
      </w:r>
    </w:p>
    <w:p w14:paraId="5EC9B63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3.供</w:t>
      </w:r>
      <w:r>
        <w:rPr>
          <w:rFonts w:hint="eastAsia" w:ascii="宋体" w:hAnsi="宋体" w:eastAsia="宋体" w:cs="宋体"/>
          <w:color w:val="000000" w:themeColor="text1"/>
          <w:spacing w:val="-6"/>
          <w:sz w:val="24"/>
          <w14:textFill>
            <w14:solidFill>
              <w14:schemeClr w14:val="tx1"/>
            </w14:solidFill>
          </w14:textFill>
        </w:rPr>
        <w:t>应商之间协商报价、技术方案等响应文件的实质性内容；</w:t>
      </w:r>
    </w:p>
    <w:p w14:paraId="1B97528C">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4.属于同一集团、协会、商会等组织成员的供应商按照该组织要求协同参加政府采购活动；</w:t>
      </w:r>
    </w:p>
    <w:p w14:paraId="7B08470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5.供应商之间事先约定一致抬高或者压低竞标报价，或者在竞争性谈判项目中事先约定轮流以高价位或者低价位成交，或者事先约定由某一特定供应商成交，然后再参加竞标；</w:t>
      </w:r>
    </w:p>
    <w:p w14:paraId="3DF9C01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6.供应商之间商定部分供应商放弃参加政府采购活动或者放弃成交；</w:t>
      </w:r>
    </w:p>
    <w:p w14:paraId="5322E43F">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7.供应商与采购人或者采购代理机构之间、供应商相互之间，为</w:t>
      </w:r>
      <w:r>
        <w:rPr>
          <w:rFonts w:hint="eastAsia" w:ascii="宋体" w:hAnsi="宋体" w:eastAsia="宋体" w:cs="宋体"/>
          <w:color w:val="000000" w:themeColor="text1"/>
          <w:spacing w:val="-6"/>
          <w:sz w:val="24"/>
          <w14:textFill>
            <w14:solidFill>
              <w14:schemeClr w14:val="tx1"/>
            </w14:solidFill>
          </w14:textFill>
        </w:rPr>
        <w:t>谋求特定供应商成交或者排斥其他供应商的其他串通行为。</w:t>
      </w:r>
    </w:p>
    <w:p w14:paraId="24F2F8A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p>
    <w:p w14:paraId="482CD6EE">
      <w:pPr>
        <w:spacing w:line="360" w:lineRule="auto"/>
        <w:ind w:firstLine="482" w:firstLineChars="200"/>
        <w:contextualSpacing/>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以上情形一经核查属实，我方愿意承担一切后果，并不再寻求任何旨在减轻或者免除法律责任的辩解。</w:t>
      </w:r>
    </w:p>
    <w:p w14:paraId="721FCEF5">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p>
    <w:p w14:paraId="7145D569">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1815FFA2">
      <w:pPr>
        <w:spacing w:line="360" w:lineRule="auto"/>
        <w:ind w:firstLine="3600" w:firstLineChars="15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19AF086A">
      <w:pPr>
        <w:spacing w:line="360" w:lineRule="auto"/>
        <w:ind w:firstLine="480" w:firstLineChars="200"/>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72B1EEDC">
      <w:pPr>
        <w:spacing w:line="360" w:lineRule="auto"/>
        <w:ind w:firstLine="640" w:firstLineChars="200"/>
        <w:contextualSpacing/>
        <w:jc w:val="center"/>
        <w:rPr>
          <w:rFonts w:hint="eastAsia" w:ascii="宋体" w:hAnsi="宋体" w:eastAsia="宋体" w:cs="宋体"/>
          <w:color w:val="000000" w:themeColor="text1"/>
          <w:sz w:val="32"/>
          <w:szCs w:val="32"/>
          <w14:textFill>
            <w14:solidFill>
              <w14:schemeClr w14:val="tx1"/>
            </w14:solidFill>
          </w14:textFill>
        </w:rPr>
      </w:pPr>
    </w:p>
    <w:p w14:paraId="68C50D91">
      <w:pPr>
        <w:spacing w:beforeLines="100" w:afterLines="50" w:line="520" w:lineRule="exact"/>
        <w:ind w:left="540"/>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法定代表人证明书</w:t>
      </w:r>
    </w:p>
    <w:p w14:paraId="051DF931">
      <w:pPr>
        <w:spacing w:line="360" w:lineRule="auto"/>
        <w:ind w:left="540"/>
        <w:contextualSpacing/>
        <w:rPr>
          <w:rFonts w:hint="eastAsia" w:ascii="宋体" w:hAnsi="宋体" w:eastAsia="宋体" w:cs="宋体"/>
          <w:color w:val="000000" w:themeColor="text1"/>
          <w:sz w:val="32"/>
          <w:szCs w:val="32"/>
          <w14:textFill>
            <w14:solidFill>
              <w14:schemeClr w14:val="tx1"/>
            </w14:solidFill>
          </w14:textFill>
        </w:rPr>
      </w:pPr>
    </w:p>
    <w:p w14:paraId="21EA7A16">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供应商名称：</w:t>
      </w:r>
    </w:p>
    <w:p w14:paraId="009E868A">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地址：</w:t>
      </w:r>
    </w:p>
    <w:p w14:paraId="2A533885">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姓名：性别：</w:t>
      </w:r>
    </w:p>
    <w:p w14:paraId="1DD8AA37">
      <w:pPr>
        <w:spacing w:line="360" w:lineRule="auto"/>
        <w:ind w:left="540"/>
        <w:contextualSpacing/>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年龄：职务：</w:t>
      </w:r>
    </w:p>
    <w:p w14:paraId="37F3D90F">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身份证号码：</w:t>
      </w:r>
    </w:p>
    <w:p w14:paraId="4A79514C">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的法定代表人。</w:t>
      </w:r>
    </w:p>
    <w:p w14:paraId="2A168E16">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特此证明。</w:t>
      </w:r>
    </w:p>
    <w:p w14:paraId="3390724D">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6985F8A7">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7BB08A48">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3B56D098">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附件：法定代表人有效身份证正反面复印件</w:t>
      </w:r>
    </w:p>
    <w:p w14:paraId="60EB9042">
      <w:pPr>
        <w:spacing w:line="360" w:lineRule="auto"/>
        <w:ind w:left="540"/>
        <w:contextualSpacing/>
        <w:rPr>
          <w:rFonts w:hint="eastAsia" w:ascii="宋体" w:hAnsi="宋体" w:eastAsia="宋体" w:cs="宋体"/>
          <w:color w:val="000000" w:themeColor="text1"/>
          <w:sz w:val="24"/>
          <w14:textFill>
            <w14:solidFill>
              <w14:schemeClr w14:val="tx1"/>
            </w14:solidFill>
          </w14:textFill>
        </w:rPr>
      </w:pPr>
    </w:p>
    <w:p w14:paraId="526A4038">
      <w:pPr>
        <w:spacing w:line="360" w:lineRule="auto"/>
        <w:ind w:left="540"/>
        <w:contextualSpacing/>
        <w:jc w:val="righ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31F73E6B">
      <w:pPr>
        <w:spacing w:line="360" w:lineRule="auto"/>
        <w:ind w:firstLine="4080" w:firstLineChars="17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7675A29F">
      <w:pPr>
        <w:spacing w:line="360" w:lineRule="auto"/>
        <w:contextualSpacing/>
        <w:jc w:val="center"/>
        <w:rPr>
          <w:rFonts w:hint="eastAsia" w:ascii="宋体" w:hAnsi="宋体" w:eastAsia="宋体" w:cs="宋体"/>
          <w:b/>
          <w:color w:val="000000" w:themeColor="text1"/>
          <w:sz w:val="24"/>
          <w14:textFill>
            <w14:solidFill>
              <w14:schemeClr w14:val="tx1"/>
            </w14:solidFill>
          </w14:textFill>
        </w:rPr>
      </w:pPr>
    </w:p>
    <w:p w14:paraId="3FC48C32">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注：自然人竞标的无需提供，联合体竞标的只需牵头人出具。</w:t>
      </w:r>
    </w:p>
    <w:p w14:paraId="1CF3ED16">
      <w:pPr>
        <w:adjustRightInd w:val="0"/>
        <w:snapToGrid w:val="0"/>
        <w:spacing w:line="300" w:lineRule="auto"/>
        <w:jc w:val="left"/>
        <w:rPr>
          <w:rFonts w:hint="eastAsia" w:ascii="宋体" w:hAnsi="宋体" w:eastAsia="宋体" w:cs="宋体"/>
          <w:b/>
          <w:color w:val="000000" w:themeColor="text1"/>
          <w:szCs w:val="21"/>
          <w14:textFill>
            <w14:solidFill>
              <w14:schemeClr w14:val="tx1"/>
            </w14:solidFill>
          </w14:textFill>
        </w:rPr>
      </w:pPr>
    </w:p>
    <w:p w14:paraId="3E74F66E">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授权委托书</w:t>
      </w:r>
    </w:p>
    <w:p w14:paraId="3D2899A7">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（非联合体竞标格式）</w:t>
      </w:r>
    </w:p>
    <w:p w14:paraId="50B5FECB">
      <w:pPr>
        <w:spacing w:line="520" w:lineRule="exact"/>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（如有委托时）</w:t>
      </w:r>
    </w:p>
    <w:p w14:paraId="73715EB2">
      <w:pPr>
        <w:spacing w:line="360" w:lineRule="auto"/>
        <w:contextualSpacing/>
        <w:rPr>
          <w:rFonts w:hint="eastAsia" w:ascii="宋体" w:hAnsi="宋体" w:eastAsia="宋体" w:cs="宋体"/>
          <w:color w:val="000000" w:themeColor="text1"/>
          <w:sz w:val="32"/>
          <w:szCs w:val="32"/>
          <w14:textFill>
            <w14:solidFill>
              <w14:schemeClr w14:val="tx1"/>
            </w14:solidFill>
          </w14:textFill>
        </w:rPr>
      </w:pPr>
    </w:p>
    <w:p w14:paraId="3277D7CF">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致：</w:t>
      </w:r>
      <w:r>
        <w:rPr>
          <w:rFonts w:hint="eastAsia" w:ascii="宋体" w:hAnsi="宋体" w:eastAsia="宋体" w:cs="宋体"/>
          <w:color w:val="000000" w:themeColor="text1"/>
          <w:sz w:val="24"/>
          <w:u w:val="single"/>
          <w14:textFill>
            <w14:solidFill>
              <w14:schemeClr w14:val="tx1"/>
            </w14:solidFill>
          </w14:textFill>
        </w:rPr>
        <w:t>（采购人名称）</w:t>
      </w:r>
      <w:r>
        <w:rPr>
          <w:rFonts w:hint="eastAsia" w:ascii="宋体" w:hAnsi="宋体" w:eastAsia="宋体" w:cs="宋体"/>
          <w:color w:val="000000" w:themeColor="text1"/>
          <w:sz w:val="24"/>
          <w14:textFill>
            <w14:solidFill>
              <w14:schemeClr w14:val="tx1"/>
            </w14:solidFill>
          </w14:textFill>
        </w:rPr>
        <w:t>：</w:t>
      </w:r>
    </w:p>
    <w:p w14:paraId="795BAF8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w:t>
      </w:r>
      <w:r>
        <w:rPr>
          <w:rFonts w:hint="eastAsia" w:ascii="宋体" w:hAnsi="宋体" w:eastAsia="宋体" w:cs="宋体"/>
          <w:color w:val="000000" w:themeColor="text1"/>
          <w:sz w:val="24"/>
          <w:u w:val="single"/>
          <w14:textFill>
            <w14:solidFill>
              <w14:schemeClr w14:val="tx1"/>
            </w14:solidFill>
          </w14:textFill>
        </w:rPr>
        <w:t>（姓名）</w:t>
      </w:r>
      <w:r>
        <w:rPr>
          <w:rFonts w:hint="eastAsia" w:ascii="宋体" w:hAnsi="宋体" w:eastAsia="宋体" w:cs="宋体"/>
          <w:color w:val="000000" w:themeColor="text1"/>
          <w:sz w:val="24"/>
          <w14:textFill>
            <w14:solidFill>
              <w14:schemeClr w14:val="tx1"/>
            </w14:solidFill>
          </w14:textFill>
        </w:rPr>
        <w:t>系</w:t>
      </w:r>
      <w:r>
        <w:rPr>
          <w:rFonts w:hint="eastAsia" w:ascii="宋体" w:hAnsi="宋体" w:eastAsia="宋体" w:cs="宋体"/>
          <w:color w:val="000000" w:themeColor="text1"/>
          <w:sz w:val="24"/>
          <w:u w:val="single"/>
          <w14:textFill>
            <w14:solidFill>
              <w14:schemeClr w14:val="tx1"/>
            </w14:solidFill>
          </w14:textFill>
        </w:rPr>
        <w:t>（供应商名称）</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lang w:eastAsia="zh-CN"/>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法定代表人/□负责人/□自然人本人</w:t>
      </w:r>
      <w:r>
        <w:rPr>
          <w:rFonts w:hint="eastAsia" w:ascii="宋体" w:hAnsi="宋体" w:eastAsia="宋体" w:cs="宋体"/>
          <w:color w:val="000000" w:themeColor="text1"/>
          <w:sz w:val="24"/>
          <w14:textFill>
            <w14:solidFill>
              <w14:schemeClr w14:val="tx1"/>
            </w14:solidFill>
          </w14:textFill>
        </w:rPr>
        <w:t>），现授权</w:t>
      </w:r>
      <w:r>
        <w:rPr>
          <w:rFonts w:hint="eastAsia" w:ascii="宋体" w:hAnsi="宋体" w:eastAsia="宋体" w:cs="宋体"/>
          <w:color w:val="000000" w:themeColor="text1"/>
          <w:sz w:val="24"/>
          <w:u w:val="single"/>
          <w14:textFill>
            <w14:solidFill>
              <w14:schemeClr w14:val="tx1"/>
            </w14:solidFill>
          </w14:textFill>
        </w:rPr>
        <w:t>（姓名）</w:t>
      </w:r>
      <w:r>
        <w:rPr>
          <w:rFonts w:hint="eastAsia" w:ascii="宋体" w:hAnsi="宋体" w:eastAsia="宋体" w:cs="宋体"/>
          <w:color w:val="000000" w:themeColor="text1"/>
          <w:sz w:val="24"/>
          <w14:textFill>
            <w14:solidFill>
              <w14:schemeClr w14:val="tx1"/>
            </w14:solidFill>
          </w14:textFill>
        </w:rPr>
        <w:t>以我方的名义参加项目的竞标活动，并代表我方全权办理针对上述项目的所有采购程序和环节的具体事务和签署相关文件。</w:t>
      </w:r>
    </w:p>
    <w:p w14:paraId="007DE648">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我方对委托代理人的签字或者电子签名事项负全部责任。</w:t>
      </w:r>
    </w:p>
    <w:p w14:paraId="59E2A59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32CFEB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委托代理人无转委托权，特此委托。</w:t>
      </w:r>
    </w:p>
    <w:p w14:paraId="5459583B">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附：法定代表人身份证明书及委托代理人有效身份证正反面复印件</w:t>
      </w:r>
    </w:p>
    <w:p w14:paraId="6CF855CD">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7CADD01D">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委托代理人（签字或者电子签名）：法定代表人（签字或者盖章或者电子签名）：</w:t>
      </w:r>
    </w:p>
    <w:p w14:paraId="060A3039">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委托代理人身份证号码：</w:t>
      </w:r>
    </w:p>
    <w:p w14:paraId="5A2441FA">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717823A0">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68C2FFB4">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年月日</w:t>
      </w:r>
    </w:p>
    <w:p w14:paraId="700C6A49">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7FB45B64">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eastAsia="宋体" w:cs="宋体"/>
          <w:b/>
          <w:color w:val="000000" w:themeColor="text1"/>
          <w:sz w:val="24"/>
          <w14:textFill>
            <w14:solidFill>
              <w14:schemeClr w14:val="tx1"/>
            </w14:solidFill>
          </w14:textFill>
        </w:rPr>
        <w:t>否则其响应文件按无效响应处理。</w:t>
      </w:r>
    </w:p>
    <w:p w14:paraId="3F8AB496">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2.法人、其他组织竞标时“我方”是指“我单位”，自然人竞标时“我方”是指“本人”。</w:t>
      </w:r>
    </w:p>
    <w:p w14:paraId="51A6270E">
      <w:pPr>
        <w:spacing w:line="360" w:lineRule="auto"/>
        <w:ind w:firstLine="420" w:firstLineChars="200"/>
        <w:contextualSpacing/>
        <w:jc w:val="left"/>
        <w:rPr>
          <w:rFonts w:hint="eastAsia" w:ascii="宋体" w:hAnsi="宋体" w:eastAsia="宋体" w:cs="宋体"/>
          <w:color w:val="000000" w:themeColor="text1"/>
          <w:szCs w:val="21"/>
          <w14:textFill>
            <w14:solidFill>
              <w14:schemeClr w14:val="tx1"/>
            </w14:solidFill>
          </w14:textFill>
        </w:rPr>
      </w:pPr>
    </w:p>
    <w:p w14:paraId="0905608C">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授权委托书</w:t>
      </w:r>
    </w:p>
    <w:p w14:paraId="06B27FEC">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（联合体竞标格式）</w:t>
      </w:r>
    </w:p>
    <w:p w14:paraId="6C96DEB3">
      <w:pPr>
        <w:spacing w:line="520" w:lineRule="exact"/>
        <w:contextualSpacing/>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（如有委托时）</w:t>
      </w:r>
    </w:p>
    <w:p w14:paraId="040D2526">
      <w:pPr>
        <w:spacing w:line="360" w:lineRule="auto"/>
        <w:contextualSpacing/>
        <w:rPr>
          <w:rFonts w:hint="eastAsia" w:ascii="宋体" w:hAnsi="宋体" w:eastAsia="宋体" w:cs="宋体"/>
          <w:color w:val="000000" w:themeColor="text1"/>
          <w:sz w:val="32"/>
          <w:szCs w:val="32"/>
          <w14:textFill>
            <w14:solidFill>
              <w14:schemeClr w14:val="tx1"/>
            </w14:solidFill>
          </w14:textFill>
        </w:rPr>
      </w:pPr>
    </w:p>
    <w:p w14:paraId="61C85514">
      <w:pPr>
        <w:spacing w:line="360" w:lineRule="auto"/>
        <w:ind w:firstLine="480" w:firstLineChars="200"/>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14:paraId="67E121F1">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我方对委托代理人的签字或者电子签名事项负全部责任。</w:t>
      </w:r>
    </w:p>
    <w:p w14:paraId="1F7E253A">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61E41E59">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委托代理人无转委托权，特此委托。</w:t>
      </w:r>
    </w:p>
    <w:p w14:paraId="525FD87F">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附：法定代表人身份证明书及委托代理人有效身份证正反面复印件</w:t>
      </w:r>
    </w:p>
    <w:p w14:paraId="6163AC44">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牵头人法定代表人（签字或者盖章或者电子签名）：</w:t>
      </w:r>
    </w:p>
    <w:p w14:paraId="1A05EADB">
      <w:pPr>
        <w:spacing w:line="360" w:lineRule="auto"/>
        <w:ind w:firstLine="3120" w:firstLineChars="13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牵头人（电子签章）：</w:t>
      </w:r>
    </w:p>
    <w:p w14:paraId="5C432863">
      <w:pPr>
        <w:spacing w:line="360" w:lineRule="auto"/>
        <w:ind w:firstLine="3840" w:firstLineChars="16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116FB65E">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2238552">
      <w:pPr>
        <w:spacing w:line="360" w:lineRule="auto"/>
        <w:ind w:firstLine="3120" w:firstLineChars="13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被授权人（签字或者电子签名）：</w:t>
      </w:r>
    </w:p>
    <w:p w14:paraId="5262247B">
      <w:pPr>
        <w:spacing w:line="360" w:lineRule="auto"/>
        <w:ind w:firstLine="3840" w:firstLineChars="16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3C74759E">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4AE1EC79">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注：1. 法定代表人必须在授权委托书上签字或者盖章或者电子签名，委托代理人必须在授权委托书上签字或者电子签名，</w:t>
      </w:r>
      <w:r>
        <w:rPr>
          <w:rFonts w:hint="eastAsia" w:ascii="宋体" w:hAnsi="宋体" w:eastAsia="宋体" w:cs="宋体"/>
          <w:b/>
          <w:color w:val="000000" w:themeColor="text1"/>
          <w:sz w:val="24"/>
          <w14:textFill>
            <w14:solidFill>
              <w14:schemeClr w14:val="tx1"/>
            </w14:solidFill>
          </w14:textFill>
        </w:rPr>
        <w:t>否则其响应文件按无效响应处理。</w:t>
      </w:r>
    </w:p>
    <w:p w14:paraId="42D180FD">
      <w:pPr>
        <w:spacing w:line="500" w:lineRule="exact"/>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2.法人、其他组织竞标时“我方”是指“我单位”，自然人竞标时“我方”是指“本人”。</w:t>
      </w:r>
    </w:p>
    <w:p w14:paraId="34EF31F9">
      <w:pPr>
        <w:spacing w:line="500" w:lineRule="exact"/>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r>
        <w:rPr>
          <w:rFonts w:hint="eastAsia" w:ascii="宋体" w:hAnsi="宋体" w:eastAsia="宋体" w:cs="宋体"/>
          <w:bCs/>
          <w:color w:val="000000" w:themeColor="text1"/>
          <w:sz w:val="44"/>
          <w:szCs w:val="44"/>
          <w14:textFill>
            <w14:solidFill>
              <w14:schemeClr w14:val="tx1"/>
            </w14:solidFill>
          </w14:textFill>
        </w:rPr>
        <w:t>商务要求偏离表格式</w:t>
      </w:r>
    </w:p>
    <w:p w14:paraId="358A5C7F">
      <w:pPr>
        <w:spacing w:line="500" w:lineRule="exact"/>
        <w:jc w:val="center"/>
        <w:rPr>
          <w:rFonts w:hint="eastAsia" w:ascii="宋体" w:hAnsi="宋体" w:eastAsia="宋体" w:cs="宋体"/>
          <w:b/>
          <w:i/>
          <w:color w:val="000000" w:themeColor="text1"/>
          <w:sz w:val="32"/>
          <w:szCs w:val="32"/>
          <w14:textFill>
            <w14:solidFill>
              <w14:schemeClr w14:val="tx1"/>
            </w14:solidFill>
          </w14:textFill>
        </w:rPr>
      </w:pPr>
      <w:r>
        <w:rPr>
          <w:rFonts w:hint="eastAsia" w:ascii="宋体" w:hAnsi="宋体" w:eastAsia="宋体" w:cs="宋体"/>
          <w:bCs/>
          <w:i/>
          <w:color w:val="000000" w:themeColor="text1"/>
          <w:sz w:val="32"/>
          <w:szCs w:val="32"/>
          <w14:textFill>
            <w14:solidFill>
              <w14:schemeClr w14:val="tx1"/>
            </w14:solidFill>
          </w14:textFill>
        </w:rPr>
        <w:t>（注：按采购需求具体条款修改）</w:t>
      </w:r>
    </w:p>
    <w:p w14:paraId="57BD86FA">
      <w:pPr>
        <w:snapToGrid w:val="0"/>
        <w:spacing w:before="50"/>
        <w:jc w:val="left"/>
        <w:rPr>
          <w:rFonts w:hint="eastAsia" w:ascii="宋体" w:hAnsi="宋体" w:eastAsia="宋体" w:cs="宋体"/>
          <w:color w:val="000000" w:themeColor="text1"/>
          <w:sz w:val="24"/>
          <w14:textFill>
            <w14:solidFill>
              <w14:schemeClr w14:val="tx1"/>
            </w14:solidFill>
          </w14:textFill>
        </w:rPr>
      </w:pPr>
    </w:p>
    <w:p w14:paraId="5E0A3231">
      <w:pPr>
        <w:pStyle w:val="14"/>
        <w:spacing w:line="360" w:lineRule="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所竞分标：</w:t>
      </w:r>
    </w:p>
    <w:tbl>
      <w:tblPr>
        <w:tblStyle w:val="24"/>
        <w:tblpPr w:leftFromText="180" w:rightFromText="180" w:vertAnchor="text" w:horzAnchor="margin" w:tblpY="311"/>
        <w:tblOverlap w:val="never"/>
        <w:tblW w:w="93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8"/>
        <w:gridCol w:w="2668"/>
        <w:gridCol w:w="2633"/>
        <w:gridCol w:w="1829"/>
      </w:tblGrid>
      <w:tr w14:paraId="268B8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178" w:type="dxa"/>
            <w:tcBorders>
              <w:top w:val="single" w:color="auto" w:sz="4" w:space="0"/>
              <w:left w:val="single" w:color="auto" w:sz="4" w:space="0"/>
              <w:bottom w:val="single" w:color="auto" w:sz="4" w:space="0"/>
              <w:right w:val="single" w:color="auto" w:sz="4" w:space="0"/>
            </w:tcBorders>
            <w:vAlign w:val="center"/>
          </w:tcPr>
          <w:p w14:paraId="43EC701D">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w:t>
            </w:r>
          </w:p>
        </w:tc>
        <w:tc>
          <w:tcPr>
            <w:tcW w:w="2668" w:type="dxa"/>
            <w:tcBorders>
              <w:top w:val="single" w:color="auto" w:sz="4" w:space="0"/>
              <w:left w:val="single" w:color="auto" w:sz="4" w:space="0"/>
              <w:bottom w:val="single" w:color="auto" w:sz="4" w:space="0"/>
              <w:right w:val="single" w:color="auto" w:sz="4" w:space="0"/>
            </w:tcBorders>
            <w:vAlign w:val="center"/>
          </w:tcPr>
          <w:p w14:paraId="3389C0C2">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谈判文件商务要求</w:t>
            </w:r>
          </w:p>
        </w:tc>
        <w:tc>
          <w:tcPr>
            <w:tcW w:w="2633" w:type="dxa"/>
            <w:tcBorders>
              <w:top w:val="single" w:color="auto" w:sz="4" w:space="0"/>
              <w:left w:val="single" w:color="auto" w:sz="4" w:space="0"/>
              <w:bottom w:val="single" w:color="auto" w:sz="4" w:space="0"/>
              <w:right w:val="single" w:color="auto" w:sz="4" w:space="0"/>
            </w:tcBorders>
            <w:vAlign w:val="center"/>
          </w:tcPr>
          <w:p w14:paraId="600EAC76">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供应商的响应</w:t>
            </w:r>
          </w:p>
        </w:tc>
        <w:tc>
          <w:tcPr>
            <w:tcW w:w="1829" w:type="dxa"/>
            <w:tcBorders>
              <w:top w:val="single" w:color="auto" w:sz="4" w:space="0"/>
              <w:left w:val="single" w:color="auto" w:sz="4" w:space="0"/>
              <w:bottom w:val="single" w:color="auto" w:sz="4" w:space="0"/>
              <w:right w:val="single" w:color="auto" w:sz="4" w:space="0"/>
            </w:tcBorders>
            <w:vAlign w:val="center"/>
          </w:tcPr>
          <w:p w14:paraId="0D98A91C">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偏离说明</w:t>
            </w:r>
          </w:p>
        </w:tc>
      </w:tr>
      <w:tr w14:paraId="4A089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178" w:type="dxa"/>
            <w:tcBorders>
              <w:top w:val="single" w:color="auto" w:sz="4" w:space="0"/>
              <w:left w:val="single" w:color="auto" w:sz="4" w:space="0"/>
              <w:bottom w:val="single" w:color="auto" w:sz="4" w:space="0"/>
              <w:right w:val="single" w:color="auto" w:sz="4" w:space="0"/>
            </w:tcBorders>
            <w:vAlign w:val="center"/>
          </w:tcPr>
          <w:p w14:paraId="15E59855">
            <w:pPr>
              <w:jc w:val="center"/>
              <w:rPr>
                <w:rFonts w:hint="eastAsia" w:ascii="宋体" w:hAnsi="宋体" w:eastAsia="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736BC81C">
            <w:pPr>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786DEED4">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54AB617F">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r>
      <w:tr w14:paraId="63BDC1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178" w:type="dxa"/>
            <w:tcBorders>
              <w:top w:val="single" w:color="auto" w:sz="4" w:space="0"/>
              <w:left w:val="single" w:color="auto" w:sz="4" w:space="0"/>
              <w:bottom w:val="single" w:color="auto" w:sz="4" w:space="0"/>
              <w:right w:val="single" w:color="auto" w:sz="4" w:space="0"/>
            </w:tcBorders>
            <w:vAlign w:val="center"/>
          </w:tcPr>
          <w:p w14:paraId="533523C3">
            <w:pPr>
              <w:jc w:val="center"/>
              <w:rPr>
                <w:rFonts w:hint="eastAsia" w:ascii="宋体" w:hAnsi="宋体" w:eastAsia="宋体" w:cs="宋体"/>
                <w:color w:val="000000" w:themeColor="text1"/>
                <w:sz w:val="24"/>
                <w14:textFill>
                  <w14:solidFill>
                    <w14:schemeClr w14:val="tx1"/>
                  </w14:solidFill>
                </w14:textFill>
              </w:rPr>
            </w:pPr>
          </w:p>
        </w:tc>
        <w:tc>
          <w:tcPr>
            <w:tcW w:w="2668" w:type="dxa"/>
            <w:tcBorders>
              <w:top w:val="single" w:color="auto" w:sz="4" w:space="0"/>
              <w:left w:val="single" w:color="auto" w:sz="4" w:space="0"/>
              <w:bottom w:val="single" w:color="auto" w:sz="4" w:space="0"/>
              <w:right w:val="single" w:color="auto" w:sz="4" w:space="0"/>
            </w:tcBorders>
            <w:vAlign w:val="center"/>
          </w:tcPr>
          <w:p w14:paraId="6B0379A5">
            <w:pPr>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1D58FB19">
            <w:pPr>
              <w:snapToGrid w:val="0"/>
              <w:spacing w:beforeLines="50" w:line="360" w:lineRule="auto"/>
              <w:ind w:left="43"/>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10C9D618">
            <w:pPr>
              <w:snapToGrid w:val="0"/>
              <w:spacing w:beforeLines="50" w:line="360" w:lineRule="auto"/>
              <w:ind w:left="43"/>
              <w:jc w:val="center"/>
              <w:rPr>
                <w:rFonts w:hint="eastAsia" w:ascii="宋体" w:hAnsi="宋体" w:eastAsia="宋体" w:cs="宋体"/>
                <w:color w:val="000000" w:themeColor="text1"/>
                <w:sz w:val="24"/>
                <w14:textFill>
                  <w14:solidFill>
                    <w14:schemeClr w14:val="tx1"/>
                  </w14:solidFill>
                </w14:textFill>
              </w:rPr>
            </w:pPr>
          </w:p>
        </w:tc>
      </w:tr>
      <w:tr w14:paraId="1213E7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78" w:type="dxa"/>
            <w:tcBorders>
              <w:top w:val="single" w:color="auto" w:sz="4" w:space="0"/>
              <w:left w:val="single" w:color="auto" w:sz="4" w:space="0"/>
              <w:bottom w:val="single" w:color="auto" w:sz="4" w:space="0"/>
              <w:right w:val="single" w:color="auto" w:sz="4" w:space="0"/>
            </w:tcBorders>
            <w:vAlign w:val="center"/>
          </w:tcPr>
          <w:p w14:paraId="605FDFC4">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w:t>
            </w:r>
          </w:p>
        </w:tc>
        <w:tc>
          <w:tcPr>
            <w:tcW w:w="2668" w:type="dxa"/>
            <w:tcBorders>
              <w:top w:val="single" w:color="auto" w:sz="4" w:space="0"/>
              <w:left w:val="single" w:color="auto" w:sz="4" w:space="0"/>
              <w:bottom w:val="single" w:color="auto" w:sz="4" w:space="0"/>
              <w:right w:val="single" w:color="auto" w:sz="4" w:space="0"/>
            </w:tcBorders>
            <w:vAlign w:val="center"/>
          </w:tcPr>
          <w:p w14:paraId="6C354D74">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2633" w:type="dxa"/>
            <w:tcBorders>
              <w:top w:val="single" w:color="auto" w:sz="4" w:space="0"/>
              <w:left w:val="single" w:color="auto" w:sz="4" w:space="0"/>
              <w:bottom w:val="single" w:color="auto" w:sz="4" w:space="0"/>
              <w:right w:val="single" w:color="auto" w:sz="4" w:space="0"/>
            </w:tcBorders>
            <w:vAlign w:val="center"/>
          </w:tcPr>
          <w:p w14:paraId="73A282D9">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c>
          <w:tcPr>
            <w:tcW w:w="1829" w:type="dxa"/>
            <w:tcBorders>
              <w:top w:val="single" w:color="auto" w:sz="4" w:space="0"/>
              <w:left w:val="single" w:color="auto" w:sz="4" w:space="0"/>
              <w:bottom w:val="single" w:color="auto" w:sz="4" w:space="0"/>
              <w:right w:val="single" w:color="auto" w:sz="4" w:space="0"/>
            </w:tcBorders>
            <w:vAlign w:val="center"/>
          </w:tcPr>
          <w:p w14:paraId="707879D2">
            <w:pPr>
              <w:snapToGrid w:val="0"/>
              <w:spacing w:beforeLines="50" w:line="360" w:lineRule="auto"/>
              <w:jc w:val="center"/>
              <w:rPr>
                <w:rFonts w:hint="eastAsia" w:ascii="宋体" w:hAnsi="宋体" w:eastAsia="宋体" w:cs="宋体"/>
                <w:color w:val="000000" w:themeColor="text1"/>
                <w:sz w:val="24"/>
                <w14:textFill>
                  <w14:solidFill>
                    <w14:schemeClr w14:val="tx1"/>
                  </w14:solidFill>
                </w14:textFill>
              </w:rPr>
            </w:pPr>
          </w:p>
        </w:tc>
      </w:tr>
    </w:tbl>
    <w:p w14:paraId="52208290">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注：</w:t>
      </w:r>
    </w:p>
    <w:p w14:paraId="1DF8EA6B">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 说明：应对照谈判文件“第三章采购需求”中的商务要求逐条明确响应，并作出偏离说明。</w:t>
      </w:r>
    </w:p>
    <w:p w14:paraId="564068AB">
      <w:pPr>
        <w:pStyle w:val="9"/>
        <w:spacing w:after="0" w:line="360" w:lineRule="auto"/>
        <w:contextualSpacing/>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2.供应商应根据自身的承诺，对照谈判文件要求在“偏离说明”中注明“正偏离”、“负偏离”或者“无偏离”。既不属于“正偏离”也不属于“负偏离”即为“无偏离”。</w:t>
      </w:r>
    </w:p>
    <w:p w14:paraId="5BA7E07F">
      <w:pPr>
        <w:spacing w:line="360" w:lineRule="auto"/>
        <w:contextualSpacing/>
        <w:jc w:val="left"/>
        <w:rPr>
          <w:rFonts w:hint="eastAsia" w:ascii="宋体" w:hAnsi="宋体" w:eastAsia="宋体" w:cs="宋体"/>
          <w:color w:val="000000" w:themeColor="text1"/>
          <w:sz w:val="24"/>
          <w:u w:val="single"/>
          <w14:textFill>
            <w14:solidFill>
              <w14:schemeClr w14:val="tx1"/>
            </w14:solidFill>
          </w14:textFill>
        </w:rPr>
      </w:pPr>
    </w:p>
    <w:p w14:paraId="1FFF6879">
      <w:pPr>
        <w:spacing w:line="360" w:lineRule="auto"/>
        <w:contextualSpacing/>
        <w:jc w:val="left"/>
        <w:rPr>
          <w:rFonts w:hint="eastAsia" w:ascii="宋体" w:hAnsi="宋体" w:eastAsia="宋体" w:cs="宋体"/>
          <w:color w:val="000000" w:themeColor="text1"/>
          <w:sz w:val="24"/>
          <w:u w:val="single"/>
          <w14:textFill>
            <w14:solidFill>
              <w14:schemeClr w14:val="tx1"/>
            </w14:solidFill>
          </w14:textFill>
        </w:rPr>
      </w:pPr>
    </w:p>
    <w:p w14:paraId="1472E5C3">
      <w:pPr>
        <w:spacing w:line="360" w:lineRule="auto"/>
        <w:ind w:right="-817" w:rightChars="-389"/>
        <w:contextualSpacing/>
        <w:rPr>
          <w:rFonts w:hint="eastAsia" w:ascii="宋体" w:hAnsi="宋体" w:eastAsia="宋体" w:cs="宋体"/>
          <w:color w:val="000000" w:themeColor="text1"/>
          <w:sz w:val="24"/>
          <w14:textFill>
            <w14:solidFill>
              <w14:schemeClr w14:val="tx1"/>
            </w14:solidFill>
          </w14:textFill>
        </w:rPr>
      </w:pPr>
    </w:p>
    <w:p w14:paraId="0B1D48EC">
      <w:pPr>
        <w:spacing w:line="360" w:lineRule="auto"/>
        <w:ind w:right="-817" w:rightChars="-389"/>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795876C1">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1DE139D4">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049CED34">
      <w:pPr>
        <w:adjustRightInd w:val="0"/>
        <w:snapToGrid w:val="0"/>
        <w:spacing w:line="520" w:lineRule="exact"/>
        <w:ind w:firstLine="7040" w:firstLineChars="1600"/>
        <w:jc w:val="center"/>
        <w:rPr>
          <w:rFonts w:hint="eastAsia" w:ascii="宋体" w:hAnsi="宋体" w:eastAsia="宋体" w:cs="宋体"/>
          <w:bCs/>
          <w:color w:val="000000" w:themeColor="text1"/>
          <w:sz w:val="44"/>
          <w:szCs w:val="44"/>
          <w14:textFill>
            <w14:solidFill>
              <w14:schemeClr w14:val="tx1"/>
            </w14:solidFill>
          </w14:textFill>
        </w:rPr>
      </w:pPr>
    </w:p>
    <w:p w14:paraId="01E6FB82">
      <w:pPr>
        <w:adjustRightInd w:val="0"/>
        <w:snapToGrid w:val="0"/>
        <w:spacing w:line="520" w:lineRule="exact"/>
        <w:jc w:val="center"/>
        <w:rPr>
          <w:rFonts w:hint="eastAsia"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br w:type="page"/>
      </w:r>
    </w:p>
    <w:p w14:paraId="7F5403CA">
      <w:pPr>
        <w:adjustRightInd w:val="0"/>
        <w:snapToGrid w:val="0"/>
        <w:spacing w:line="300" w:lineRule="auto"/>
        <w:jc w:val="center"/>
        <w:rPr>
          <w:rFonts w:hint="eastAsia" w:ascii="宋体" w:hAnsi="宋体" w:eastAsia="宋体" w:cs="宋体"/>
          <w:bCs/>
          <w:color w:val="000000" w:themeColor="text1"/>
          <w:sz w:val="44"/>
          <w:szCs w:val="44"/>
          <w14:textFill>
            <w14:solidFill>
              <w14:schemeClr w14:val="tx1"/>
            </w14:solidFill>
          </w14:textFill>
        </w:rPr>
      </w:pPr>
      <w:r>
        <w:rPr>
          <w:rFonts w:hint="eastAsia" w:ascii="宋体" w:hAnsi="宋体" w:eastAsia="宋体" w:cs="宋体"/>
          <w:bCs/>
          <w:color w:val="000000" w:themeColor="text1"/>
          <w:sz w:val="44"/>
          <w:szCs w:val="44"/>
          <w14:textFill>
            <w14:solidFill>
              <w14:schemeClr w14:val="tx1"/>
            </w14:solidFill>
          </w14:textFill>
        </w:rPr>
        <w:t>技术要求偏离表</w:t>
      </w:r>
    </w:p>
    <w:p w14:paraId="74DBCB55">
      <w:pPr>
        <w:spacing w:line="520" w:lineRule="exact"/>
        <w:rPr>
          <w:rFonts w:hint="eastAsia" w:ascii="宋体" w:hAnsi="宋体" w:eastAsia="宋体" w:cs="宋体"/>
          <w:color w:val="000000" w:themeColor="text1"/>
          <w:sz w:val="32"/>
          <w:szCs w:val="32"/>
          <w14:textFill>
            <w14:solidFill>
              <w14:schemeClr w14:val="tx1"/>
            </w14:solidFill>
          </w14:textFill>
        </w:rPr>
      </w:pPr>
    </w:p>
    <w:p w14:paraId="49182511">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采购项目编号：</w:t>
      </w:r>
    </w:p>
    <w:p w14:paraId="72C60420">
      <w:pPr>
        <w:spacing w:line="360" w:lineRule="auto"/>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采购项目名称：</w:t>
      </w:r>
    </w:p>
    <w:p w14:paraId="5D5C4384">
      <w:pPr>
        <w:spacing w:line="360" w:lineRule="auto"/>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分标号：</w:t>
      </w:r>
    </w:p>
    <w:tbl>
      <w:tblPr>
        <w:tblStyle w:val="24"/>
        <w:tblW w:w="894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01"/>
        <w:gridCol w:w="901"/>
        <w:gridCol w:w="2988"/>
        <w:gridCol w:w="2689"/>
        <w:gridCol w:w="1467"/>
      </w:tblGrid>
      <w:tr w14:paraId="485E08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6C20373D">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序号</w:t>
            </w:r>
          </w:p>
        </w:tc>
        <w:tc>
          <w:tcPr>
            <w:tcW w:w="901" w:type="dxa"/>
            <w:tcBorders>
              <w:right w:val="single" w:color="auto" w:sz="4" w:space="0"/>
            </w:tcBorders>
            <w:vAlign w:val="center"/>
          </w:tcPr>
          <w:p w14:paraId="27385C05">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名称</w:t>
            </w:r>
          </w:p>
        </w:tc>
        <w:tc>
          <w:tcPr>
            <w:tcW w:w="2988" w:type="dxa"/>
            <w:tcBorders>
              <w:left w:val="single" w:color="auto" w:sz="4" w:space="0"/>
            </w:tcBorders>
            <w:vAlign w:val="center"/>
          </w:tcPr>
          <w:p w14:paraId="770F884A">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谈判文件要求</w:t>
            </w:r>
          </w:p>
        </w:tc>
        <w:tc>
          <w:tcPr>
            <w:tcW w:w="2689" w:type="dxa"/>
            <w:vAlign w:val="center"/>
          </w:tcPr>
          <w:p w14:paraId="0F24D78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竞标响应</w:t>
            </w:r>
          </w:p>
        </w:tc>
        <w:tc>
          <w:tcPr>
            <w:tcW w:w="1467" w:type="dxa"/>
            <w:vAlign w:val="center"/>
          </w:tcPr>
          <w:p w14:paraId="38281D54">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偏离说明</w:t>
            </w:r>
          </w:p>
        </w:tc>
      </w:tr>
      <w:tr w14:paraId="5FE0A9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36C4B41F">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1</w:t>
            </w:r>
          </w:p>
        </w:tc>
        <w:tc>
          <w:tcPr>
            <w:tcW w:w="901" w:type="dxa"/>
            <w:tcBorders>
              <w:right w:val="single" w:color="auto" w:sz="4" w:space="0"/>
            </w:tcBorders>
            <w:vAlign w:val="center"/>
          </w:tcPr>
          <w:p w14:paraId="5764D3A0">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430A9526">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665592F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79DF11F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r w14:paraId="11BA88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3455053E">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2</w:t>
            </w:r>
          </w:p>
        </w:tc>
        <w:tc>
          <w:tcPr>
            <w:tcW w:w="901" w:type="dxa"/>
            <w:tcBorders>
              <w:right w:val="single" w:color="auto" w:sz="4" w:space="0"/>
            </w:tcBorders>
            <w:vAlign w:val="center"/>
          </w:tcPr>
          <w:p w14:paraId="4EB2BC95">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2E87ECA4">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22F2DD76">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2013B3D6">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r w14:paraId="03725B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10E9F6FB">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3</w:t>
            </w:r>
          </w:p>
        </w:tc>
        <w:tc>
          <w:tcPr>
            <w:tcW w:w="901" w:type="dxa"/>
            <w:tcBorders>
              <w:right w:val="single" w:color="auto" w:sz="4" w:space="0"/>
            </w:tcBorders>
            <w:vAlign w:val="center"/>
          </w:tcPr>
          <w:p w14:paraId="549347CF">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174E455F">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2E02DDE9">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3CBD134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r w14:paraId="29977AE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08F8120B">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4</w:t>
            </w:r>
          </w:p>
        </w:tc>
        <w:tc>
          <w:tcPr>
            <w:tcW w:w="901" w:type="dxa"/>
            <w:tcBorders>
              <w:right w:val="single" w:color="auto" w:sz="4" w:space="0"/>
            </w:tcBorders>
            <w:vAlign w:val="center"/>
          </w:tcPr>
          <w:p w14:paraId="388922F4">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0C54E7B8">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38AC3B4E">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403CC4B9">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r w14:paraId="4378541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01" w:type="dxa"/>
            <w:vAlign w:val="center"/>
          </w:tcPr>
          <w:p w14:paraId="46A4A1E6">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5</w:t>
            </w:r>
          </w:p>
        </w:tc>
        <w:tc>
          <w:tcPr>
            <w:tcW w:w="901" w:type="dxa"/>
            <w:tcBorders>
              <w:right w:val="single" w:color="auto" w:sz="4" w:space="0"/>
            </w:tcBorders>
            <w:vAlign w:val="center"/>
          </w:tcPr>
          <w:p w14:paraId="5228CF65">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67ADB90F">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67F46CFC">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vAlign w:val="center"/>
          </w:tcPr>
          <w:p w14:paraId="68863DC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r w14:paraId="481BBE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01" w:type="dxa"/>
            <w:vAlign w:val="center"/>
          </w:tcPr>
          <w:p w14:paraId="5EAC4E7B">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w:t>
            </w:r>
          </w:p>
        </w:tc>
        <w:tc>
          <w:tcPr>
            <w:tcW w:w="901" w:type="dxa"/>
            <w:tcBorders>
              <w:right w:val="single" w:color="auto" w:sz="4" w:space="0"/>
            </w:tcBorders>
            <w:vAlign w:val="center"/>
          </w:tcPr>
          <w:p w14:paraId="6FB0718F">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988" w:type="dxa"/>
            <w:tcBorders>
              <w:left w:val="single" w:color="auto" w:sz="4" w:space="0"/>
            </w:tcBorders>
            <w:vAlign w:val="center"/>
          </w:tcPr>
          <w:p w14:paraId="234D638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2689" w:type="dxa"/>
            <w:vAlign w:val="center"/>
          </w:tcPr>
          <w:p w14:paraId="1197FBF2">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c>
          <w:tcPr>
            <w:tcW w:w="1467" w:type="dxa"/>
            <w:tcBorders>
              <w:right w:val="single" w:color="auto" w:sz="4" w:space="0"/>
            </w:tcBorders>
            <w:vAlign w:val="center"/>
          </w:tcPr>
          <w:p w14:paraId="027D42A7">
            <w:pPr>
              <w:pStyle w:val="11"/>
              <w:spacing w:line="360" w:lineRule="auto"/>
              <w:ind w:firstLine="0" w:firstLineChars="0"/>
              <w:jc w:val="center"/>
              <w:rPr>
                <w:rFonts w:hint="eastAsia" w:ascii="宋体" w:hAnsi="宋体" w:eastAsia="宋体" w:cs="宋体"/>
                <w:color w:val="000000" w:themeColor="text1"/>
                <w:kern w:val="2"/>
                <w:sz w:val="24"/>
                <w:szCs w:val="24"/>
                <w14:textFill>
                  <w14:solidFill>
                    <w14:schemeClr w14:val="tx1"/>
                  </w14:solidFill>
                </w14:textFill>
              </w:rPr>
            </w:pPr>
          </w:p>
        </w:tc>
      </w:tr>
    </w:tbl>
    <w:p w14:paraId="5034280A">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注：</w:t>
      </w:r>
    </w:p>
    <w:p w14:paraId="73884BBE">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 说明：应对照谈判文件“第三章采购需求”中的技术要求逐条实质性响应，并作出偏离说明。</w:t>
      </w:r>
    </w:p>
    <w:p w14:paraId="2FC51A06">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2.供应商应根据竞标设备的性能指标，对照谈判文件要求，在“偏离说明”中注明“正偏离”、“负偏离”或者“无偏离”。既不属于“正偏离”也不属于“负偏离”即为“无偏离”。</w:t>
      </w:r>
    </w:p>
    <w:p w14:paraId="752B5DC3">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供应商认为其竞标响应有正偏离的，请在技术要求偏离表中列明，且在响应文件中提供竞标产品的彩页或国家认可有资质的第三方检测机构出具的检测报告复印件或产品生产厂家出具的技术参数说明证明作为佐证，以上佐证材料均需加盖生产厂家或代理商（附生产厂家授权资料）公章。</w:t>
      </w:r>
    </w:p>
    <w:p w14:paraId="6777DEFD">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4.如技术要求偏离表中的竞标响应与佐证材料不一致的，以佐证材料为准。</w:t>
      </w:r>
    </w:p>
    <w:p w14:paraId="65F15ECE">
      <w:pPr>
        <w:pStyle w:val="11"/>
        <w:spacing w:line="360" w:lineRule="auto"/>
        <w:ind w:firstLine="0" w:firstLineChars="0"/>
        <w:contextualSpacing/>
        <w:rPr>
          <w:rFonts w:hint="eastAsia" w:ascii="宋体" w:hAnsi="宋体" w:eastAsia="宋体" w:cs="宋体"/>
          <w:color w:val="000000" w:themeColor="text1"/>
          <w:sz w:val="24"/>
          <w:szCs w:val="24"/>
          <w14:textFill>
            <w14:solidFill>
              <w14:schemeClr w14:val="tx1"/>
            </w14:solidFill>
          </w14:textFill>
        </w:rPr>
      </w:pPr>
    </w:p>
    <w:p w14:paraId="682C177E">
      <w:pPr>
        <w:spacing w:line="360" w:lineRule="auto"/>
        <w:ind w:right="-817" w:rightChars="-389"/>
        <w:contextualSpacing/>
        <w:rPr>
          <w:rFonts w:hint="eastAsia" w:ascii="宋体" w:hAnsi="宋体" w:eastAsia="宋体" w:cs="宋体"/>
          <w:color w:val="000000" w:themeColor="text1"/>
          <w:sz w:val="24"/>
          <w14:textFill>
            <w14:solidFill>
              <w14:schemeClr w14:val="tx1"/>
            </w14:solidFill>
          </w14:textFill>
        </w:rPr>
      </w:pPr>
    </w:p>
    <w:p w14:paraId="53CD622B">
      <w:pPr>
        <w:spacing w:line="360" w:lineRule="auto"/>
        <w:ind w:right="-817" w:rightChars="-389"/>
        <w:contextualSpacing/>
        <w:jc w:val="center"/>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法定代表人或者委托代理人（签字或者电子签名）：</w:t>
      </w:r>
    </w:p>
    <w:p w14:paraId="281502C5">
      <w:pPr>
        <w:spacing w:line="360" w:lineRule="auto"/>
        <w:ind w:right="-817" w:rightChars="-389" w:firstLine="2880" w:firstLineChars="1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供应商（电子签章）：</w:t>
      </w:r>
    </w:p>
    <w:p w14:paraId="4E197BB2">
      <w:pPr>
        <w:spacing w:line="360" w:lineRule="auto"/>
        <w:ind w:right="-817" w:rightChars="-389" w:firstLine="2880" w:firstLineChars="1200"/>
        <w:contextualSpacing/>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日期：年月日</w:t>
      </w:r>
    </w:p>
    <w:p w14:paraId="2FB1B472">
      <w:pPr>
        <w:spacing w:line="300" w:lineRule="auto"/>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br w:type="page"/>
      </w:r>
      <w:r>
        <w:rPr>
          <w:rFonts w:hint="eastAsia" w:ascii="宋体" w:hAnsi="宋体" w:eastAsia="宋体" w:cs="宋体"/>
          <w:b/>
          <w:bCs/>
          <w:color w:val="000000" w:themeColor="text1"/>
          <w:sz w:val="24"/>
          <w14:textFill>
            <w14:solidFill>
              <w14:schemeClr w14:val="tx1"/>
            </w14:solidFill>
          </w14:textFill>
        </w:rPr>
        <w:t>其他文书、文件格式</w:t>
      </w:r>
    </w:p>
    <w:p w14:paraId="6F189FFE">
      <w:pPr>
        <w:adjustRightInd w:val="0"/>
        <w:snapToGrid w:val="0"/>
        <w:spacing w:line="300" w:lineRule="auto"/>
        <w:jc w:val="center"/>
        <w:rPr>
          <w:rFonts w:hint="eastAsia" w:ascii="宋体" w:hAnsi="宋体" w:eastAsia="宋体" w:cs="宋体"/>
          <w:bCs/>
          <w:color w:val="000000" w:themeColor="text1"/>
          <w:sz w:val="44"/>
          <w:szCs w:val="44"/>
          <w14:textFill>
            <w14:solidFill>
              <w14:schemeClr w14:val="tx1"/>
            </w14:solidFill>
          </w14:textFill>
        </w:rPr>
      </w:pPr>
      <w:bookmarkStart w:id="82" w:name="_Toc71366061"/>
      <w:bookmarkStart w:id="83" w:name="_Toc71365383"/>
      <w:r>
        <w:rPr>
          <w:rFonts w:hint="eastAsia" w:ascii="宋体" w:hAnsi="宋体" w:eastAsia="宋体" w:cs="宋体"/>
          <w:bCs/>
          <w:color w:val="000000" w:themeColor="text1"/>
          <w:sz w:val="44"/>
          <w:szCs w:val="44"/>
          <w14:textFill>
            <w14:solidFill>
              <w14:schemeClr w14:val="tx1"/>
            </w14:solidFill>
          </w14:textFill>
        </w:rPr>
        <w:t>中小企业声明函（货物）</w:t>
      </w:r>
      <w:bookmarkEnd w:id="82"/>
      <w:bookmarkEnd w:id="83"/>
    </w:p>
    <w:p w14:paraId="395D6273">
      <w:pPr>
        <w:rPr>
          <w:rFonts w:hint="eastAsia" w:ascii="宋体" w:hAnsi="宋体" w:eastAsia="宋体" w:cs="宋体"/>
          <w:color w:val="000000" w:themeColor="text1"/>
          <w14:textFill>
            <w14:solidFill>
              <w14:schemeClr w14:val="tx1"/>
            </w14:solidFill>
          </w14:textFill>
        </w:rPr>
      </w:pPr>
    </w:p>
    <w:p w14:paraId="0BD19849">
      <w:pPr>
        <w:pStyle w:val="10"/>
        <w:spacing w:after="0" w:line="360" w:lineRule="auto"/>
        <w:ind w:left="-426" w:right="142" w:firstLine="64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本公司（联合体）郑重声明，根据《政府采购促进中小企业发展管理办法》（财库﹝2020﹞46号）的规定，本公司（联合体）参加</w:t>
      </w:r>
      <w:r>
        <w:rPr>
          <w:rFonts w:hint="eastAsia" w:ascii="宋体" w:hAnsi="宋体" w:eastAsia="宋体" w:cs="宋体"/>
          <w:color w:val="000000" w:themeColor="text1"/>
          <w:sz w:val="24"/>
          <w:u w:val="single"/>
          <w14:textFill>
            <w14:solidFill>
              <w14:schemeClr w14:val="tx1"/>
            </w14:solidFill>
          </w14:textFill>
        </w:rPr>
        <w:t>（单位名称）</w:t>
      </w:r>
      <w:r>
        <w:rPr>
          <w:rFonts w:hint="eastAsia" w:ascii="宋体" w:hAnsi="宋体" w:eastAsia="宋体" w:cs="宋体"/>
          <w:color w:val="000000" w:themeColor="text1"/>
          <w:sz w:val="24"/>
          <w14:textFill>
            <w14:solidFill>
              <w14:schemeClr w14:val="tx1"/>
            </w14:solidFill>
          </w14:textFill>
        </w:rPr>
        <w:t>的</w:t>
      </w:r>
      <w:r>
        <w:rPr>
          <w:rFonts w:hint="eastAsia" w:ascii="宋体" w:hAnsi="宋体" w:eastAsia="宋体" w:cs="宋体"/>
          <w:color w:val="000000" w:themeColor="text1"/>
          <w:sz w:val="24"/>
          <w:u w:val="single"/>
          <w14:textFill>
            <w14:solidFill>
              <w14:schemeClr w14:val="tx1"/>
            </w14:solidFill>
          </w14:textFill>
        </w:rPr>
        <w:t>（项目名称）</w:t>
      </w:r>
      <w:r>
        <w:rPr>
          <w:rFonts w:hint="eastAsia" w:ascii="宋体" w:hAnsi="宋体" w:eastAsia="宋体" w:cs="宋体"/>
          <w:color w:val="000000" w:themeColor="text1"/>
          <w:sz w:val="24"/>
          <w14:textFill>
            <w14:solidFill>
              <w14:schemeClr w14:val="tx1"/>
            </w14:solidFill>
          </w14:textFill>
        </w:rPr>
        <w:t>采购活动，提供的货物全部由符合政策要求的中小企业制造。相关企业（含联合体中的中小企业、签订分包意向协议的中小企业）的具体情况如下：</w:t>
      </w:r>
    </w:p>
    <w:p w14:paraId="47AEC015">
      <w:pPr>
        <w:tabs>
          <w:tab w:val="left" w:pos="1384"/>
          <w:tab w:val="left" w:pos="4562"/>
          <w:tab w:val="left" w:pos="6803"/>
        </w:tabs>
        <w:spacing w:line="360" w:lineRule="auto"/>
        <w:ind w:left="-426" w:right="-58" w:firstLine="655"/>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行业；制造商为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，从业人员人，营业收入为万元，资产总额为万元，属于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14:paraId="50162284">
      <w:pPr>
        <w:tabs>
          <w:tab w:val="left" w:pos="1065"/>
          <w:tab w:val="left" w:pos="6477"/>
        </w:tabs>
        <w:spacing w:line="360" w:lineRule="auto"/>
        <w:ind w:left="-426" w:right="-58" w:firstLine="655"/>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color w:val="000000" w:themeColor="text1"/>
          <w:sz w:val="24"/>
          <w:u w:val="single"/>
          <w14:textFill>
            <w14:solidFill>
              <w14:schemeClr w14:val="tx1"/>
            </w14:solidFill>
          </w14:textFill>
        </w:rPr>
        <w:t>（标的名称）</w:t>
      </w:r>
      <w:r>
        <w:rPr>
          <w:rFonts w:hint="eastAsia" w:ascii="宋体" w:hAnsi="宋体" w:eastAsia="宋体" w:cs="宋体"/>
          <w:color w:val="000000" w:themeColor="text1"/>
          <w:sz w:val="24"/>
          <w14:textFill>
            <w14:solidFill>
              <w14:schemeClr w14:val="tx1"/>
            </w14:solidFill>
          </w14:textFill>
        </w:rPr>
        <w:t>，属于</w:t>
      </w:r>
      <w:r>
        <w:rPr>
          <w:rFonts w:hint="eastAsia" w:ascii="宋体" w:hAnsi="宋体" w:eastAsia="宋体" w:cs="宋体"/>
          <w:color w:val="000000" w:themeColor="text1"/>
          <w:sz w:val="24"/>
          <w:u w:val="single"/>
          <w14:textFill>
            <w14:solidFill>
              <w14:schemeClr w14:val="tx1"/>
            </w14:solidFill>
          </w14:textFill>
        </w:rPr>
        <w:t>（采购文件中明确的所属行业）</w:t>
      </w:r>
      <w:r>
        <w:rPr>
          <w:rFonts w:hint="eastAsia" w:ascii="宋体" w:hAnsi="宋体" w:eastAsia="宋体" w:cs="宋体"/>
          <w:color w:val="000000" w:themeColor="text1"/>
          <w:sz w:val="24"/>
          <w14:textFill>
            <w14:solidFill>
              <w14:schemeClr w14:val="tx1"/>
            </w14:solidFill>
          </w14:textFill>
        </w:rPr>
        <w:t>行业；制造商为</w:t>
      </w:r>
      <w:r>
        <w:rPr>
          <w:rFonts w:hint="eastAsia" w:ascii="宋体" w:hAnsi="宋体" w:eastAsia="宋体" w:cs="宋体"/>
          <w:color w:val="000000" w:themeColor="text1"/>
          <w:sz w:val="24"/>
          <w:u w:val="single"/>
          <w14:textFill>
            <w14:solidFill>
              <w14:schemeClr w14:val="tx1"/>
            </w14:solidFill>
          </w14:textFill>
        </w:rPr>
        <w:t>（企业名称）</w:t>
      </w:r>
      <w:r>
        <w:rPr>
          <w:rFonts w:hint="eastAsia" w:ascii="宋体" w:hAnsi="宋体" w:eastAsia="宋体" w:cs="宋体"/>
          <w:color w:val="000000" w:themeColor="text1"/>
          <w:sz w:val="24"/>
          <w14:textFill>
            <w14:solidFill>
              <w14:schemeClr w14:val="tx1"/>
            </w14:solidFill>
          </w14:textFill>
        </w:rPr>
        <w:t>，从业人员人，营业收入为万元，资产总额为万元，属于</w:t>
      </w:r>
      <w:r>
        <w:rPr>
          <w:rFonts w:hint="eastAsia" w:ascii="宋体" w:hAnsi="宋体" w:eastAsia="宋体" w:cs="宋体"/>
          <w:color w:val="000000" w:themeColor="text1"/>
          <w:sz w:val="24"/>
          <w:u w:val="single"/>
          <w14:textFill>
            <w14:solidFill>
              <w14:schemeClr w14:val="tx1"/>
            </w14:solidFill>
          </w14:textFill>
        </w:rPr>
        <w:t>（中型企业、小型企业、微型企业）</w:t>
      </w:r>
      <w:r>
        <w:rPr>
          <w:rFonts w:hint="eastAsia" w:ascii="宋体" w:hAnsi="宋体" w:eastAsia="宋体" w:cs="宋体"/>
          <w:color w:val="000000" w:themeColor="text1"/>
          <w:sz w:val="24"/>
          <w14:textFill>
            <w14:solidFill>
              <w14:schemeClr w14:val="tx1"/>
            </w14:solidFill>
          </w14:textFill>
        </w:rPr>
        <w:t>；</w:t>
      </w:r>
    </w:p>
    <w:p w14:paraId="39F69967">
      <w:pPr>
        <w:pStyle w:val="10"/>
        <w:spacing w:after="0" w:line="360" w:lineRule="auto"/>
        <w:ind w:left="142" w:right="142"/>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w:t>
      </w:r>
    </w:p>
    <w:p w14:paraId="05406F06">
      <w:pPr>
        <w:pStyle w:val="10"/>
        <w:spacing w:after="0" w:line="360" w:lineRule="auto"/>
        <w:ind w:left="-405" w:leftChars="-193" w:right="142" w:firstLine="453" w:firstLineChars="189"/>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18C3B5E1">
      <w:pPr>
        <w:pStyle w:val="10"/>
        <w:spacing w:after="0" w:line="360" w:lineRule="auto"/>
        <w:ind w:left="-426" w:right="142" w:firstLine="567"/>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本企业对上述声明内容的真实性负责。如有虚假，将依法承担相应责任。</w:t>
      </w:r>
    </w:p>
    <w:p w14:paraId="48508E8C">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p>
    <w:p w14:paraId="0BB3E788">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企业名称（章）：</w:t>
      </w:r>
    </w:p>
    <w:p w14:paraId="5BCEB952">
      <w:pPr>
        <w:pStyle w:val="10"/>
        <w:spacing w:after="0" w:line="360" w:lineRule="auto"/>
        <w:ind w:left="3960" w:right="1808"/>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p>
    <w:p w14:paraId="42697521">
      <w:pPr>
        <w:pStyle w:val="10"/>
        <w:spacing w:after="0" w:line="360" w:lineRule="auto"/>
        <w:ind w:left="3960" w:right="1808"/>
        <w:contextualSpacing/>
        <w:rPr>
          <w:rFonts w:hint="eastAsia" w:ascii="宋体" w:hAnsi="宋体" w:eastAsia="宋体" w:cs="宋体"/>
          <w:color w:val="000000" w:themeColor="text1"/>
          <w14:textFill>
            <w14:solidFill>
              <w14:schemeClr w14:val="tx1"/>
            </w14:solidFill>
          </w14:textFill>
        </w:rPr>
      </w:pPr>
    </w:p>
    <w:p w14:paraId="1D82757D">
      <w:pPr>
        <w:spacing w:line="360" w:lineRule="auto"/>
        <w:contextualSpacing/>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0E2DA159">
      <w:pPr>
        <w:spacing w:line="360" w:lineRule="auto"/>
        <w:contextualSpacing/>
        <w:jc w:val="center"/>
        <w:rPr>
          <w:rFonts w:hint="eastAsia"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残疾人福利性单位声明函</w:t>
      </w:r>
    </w:p>
    <w:p w14:paraId="35780D15">
      <w:pPr>
        <w:spacing w:line="520" w:lineRule="exact"/>
        <w:rPr>
          <w:rFonts w:hint="eastAsia" w:ascii="宋体" w:hAnsi="宋体" w:eastAsia="宋体" w:cs="宋体"/>
          <w:color w:val="000000" w:themeColor="text1"/>
          <w:sz w:val="32"/>
          <w:szCs w:val="32"/>
          <w14:textFill>
            <w14:solidFill>
              <w14:schemeClr w14:val="tx1"/>
            </w14:solidFill>
          </w14:textFill>
        </w:rPr>
      </w:pPr>
    </w:p>
    <w:p w14:paraId="02160173">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1C4EE11E">
      <w:pPr>
        <w:spacing w:line="360" w:lineRule="auto"/>
        <w:ind w:firstLine="480" w:firstLineChars="2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本单位对上述声明的真实性负责。如有虚假，将依法承担相应责任。</w:t>
      </w:r>
    </w:p>
    <w:p w14:paraId="5B310DC7">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28DBBE3A">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00797BBE">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4E5A7947">
      <w:pPr>
        <w:spacing w:line="360" w:lineRule="auto"/>
        <w:ind w:firstLine="2400" w:firstLineChars="10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单位名称（盖章）：</w:t>
      </w:r>
    </w:p>
    <w:p w14:paraId="39C61B5A">
      <w:pPr>
        <w:spacing w:line="360" w:lineRule="auto"/>
        <w:ind w:firstLine="3600" w:firstLineChars="1500"/>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日期：</w:t>
      </w:r>
    </w:p>
    <w:p w14:paraId="074A881C">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1EB6C010">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440F0DCC">
      <w:pPr>
        <w:spacing w:line="360" w:lineRule="auto"/>
        <w:contextualSpacing/>
        <w:rPr>
          <w:rFonts w:hint="eastAsia" w:ascii="宋体" w:hAnsi="宋体" w:eastAsia="宋体" w:cs="宋体"/>
          <w:color w:val="000000" w:themeColor="text1"/>
          <w:sz w:val="24"/>
          <w14:textFill>
            <w14:solidFill>
              <w14:schemeClr w14:val="tx1"/>
            </w14:solidFill>
          </w14:textFill>
        </w:rPr>
      </w:pPr>
    </w:p>
    <w:p w14:paraId="5CA4A14F">
      <w:pPr>
        <w:spacing w:line="360" w:lineRule="auto"/>
        <w:contextualSpacing/>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注：请根据自己的真实情况出具《残疾人福利性单位声明函》。依法享受中小企业优惠政策的，采购人或者采购代理机构在公告成交结果时，同时公告其《残疾人福利性单位声明函》，接受社会监督。</w:t>
      </w:r>
    </w:p>
    <w:p w14:paraId="71B15997">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br w:type="page"/>
      </w:r>
      <w:r>
        <w:rPr>
          <w:rFonts w:hint="eastAsia" w:ascii="宋体" w:hAnsi="宋体" w:eastAsia="宋体" w:cs="宋体"/>
          <w:color w:val="000000" w:themeColor="text1"/>
          <w:sz w:val="44"/>
          <w:szCs w:val="44"/>
          <w14:textFill>
            <w14:solidFill>
              <w14:schemeClr w14:val="tx1"/>
            </w14:solidFill>
          </w14:textFill>
        </w:rPr>
        <w:t>质疑函（格式）</w:t>
      </w:r>
    </w:p>
    <w:p w14:paraId="6F429B7C">
      <w:pPr>
        <w:spacing w:line="360" w:lineRule="auto"/>
        <w:jc w:val="center"/>
        <w:rPr>
          <w:rFonts w:hint="eastAsia" w:ascii="宋体" w:hAnsi="宋体" w:eastAsia="宋体" w:cs="宋体"/>
          <w:b/>
          <w:bCs/>
          <w:color w:val="000000" w:themeColor="text1"/>
          <w:sz w:val="32"/>
          <w:szCs w:val="32"/>
          <w14:textFill>
            <w14:solidFill>
              <w14:schemeClr w14:val="tx1"/>
            </w14:solidFill>
          </w14:textFill>
        </w:rPr>
      </w:pPr>
    </w:p>
    <w:p w14:paraId="56E1D8CF">
      <w:pPr>
        <w:pStyle w:val="14"/>
        <w:spacing w:line="360" w:lineRule="auto"/>
        <w:ind w:firstLine="482" w:firstLineChars="200"/>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一、质疑供应商基本信息：</w:t>
      </w:r>
    </w:p>
    <w:p w14:paraId="1C9EC46E">
      <w:pPr>
        <w:pStyle w:val="14"/>
        <w:spacing w:line="360" w:lineRule="auto"/>
        <w:ind w:firstLine="480" w:firstLineChars="200"/>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质疑供应商：</w:t>
      </w:r>
    </w:p>
    <w:p w14:paraId="4B59974C">
      <w:pPr>
        <w:pStyle w:val="14"/>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0AABABDD">
      <w:pPr>
        <w:pStyle w:val="14"/>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201A2A3A">
      <w:pPr>
        <w:pStyle w:val="14"/>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授权代表：</w:t>
      </w:r>
    </w:p>
    <w:p w14:paraId="0E3F5561">
      <w:pPr>
        <w:pStyle w:val="14"/>
        <w:spacing w:line="360" w:lineRule="auto"/>
        <w:ind w:firstLine="480" w:firstLineChars="200"/>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p>
    <w:p w14:paraId="67899D1C">
      <w:pPr>
        <w:pStyle w:val="14"/>
        <w:spacing w:line="360" w:lineRule="auto"/>
        <w:ind w:firstLine="480" w:firstLineChars="200"/>
        <w:contextualSpacing/>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08BAB674">
      <w:pPr>
        <w:pStyle w:val="14"/>
        <w:spacing w:line="360" w:lineRule="auto"/>
        <w:ind w:firstLine="482" w:firstLineChars="200"/>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二、质疑项目基本情况：</w:t>
      </w:r>
    </w:p>
    <w:p w14:paraId="740C50A2">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r>
        <w:rPr>
          <w:rFonts w:hint="eastAsia" w:ascii="宋体" w:hAnsi="宋体" w:eastAsia="宋体" w:cs="宋体"/>
          <w:color w:val="000000" w:themeColor="text1"/>
          <w:sz w:val="24"/>
          <w:szCs w:val="24"/>
          <w14:textFill>
            <w14:solidFill>
              <w14:schemeClr w14:val="tx1"/>
            </w14:solidFill>
          </w14:textFill>
        </w:rPr>
        <w:t>项目的名称：</w:t>
      </w:r>
    </w:p>
    <w:p w14:paraId="17003140">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质疑</w:t>
      </w:r>
      <w:r>
        <w:rPr>
          <w:rFonts w:hint="eastAsia" w:ascii="宋体" w:hAnsi="宋体" w:eastAsia="宋体" w:cs="宋体"/>
          <w:color w:val="000000" w:themeColor="text1"/>
          <w:sz w:val="24"/>
          <w:szCs w:val="24"/>
          <w14:textFill>
            <w14:solidFill>
              <w14:schemeClr w14:val="tx1"/>
            </w14:solidFill>
          </w14:textFill>
        </w:rPr>
        <w:t>项目的编号：</w:t>
      </w:r>
    </w:p>
    <w:p w14:paraId="13A4AC0B">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p>
    <w:p w14:paraId="315B582A">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w:t>
      </w:r>
    </w:p>
    <w:p w14:paraId="33D92ABB">
      <w:pPr>
        <w:pStyle w:val="14"/>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□采购文件采购文件获取日期：</w:t>
      </w:r>
    </w:p>
    <w:p w14:paraId="0961B49F">
      <w:pPr>
        <w:pStyle w:val="14"/>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□采购过程</w:t>
      </w:r>
    </w:p>
    <w:p w14:paraId="7065C3FC">
      <w:pPr>
        <w:pStyle w:val="14"/>
        <w:spacing w:line="360" w:lineRule="auto"/>
        <w:ind w:left="25" w:leftChars="12" w:firstLine="352" w:firstLineChars="147"/>
        <w:contextualSpacing/>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□成交结果</w:t>
      </w:r>
    </w:p>
    <w:p w14:paraId="38EE5EC1">
      <w:pPr>
        <w:pStyle w:val="14"/>
        <w:spacing w:line="360" w:lineRule="auto"/>
        <w:ind w:left="25" w:leftChars="12" w:firstLine="472" w:firstLineChars="196"/>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三、质疑事项具体内容</w:t>
      </w:r>
    </w:p>
    <w:p w14:paraId="253C2584">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质疑事项1：</w:t>
      </w:r>
    </w:p>
    <w:p w14:paraId="68AF6A29">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事实依据：</w:t>
      </w:r>
    </w:p>
    <w:p w14:paraId="1123589F">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法律依据：</w:t>
      </w:r>
    </w:p>
    <w:p w14:paraId="03BBF0E0">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质疑事项2</w:t>
      </w:r>
    </w:p>
    <w:p w14:paraId="294FD144">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p>
    <w:p w14:paraId="7CAECD40">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四、与质疑事项相关的质疑请求：</w:t>
      </w:r>
    </w:p>
    <w:p w14:paraId="4CE61AC3">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p>
    <w:p w14:paraId="7AB6568C">
      <w:pPr>
        <w:pStyle w:val="14"/>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p>
    <w:p w14:paraId="11DCB9F6">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签字（签章）：公章：</w:t>
      </w:r>
    </w:p>
    <w:p w14:paraId="00026AC9">
      <w:pPr>
        <w:pStyle w:val="14"/>
        <w:spacing w:line="360" w:lineRule="auto"/>
        <w:ind w:left="25" w:leftChars="12" w:firstLine="352" w:firstLineChars="147"/>
        <w:contextualSpacing/>
        <w:rPr>
          <w:rFonts w:hint="eastAsia" w:ascii="宋体" w:hAnsi="宋体" w:eastAsia="宋体" w:cs="宋体"/>
          <w:color w:val="000000" w:themeColor="text1"/>
          <w:sz w:val="24"/>
          <w:szCs w:val="24"/>
          <w14:textFill>
            <w14:solidFill>
              <w14:schemeClr w14:val="tx1"/>
            </w14:solidFill>
          </w14:textFill>
        </w:rPr>
      </w:pPr>
    </w:p>
    <w:p w14:paraId="561945E4">
      <w:pPr>
        <w:pStyle w:val="14"/>
        <w:spacing w:line="360" w:lineRule="auto"/>
        <w:ind w:left="25" w:leftChars="12" w:firstLine="472" w:firstLineChars="197"/>
        <w:contextualSpacing/>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7CBEB0A6">
      <w:pPr>
        <w:pStyle w:val="14"/>
        <w:spacing w:line="360" w:lineRule="auto"/>
        <w:contextualSpacing/>
        <w:rPr>
          <w:rFonts w:hint="eastAsia" w:ascii="宋体" w:hAnsi="宋体" w:eastAsia="宋体" w:cs="宋体"/>
          <w:b/>
          <w:color w:val="000000" w:themeColor="text1"/>
          <w:sz w:val="24"/>
          <w:szCs w:val="24"/>
          <w14:textFill>
            <w14:solidFill>
              <w14:schemeClr w14:val="tx1"/>
            </w14:solidFill>
          </w14:textFill>
        </w:rPr>
      </w:pPr>
    </w:p>
    <w:p w14:paraId="01686777">
      <w:pPr>
        <w:pStyle w:val="14"/>
        <w:spacing w:line="360" w:lineRule="auto"/>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说明：</w:t>
      </w:r>
    </w:p>
    <w:p w14:paraId="776E9107">
      <w:pPr>
        <w:pStyle w:val="14"/>
        <w:spacing w:line="360" w:lineRule="auto"/>
        <w:ind w:left="25" w:leftChars="12" w:firstLine="354" w:firstLineChars="147"/>
        <w:contextualSpacing/>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1.供应商提出质疑时，应提交质疑函和必要的证明材料</w:t>
      </w:r>
      <w:r>
        <w:rPr>
          <w:rFonts w:hint="eastAsia" w:ascii="宋体" w:hAnsi="宋体" w:eastAsia="宋体" w:cs="宋体"/>
          <w:b/>
          <w:bCs/>
          <w:color w:val="000000" w:themeColor="text1"/>
          <w:sz w:val="24"/>
          <w:szCs w:val="24"/>
          <w14:textFill>
            <w14:solidFill>
              <w14:schemeClr w14:val="tx1"/>
            </w14:solidFill>
          </w14:textFill>
        </w:rPr>
        <w:t>。</w:t>
      </w:r>
    </w:p>
    <w:p w14:paraId="0E281F2D">
      <w:pPr>
        <w:pStyle w:val="14"/>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22C74F2">
      <w:pPr>
        <w:pStyle w:val="14"/>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3.质疑函的质疑事项应具体、明确，并有必要的事实依据和法律依据。</w:t>
      </w:r>
    </w:p>
    <w:p w14:paraId="48E0E562">
      <w:pPr>
        <w:pStyle w:val="14"/>
        <w:spacing w:line="360" w:lineRule="auto"/>
        <w:ind w:left="25" w:leftChars="12" w:firstLine="354" w:firstLineChars="147"/>
        <w:contextualSpacing/>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4.质疑函的质疑请求应与质疑事项相关。</w:t>
      </w:r>
    </w:p>
    <w:p w14:paraId="0D4AF85B">
      <w:pPr>
        <w:pStyle w:val="14"/>
        <w:spacing w:line="360" w:lineRule="auto"/>
        <w:ind w:left="25" w:leftChars="12" w:firstLine="354" w:firstLineChars="147"/>
        <w:contextualSpacing/>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5.质疑供应商为法人或者其他组织的，质疑函应由法定代表人、主要负责人，或者其授权代表签字或者盖章，并加盖公章。</w:t>
      </w:r>
    </w:p>
    <w:p w14:paraId="693209B8">
      <w:pPr>
        <w:pStyle w:val="14"/>
        <w:snapToGrid w:val="0"/>
        <w:rPr>
          <w:rFonts w:hint="eastAsia" w:ascii="宋体" w:hAnsi="宋体" w:eastAsia="宋体" w:cs="宋体"/>
          <w:b/>
          <w:color w:val="000000" w:themeColor="text1"/>
          <w:sz w:val="24"/>
          <w:szCs w:val="24"/>
          <w14:textFill>
            <w14:solidFill>
              <w14:schemeClr w14:val="tx1"/>
            </w14:solidFill>
          </w14:textFill>
        </w:rPr>
      </w:pPr>
    </w:p>
    <w:p w14:paraId="3CBBC4C1">
      <w:pP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120DA813">
      <w:pPr>
        <w:spacing w:line="360" w:lineRule="auto"/>
        <w:jc w:val="center"/>
        <w:rPr>
          <w:rFonts w:hint="eastAsia"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投诉书（格式）</w:t>
      </w:r>
    </w:p>
    <w:p w14:paraId="53FE3ACA">
      <w:pPr>
        <w:pStyle w:val="14"/>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一、投诉相关主体基本情况：</w:t>
      </w:r>
    </w:p>
    <w:p w14:paraId="5E9EE966">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供应商：</w:t>
      </w:r>
    </w:p>
    <w:p w14:paraId="67D64E1B">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1E3A3869">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法定代表人/主要负责人：</w:t>
      </w:r>
    </w:p>
    <w:p w14:paraId="65F3224D">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联系电话：</w:t>
      </w:r>
    </w:p>
    <w:p w14:paraId="3FA79A15">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授权代表：联系电话：</w:t>
      </w:r>
    </w:p>
    <w:p w14:paraId="02D30A94">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p>
    <w:p w14:paraId="33BD343D">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邮编：</w:t>
      </w:r>
    </w:p>
    <w:p w14:paraId="2E38CF08">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被投诉人1：</w:t>
      </w:r>
    </w:p>
    <w:p w14:paraId="7354916F">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w:t>
      </w:r>
    </w:p>
    <w:p w14:paraId="19B9BDA9">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邮编：</w:t>
      </w:r>
    </w:p>
    <w:p w14:paraId="2BB78DDD">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0986C2B3">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被投诉人2：</w:t>
      </w:r>
    </w:p>
    <w:p w14:paraId="57616BF8">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p w14:paraId="3AE28B0B">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相关供应商：</w:t>
      </w:r>
    </w:p>
    <w:p w14:paraId="1EFA9D59">
      <w:pPr>
        <w:pStyle w:val="14"/>
        <w:snapToGrid w:val="0"/>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地址：邮编：</w:t>
      </w:r>
    </w:p>
    <w:p w14:paraId="68B30AEB">
      <w:pPr>
        <w:pStyle w:val="14"/>
        <w:snapToGrid w:val="0"/>
        <w:spacing w:line="360" w:lineRule="auto"/>
        <w:ind w:firstLine="480" w:firstLineChars="200"/>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联系人：联系电话：</w:t>
      </w:r>
    </w:p>
    <w:p w14:paraId="57BD1B33">
      <w:pPr>
        <w:pStyle w:val="14"/>
        <w:snapToGrid w:val="0"/>
        <w:spacing w:line="360" w:lineRule="auto"/>
        <w:ind w:firstLine="482" w:firstLineChars="200"/>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二、投诉项目基本情况：</w:t>
      </w:r>
    </w:p>
    <w:p w14:paraId="2C5B8406">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项目的名称：</w:t>
      </w:r>
    </w:p>
    <w:p w14:paraId="3EE41D42">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w:t>
      </w:r>
      <w:r>
        <w:rPr>
          <w:rFonts w:hint="eastAsia" w:ascii="宋体" w:hAnsi="宋体" w:eastAsia="宋体" w:cs="宋体"/>
          <w:color w:val="000000" w:themeColor="text1"/>
          <w:sz w:val="24"/>
          <w:szCs w:val="24"/>
          <w14:textFill>
            <w14:solidFill>
              <w14:schemeClr w14:val="tx1"/>
            </w14:solidFill>
          </w14:textFill>
        </w:rPr>
        <w:t>项目的编号：</w:t>
      </w:r>
    </w:p>
    <w:p w14:paraId="423BA6FE">
      <w:pPr>
        <w:pStyle w:val="14"/>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采购人名称：</w:t>
      </w:r>
    </w:p>
    <w:p w14:paraId="6869C531">
      <w:pPr>
        <w:pStyle w:val="14"/>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代理机构名称：</w:t>
      </w:r>
    </w:p>
    <w:p w14:paraId="656C1683">
      <w:pPr>
        <w:pStyle w:val="14"/>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采购文件公告：</w:t>
      </w:r>
      <w:r>
        <w:rPr>
          <w:rFonts w:hint="eastAsia" w:ascii="宋体" w:hAnsi="宋体" w:eastAsia="宋体" w:cs="宋体"/>
          <w:bCs/>
          <w:color w:val="000000" w:themeColor="text1"/>
          <w:sz w:val="24"/>
          <w:szCs w:val="24"/>
          <w:u w:val="single"/>
          <w14:textFill>
            <w14:solidFill>
              <w14:schemeClr w14:val="tx1"/>
            </w14:solidFill>
          </w14:textFill>
        </w:rPr>
        <w:t>是/否</w:t>
      </w:r>
      <w:r>
        <w:rPr>
          <w:rFonts w:hint="eastAsia" w:ascii="宋体" w:hAnsi="宋体" w:eastAsia="宋体" w:cs="宋体"/>
          <w:bCs/>
          <w:color w:val="000000" w:themeColor="text1"/>
          <w:sz w:val="24"/>
          <w:szCs w:val="24"/>
          <w14:textFill>
            <w14:solidFill>
              <w14:schemeClr w14:val="tx1"/>
            </w14:solidFill>
          </w14:textFill>
        </w:rPr>
        <w:t>公告期限：</w:t>
      </w:r>
    </w:p>
    <w:p w14:paraId="47A716A2">
      <w:pPr>
        <w:pStyle w:val="14"/>
        <w:spacing w:line="360" w:lineRule="auto"/>
        <w:ind w:left="25" w:leftChars="12" w:firstLine="472" w:firstLineChars="19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采购结果公告：</w:t>
      </w:r>
      <w:r>
        <w:rPr>
          <w:rFonts w:hint="eastAsia" w:ascii="宋体" w:hAnsi="宋体" w:eastAsia="宋体" w:cs="宋体"/>
          <w:bCs/>
          <w:color w:val="000000" w:themeColor="text1"/>
          <w:sz w:val="24"/>
          <w:szCs w:val="24"/>
          <w:u w:val="single"/>
          <w14:textFill>
            <w14:solidFill>
              <w14:schemeClr w14:val="tx1"/>
            </w14:solidFill>
          </w14:textFill>
        </w:rPr>
        <w:t>是/否</w:t>
      </w:r>
      <w:r>
        <w:rPr>
          <w:rFonts w:hint="eastAsia" w:ascii="宋体" w:hAnsi="宋体" w:eastAsia="宋体" w:cs="宋体"/>
          <w:bCs/>
          <w:color w:val="000000" w:themeColor="text1"/>
          <w:sz w:val="24"/>
          <w:szCs w:val="24"/>
          <w14:textFill>
            <w14:solidFill>
              <w14:schemeClr w14:val="tx1"/>
            </w14:solidFill>
          </w14:textFill>
        </w:rPr>
        <w:t>公告期限：</w:t>
      </w:r>
    </w:p>
    <w:p w14:paraId="330240BD">
      <w:pPr>
        <w:pStyle w:val="14"/>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三、质疑基本情况</w:t>
      </w:r>
    </w:p>
    <w:p w14:paraId="0AC67D0C">
      <w:pPr>
        <w:pStyle w:val="14"/>
        <w:spacing w:line="360" w:lineRule="auto"/>
        <w:ind w:left="23" w:leftChars="11"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投诉人于年月日，向提出质疑，质疑事项为：</w:t>
      </w:r>
    </w:p>
    <w:p w14:paraId="75E0AF9E">
      <w:pPr>
        <w:pStyle w:val="14"/>
        <w:spacing w:line="360" w:lineRule="auto"/>
        <w:ind w:left="23" w:leftChars="11" w:firstLine="540" w:firstLineChars="225"/>
        <w:rPr>
          <w:rFonts w:hint="eastAsia" w:ascii="宋体" w:hAnsi="宋体" w:eastAsia="宋体" w:cs="宋体"/>
          <w:bCs/>
          <w:color w:val="000000" w:themeColor="text1"/>
          <w:sz w:val="24"/>
          <w:szCs w:val="24"/>
          <w:u w:val="single"/>
          <w14:textFill>
            <w14:solidFill>
              <w14:schemeClr w14:val="tx1"/>
            </w14:solidFill>
          </w14:textFill>
        </w:rPr>
      </w:pPr>
    </w:p>
    <w:p w14:paraId="0BDB435B">
      <w:pPr>
        <w:pStyle w:val="14"/>
        <w:spacing w:line="360" w:lineRule="auto"/>
        <w:ind w:left="23" w:leftChars="11" w:firstLine="540" w:firstLineChars="225"/>
        <w:rPr>
          <w:rFonts w:hint="eastAsia" w:ascii="宋体" w:hAnsi="宋体" w:eastAsia="宋体" w:cs="宋体"/>
          <w:bCs/>
          <w:color w:val="000000" w:themeColor="text1"/>
          <w:sz w:val="24"/>
          <w:szCs w:val="24"/>
          <w:u w:val="single"/>
          <w14:textFill>
            <w14:solidFill>
              <w14:schemeClr w14:val="tx1"/>
            </w14:solidFill>
          </w14:textFill>
        </w:rPr>
      </w:pPr>
    </w:p>
    <w:p w14:paraId="1BA597C9">
      <w:pPr>
        <w:pStyle w:val="14"/>
        <w:spacing w:line="360" w:lineRule="auto"/>
        <w:ind w:left="23" w:leftChars="11" w:firstLine="540" w:firstLineChars="225"/>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u w:val="single"/>
          <w14:textFill>
            <w14:solidFill>
              <w14:schemeClr w14:val="tx1"/>
            </w14:solidFill>
          </w14:textFill>
        </w:rPr>
        <w:t>采购人/代理机构</w:t>
      </w:r>
      <w:r>
        <w:rPr>
          <w:rFonts w:hint="eastAsia" w:ascii="宋体" w:hAnsi="宋体" w:eastAsia="宋体" w:cs="宋体"/>
          <w:bCs/>
          <w:color w:val="000000" w:themeColor="text1"/>
          <w:sz w:val="24"/>
          <w:szCs w:val="24"/>
          <w14:textFill>
            <w14:solidFill>
              <w14:schemeClr w14:val="tx1"/>
            </w14:solidFill>
          </w14:textFill>
        </w:rPr>
        <w:t>于</w:t>
      </w:r>
      <w:r>
        <w:rPr>
          <w:rFonts w:hint="eastAsia" w:ascii="宋体" w:hAnsi="宋体" w:eastAsia="宋体" w:cs="宋体"/>
          <w:color w:val="000000" w:themeColor="text1"/>
          <w:sz w:val="24"/>
          <w:szCs w:val="24"/>
          <w14:textFill>
            <w14:solidFill>
              <w14:schemeClr w14:val="tx1"/>
            </w14:solidFill>
          </w14:textFill>
        </w:rPr>
        <w:t>年月日，</w:t>
      </w:r>
      <w:r>
        <w:rPr>
          <w:rFonts w:hint="eastAsia" w:ascii="宋体" w:hAnsi="宋体" w:eastAsia="宋体" w:cs="宋体"/>
          <w:bCs/>
          <w:color w:val="000000" w:themeColor="text1"/>
          <w:sz w:val="24"/>
          <w:szCs w:val="24"/>
          <w14:textFill>
            <w14:solidFill>
              <w14:schemeClr w14:val="tx1"/>
            </w14:solidFill>
          </w14:textFill>
        </w:rPr>
        <w:t>就质疑事项作出了答复/没有在法定期限内作出答复。</w:t>
      </w:r>
    </w:p>
    <w:p w14:paraId="62B92053">
      <w:pPr>
        <w:pStyle w:val="14"/>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四、投诉事项具体内容</w:t>
      </w:r>
    </w:p>
    <w:p w14:paraId="2ECF37A7">
      <w:pPr>
        <w:pStyle w:val="14"/>
        <w:spacing w:line="360" w:lineRule="auto"/>
        <w:ind w:left="25" w:leftChars="12" w:firstLine="472" w:firstLineChars="197"/>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投诉事项1：</w:t>
      </w:r>
    </w:p>
    <w:p w14:paraId="7BC1030E">
      <w:pPr>
        <w:pStyle w:val="14"/>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事实依据：</w:t>
      </w:r>
    </w:p>
    <w:p w14:paraId="5BDBBACF">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p>
    <w:p w14:paraId="13D6EA55">
      <w:pPr>
        <w:pStyle w:val="14"/>
        <w:spacing w:line="360" w:lineRule="auto"/>
        <w:ind w:firstLine="480" w:firstLineChars="200"/>
        <w:rPr>
          <w:rFonts w:hint="eastAsia" w:ascii="宋体" w:hAnsi="宋体" w:eastAsia="宋体" w:cs="宋体"/>
          <w:bCs/>
          <w:color w:val="000000" w:themeColor="text1"/>
          <w:sz w:val="24"/>
          <w:szCs w:val="24"/>
          <w:u w:val="single"/>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法律依据：</w:t>
      </w:r>
    </w:p>
    <w:p w14:paraId="1D519AFC">
      <w:pPr>
        <w:pStyle w:val="14"/>
        <w:spacing w:line="360" w:lineRule="auto"/>
        <w:ind w:left="25" w:leftChars="12" w:firstLine="352" w:firstLineChars="147"/>
        <w:rPr>
          <w:rFonts w:hint="eastAsia" w:ascii="宋体" w:hAnsi="宋体" w:eastAsia="宋体" w:cs="宋体"/>
          <w:bCs/>
          <w:color w:val="000000" w:themeColor="text1"/>
          <w:sz w:val="24"/>
          <w:szCs w:val="24"/>
          <w:u w:val="single"/>
          <w14:textFill>
            <w14:solidFill>
              <w14:schemeClr w14:val="tx1"/>
            </w14:solidFill>
          </w14:textFill>
        </w:rPr>
      </w:pPr>
    </w:p>
    <w:p w14:paraId="5F7D5569">
      <w:pPr>
        <w:pStyle w:val="14"/>
        <w:spacing w:line="360" w:lineRule="auto"/>
        <w:ind w:left="25" w:leftChars="12" w:firstLine="472" w:firstLineChars="19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投诉事项2  </w:t>
      </w:r>
    </w:p>
    <w:p w14:paraId="0FFCFA3E">
      <w:pPr>
        <w:pStyle w:val="14"/>
        <w:spacing w:line="360" w:lineRule="auto"/>
        <w:ind w:left="25" w:leftChars="12" w:firstLine="472" w:firstLineChars="197"/>
        <w:rPr>
          <w:rFonts w:hint="eastAsia" w:ascii="宋体" w:hAnsi="宋体" w:eastAsia="宋体" w:cs="宋体"/>
          <w:bCs/>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w:t>
      </w:r>
    </w:p>
    <w:p w14:paraId="1DD9481F">
      <w:pPr>
        <w:pStyle w:val="14"/>
        <w:spacing w:line="360" w:lineRule="auto"/>
        <w:ind w:left="25" w:leftChars="12" w:firstLine="472" w:firstLineChars="196"/>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五、与投诉事项相关的投诉请求：</w:t>
      </w:r>
    </w:p>
    <w:p w14:paraId="1D0A5945">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请求：</w:t>
      </w:r>
    </w:p>
    <w:p w14:paraId="34ABB026">
      <w:pPr>
        <w:pStyle w:val="14"/>
        <w:spacing w:line="360" w:lineRule="auto"/>
        <w:ind w:left="25" w:leftChars="12" w:firstLine="352" w:firstLineChars="147"/>
        <w:rPr>
          <w:rFonts w:hint="eastAsia" w:ascii="宋体" w:hAnsi="宋体" w:eastAsia="宋体" w:cs="宋体"/>
          <w:color w:val="000000" w:themeColor="text1"/>
          <w:sz w:val="24"/>
          <w:szCs w:val="24"/>
          <w14:textFill>
            <w14:solidFill>
              <w14:schemeClr w14:val="tx1"/>
            </w14:solidFill>
          </w14:textFill>
        </w:rPr>
      </w:pPr>
    </w:p>
    <w:p w14:paraId="707BFE96">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签字（签章）：公章：</w:t>
      </w:r>
    </w:p>
    <w:p w14:paraId="321371DA">
      <w:pPr>
        <w:pStyle w:val="14"/>
        <w:spacing w:line="360" w:lineRule="auto"/>
        <w:ind w:left="25" w:leftChars="12" w:firstLine="352" w:firstLineChars="147"/>
        <w:rPr>
          <w:rFonts w:hint="eastAsia" w:ascii="宋体" w:hAnsi="宋体" w:eastAsia="宋体" w:cs="宋体"/>
          <w:color w:val="000000" w:themeColor="text1"/>
          <w:sz w:val="24"/>
          <w:szCs w:val="24"/>
          <w14:textFill>
            <w14:solidFill>
              <w14:schemeClr w14:val="tx1"/>
            </w14:solidFill>
          </w14:textFill>
        </w:rPr>
      </w:pPr>
    </w:p>
    <w:p w14:paraId="7077BF59">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日期：</w:t>
      </w:r>
    </w:p>
    <w:p w14:paraId="022668CF">
      <w:pPr>
        <w:pStyle w:val="14"/>
        <w:spacing w:line="360" w:lineRule="auto"/>
        <w:ind w:left="25" w:leftChars="12" w:firstLine="472" w:firstLineChars="197"/>
        <w:rPr>
          <w:rFonts w:hint="eastAsia" w:ascii="宋体" w:hAnsi="宋体" w:eastAsia="宋体" w:cs="宋体"/>
          <w:color w:val="000000" w:themeColor="text1"/>
          <w:sz w:val="24"/>
          <w:szCs w:val="24"/>
          <w14:textFill>
            <w14:solidFill>
              <w14:schemeClr w14:val="tx1"/>
            </w14:solidFill>
          </w14:textFill>
        </w:rPr>
      </w:pPr>
    </w:p>
    <w:p w14:paraId="5808226C">
      <w:pPr>
        <w:pStyle w:val="14"/>
        <w:snapToGrid w:val="0"/>
        <w:spacing w:line="360" w:lineRule="auto"/>
        <w:rPr>
          <w:rFonts w:hint="eastAsia" w:ascii="宋体" w:hAnsi="宋体" w:eastAsia="宋体" w:cs="宋体"/>
          <w:b/>
          <w:color w:val="000000" w:themeColor="text1"/>
          <w:sz w:val="24"/>
          <w:szCs w:val="24"/>
          <w14:textFill>
            <w14:solidFill>
              <w14:schemeClr w14:val="tx1"/>
            </w14:solidFill>
          </w14:textFill>
        </w:rPr>
      </w:pPr>
    </w:p>
    <w:p w14:paraId="33EFCC92">
      <w:pPr>
        <w:pStyle w:val="14"/>
        <w:snapToGrid w:val="0"/>
        <w:spacing w:line="360" w:lineRule="auto"/>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说明：</w:t>
      </w:r>
    </w:p>
    <w:p w14:paraId="4DE6CB1B">
      <w:pPr>
        <w:pStyle w:val="14"/>
        <w:spacing w:line="360" w:lineRule="auto"/>
        <w:ind w:left="25" w:leftChars="12" w:firstLine="354" w:firstLineChars="147"/>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1.投诉人提起投诉时，应当提交投诉书和必要的证明材料，并按照被投诉人和与投诉事项有关的供应商数量提供投诉书副本</w:t>
      </w:r>
      <w:r>
        <w:rPr>
          <w:rFonts w:hint="eastAsia" w:ascii="宋体" w:hAnsi="宋体" w:eastAsia="宋体" w:cs="宋体"/>
          <w:b/>
          <w:bCs/>
          <w:color w:val="000000" w:themeColor="text1"/>
          <w:sz w:val="24"/>
          <w:szCs w:val="24"/>
          <w14:textFill>
            <w14:solidFill>
              <w14:schemeClr w14:val="tx1"/>
            </w14:solidFill>
          </w14:textFill>
        </w:rPr>
        <w:t>。</w:t>
      </w:r>
    </w:p>
    <w:p w14:paraId="6276F23C">
      <w:pPr>
        <w:pStyle w:val="14"/>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80FF99B">
      <w:pPr>
        <w:pStyle w:val="14"/>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3.投诉书应简要列明质疑事项，质疑函、质疑答复等作为附件材料提供。</w:t>
      </w:r>
    </w:p>
    <w:p w14:paraId="1BD85B63">
      <w:pPr>
        <w:pStyle w:val="14"/>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4.投诉书的投诉事项应具体、明确，并有必要的事实依据和法律依据。</w:t>
      </w:r>
    </w:p>
    <w:p w14:paraId="7AB8DF40">
      <w:pPr>
        <w:pStyle w:val="14"/>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5.投诉书的投诉请求应与投诉事项相关。</w:t>
      </w:r>
    </w:p>
    <w:p w14:paraId="5385F9BF">
      <w:pPr>
        <w:pStyle w:val="14"/>
        <w:spacing w:line="360" w:lineRule="auto"/>
        <w:ind w:left="25" w:leftChars="12" w:firstLine="354" w:firstLineChars="147"/>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6.投诉人为法人或者其他组织的，投诉书应由法定代表人、主要负责人，或者其授权代表签字或者盖章，并加盖公章。</w:t>
      </w:r>
    </w:p>
    <w:p w14:paraId="0C747F80">
      <w:pPr>
        <w:pStyle w:val="2"/>
        <w:jc w:val="center"/>
        <w:rPr>
          <w:rFonts w:hint="eastAsia" w:ascii="宋体" w:hAnsi="宋体" w:eastAsia="宋体" w:cs="宋体"/>
          <w:b w:val="0"/>
          <w:bCs w:val="0"/>
          <w:color w:val="000000" w:themeColor="text1"/>
          <w:sz w:val="32"/>
          <w:szCs w:val="32"/>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bookmarkStart w:id="84" w:name="_Toc100252376"/>
      <w:r>
        <w:rPr>
          <w:rFonts w:hint="eastAsia" w:ascii="宋体" w:hAnsi="宋体" w:eastAsia="宋体" w:cs="宋体"/>
          <w:color w:val="000000" w:themeColor="text1"/>
          <w14:textFill>
            <w14:solidFill>
              <w14:schemeClr w14:val="tx1"/>
            </w14:solidFill>
          </w14:textFill>
        </w:rPr>
        <w:t>第六章</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合同文本</w:t>
      </w:r>
      <w:bookmarkEnd w:id="84"/>
    </w:p>
    <w:p w14:paraId="2F795A78">
      <w:pPr>
        <w:pStyle w:val="10"/>
        <w:spacing w:after="0"/>
        <w:jc w:val="center"/>
        <w:rPr>
          <w:rFonts w:hint="eastAsia" w:ascii="宋体" w:hAnsi="宋体" w:cs="宋体"/>
          <w:b/>
          <w:bCs/>
          <w:color w:val="auto"/>
          <w:spacing w:val="-20"/>
          <w:kern w:val="44"/>
          <w:sz w:val="48"/>
          <w:szCs w:val="48"/>
        </w:rPr>
      </w:pPr>
    </w:p>
    <w:p w14:paraId="4B14E43E">
      <w:pPr>
        <w:pStyle w:val="10"/>
        <w:spacing w:after="0"/>
        <w:jc w:val="center"/>
        <w:rPr>
          <w:rFonts w:hint="eastAsia" w:ascii="宋体" w:hAnsi="宋体" w:cs="宋体"/>
          <w:b/>
          <w:bCs/>
          <w:color w:val="auto"/>
          <w:spacing w:val="-20"/>
          <w:kern w:val="44"/>
          <w:sz w:val="48"/>
          <w:szCs w:val="48"/>
        </w:rPr>
      </w:pPr>
    </w:p>
    <w:p w14:paraId="3C12A481">
      <w:pPr>
        <w:pStyle w:val="10"/>
        <w:spacing w:after="0"/>
        <w:jc w:val="center"/>
        <w:rPr>
          <w:rFonts w:hint="eastAsia" w:ascii="宋体" w:hAnsi="宋体" w:cs="宋体"/>
          <w:b/>
          <w:bCs/>
          <w:color w:val="auto"/>
          <w:spacing w:val="-20"/>
          <w:kern w:val="44"/>
          <w:sz w:val="48"/>
          <w:szCs w:val="48"/>
        </w:rPr>
      </w:pPr>
      <w:r>
        <w:rPr>
          <w:rFonts w:hint="eastAsia" w:ascii="宋体" w:hAnsi="宋体" w:cs="宋体"/>
          <w:b/>
          <w:bCs/>
          <w:color w:val="auto"/>
          <w:spacing w:val="-20"/>
          <w:kern w:val="44"/>
          <w:sz w:val="48"/>
          <w:szCs w:val="48"/>
        </w:rPr>
        <w:t>政府采购</w:t>
      </w:r>
      <w:r>
        <w:rPr>
          <w:rFonts w:hint="eastAsia" w:ascii="宋体" w:hAnsi="宋体" w:cs="宋体"/>
          <w:b/>
          <w:bCs/>
          <w:color w:val="auto"/>
          <w:spacing w:val="-20"/>
          <w:kern w:val="44"/>
          <w:sz w:val="48"/>
          <w:szCs w:val="48"/>
          <w:lang w:eastAsia="zh-CN"/>
        </w:rPr>
        <w:t>货物买卖</w:t>
      </w:r>
      <w:r>
        <w:rPr>
          <w:rFonts w:hint="eastAsia" w:ascii="宋体" w:hAnsi="宋体" w:cs="宋体"/>
          <w:b/>
          <w:bCs/>
          <w:color w:val="auto"/>
          <w:spacing w:val="-20"/>
          <w:kern w:val="44"/>
          <w:sz w:val="48"/>
          <w:szCs w:val="48"/>
        </w:rPr>
        <w:t>合同</w:t>
      </w:r>
    </w:p>
    <w:p w14:paraId="47BDEA78">
      <w:pPr>
        <w:pStyle w:val="10"/>
        <w:spacing w:after="0"/>
        <w:jc w:val="center"/>
        <w:rPr>
          <w:rFonts w:hint="eastAsia" w:ascii="宋体" w:hAnsi="宋体" w:cs="宋体"/>
          <w:b/>
          <w:bCs/>
          <w:color w:val="auto"/>
          <w:spacing w:val="-20"/>
          <w:kern w:val="44"/>
          <w:sz w:val="48"/>
          <w:szCs w:val="48"/>
          <w:lang w:eastAsia="zh-CN"/>
        </w:rPr>
      </w:pPr>
      <w:r>
        <w:rPr>
          <w:rFonts w:hint="eastAsia" w:ascii="宋体" w:hAnsi="宋体" w:cs="宋体"/>
          <w:b/>
          <w:bCs/>
          <w:color w:val="auto"/>
          <w:spacing w:val="-20"/>
          <w:kern w:val="44"/>
          <w:sz w:val="48"/>
          <w:szCs w:val="48"/>
          <w:lang w:eastAsia="zh-CN"/>
        </w:rPr>
        <w:t>（试行）</w:t>
      </w:r>
    </w:p>
    <w:p w14:paraId="35DE6A29">
      <w:pPr>
        <w:rPr>
          <w:rFonts w:ascii="宋体" w:hAnsi="宋体" w:cs="宋体"/>
          <w:b/>
          <w:bCs/>
          <w:color w:val="auto"/>
          <w:spacing w:val="-20"/>
          <w:kern w:val="44"/>
          <w:sz w:val="40"/>
          <w:szCs w:val="40"/>
        </w:rPr>
      </w:pPr>
    </w:p>
    <w:p w14:paraId="053BFCAB">
      <w:pPr>
        <w:rPr>
          <w:rFonts w:ascii="宋体" w:hAnsi="宋体" w:cs="宋体"/>
          <w:b/>
          <w:bCs/>
          <w:color w:val="auto"/>
          <w:spacing w:val="-20"/>
          <w:kern w:val="44"/>
          <w:sz w:val="40"/>
          <w:szCs w:val="40"/>
        </w:rPr>
      </w:pPr>
    </w:p>
    <w:p w14:paraId="0D1BA4EE">
      <w:pPr>
        <w:rPr>
          <w:rFonts w:ascii="宋体" w:hAnsi="宋体" w:cs="宋体"/>
          <w:b/>
          <w:bCs/>
          <w:color w:val="auto"/>
          <w:spacing w:val="-20"/>
          <w:kern w:val="44"/>
          <w:sz w:val="40"/>
          <w:szCs w:val="40"/>
        </w:rPr>
      </w:pPr>
    </w:p>
    <w:p w14:paraId="5A55C171">
      <w:pPr>
        <w:spacing w:line="360" w:lineRule="auto"/>
        <w:ind w:left="420" w:leftChars="200"/>
        <w:rPr>
          <w:rFonts w:hint="eastAsia" w:eastAsia="宋体"/>
          <w:color w:val="auto"/>
          <w:sz w:val="32"/>
          <w:szCs w:val="32"/>
          <w:lang w:eastAsia="zh-CN"/>
        </w:rPr>
      </w:pPr>
      <w:r>
        <w:rPr>
          <w:rFonts w:hint="eastAsia" w:ascii="宋体" w:hAnsi="宋体" w:cs="宋体"/>
          <w:color w:val="auto"/>
          <w:kern w:val="0"/>
          <w:sz w:val="32"/>
          <w:szCs w:val="32"/>
        </w:rPr>
        <w:t>项目名称：</w:t>
      </w:r>
      <w:r>
        <w:rPr>
          <w:rFonts w:hint="eastAsia" w:ascii="宋体" w:hAnsi="宋体" w:cs="宋体"/>
          <w:color w:val="auto"/>
          <w:kern w:val="0"/>
          <w:sz w:val="32"/>
          <w:szCs w:val="32"/>
          <w:u w:val="single"/>
          <w:lang w:eastAsia="zh-CN"/>
        </w:rPr>
        <w:t>灵山县人民医院2024年学科方案第六批医疗设备采购（重2）</w:t>
      </w:r>
    </w:p>
    <w:p w14:paraId="638EEA2D">
      <w:pPr>
        <w:spacing w:line="360" w:lineRule="auto"/>
        <w:ind w:left="420" w:leftChars="200"/>
        <w:rPr>
          <w:rFonts w:hint="eastAsia" w:eastAsia="宋体"/>
          <w:color w:val="auto"/>
          <w:sz w:val="32"/>
          <w:szCs w:val="32"/>
          <w:u w:val="single"/>
          <w:lang w:eastAsia="zh-CN"/>
        </w:rPr>
      </w:pPr>
      <w:r>
        <w:rPr>
          <w:rFonts w:hint="eastAsia"/>
          <w:color w:val="auto"/>
          <w:sz w:val="32"/>
          <w:szCs w:val="32"/>
        </w:rPr>
        <w:t>合同编号：</w:t>
      </w:r>
      <w:r>
        <w:rPr>
          <w:rFonts w:hint="eastAsia"/>
          <w:color w:val="auto"/>
          <w:sz w:val="32"/>
          <w:szCs w:val="32"/>
          <w:u w:val="single"/>
          <w:lang w:eastAsia="zh-CN"/>
        </w:rPr>
        <w:t>QZZC2025-J1-210049-HCZX</w:t>
      </w:r>
    </w:p>
    <w:p w14:paraId="27F575E4">
      <w:pPr>
        <w:spacing w:line="360" w:lineRule="auto"/>
        <w:ind w:left="420" w:leftChars="200"/>
        <w:rPr>
          <w:color w:val="auto"/>
          <w:sz w:val="32"/>
          <w:szCs w:val="32"/>
        </w:rPr>
      </w:pPr>
      <w:r>
        <w:rPr>
          <w:rFonts w:hint="eastAsia"/>
          <w:color w:val="auto"/>
          <w:sz w:val="32"/>
          <w:szCs w:val="32"/>
        </w:rPr>
        <w:t>甲    方：</w:t>
      </w:r>
      <w:r>
        <w:rPr>
          <w:rFonts w:hint="eastAsia" w:ascii="宋体" w:hAnsi="宋体" w:cs="宋体"/>
          <w:color w:val="auto"/>
          <w:kern w:val="0"/>
          <w:sz w:val="32"/>
          <w:szCs w:val="32"/>
          <w:u w:val="single"/>
        </w:rPr>
        <w:t>灵山县人民医院</w:t>
      </w:r>
    </w:p>
    <w:p w14:paraId="55486821">
      <w:pPr>
        <w:spacing w:line="360" w:lineRule="auto"/>
        <w:ind w:left="420" w:leftChars="200"/>
        <w:rPr>
          <w:color w:val="auto"/>
          <w:sz w:val="32"/>
          <w:szCs w:val="32"/>
          <w:u w:val="single"/>
        </w:rPr>
      </w:pPr>
      <w:r>
        <w:rPr>
          <w:rFonts w:hint="eastAsia"/>
          <w:color w:val="auto"/>
          <w:sz w:val="32"/>
          <w:szCs w:val="32"/>
        </w:rPr>
        <w:t>乙    方：</w:t>
      </w:r>
      <w:r>
        <w:rPr>
          <w:rFonts w:hint="eastAsia"/>
          <w:color w:val="auto"/>
          <w:sz w:val="32"/>
          <w:szCs w:val="32"/>
          <w:u w:val="single"/>
        </w:rPr>
        <w:t xml:space="preserve">                             </w:t>
      </w:r>
    </w:p>
    <w:p w14:paraId="16672582">
      <w:pPr>
        <w:spacing w:line="360" w:lineRule="auto"/>
        <w:ind w:left="420" w:leftChars="200"/>
        <w:rPr>
          <w:color w:val="auto"/>
          <w:sz w:val="32"/>
          <w:szCs w:val="32"/>
        </w:rPr>
      </w:pPr>
      <w:r>
        <w:rPr>
          <w:rFonts w:hint="eastAsia"/>
          <w:color w:val="auto"/>
          <w:sz w:val="32"/>
          <w:szCs w:val="32"/>
        </w:rPr>
        <w:t>签订时间：</w:t>
      </w:r>
      <w:r>
        <w:rPr>
          <w:rFonts w:hint="eastAsia"/>
          <w:color w:val="auto"/>
          <w:sz w:val="32"/>
          <w:szCs w:val="32"/>
          <w:u w:val="single"/>
          <w:lang w:eastAsia="zh-CN"/>
        </w:rPr>
        <w:t>2025年</w:t>
      </w:r>
      <w:r>
        <w:rPr>
          <w:rFonts w:hint="eastAsia"/>
          <w:color w:val="auto"/>
          <w:sz w:val="32"/>
          <w:szCs w:val="32"/>
          <w:u w:val="single"/>
        </w:rPr>
        <w:t xml:space="preserve">    月    日</w:t>
      </w:r>
    </w:p>
    <w:p w14:paraId="03184770">
      <w:pPr>
        <w:rPr>
          <w:color w:val="auto"/>
        </w:rPr>
      </w:pPr>
    </w:p>
    <w:p w14:paraId="693EA48A">
      <w:pPr>
        <w:rPr>
          <w:rFonts w:eastAsia="黑体"/>
          <w:color w:val="auto"/>
          <w:sz w:val="44"/>
          <w:szCs w:val="44"/>
        </w:rPr>
      </w:pPr>
      <w:r>
        <w:rPr>
          <w:rFonts w:eastAsia="黑体"/>
          <w:color w:val="auto"/>
          <w:sz w:val="44"/>
          <w:szCs w:val="44"/>
        </w:rPr>
        <w:br w:type="page"/>
      </w:r>
    </w:p>
    <w:p w14:paraId="55BFC5C7">
      <w:pPr>
        <w:rPr>
          <w:rFonts w:eastAsia="黑体"/>
          <w:color w:val="auto"/>
          <w:sz w:val="44"/>
          <w:szCs w:val="44"/>
        </w:rPr>
      </w:pPr>
    </w:p>
    <w:p w14:paraId="64634283">
      <w:pPr>
        <w:rPr>
          <w:rFonts w:eastAsia="黑体"/>
          <w:color w:val="auto"/>
          <w:sz w:val="44"/>
          <w:szCs w:val="44"/>
        </w:rPr>
      </w:pPr>
    </w:p>
    <w:p w14:paraId="01624EA5">
      <w:pPr>
        <w:jc w:val="center"/>
        <w:rPr>
          <w:rFonts w:hint="eastAsia" w:eastAsia="黑体"/>
          <w:color w:val="auto"/>
          <w:sz w:val="44"/>
          <w:szCs w:val="44"/>
        </w:rPr>
      </w:pPr>
      <w:r>
        <w:rPr>
          <w:rFonts w:hint="eastAsia" w:eastAsia="黑体"/>
          <w:color w:val="auto"/>
          <w:sz w:val="44"/>
          <w:szCs w:val="44"/>
        </w:rPr>
        <w:t>使 用 说 明</w:t>
      </w:r>
    </w:p>
    <w:p w14:paraId="15C15AEC">
      <w:pPr>
        <w:ind w:firstLine="640" w:firstLineChars="200"/>
        <w:rPr>
          <w:rFonts w:hint="eastAsia" w:ascii="仿宋_GB2312" w:hAnsi="仿宋_GB2312" w:eastAsia="仿宋_GB2312" w:cs="仿宋_GB2312"/>
          <w:color w:val="auto"/>
          <w:sz w:val="32"/>
          <w:szCs w:val="32"/>
        </w:rPr>
      </w:pPr>
    </w:p>
    <w:p w14:paraId="4E4A8278">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1.本合同标准文本适用于购买现成货物的采购项目，不包括需要供应商定制开发、创新研发的货物采购项目。</w:t>
      </w:r>
    </w:p>
    <w:p w14:paraId="677FC8EB">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2.本合同标准文本为政府采购货物买卖合同编制提供参考，可以结合采购项目具体情况，对文本作必要的调整修订后使用。</w:t>
      </w:r>
    </w:p>
    <w:p w14:paraId="7D8EA37D">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3.本合同标准文本各条款中，如涉及填写多家供应商、制造商，多种采购标的、分包主要内容等信息的，可根据采购项目具体情况添加信息项。</w:t>
      </w:r>
    </w:p>
    <w:p w14:paraId="0D77E7F5">
      <w:pPr>
        <w:ind w:firstLine="880" w:firstLineChars="200"/>
        <w:rPr>
          <w:rFonts w:eastAsia="黑体"/>
          <w:color w:val="auto"/>
          <w:sz w:val="44"/>
          <w:szCs w:val="44"/>
        </w:rPr>
        <w:sectPr>
          <w:headerReference r:id="rId7" w:type="default"/>
          <w:footerReference r:id="rId8" w:type="default"/>
          <w:pgSz w:w="11906" w:h="16838"/>
          <w:pgMar w:top="1134" w:right="1134" w:bottom="1134" w:left="1134" w:header="851" w:footer="992" w:gutter="0"/>
          <w:pgNumType w:fmt="decimal" w:start="32"/>
          <w:cols w:space="720" w:num="1"/>
          <w:docGrid w:type="lines" w:linePitch="312" w:charSpace="0"/>
        </w:sectPr>
      </w:pPr>
    </w:p>
    <w:p w14:paraId="4657CC98">
      <w:pPr>
        <w:pStyle w:val="3"/>
        <w:adjustRightInd w:val="0"/>
        <w:snapToGrid w:val="0"/>
        <w:spacing w:before="0" w:after="0" w:line="400" w:lineRule="exact"/>
        <w:jc w:val="center"/>
        <w:rPr>
          <w:rFonts w:hint="eastAsia" w:ascii="宋体" w:hAnsi="宋体" w:eastAsia="宋体" w:cs="宋体"/>
          <w:b w:val="0"/>
          <w:bCs w:val="0"/>
          <w:color w:val="auto"/>
          <w:sz w:val="28"/>
          <w:szCs w:val="28"/>
        </w:rPr>
      </w:pPr>
      <w:bookmarkStart w:id="85" w:name="_Toc7233"/>
      <w:bookmarkStart w:id="86" w:name="_Toc22209"/>
      <w:r>
        <w:rPr>
          <w:rFonts w:hint="eastAsia" w:ascii="宋体" w:hAnsi="宋体" w:eastAsia="宋体" w:cs="宋体"/>
          <w:color w:val="auto"/>
          <w:sz w:val="28"/>
          <w:szCs w:val="28"/>
        </w:rPr>
        <w:t>第一节 政府采购合同协议书</w:t>
      </w:r>
      <w:bookmarkEnd w:id="85"/>
      <w:bookmarkEnd w:id="86"/>
    </w:p>
    <w:p w14:paraId="58F69F1D">
      <w:pPr>
        <w:adjustRightInd w:val="0"/>
        <w:snapToGrid w:val="0"/>
        <w:spacing w:line="400" w:lineRule="exact"/>
        <w:rPr>
          <w:rFonts w:hint="eastAsia" w:ascii="宋体" w:hAnsi="宋体" w:cs="宋体"/>
          <w:color w:val="auto"/>
          <w:szCs w:val="21"/>
        </w:rPr>
      </w:pPr>
    </w:p>
    <w:p w14:paraId="79612E90">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灵山县人民医院</w:t>
      </w:r>
    </w:p>
    <w:p w14:paraId="00C0EE65">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（供应商）</w:t>
      </w:r>
    </w:p>
    <w:p w14:paraId="09D50C2C">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依据《中华人民共和国民法典》、《中华人民共和国政府采购法》等有关的法律法规，以及本采购项目的招标/谈判文件等招标文件、乙方的《投标（响应）文件》及《中标（成交）通知书》，甲乙双方同意签订本合同。具体情况及要求如下：</w:t>
      </w:r>
    </w:p>
    <w:p w14:paraId="77D049A5">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1.项目信息</w:t>
      </w:r>
    </w:p>
    <w:p w14:paraId="40110CFC">
      <w:pPr>
        <w:adjustRightInd w:val="0"/>
        <w:snapToGrid w:val="0"/>
        <w:spacing w:line="400" w:lineRule="exact"/>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（1）采购项目名称：</w:t>
      </w:r>
      <w:r>
        <w:rPr>
          <w:rFonts w:hint="eastAsia" w:ascii="宋体" w:hAnsi="宋体" w:cs="宋体"/>
          <w:color w:val="auto"/>
          <w:szCs w:val="21"/>
          <w:u w:val="single"/>
          <w:lang w:eastAsia="zh-CN"/>
        </w:rPr>
        <w:t>灵山县人民医院2024年学科方案第六批医疗设备采购（重2）</w:t>
      </w:r>
    </w:p>
    <w:p w14:paraId="414A4147">
      <w:pPr>
        <w:adjustRightInd w:val="0"/>
        <w:snapToGrid w:val="0"/>
        <w:spacing w:line="400" w:lineRule="exact"/>
        <w:ind w:firstLine="840" w:firstLineChars="400"/>
        <w:rPr>
          <w:rFonts w:hint="eastAsia" w:ascii="宋体" w:hAnsi="宋体" w:eastAsia="宋体" w:cs="宋体"/>
          <w:color w:val="auto"/>
          <w:szCs w:val="21"/>
          <w:lang w:eastAsia="zh-CN"/>
        </w:rPr>
      </w:pPr>
      <w:r>
        <w:rPr>
          <w:rFonts w:hint="eastAsia" w:ascii="宋体" w:hAnsi="宋体" w:eastAsia="宋体" w:cs="宋体"/>
          <w:color w:val="auto"/>
          <w:szCs w:val="21"/>
        </w:rPr>
        <w:t>采购项目编号：</w:t>
      </w:r>
      <w:r>
        <w:rPr>
          <w:rFonts w:hint="eastAsia" w:ascii="宋体" w:hAnsi="宋体" w:cs="宋体"/>
          <w:color w:val="auto"/>
          <w:szCs w:val="21"/>
          <w:u w:val="single"/>
          <w:lang w:eastAsia="zh-CN"/>
        </w:rPr>
        <w:t>QZZC2025-J1-210049-HCZX</w:t>
      </w:r>
    </w:p>
    <w:p w14:paraId="66A0DA8D">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（2）采购计划编号：</w:t>
      </w:r>
      <w:r>
        <w:rPr>
          <w:rFonts w:hint="eastAsia" w:ascii="宋体" w:hAnsi="宋体" w:eastAsia="宋体" w:cs="宋体"/>
          <w:color w:val="auto"/>
          <w:szCs w:val="21"/>
          <w:u w:val="single"/>
        </w:rPr>
        <w:t xml:space="preserve"> LSZC2025-J1-00371 </w:t>
      </w:r>
    </w:p>
    <w:p w14:paraId="19C556B7">
      <w:pPr>
        <w:adjustRightInd w:val="0"/>
        <w:snapToGrid w:val="0"/>
        <w:spacing w:line="40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（3）项目内容：</w:t>
      </w:r>
    </w:p>
    <w:p w14:paraId="6EB077C6">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采购标的及数量（台/套</w:t>
      </w:r>
      <w:r>
        <w:rPr>
          <w:rFonts w:hint="eastAsia" w:ascii="宋体" w:hAnsi="宋体" w:cs="宋体"/>
          <w:color w:val="auto"/>
          <w:szCs w:val="21"/>
          <w:lang w:val="en"/>
        </w:rPr>
        <w:t>/个/架/组等</w:t>
      </w:r>
      <w:r>
        <w:rPr>
          <w:rFonts w:hint="eastAsia" w:ascii="宋体" w:hAnsi="宋体" w:cs="宋体"/>
          <w:color w:val="auto"/>
          <w:szCs w:val="21"/>
        </w:rPr>
        <w:t>）：</w:t>
      </w:r>
      <w:r>
        <w:rPr>
          <w:rFonts w:hint="eastAsia" w:ascii="宋体" w:hAnsi="宋体" w:cs="宋体"/>
          <w:color w:val="auto"/>
          <w:szCs w:val="21"/>
          <w:u w:val="single"/>
        </w:rPr>
        <w:t xml:space="preserve">                       </w:t>
      </w:r>
    </w:p>
    <w:p w14:paraId="3D31E8DD">
      <w:pPr>
        <w:adjustRightInd w:val="0"/>
        <w:snapToGrid w:val="0"/>
        <w:spacing w:line="400" w:lineRule="exact"/>
        <w:ind w:firstLine="420" w:firstLineChars="200"/>
        <w:rPr>
          <w:rFonts w:hint="eastAsia" w:ascii="宋体" w:hAnsi="宋体" w:cs="宋体"/>
          <w:color w:val="auto"/>
          <w:szCs w:val="21"/>
          <w:lang w:val="en"/>
        </w:rPr>
      </w:pP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hint="eastAsia" w:ascii="宋体" w:hAnsi="宋体" w:cs="宋体"/>
          <w:color w:val="auto"/>
          <w:szCs w:val="21"/>
          <w:lang w:val="en"/>
        </w:rPr>
        <w:t xml:space="preserve">     </w:t>
      </w:r>
      <w:r>
        <w:rPr>
          <w:rFonts w:hint="eastAsia" w:ascii="宋体" w:hAnsi="宋体" w:cs="宋体"/>
          <w:color w:val="auto"/>
          <w:szCs w:val="21"/>
        </w:rPr>
        <w:t>规格型号：</w:t>
      </w:r>
      <w:r>
        <w:rPr>
          <w:rFonts w:hint="eastAsia" w:ascii="宋体" w:hAnsi="宋体" w:cs="宋体"/>
          <w:color w:val="auto"/>
          <w:szCs w:val="21"/>
          <w:u w:val="single"/>
        </w:rPr>
        <w:t xml:space="preserve">   </w:t>
      </w:r>
      <w:r>
        <w:rPr>
          <w:rFonts w:hint="eastAsia" w:ascii="宋体" w:hAnsi="宋体" w:cs="宋体"/>
          <w:color w:val="auto"/>
          <w:szCs w:val="21"/>
          <w:u w:val="single"/>
          <w:lang w:val="en"/>
        </w:rPr>
        <w:t xml:space="preserve">  </w:t>
      </w:r>
      <w:r>
        <w:rPr>
          <w:rFonts w:hint="eastAsia" w:ascii="宋体" w:hAnsi="宋体" w:cs="宋体"/>
          <w:color w:val="auto"/>
          <w:szCs w:val="21"/>
          <w:u w:val="single"/>
        </w:rPr>
        <w:t xml:space="preserve">       </w:t>
      </w:r>
      <w:r>
        <w:rPr>
          <w:rFonts w:hint="eastAsia" w:ascii="宋体" w:hAnsi="宋体" w:cs="宋体"/>
          <w:color w:val="auto"/>
          <w:szCs w:val="21"/>
          <w:u w:val="single"/>
          <w:lang w:val="en"/>
        </w:rPr>
        <w:t xml:space="preserve">   </w:t>
      </w:r>
    </w:p>
    <w:p w14:paraId="7F005BC2">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采购标的的技术要求、商务要求具体见附件。</w:t>
      </w:r>
    </w:p>
    <w:p w14:paraId="3BE8EA8B">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①涉及信息类产品，请填写该产品关键部件的品牌、型号：</w:t>
      </w:r>
    </w:p>
    <w:p w14:paraId="079D22A0">
      <w:pPr>
        <w:adjustRightInd w:val="0"/>
        <w:snapToGrid w:val="0"/>
        <w:spacing w:line="400" w:lineRule="exact"/>
        <w:ind w:firstLine="420" w:firstLineChars="200"/>
        <w:rPr>
          <w:rFonts w:hint="eastAsia" w:ascii="宋体" w:hAnsi="宋体" w:cs="宋体"/>
          <w:color w:val="auto"/>
          <w:kern w:val="0"/>
          <w:szCs w:val="21"/>
          <w:u w:val="single"/>
        </w:rPr>
      </w:pPr>
      <w:r>
        <w:rPr>
          <w:rFonts w:hint="eastAsia" w:ascii="宋体" w:hAnsi="宋体" w:cs="宋体"/>
          <w:color w:val="auto"/>
          <w:szCs w:val="21"/>
        </w:rPr>
        <w:t>标的名称：</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
        </w:rPr>
        <w:t xml:space="preserve">               </w:t>
      </w:r>
      <w:r>
        <w:rPr>
          <w:rFonts w:hint="eastAsia" w:ascii="宋体" w:hAnsi="宋体" w:cs="宋体"/>
          <w:color w:val="auto"/>
          <w:kern w:val="0"/>
          <w:szCs w:val="21"/>
          <w:u w:val="single"/>
        </w:rPr>
        <w:t xml:space="preserve">    </w:t>
      </w:r>
    </w:p>
    <w:p w14:paraId="4DD3A23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关键部件：</w:t>
      </w:r>
      <w:r>
        <w:rPr>
          <w:rFonts w:hint="eastAsia" w:ascii="宋体" w:hAnsi="宋体" w:cs="宋体"/>
          <w:color w:val="auto"/>
          <w:kern w:val="0"/>
          <w:szCs w:val="21"/>
          <w:u w:val="single"/>
        </w:rPr>
        <w:t xml:space="preserve">          </w:t>
      </w:r>
      <w:r>
        <w:rPr>
          <w:rFonts w:hint="eastAsia" w:ascii="宋体" w:hAnsi="宋体" w:cs="宋体"/>
          <w:color w:val="auto"/>
          <w:kern w:val="0"/>
          <w:szCs w:val="21"/>
        </w:rPr>
        <w:t xml:space="preserve"> </w:t>
      </w:r>
      <w:r>
        <w:rPr>
          <w:rFonts w:hint="eastAsia" w:ascii="宋体" w:hAnsi="宋体" w:cs="宋体"/>
          <w:color w:val="auto"/>
          <w:szCs w:val="21"/>
        </w:rPr>
        <w:t>品牌：</w:t>
      </w:r>
      <w:r>
        <w:rPr>
          <w:rFonts w:hint="eastAsia" w:ascii="宋体" w:hAnsi="宋体" w:cs="宋体"/>
          <w:color w:val="auto"/>
          <w:szCs w:val="21"/>
          <w:u w:val="single"/>
        </w:rPr>
        <w:t xml:space="preserve">        </w:t>
      </w:r>
      <w:r>
        <w:rPr>
          <w:rFonts w:hint="eastAsia" w:ascii="宋体" w:hAnsi="宋体" w:cs="宋体"/>
          <w:color w:val="auto"/>
          <w:szCs w:val="21"/>
        </w:rPr>
        <w:t xml:space="preserve"> 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5FB44D80">
      <w:pPr>
        <w:pStyle w:val="125"/>
        <w:ind w:firstLine="420"/>
        <w:rPr>
          <w:rFonts w:hint="eastAsia" w:ascii="宋体" w:hAnsi="宋体" w:eastAsia="宋体" w:cs="宋体"/>
          <w:color w:val="auto"/>
          <w:sz w:val="21"/>
        </w:rPr>
      </w:pPr>
      <w:r>
        <w:rPr>
          <w:rFonts w:hint="eastAsia" w:ascii="宋体" w:hAnsi="宋体" w:eastAsia="宋体" w:cs="宋体"/>
          <w:color w:val="auto"/>
          <w:kern w:val="2"/>
          <w:sz w:val="21"/>
        </w:rPr>
        <w:t>关键部件</w:t>
      </w:r>
      <w:r>
        <w:rPr>
          <w:rFonts w:hint="eastAsia" w:ascii="宋体" w:hAnsi="宋体" w:eastAsia="宋体" w:cs="宋体"/>
          <w:color w:val="auto"/>
          <w:sz w:val="21"/>
        </w:rPr>
        <w:t>：</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7D837FA4">
      <w:pPr>
        <w:pStyle w:val="125"/>
        <w:ind w:firstLine="420"/>
        <w:rPr>
          <w:rFonts w:hint="eastAsia" w:ascii="宋体" w:hAnsi="宋体" w:eastAsia="宋体" w:cs="宋体"/>
          <w:color w:val="auto"/>
          <w:sz w:val="21"/>
        </w:rPr>
      </w:pPr>
      <w:r>
        <w:rPr>
          <w:rFonts w:hint="eastAsia" w:ascii="宋体" w:hAnsi="宋体" w:eastAsia="宋体" w:cs="宋体"/>
          <w:color w:val="auto"/>
          <w:sz w:val="21"/>
        </w:rPr>
        <w:t>关键部件：</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品牌：</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型号：</w:t>
      </w:r>
      <w:r>
        <w:rPr>
          <w:rFonts w:hint="eastAsia" w:ascii="宋体" w:hAnsi="宋体" w:eastAsia="宋体" w:cs="宋体"/>
          <w:color w:val="auto"/>
          <w:sz w:val="21"/>
          <w:u w:val="single"/>
        </w:rPr>
        <w:t xml:space="preserve">       </w:t>
      </w:r>
    </w:p>
    <w:p w14:paraId="123345F4">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注：关键部件是指财政部会同有关部门发布的政府采购需求标准规定的需要通过国家有关部门指定的测评机构开展的安全可靠测评的软硬件，如CPU芯片、操作系统、数据库等。）</w:t>
      </w:r>
    </w:p>
    <w:p w14:paraId="2F8919A3">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②涉及车辆采购，请填写是否属于新能源汽车：</w:t>
      </w:r>
    </w:p>
    <w:p w14:paraId="19AFE178">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□是，《政府采购品目分类目录》底级品目名称：</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数量：</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金额：</w:t>
      </w:r>
      <w:r>
        <w:rPr>
          <w:rFonts w:hint="eastAsia" w:ascii="宋体" w:hAnsi="宋体" w:eastAsia="宋体" w:cs="宋体"/>
          <w:color w:val="auto"/>
          <w:sz w:val="21"/>
          <w:u w:val="single"/>
        </w:rPr>
        <w:t xml:space="preserve">     </w:t>
      </w:r>
      <w:r>
        <w:rPr>
          <w:rFonts w:hint="eastAsia" w:ascii="宋体" w:hAnsi="宋体" w:eastAsia="宋体" w:cs="宋体"/>
          <w:color w:val="auto"/>
          <w:sz w:val="21"/>
        </w:rPr>
        <w:t xml:space="preserve"> </w:t>
      </w:r>
    </w:p>
    <w:p w14:paraId="4761F264">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□否</w:t>
      </w:r>
    </w:p>
    <w:p w14:paraId="4179C668">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
        </w:rPr>
        <w:t>4</w:t>
      </w:r>
      <w:r>
        <w:rPr>
          <w:rFonts w:hint="eastAsia" w:ascii="宋体" w:hAnsi="宋体" w:eastAsia="宋体" w:cs="宋体"/>
          <w:color w:val="auto"/>
          <w:sz w:val="21"/>
        </w:rPr>
        <w:t>）政府采购组织形式：□政府集中采购  □部门集中采购  □分散采购</w:t>
      </w:r>
    </w:p>
    <w:p w14:paraId="74F5F47D">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sz w:val="21"/>
          <w:lang w:val="en"/>
        </w:rPr>
        <w:t>5</w:t>
      </w:r>
      <w:r>
        <w:rPr>
          <w:rFonts w:hint="eastAsia" w:ascii="宋体" w:hAnsi="宋体" w:eastAsia="宋体" w:cs="宋体"/>
          <w:color w:val="auto"/>
          <w:sz w:val="21"/>
        </w:rPr>
        <w:t>）政府采购方式：□公开招标  □邀请招标  □竞争性谈判  □竞争性磋商</w:t>
      </w:r>
    </w:p>
    <w:p w14:paraId="652C0980">
      <w:pPr>
        <w:pStyle w:val="125"/>
        <w:snapToGrid w:val="0"/>
        <w:ind w:firstLine="2520" w:firstLineChars="1200"/>
        <w:rPr>
          <w:rFonts w:hint="eastAsia" w:ascii="宋体" w:hAnsi="宋体" w:eastAsia="宋体" w:cs="宋体"/>
          <w:color w:val="auto"/>
          <w:sz w:val="21"/>
          <w:u w:val="single"/>
        </w:rPr>
      </w:pPr>
      <w:r>
        <w:rPr>
          <w:rFonts w:hint="eastAsia" w:ascii="宋体" w:hAnsi="宋体" w:eastAsia="宋体" w:cs="宋体"/>
          <w:color w:val="auto"/>
          <w:sz w:val="21"/>
        </w:rPr>
        <w:t>□询价  □单一来源  □框架协议  □其他：</w:t>
      </w:r>
      <w:r>
        <w:rPr>
          <w:rFonts w:hint="eastAsia" w:ascii="宋体" w:hAnsi="宋体" w:eastAsia="宋体" w:cs="宋体"/>
          <w:color w:val="auto"/>
          <w:sz w:val="21"/>
          <w:u w:val="single"/>
        </w:rPr>
        <w:t xml:space="preserve">          </w:t>
      </w:r>
    </w:p>
    <w:p w14:paraId="0290D393">
      <w:pPr>
        <w:pStyle w:val="125"/>
        <w:snapToGrid w:val="0"/>
        <w:ind w:firstLine="420"/>
        <w:rPr>
          <w:rFonts w:hint="eastAsia" w:ascii="宋体" w:hAnsi="宋体" w:eastAsia="宋体" w:cs="宋体"/>
          <w:color w:val="auto"/>
          <w:sz w:val="21"/>
        </w:rPr>
      </w:pPr>
      <w:r>
        <w:rPr>
          <w:rFonts w:hint="eastAsia" w:ascii="宋体" w:hAnsi="宋体" w:eastAsia="宋体" w:cs="宋体"/>
          <w:color w:val="auto"/>
          <w:sz w:val="21"/>
        </w:rPr>
        <w:t>（注：在框架协议采购的第二阶段，可选择使用该合同文本）</w:t>
      </w:r>
    </w:p>
    <w:p w14:paraId="4F1BCA40">
      <w:pPr>
        <w:pStyle w:val="125"/>
        <w:snapToGrid w:val="0"/>
        <w:ind w:firstLine="420"/>
        <w:rPr>
          <w:rFonts w:hint="eastAsia" w:ascii="宋体" w:hAnsi="宋体" w:eastAsia="宋体" w:cs="宋体"/>
          <w:color w:val="auto"/>
          <w:kern w:val="2"/>
          <w:sz w:val="21"/>
        </w:rPr>
      </w:pPr>
      <w:r>
        <w:rPr>
          <w:rFonts w:hint="eastAsia" w:ascii="宋体" w:hAnsi="宋体" w:eastAsia="宋体" w:cs="宋体"/>
          <w:color w:val="auto"/>
          <w:sz w:val="21"/>
        </w:rPr>
        <w:t>（</w:t>
      </w:r>
      <w:r>
        <w:rPr>
          <w:rFonts w:hint="eastAsia" w:ascii="宋体" w:hAnsi="宋体" w:eastAsia="宋体" w:cs="宋体"/>
          <w:color w:val="auto"/>
          <w:sz w:val="21"/>
          <w:lang w:val="en"/>
        </w:rPr>
        <w:t>6</w:t>
      </w:r>
      <w:r>
        <w:rPr>
          <w:rFonts w:hint="eastAsia" w:ascii="宋体" w:hAnsi="宋体" w:eastAsia="宋体" w:cs="宋体"/>
          <w:color w:val="auto"/>
          <w:sz w:val="21"/>
        </w:rPr>
        <w:t>）</w:t>
      </w:r>
      <w:r>
        <w:rPr>
          <w:rFonts w:hint="eastAsia" w:ascii="宋体" w:hAnsi="宋体" w:eastAsia="宋体" w:cs="宋体"/>
          <w:color w:val="auto"/>
          <w:kern w:val="2"/>
          <w:sz w:val="21"/>
        </w:rPr>
        <w:t>中标（成交）采购标的制造商是否为中小企业：</w:t>
      </w:r>
      <w:r>
        <w:rPr>
          <w:rFonts w:hint="eastAsia" w:ascii="宋体" w:hAnsi="宋体" w:eastAsia="宋体" w:cs="宋体"/>
          <w:color w:val="auto"/>
          <w:sz w:val="21"/>
        </w:rPr>
        <w:t>□</w:t>
      </w:r>
      <w:r>
        <w:rPr>
          <w:rFonts w:hint="eastAsia" w:ascii="宋体" w:hAnsi="宋体" w:eastAsia="宋体" w:cs="宋体"/>
          <w:color w:val="auto"/>
          <w:kern w:val="2"/>
          <w:sz w:val="21"/>
        </w:rPr>
        <w:t xml:space="preserve">是      </w:t>
      </w:r>
      <w:r>
        <w:rPr>
          <w:rFonts w:hint="eastAsia" w:ascii="宋体" w:hAnsi="宋体" w:eastAsia="宋体" w:cs="宋体"/>
          <w:color w:val="auto"/>
          <w:sz w:val="21"/>
        </w:rPr>
        <w:t>□</w:t>
      </w:r>
      <w:r>
        <w:rPr>
          <w:rFonts w:hint="eastAsia" w:ascii="宋体" w:hAnsi="宋体" w:eastAsia="宋体" w:cs="宋体"/>
          <w:color w:val="auto"/>
          <w:kern w:val="2"/>
          <w:sz w:val="21"/>
        </w:rPr>
        <w:t>否</w:t>
      </w:r>
    </w:p>
    <w:p w14:paraId="7A88B9F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本合同是否为专门面向中小企业的采购合同（中小企业预留合同）：□是    □否</w:t>
      </w:r>
    </w:p>
    <w:p w14:paraId="268C5A41">
      <w:pPr>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若本项目不专门面向中小企业采购，是否给予小微企业评审优惠：□</w:t>
      </w:r>
      <w:r>
        <w:rPr>
          <w:rFonts w:hint="eastAsia" w:ascii="宋体" w:hAnsi="宋体" w:cs="宋体"/>
          <w:iCs/>
          <w:color w:val="auto"/>
          <w:szCs w:val="21"/>
        </w:rPr>
        <w:t xml:space="preserve">是   </w:t>
      </w:r>
      <w:r>
        <w:rPr>
          <w:rFonts w:hint="eastAsia" w:ascii="宋体" w:hAnsi="宋体" w:cs="宋体"/>
          <w:color w:val="auto"/>
          <w:szCs w:val="21"/>
        </w:rPr>
        <w:t>□</w:t>
      </w:r>
      <w:r>
        <w:rPr>
          <w:rFonts w:hint="eastAsia" w:ascii="宋体" w:hAnsi="宋体" w:cs="宋体"/>
          <w:iCs/>
          <w:color w:val="auto"/>
          <w:szCs w:val="21"/>
        </w:rPr>
        <w:t>否</w:t>
      </w:r>
    </w:p>
    <w:p w14:paraId="7C9244D4">
      <w:pPr>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中标（成交）采购标的制造商是否为残疾人福利性单位：□</w:t>
      </w:r>
      <w:r>
        <w:rPr>
          <w:rFonts w:hint="eastAsia" w:ascii="宋体" w:hAnsi="宋体" w:cs="宋体"/>
          <w:iCs/>
          <w:color w:val="auto"/>
          <w:szCs w:val="21"/>
        </w:rPr>
        <w:t xml:space="preserve">是   </w:t>
      </w:r>
      <w:r>
        <w:rPr>
          <w:rFonts w:hint="eastAsia" w:ascii="宋体" w:hAnsi="宋体" w:cs="宋体"/>
          <w:color w:val="auto"/>
          <w:szCs w:val="21"/>
        </w:rPr>
        <w:t>□</w:t>
      </w:r>
      <w:r>
        <w:rPr>
          <w:rFonts w:hint="eastAsia" w:ascii="宋体" w:hAnsi="宋体" w:cs="宋体"/>
          <w:iCs/>
          <w:color w:val="auto"/>
          <w:szCs w:val="21"/>
        </w:rPr>
        <w:t>否</w:t>
      </w:r>
    </w:p>
    <w:p w14:paraId="1588564F">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中标（成交）采购标的制造商是否为监狱企业：□</w:t>
      </w:r>
      <w:r>
        <w:rPr>
          <w:rFonts w:hint="eastAsia" w:ascii="宋体" w:hAnsi="宋体" w:cs="宋体"/>
          <w:iCs/>
          <w:color w:val="auto"/>
          <w:szCs w:val="21"/>
        </w:rPr>
        <w:t xml:space="preserve">是       </w:t>
      </w:r>
      <w:r>
        <w:rPr>
          <w:rFonts w:hint="eastAsia" w:ascii="宋体" w:hAnsi="宋体" w:cs="宋体"/>
          <w:color w:val="auto"/>
          <w:szCs w:val="21"/>
        </w:rPr>
        <w:t>□</w:t>
      </w:r>
      <w:r>
        <w:rPr>
          <w:rFonts w:hint="eastAsia" w:ascii="宋体" w:hAnsi="宋体" w:cs="宋体"/>
          <w:iCs/>
          <w:color w:val="auto"/>
          <w:szCs w:val="21"/>
        </w:rPr>
        <w:t>否</w:t>
      </w:r>
    </w:p>
    <w:p w14:paraId="3FD3AEBE">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
        </w:rPr>
        <w:t>7</w:t>
      </w:r>
      <w:r>
        <w:rPr>
          <w:rFonts w:hint="eastAsia" w:ascii="宋体" w:hAnsi="宋体" w:cs="宋体"/>
          <w:color w:val="auto"/>
          <w:szCs w:val="21"/>
        </w:rPr>
        <w:t>）合同是否分包：□</w:t>
      </w:r>
      <w:r>
        <w:rPr>
          <w:rFonts w:hint="eastAsia" w:ascii="宋体" w:hAnsi="宋体" w:cs="宋体"/>
          <w:iCs/>
          <w:color w:val="auto"/>
          <w:szCs w:val="21"/>
        </w:rPr>
        <w:t xml:space="preserve">是       </w:t>
      </w:r>
      <w:r>
        <w:rPr>
          <w:rFonts w:hint="eastAsia" w:ascii="宋体" w:hAnsi="宋体" w:cs="宋体"/>
          <w:color w:val="auto"/>
          <w:szCs w:val="21"/>
        </w:rPr>
        <w:t>□</w:t>
      </w:r>
      <w:r>
        <w:rPr>
          <w:rFonts w:hint="eastAsia" w:ascii="宋体" w:hAnsi="宋体" w:cs="宋体"/>
          <w:iCs/>
          <w:color w:val="auto"/>
          <w:szCs w:val="21"/>
        </w:rPr>
        <w:t>否</w:t>
      </w:r>
    </w:p>
    <w:p w14:paraId="177AE0BF">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分包主要内容：</w:t>
      </w:r>
      <w:r>
        <w:rPr>
          <w:rFonts w:hint="eastAsia" w:ascii="宋体" w:hAnsi="宋体" w:cs="宋体"/>
          <w:color w:val="auto"/>
          <w:szCs w:val="21"/>
          <w:u w:val="single"/>
        </w:rPr>
        <w:t xml:space="preserve">                                            </w:t>
      </w:r>
    </w:p>
    <w:p w14:paraId="54A0A34B">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分包供应商/制造商名称（如供应商和制造商不同，请分别填写）：</w:t>
      </w:r>
    </w:p>
    <w:p w14:paraId="3211DE07">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u w:val="single"/>
        </w:rPr>
        <w:t xml:space="preserve">                                                          </w:t>
      </w:r>
    </w:p>
    <w:p w14:paraId="657E2E82">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分包供应商/制造商类型（如果供应商和制造商不同，只填写制造商类型）：</w:t>
      </w:r>
    </w:p>
    <w:p w14:paraId="5EE15ED2">
      <w:pPr>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w:t>
      </w:r>
      <w:r>
        <w:rPr>
          <w:rFonts w:hint="eastAsia" w:ascii="宋体" w:hAnsi="宋体" w:cs="宋体"/>
          <w:iCs/>
          <w:color w:val="auto"/>
          <w:szCs w:val="21"/>
        </w:rPr>
        <w:t xml:space="preserve">大型企业  </w:t>
      </w:r>
      <w:r>
        <w:rPr>
          <w:rFonts w:hint="eastAsia" w:ascii="宋体" w:hAnsi="宋体" w:cs="宋体"/>
          <w:color w:val="auto"/>
          <w:szCs w:val="21"/>
        </w:rPr>
        <w:t>□</w:t>
      </w:r>
      <w:r>
        <w:rPr>
          <w:rFonts w:hint="eastAsia" w:ascii="宋体" w:hAnsi="宋体" w:cs="宋体"/>
          <w:iCs/>
          <w:color w:val="auto"/>
          <w:szCs w:val="21"/>
        </w:rPr>
        <w:t xml:space="preserve">中型企业  </w:t>
      </w:r>
      <w:r>
        <w:rPr>
          <w:rFonts w:hint="eastAsia" w:ascii="宋体" w:hAnsi="宋体" w:cs="宋体"/>
          <w:color w:val="auto"/>
          <w:szCs w:val="21"/>
        </w:rPr>
        <w:t>□</w:t>
      </w:r>
      <w:r>
        <w:rPr>
          <w:rFonts w:hint="eastAsia" w:ascii="宋体" w:hAnsi="宋体" w:cs="宋体"/>
          <w:iCs/>
          <w:color w:val="auto"/>
          <w:szCs w:val="21"/>
        </w:rPr>
        <w:t>小微型企业</w:t>
      </w:r>
    </w:p>
    <w:p w14:paraId="154CBBF5">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iCs/>
          <w:color w:val="auto"/>
          <w:szCs w:val="21"/>
        </w:rPr>
        <w:t xml:space="preserve">残疾人福利性单位 </w:t>
      </w:r>
      <w:r>
        <w:rPr>
          <w:rFonts w:hint="eastAsia" w:ascii="宋体" w:hAnsi="宋体" w:cs="宋体"/>
          <w:color w:val="auto"/>
          <w:szCs w:val="21"/>
        </w:rPr>
        <w:t>□</w:t>
      </w:r>
      <w:r>
        <w:rPr>
          <w:rFonts w:hint="eastAsia" w:ascii="宋体" w:hAnsi="宋体" w:cs="宋体"/>
          <w:iCs/>
          <w:color w:val="auto"/>
          <w:szCs w:val="21"/>
        </w:rPr>
        <w:t xml:space="preserve">监狱企业 </w:t>
      </w:r>
      <w:r>
        <w:rPr>
          <w:rFonts w:hint="eastAsia" w:ascii="宋体" w:hAnsi="宋体" w:cs="宋体"/>
          <w:color w:val="auto"/>
          <w:szCs w:val="21"/>
        </w:rPr>
        <w:t>□</w:t>
      </w:r>
      <w:r>
        <w:rPr>
          <w:rFonts w:hint="eastAsia" w:ascii="宋体" w:hAnsi="宋体" w:cs="宋体"/>
          <w:iCs/>
          <w:color w:val="auto"/>
          <w:szCs w:val="21"/>
        </w:rPr>
        <w:t>其他</w:t>
      </w:r>
    </w:p>
    <w:p w14:paraId="6C024412">
      <w:pPr>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w:t>
      </w:r>
      <w:r>
        <w:rPr>
          <w:rFonts w:hint="eastAsia" w:ascii="宋体" w:hAnsi="宋体" w:cs="宋体"/>
          <w:color w:val="auto"/>
          <w:szCs w:val="21"/>
          <w:lang w:val="en"/>
        </w:rPr>
        <w:t>8</w:t>
      </w:r>
      <w:r>
        <w:rPr>
          <w:rFonts w:hint="eastAsia" w:ascii="宋体" w:hAnsi="宋体" w:cs="宋体"/>
          <w:color w:val="auto"/>
          <w:szCs w:val="21"/>
        </w:rPr>
        <w:t>）中标（成交）供应商是否为外商投资企业：□</w:t>
      </w:r>
      <w:r>
        <w:rPr>
          <w:rFonts w:hint="eastAsia" w:ascii="宋体" w:hAnsi="宋体" w:cs="宋体"/>
          <w:iCs/>
          <w:color w:val="auto"/>
          <w:szCs w:val="21"/>
        </w:rPr>
        <w:t xml:space="preserve">是       </w:t>
      </w:r>
      <w:r>
        <w:rPr>
          <w:rFonts w:hint="eastAsia" w:ascii="宋体" w:hAnsi="宋体" w:cs="宋体"/>
          <w:color w:val="auto"/>
          <w:szCs w:val="21"/>
        </w:rPr>
        <w:t>□</w:t>
      </w:r>
      <w:r>
        <w:rPr>
          <w:rFonts w:hint="eastAsia" w:ascii="宋体" w:hAnsi="宋体" w:cs="宋体"/>
          <w:iCs/>
          <w:color w:val="auto"/>
          <w:szCs w:val="21"/>
        </w:rPr>
        <w:t>否</w:t>
      </w:r>
    </w:p>
    <w:p w14:paraId="315FBE26">
      <w:pPr>
        <w:pStyle w:val="125"/>
        <w:tabs>
          <w:tab w:val="left" w:pos="1340"/>
        </w:tabs>
        <w:ind w:firstLine="420"/>
        <w:rPr>
          <w:rFonts w:hint="eastAsia" w:ascii="宋体" w:hAnsi="宋体" w:eastAsia="宋体" w:cs="宋体"/>
          <w:color w:val="auto"/>
          <w:sz w:val="21"/>
          <w:u w:val="single"/>
        </w:rPr>
      </w:pPr>
      <w:r>
        <w:rPr>
          <w:rFonts w:hint="eastAsia" w:ascii="宋体" w:hAnsi="宋体" w:eastAsia="宋体" w:cs="宋体"/>
          <w:color w:val="auto"/>
          <w:sz w:val="21"/>
        </w:rPr>
        <w:t>外商投资企业类型：□全部由外国投资者投资  □</w:t>
      </w:r>
      <w:r>
        <w:rPr>
          <w:rFonts w:hint="eastAsia" w:ascii="宋体" w:hAnsi="宋体" w:eastAsia="宋体" w:cs="宋体"/>
          <w:iCs/>
          <w:color w:val="auto"/>
          <w:sz w:val="21"/>
        </w:rPr>
        <w:t>部分由外国投资者投资</w:t>
      </w:r>
    </w:p>
    <w:p w14:paraId="3023BE81">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
        </w:rPr>
        <w:t>9</w:t>
      </w:r>
      <w:r>
        <w:rPr>
          <w:rFonts w:hint="eastAsia" w:ascii="宋体" w:hAnsi="宋体" w:cs="宋体"/>
          <w:color w:val="auto"/>
          <w:szCs w:val="21"/>
        </w:rPr>
        <w:t>）是否涉及进口产品：</w:t>
      </w:r>
    </w:p>
    <w:p w14:paraId="05312614">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□是，《政府采购品目分类目录》底级品目名称：</w:t>
      </w:r>
      <w:r>
        <w:rPr>
          <w:rFonts w:hint="eastAsia" w:ascii="宋体" w:hAnsi="宋体" w:cs="宋体"/>
          <w:color w:val="auto"/>
          <w:szCs w:val="21"/>
          <w:u w:val="single"/>
        </w:rPr>
        <w:t xml:space="preserve">         </w:t>
      </w:r>
      <w:r>
        <w:rPr>
          <w:rFonts w:hint="eastAsia" w:ascii="宋体" w:hAnsi="宋体" w:cs="宋体"/>
          <w:color w:val="auto"/>
          <w:szCs w:val="21"/>
        </w:rPr>
        <w:t xml:space="preserve"> 金额：</w:t>
      </w:r>
      <w:r>
        <w:rPr>
          <w:rFonts w:hint="eastAsia" w:ascii="宋体" w:hAnsi="宋体" w:cs="宋体"/>
          <w:color w:val="auto"/>
          <w:szCs w:val="21"/>
          <w:u w:val="single"/>
        </w:rPr>
        <w:t xml:space="preserve">        </w:t>
      </w:r>
    </w:p>
    <w:p w14:paraId="7F2C0F1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国别：</w:t>
      </w:r>
      <w:r>
        <w:rPr>
          <w:rFonts w:hint="eastAsia" w:ascii="宋体" w:hAnsi="宋体" w:cs="宋体"/>
          <w:color w:val="auto"/>
          <w:szCs w:val="21"/>
          <w:u w:val="single"/>
        </w:rPr>
        <w:t xml:space="preserve">        </w:t>
      </w:r>
      <w:r>
        <w:rPr>
          <w:rFonts w:hint="eastAsia" w:ascii="宋体" w:hAnsi="宋体" w:cs="宋体"/>
          <w:color w:val="auto"/>
          <w:szCs w:val="21"/>
        </w:rPr>
        <w:t xml:space="preserve"> 品牌：</w:t>
      </w:r>
      <w:r>
        <w:rPr>
          <w:rFonts w:hint="eastAsia" w:ascii="宋体" w:hAnsi="宋体" w:cs="宋体"/>
          <w:color w:val="auto"/>
          <w:szCs w:val="21"/>
          <w:u w:val="single"/>
        </w:rPr>
        <w:t xml:space="preserve">        </w:t>
      </w:r>
      <w:r>
        <w:rPr>
          <w:rFonts w:hint="eastAsia" w:ascii="宋体" w:hAnsi="宋体" w:cs="宋体"/>
          <w:color w:val="auto"/>
          <w:szCs w:val="21"/>
        </w:rPr>
        <w:t xml:space="preserve"> 规格型号：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747F869D">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□否</w:t>
      </w:r>
    </w:p>
    <w:p w14:paraId="05C7F745">
      <w:pPr>
        <w:tabs>
          <w:tab w:val="left" w:pos="740"/>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
        </w:rPr>
        <w:t>0</w:t>
      </w:r>
      <w:r>
        <w:rPr>
          <w:rFonts w:hint="eastAsia" w:ascii="宋体" w:hAnsi="宋体" w:cs="宋体"/>
          <w:color w:val="auto"/>
          <w:szCs w:val="21"/>
        </w:rPr>
        <w:t>）是否涉及节能产品：</w:t>
      </w:r>
    </w:p>
    <w:p w14:paraId="0A36319E">
      <w:pPr>
        <w:tabs>
          <w:tab w:val="left" w:pos="740"/>
        </w:tabs>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□是，《节能产品政府采购品目清单》的底级品目名称：</w:t>
      </w:r>
      <w:r>
        <w:rPr>
          <w:rFonts w:hint="eastAsia" w:ascii="宋体" w:hAnsi="宋体" w:cs="宋体"/>
          <w:color w:val="auto"/>
          <w:szCs w:val="21"/>
          <w:u w:val="single"/>
        </w:rPr>
        <w:t xml:space="preserve">         </w:t>
      </w:r>
      <w:r>
        <w:rPr>
          <w:rFonts w:hint="eastAsia" w:ascii="宋体" w:hAnsi="宋体" w:cs="宋体"/>
          <w:iCs/>
          <w:color w:val="auto"/>
          <w:szCs w:val="21"/>
        </w:rPr>
        <w:t xml:space="preserve">     </w:t>
      </w:r>
    </w:p>
    <w:p w14:paraId="18E0BE21">
      <w:pPr>
        <w:tabs>
          <w:tab w:val="left" w:pos="740"/>
        </w:tabs>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w:t>
      </w:r>
      <w:r>
        <w:rPr>
          <w:rFonts w:hint="eastAsia" w:ascii="宋体" w:hAnsi="宋体" w:cs="宋体"/>
          <w:iCs/>
          <w:color w:val="auto"/>
          <w:szCs w:val="21"/>
        </w:rPr>
        <w:t xml:space="preserve">强制采购       </w:t>
      </w:r>
      <w:r>
        <w:rPr>
          <w:rFonts w:hint="eastAsia" w:ascii="宋体" w:hAnsi="宋体" w:cs="宋体"/>
          <w:color w:val="auto"/>
          <w:szCs w:val="21"/>
        </w:rPr>
        <w:t>□</w:t>
      </w:r>
      <w:r>
        <w:rPr>
          <w:rFonts w:hint="eastAsia" w:ascii="宋体" w:hAnsi="宋体" w:cs="宋体"/>
          <w:iCs/>
          <w:color w:val="auto"/>
          <w:szCs w:val="21"/>
        </w:rPr>
        <w:t xml:space="preserve">优先采购    </w:t>
      </w:r>
    </w:p>
    <w:p w14:paraId="1F4F27BE">
      <w:pPr>
        <w:tabs>
          <w:tab w:val="left" w:pos="740"/>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□否</w:t>
      </w:r>
    </w:p>
    <w:p w14:paraId="5D48CA91">
      <w:pPr>
        <w:tabs>
          <w:tab w:val="left" w:pos="740"/>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是否涉及环境标志产品：</w:t>
      </w:r>
    </w:p>
    <w:p w14:paraId="1528523B">
      <w:pPr>
        <w:tabs>
          <w:tab w:val="left" w:pos="740"/>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□是，《环境标志产品政府采购品目清单》的底级品目名称：</w:t>
      </w:r>
      <w:r>
        <w:rPr>
          <w:rFonts w:hint="eastAsia" w:ascii="宋体" w:hAnsi="宋体" w:cs="宋体"/>
          <w:color w:val="auto"/>
          <w:szCs w:val="21"/>
          <w:u w:val="single"/>
        </w:rPr>
        <w:t xml:space="preserve">         </w:t>
      </w:r>
      <w:r>
        <w:rPr>
          <w:rFonts w:hint="eastAsia" w:ascii="宋体" w:hAnsi="宋体" w:cs="宋体"/>
          <w:iCs/>
          <w:color w:val="auto"/>
          <w:szCs w:val="21"/>
        </w:rPr>
        <w:t xml:space="preserve"> </w:t>
      </w:r>
    </w:p>
    <w:p w14:paraId="6D5428EF">
      <w:pPr>
        <w:tabs>
          <w:tab w:val="left" w:pos="740"/>
        </w:tabs>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w:t>
      </w:r>
      <w:r>
        <w:rPr>
          <w:rFonts w:hint="eastAsia" w:ascii="宋体" w:hAnsi="宋体" w:cs="宋体"/>
          <w:iCs/>
          <w:color w:val="auto"/>
          <w:szCs w:val="21"/>
        </w:rPr>
        <w:t xml:space="preserve">强制采购       </w:t>
      </w:r>
      <w:r>
        <w:rPr>
          <w:rFonts w:hint="eastAsia" w:ascii="宋体" w:hAnsi="宋体" w:cs="宋体"/>
          <w:color w:val="auto"/>
          <w:szCs w:val="21"/>
        </w:rPr>
        <w:t>□</w:t>
      </w:r>
      <w:r>
        <w:rPr>
          <w:rFonts w:hint="eastAsia" w:ascii="宋体" w:hAnsi="宋体" w:cs="宋体"/>
          <w:iCs/>
          <w:color w:val="auto"/>
          <w:szCs w:val="21"/>
        </w:rPr>
        <w:t xml:space="preserve">优先采购    </w:t>
      </w:r>
    </w:p>
    <w:p w14:paraId="7218942D">
      <w:pPr>
        <w:tabs>
          <w:tab w:val="left" w:pos="740"/>
        </w:tabs>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□否</w:t>
      </w:r>
    </w:p>
    <w:p w14:paraId="6D5DED57">
      <w:pPr>
        <w:pStyle w:val="125"/>
        <w:snapToGrid w:val="0"/>
        <w:ind w:firstLine="420"/>
        <w:rPr>
          <w:rFonts w:hint="eastAsia" w:ascii="宋体" w:hAnsi="宋体" w:eastAsia="宋体" w:cs="宋体"/>
          <w:color w:val="auto"/>
          <w:kern w:val="2"/>
          <w:sz w:val="21"/>
        </w:rPr>
      </w:pPr>
      <w:r>
        <w:rPr>
          <w:rFonts w:hint="eastAsia" w:ascii="宋体" w:hAnsi="宋体" w:eastAsia="宋体" w:cs="宋体"/>
          <w:color w:val="auto"/>
          <w:kern w:val="2"/>
          <w:sz w:val="21"/>
        </w:rPr>
        <w:t xml:space="preserve">是否涉及绿色产品： </w:t>
      </w:r>
    </w:p>
    <w:p w14:paraId="39D98230">
      <w:pPr>
        <w:pStyle w:val="125"/>
        <w:ind w:firstLine="420"/>
        <w:rPr>
          <w:rFonts w:hint="eastAsia" w:ascii="宋体" w:hAnsi="宋体" w:eastAsia="宋体" w:cs="宋体"/>
          <w:color w:val="auto"/>
          <w:sz w:val="21"/>
          <w:u w:val="single"/>
        </w:rPr>
      </w:pPr>
      <w:r>
        <w:rPr>
          <w:rFonts w:hint="eastAsia" w:ascii="宋体" w:hAnsi="宋体" w:eastAsia="宋体" w:cs="宋体"/>
          <w:color w:val="auto"/>
          <w:sz w:val="21"/>
        </w:rPr>
        <w:t>□</w:t>
      </w:r>
      <w:r>
        <w:rPr>
          <w:rFonts w:hint="eastAsia" w:ascii="宋体" w:hAnsi="宋体" w:eastAsia="宋体" w:cs="宋体"/>
          <w:color w:val="auto"/>
          <w:kern w:val="2"/>
          <w:sz w:val="21"/>
        </w:rPr>
        <w:t>是，绿色产品政府采购相关政策确定的底级品目名称：</w:t>
      </w:r>
      <w:r>
        <w:rPr>
          <w:rFonts w:hint="eastAsia" w:ascii="宋体" w:hAnsi="宋体" w:eastAsia="宋体" w:cs="宋体"/>
          <w:color w:val="auto"/>
          <w:sz w:val="21"/>
          <w:u w:val="single"/>
        </w:rPr>
        <w:t xml:space="preserve">         </w:t>
      </w:r>
    </w:p>
    <w:p w14:paraId="24139B23">
      <w:pPr>
        <w:tabs>
          <w:tab w:val="left" w:pos="740"/>
        </w:tabs>
        <w:adjustRightInd w:val="0"/>
        <w:snapToGrid w:val="0"/>
        <w:spacing w:line="400" w:lineRule="exact"/>
        <w:ind w:firstLine="420" w:firstLineChars="200"/>
        <w:rPr>
          <w:rFonts w:hint="eastAsia" w:ascii="宋体" w:hAnsi="宋体" w:cs="宋体"/>
          <w:iCs/>
          <w:color w:val="auto"/>
          <w:szCs w:val="21"/>
        </w:rPr>
      </w:pPr>
      <w:r>
        <w:rPr>
          <w:rFonts w:hint="eastAsia" w:ascii="宋体" w:hAnsi="宋体" w:cs="宋体"/>
          <w:color w:val="auto"/>
          <w:szCs w:val="21"/>
        </w:rPr>
        <w:t>□</w:t>
      </w:r>
      <w:r>
        <w:rPr>
          <w:rFonts w:hint="eastAsia" w:ascii="宋体" w:hAnsi="宋体" w:cs="宋体"/>
          <w:iCs/>
          <w:color w:val="auto"/>
          <w:szCs w:val="21"/>
        </w:rPr>
        <w:t xml:space="preserve">强制采购       </w:t>
      </w:r>
      <w:r>
        <w:rPr>
          <w:rFonts w:hint="eastAsia" w:ascii="宋体" w:hAnsi="宋体" w:cs="宋体"/>
          <w:color w:val="auto"/>
          <w:szCs w:val="21"/>
        </w:rPr>
        <w:t>□</w:t>
      </w:r>
      <w:r>
        <w:rPr>
          <w:rFonts w:hint="eastAsia" w:ascii="宋体" w:hAnsi="宋体" w:cs="宋体"/>
          <w:iCs/>
          <w:color w:val="auto"/>
          <w:szCs w:val="21"/>
        </w:rPr>
        <w:t xml:space="preserve">优先采购    </w:t>
      </w:r>
    </w:p>
    <w:p w14:paraId="4C307F30">
      <w:pPr>
        <w:pStyle w:val="125"/>
        <w:ind w:firstLine="420"/>
        <w:rPr>
          <w:rFonts w:hint="eastAsia" w:ascii="宋体" w:hAnsi="宋体" w:eastAsia="宋体" w:cs="宋体"/>
          <w:color w:val="auto"/>
          <w:sz w:val="21"/>
        </w:rPr>
      </w:pPr>
      <w:r>
        <w:rPr>
          <w:rFonts w:hint="eastAsia" w:ascii="宋体" w:hAnsi="宋体" w:eastAsia="宋体" w:cs="宋体"/>
          <w:color w:val="auto"/>
          <w:sz w:val="21"/>
        </w:rPr>
        <w:t>□</w:t>
      </w:r>
      <w:r>
        <w:rPr>
          <w:rFonts w:hint="eastAsia" w:ascii="宋体" w:hAnsi="宋体" w:eastAsia="宋体" w:cs="宋体"/>
          <w:color w:val="auto"/>
          <w:kern w:val="2"/>
          <w:sz w:val="21"/>
        </w:rPr>
        <w:t>否</w:t>
      </w:r>
    </w:p>
    <w:p w14:paraId="13AF4CF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val="en"/>
        </w:rPr>
        <w:t>1</w:t>
      </w:r>
      <w:r>
        <w:rPr>
          <w:rFonts w:hint="eastAsia" w:ascii="宋体" w:hAnsi="宋体" w:cs="宋体"/>
          <w:color w:val="auto"/>
          <w:szCs w:val="21"/>
        </w:rPr>
        <w:t>）涉及商品包装和快递包装的，是否参考《商品包装政府采购需求标准（试行）》、《快递包装政府采购需求标准（试行）》明确产品及相关快递服务的具体包装要求：</w:t>
      </w:r>
    </w:p>
    <w:p w14:paraId="231C286F">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□是       □否      □不涉及</w:t>
      </w:r>
    </w:p>
    <w:p w14:paraId="547F6B38">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2.合同金额</w:t>
      </w:r>
    </w:p>
    <w:p w14:paraId="24DB7BA2">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（1）合同金额小写：</w:t>
      </w:r>
      <w:r>
        <w:rPr>
          <w:rFonts w:hint="eastAsia" w:ascii="宋体" w:hAnsi="宋体" w:cs="宋体"/>
          <w:color w:val="auto"/>
          <w:szCs w:val="21"/>
          <w:u w:val="single"/>
        </w:rPr>
        <w:t xml:space="preserve">                           </w:t>
      </w:r>
    </w:p>
    <w:p w14:paraId="3227B2D6">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大写：</w:t>
      </w:r>
      <w:r>
        <w:rPr>
          <w:rFonts w:hint="eastAsia" w:ascii="宋体" w:hAnsi="宋体" w:cs="宋体"/>
          <w:color w:val="auto"/>
          <w:szCs w:val="21"/>
          <w:u w:val="single"/>
        </w:rPr>
        <w:t xml:space="preserve">                           </w:t>
      </w:r>
    </w:p>
    <w:p w14:paraId="6898EDE1">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分包金额（如有）小写：</w:t>
      </w:r>
      <w:r>
        <w:rPr>
          <w:rFonts w:hint="eastAsia" w:ascii="宋体" w:hAnsi="宋体" w:cs="宋体"/>
          <w:color w:val="auto"/>
          <w:szCs w:val="21"/>
          <w:u w:val="single"/>
        </w:rPr>
        <w:t xml:space="preserve">                   </w:t>
      </w:r>
    </w:p>
    <w:p w14:paraId="3A8077BA">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大写：</w:t>
      </w:r>
      <w:r>
        <w:rPr>
          <w:rFonts w:hint="eastAsia" w:ascii="宋体" w:hAnsi="宋体" w:cs="宋体"/>
          <w:color w:val="auto"/>
          <w:szCs w:val="21"/>
          <w:u w:val="single"/>
        </w:rPr>
        <w:t xml:space="preserve">                       </w:t>
      </w:r>
    </w:p>
    <w:p w14:paraId="7B097BD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（注：固定单价合同应填写单价和最高限价）</w:t>
      </w:r>
    </w:p>
    <w:p w14:paraId="3051D599">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（2）合同定价方式（采用组合定价方式的，可以勾选多项）：</w:t>
      </w:r>
    </w:p>
    <w:p w14:paraId="4BB2C7BB">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iCs/>
          <w:color w:val="auto"/>
          <w:szCs w:val="21"/>
        </w:rPr>
        <w:t xml:space="preserve">固定总价 </w:t>
      </w:r>
      <w:r>
        <w:rPr>
          <w:rFonts w:hint="eastAsia" w:ascii="宋体" w:hAnsi="宋体" w:cs="宋体"/>
          <w:color w:val="auto"/>
          <w:szCs w:val="21"/>
        </w:rPr>
        <w:t>□</w:t>
      </w:r>
      <w:r>
        <w:rPr>
          <w:rFonts w:hint="eastAsia" w:ascii="宋体" w:hAnsi="宋体" w:cs="宋体"/>
          <w:iCs/>
          <w:color w:val="auto"/>
          <w:szCs w:val="21"/>
        </w:rPr>
        <w:t xml:space="preserve">固定单价 </w:t>
      </w:r>
      <w:r>
        <w:rPr>
          <w:rFonts w:hint="eastAsia" w:ascii="宋体" w:hAnsi="宋体" w:cs="宋体"/>
          <w:color w:val="auto"/>
          <w:szCs w:val="21"/>
        </w:rPr>
        <w:t>□</w:t>
      </w:r>
      <w:r>
        <w:rPr>
          <w:rFonts w:hint="eastAsia" w:ascii="宋体" w:hAnsi="宋体" w:cs="宋体"/>
          <w:iCs/>
          <w:color w:val="auto"/>
          <w:szCs w:val="21"/>
        </w:rPr>
        <w:t xml:space="preserve">固定费率 </w:t>
      </w:r>
      <w:r>
        <w:rPr>
          <w:rFonts w:hint="eastAsia" w:ascii="宋体" w:hAnsi="宋体" w:cs="宋体"/>
          <w:color w:val="auto"/>
          <w:szCs w:val="21"/>
        </w:rPr>
        <w:t>□</w:t>
      </w:r>
      <w:r>
        <w:rPr>
          <w:rFonts w:hint="eastAsia" w:ascii="宋体" w:hAnsi="宋体" w:cs="宋体"/>
          <w:iCs/>
          <w:color w:val="auto"/>
          <w:szCs w:val="21"/>
        </w:rPr>
        <w:t xml:space="preserve">成本补偿 </w:t>
      </w:r>
      <w:r>
        <w:rPr>
          <w:rFonts w:hint="eastAsia" w:ascii="宋体" w:hAnsi="宋体" w:cs="宋体"/>
          <w:color w:val="auto"/>
          <w:szCs w:val="21"/>
        </w:rPr>
        <w:t>□</w:t>
      </w:r>
      <w:r>
        <w:rPr>
          <w:rFonts w:hint="eastAsia" w:ascii="宋体" w:hAnsi="宋体" w:cs="宋体"/>
          <w:iCs/>
          <w:color w:val="auto"/>
          <w:szCs w:val="21"/>
        </w:rPr>
        <w:t xml:space="preserve">绩效激励 </w:t>
      </w:r>
      <w:r>
        <w:rPr>
          <w:rFonts w:hint="eastAsia" w:ascii="宋体" w:hAnsi="宋体" w:cs="宋体"/>
          <w:color w:val="auto"/>
          <w:szCs w:val="21"/>
        </w:rPr>
        <w:t>□</w:t>
      </w:r>
      <w:r>
        <w:rPr>
          <w:rFonts w:hint="eastAsia" w:ascii="宋体" w:hAnsi="宋体" w:cs="宋体"/>
          <w:iCs/>
          <w:color w:val="auto"/>
          <w:szCs w:val="21"/>
        </w:rPr>
        <w:t>其他</w:t>
      </w:r>
      <w:r>
        <w:rPr>
          <w:rFonts w:hint="eastAsia" w:ascii="宋体" w:hAnsi="宋体" w:cs="宋体"/>
          <w:color w:val="auto"/>
          <w:szCs w:val="21"/>
          <w:u w:val="single"/>
        </w:rPr>
        <w:t xml:space="preserve">       </w:t>
      </w:r>
    </w:p>
    <w:p w14:paraId="4B27C242">
      <w:pPr>
        <w:pStyle w:val="126"/>
        <w:spacing w:before="0" w:beforeAutospacing="0" w:after="0" w:afterAutospacing="0" w:line="400" w:lineRule="exact"/>
        <w:rPr>
          <w:rFonts w:hint="eastAsia" w:ascii="宋体" w:hAnsi="宋体" w:cs="宋体"/>
          <w:color w:val="auto"/>
          <w:szCs w:val="21"/>
        </w:rPr>
      </w:pPr>
      <w:r>
        <w:rPr>
          <w:rFonts w:hint="eastAsia" w:ascii="宋体" w:hAnsi="宋体" w:cs="宋体"/>
          <w:color w:val="auto"/>
          <w:szCs w:val="21"/>
        </w:rPr>
        <w:t>（3）付款方式：</w:t>
      </w:r>
    </w:p>
    <w:p w14:paraId="24DD1A28">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rPr>
        <w:t>分期付款：</w:t>
      </w:r>
      <w:r>
        <w:rPr>
          <w:rFonts w:hint="eastAsia" w:ascii="宋体" w:hAnsi="宋体" w:cs="宋体"/>
          <w:color w:val="auto"/>
          <w:szCs w:val="21"/>
          <w:u w:val="single"/>
        </w:rPr>
        <w:t>项目验收合格正常使用后，</w:t>
      </w:r>
      <w:r>
        <w:rPr>
          <w:rFonts w:hint="eastAsia" w:ascii="宋体" w:hAnsi="宋体" w:cs="宋体"/>
          <w:color w:val="auto"/>
          <w:szCs w:val="21"/>
          <w:u w:val="single"/>
          <w:lang w:eastAsia="zh-CN"/>
        </w:rPr>
        <w:t>乙方</w:t>
      </w:r>
      <w:r>
        <w:rPr>
          <w:rFonts w:hint="eastAsia" w:ascii="宋体" w:hAnsi="宋体" w:cs="宋体"/>
          <w:color w:val="auto"/>
          <w:szCs w:val="21"/>
          <w:u w:val="single"/>
        </w:rPr>
        <w:t>10日内开具全额发票给</w:t>
      </w:r>
      <w:r>
        <w:rPr>
          <w:rFonts w:hint="eastAsia" w:ascii="宋体" w:hAnsi="宋体" w:cs="宋体"/>
          <w:color w:val="auto"/>
          <w:szCs w:val="21"/>
          <w:u w:val="single"/>
          <w:lang w:eastAsia="zh-CN"/>
        </w:rPr>
        <w:t>甲方</w:t>
      </w:r>
      <w:r>
        <w:rPr>
          <w:rFonts w:hint="eastAsia" w:ascii="宋体" w:hAnsi="宋体" w:cs="宋体"/>
          <w:color w:val="auto"/>
          <w:szCs w:val="21"/>
          <w:u w:val="single"/>
        </w:rPr>
        <w:t>，</w:t>
      </w:r>
      <w:r>
        <w:rPr>
          <w:rFonts w:hint="eastAsia" w:ascii="宋体" w:hAnsi="宋体" w:cs="宋体"/>
          <w:color w:val="auto"/>
          <w:szCs w:val="21"/>
          <w:u w:val="single"/>
          <w:lang w:eastAsia="zh-CN"/>
        </w:rPr>
        <w:t>甲方自收到发票之日起</w:t>
      </w:r>
      <w:r>
        <w:rPr>
          <w:rFonts w:hint="eastAsia" w:ascii="宋体" w:hAnsi="宋体" w:cs="宋体"/>
          <w:color w:val="auto"/>
          <w:szCs w:val="21"/>
          <w:u w:val="single"/>
          <w:lang w:val="en-US" w:eastAsia="zh-CN"/>
        </w:rPr>
        <w:t>12</w:t>
      </w:r>
      <w:r>
        <w:rPr>
          <w:rFonts w:hint="eastAsia" w:ascii="宋体" w:hAnsi="宋体" w:cs="宋体"/>
          <w:color w:val="auto"/>
          <w:szCs w:val="21"/>
          <w:u w:val="single"/>
        </w:rPr>
        <w:t>个月内平均支付完</w:t>
      </w:r>
      <w:r>
        <w:rPr>
          <w:rFonts w:hint="eastAsia" w:ascii="宋体" w:hAnsi="宋体" w:cs="宋体"/>
          <w:color w:val="auto"/>
          <w:szCs w:val="21"/>
          <w:u w:val="single"/>
          <w:lang w:eastAsia="zh-CN"/>
        </w:rPr>
        <w:t>合同</w:t>
      </w:r>
      <w:r>
        <w:rPr>
          <w:rFonts w:hint="eastAsia" w:ascii="宋体" w:hAnsi="宋体" w:cs="宋体"/>
          <w:color w:val="auto"/>
          <w:szCs w:val="21"/>
          <w:u w:val="single"/>
        </w:rPr>
        <w:t>金额的100%</w:t>
      </w:r>
      <w:r>
        <w:rPr>
          <w:rFonts w:hint="eastAsia" w:ascii="宋体" w:hAnsi="宋体" w:cs="宋体"/>
          <w:color w:val="auto"/>
          <w:szCs w:val="21"/>
        </w:rPr>
        <w:t>，其中涉及预付款的：</w:t>
      </w:r>
      <w:r>
        <w:rPr>
          <w:rFonts w:hint="eastAsia" w:ascii="宋体" w:hAnsi="宋体" w:cs="宋体"/>
          <w:color w:val="auto"/>
          <w:szCs w:val="21"/>
          <w:u w:val="single"/>
        </w:rPr>
        <w:t xml:space="preserve"> </w:t>
      </w:r>
      <w:r>
        <w:rPr>
          <w:rFonts w:hint="eastAsia" w:ascii="宋体" w:hAnsi="宋体" w:cs="宋体"/>
          <w:color w:val="auto"/>
          <w:szCs w:val="21"/>
          <w:u w:val="single"/>
          <w:lang w:eastAsia="zh-CN"/>
        </w:rPr>
        <w:t>无</w:t>
      </w:r>
      <w:r>
        <w:rPr>
          <w:rFonts w:hint="eastAsia" w:ascii="宋体" w:hAnsi="宋体" w:cs="宋体"/>
          <w:color w:val="auto"/>
          <w:szCs w:val="21"/>
          <w:u w:val="single"/>
        </w:rPr>
        <w:t xml:space="preserve"> </w:t>
      </w:r>
    </w:p>
    <w:p w14:paraId="226E7373">
      <w:pPr>
        <w:adjustRightInd w:val="0"/>
        <w:snapToGrid w:val="0"/>
        <w:spacing w:line="400" w:lineRule="exact"/>
        <w:ind w:firstLine="422" w:firstLineChars="200"/>
        <w:rPr>
          <w:rFonts w:hint="eastAsia" w:ascii="宋体" w:hAnsi="宋体" w:cs="宋体"/>
          <w:b/>
          <w:color w:val="auto"/>
          <w:szCs w:val="21"/>
          <w:u w:val="single"/>
        </w:rPr>
      </w:pPr>
      <w:r>
        <w:rPr>
          <w:rFonts w:hint="eastAsia" w:ascii="宋体" w:hAnsi="宋体" w:cs="宋体"/>
          <w:b/>
          <w:color w:val="auto"/>
          <w:szCs w:val="21"/>
        </w:rPr>
        <w:t>3.合同履行</w:t>
      </w:r>
    </w:p>
    <w:p w14:paraId="4B618838">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lang w:eastAsia="zh-CN"/>
        </w:rPr>
        <w:t>交付使用期：</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szCs w:val="21"/>
        </w:rPr>
        <w:t>。</w:t>
      </w:r>
    </w:p>
    <w:p w14:paraId="0BAD10FF">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color w:val="auto"/>
          <w:szCs w:val="21"/>
        </w:rPr>
        <w:t>（2）履约地点</w:t>
      </w:r>
      <w:r>
        <w:rPr>
          <w:rFonts w:hint="eastAsia" w:ascii="宋体" w:hAnsi="宋体" w:cs="宋体"/>
          <w:bCs/>
          <w:color w:val="auto"/>
          <w:szCs w:val="21"/>
        </w:rPr>
        <w:t>：</w:t>
      </w:r>
      <w:r>
        <w:rPr>
          <w:rFonts w:hint="eastAsia" w:ascii="宋体" w:hAnsi="宋体" w:cs="宋体"/>
          <w:color w:val="auto"/>
          <w:szCs w:val="21"/>
          <w:u w:val="single"/>
        </w:rPr>
        <w:t xml:space="preserve">                             </w:t>
      </w:r>
    </w:p>
    <w:p w14:paraId="336990AA">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（3）履约担保：</w:t>
      </w:r>
      <w:r>
        <w:rPr>
          <w:rFonts w:hint="eastAsia" w:ascii="宋体" w:hAnsi="宋体" w:cs="宋体"/>
          <w:color w:val="auto"/>
          <w:szCs w:val="21"/>
        </w:rPr>
        <w:t>是否收取履约保证金：□是    □否</w:t>
      </w:r>
    </w:p>
    <w:p w14:paraId="76658E80">
      <w:pPr>
        <w:pStyle w:val="125"/>
        <w:ind w:firstLine="420"/>
        <w:rPr>
          <w:rFonts w:hint="eastAsia" w:ascii="宋体" w:hAnsi="宋体" w:eastAsia="宋体" w:cs="宋体"/>
          <w:color w:val="auto"/>
          <w:sz w:val="21"/>
        </w:rPr>
      </w:pPr>
      <w:r>
        <w:rPr>
          <w:rFonts w:hint="eastAsia" w:ascii="宋体" w:hAnsi="宋体" w:eastAsia="宋体" w:cs="宋体"/>
          <w:color w:val="auto"/>
          <w:sz w:val="21"/>
        </w:rPr>
        <w:t>收取履约保证金形式：</w:t>
      </w:r>
      <w:r>
        <w:rPr>
          <w:rFonts w:hint="eastAsia" w:ascii="宋体" w:hAnsi="宋体" w:eastAsia="宋体" w:cs="宋体"/>
          <w:bCs/>
          <w:color w:val="auto"/>
          <w:sz w:val="21"/>
          <w:u w:val="single"/>
        </w:rPr>
        <w:t xml:space="preserve">                            </w:t>
      </w:r>
    </w:p>
    <w:p w14:paraId="2427AF04">
      <w:pPr>
        <w:pStyle w:val="125"/>
        <w:ind w:firstLine="420"/>
        <w:rPr>
          <w:rFonts w:hint="eastAsia" w:ascii="宋体" w:hAnsi="宋体" w:eastAsia="宋体" w:cs="宋体"/>
          <w:color w:val="auto"/>
          <w:sz w:val="21"/>
        </w:rPr>
      </w:pPr>
      <w:r>
        <w:rPr>
          <w:rFonts w:hint="eastAsia" w:ascii="宋体" w:hAnsi="宋体" w:eastAsia="宋体" w:cs="宋体"/>
          <w:color w:val="auto"/>
          <w:sz w:val="21"/>
        </w:rPr>
        <w:t>收取履约保证金金额：</w:t>
      </w:r>
      <w:r>
        <w:rPr>
          <w:rFonts w:hint="eastAsia" w:ascii="宋体" w:hAnsi="宋体" w:eastAsia="宋体" w:cs="宋体"/>
          <w:bCs/>
          <w:color w:val="auto"/>
          <w:sz w:val="21"/>
          <w:u w:val="single"/>
        </w:rPr>
        <w:t xml:space="preserve">                            </w:t>
      </w:r>
    </w:p>
    <w:p w14:paraId="750EE5CB">
      <w:pPr>
        <w:snapToGrid w:val="0"/>
        <w:spacing w:line="400" w:lineRule="exact"/>
        <w:ind w:firstLine="420" w:firstLineChars="200"/>
        <w:rPr>
          <w:rFonts w:hint="eastAsia" w:ascii="宋体" w:hAnsi="宋体" w:cs="宋体"/>
          <w:color w:val="auto"/>
          <w:szCs w:val="21"/>
        </w:rPr>
      </w:pPr>
      <w:r>
        <w:rPr>
          <w:rFonts w:hint="eastAsia" w:ascii="宋体" w:hAnsi="宋体" w:cs="宋体"/>
          <w:bCs/>
          <w:color w:val="auto"/>
          <w:szCs w:val="21"/>
        </w:rPr>
        <w:t>履约担保期限：</w:t>
      </w:r>
      <w:r>
        <w:rPr>
          <w:rFonts w:hint="eastAsia" w:ascii="宋体" w:hAnsi="宋体" w:cs="宋体"/>
          <w:bCs/>
          <w:color w:val="auto"/>
          <w:szCs w:val="21"/>
          <w:u w:val="single"/>
        </w:rPr>
        <w:t xml:space="preserve">                                  </w:t>
      </w:r>
    </w:p>
    <w:p w14:paraId="715D3E06">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（4）分期履行要求：</w:t>
      </w:r>
      <w:r>
        <w:rPr>
          <w:rFonts w:hint="eastAsia" w:ascii="宋体" w:hAnsi="宋体" w:cs="宋体"/>
          <w:bCs/>
          <w:color w:val="auto"/>
          <w:szCs w:val="21"/>
          <w:u w:val="single"/>
        </w:rPr>
        <w:t xml:space="preserve">                                                        </w:t>
      </w:r>
    </w:p>
    <w:p w14:paraId="6E78DBB6">
      <w:pPr>
        <w:adjustRightInd w:val="0"/>
        <w:snapToGrid w:val="0"/>
        <w:spacing w:line="400" w:lineRule="exact"/>
        <w:ind w:firstLine="420" w:firstLineChars="200"/>
        <w:rPr>
          <w:rFonts w:hint="eastAsia" w:ascii="宋体" w:hAnsi="宋体" w:cs="宋体"/>
          <w:color w:val="auto"/>
          <w:szCs w:val="21"/>
          <w:u w:val="single"/>
        </w:rPr>
      </w:pPr>
      <w:r>
        <w:rPr>
          <w:rFonts w:hint="eastAsia" w:ascii="宋体" w:hAnsi="宋体" w:cs="宋体"/>
          <w:bCs/>
          <w:color w:val="auto"/>
          <w:szCs w:val="21"/>
        </w:rPr>
        <w:t>（5）风险处置措施和替代方案：</w:t>
      </w:r>
      <w:r>
        <w:rPr>
          <w:rFonts w:hint="eastAsia" w:ascii="宋体" w:hAnsi="宋体" w:cs="宋体"/>
          <w:color w:val="auto"/>
          <w:szCs w:val="21"/>
          <w:u w:val="single"/>
        </w:rPr>
        <w:t xml:space="preserve">                                                               </w:t>
      </w:r>
    </w:p>
    <w:p w14:paraId="0182CF21">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4.合同验收</w:t>
      </w:r>
    </w:p>
    <w:p w14:paraId="15919094">
      <w:pPr>
        <w:numPr>
          <w:ilvl w:val="0"/>
          <w:numId w:val="3"/>
        </w:num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验收组织方式：</w:t>
      </w:r>
      <w:r>
        <w:rPr>
          <w:rFonts w:hint="eastAsia" w:ascii="宋体" w:hAnsi="宋体" w:cs="宋体"/>
          <w:color w:val="auto"/>
          <w:szCs w:val="21"/>
        </w:rPr>
        <w:t>□</w:t>
      </w:r>
      <w:r>
        <w:rPr>
          <w:rFonts w:hint="eastAsia" w:ascii="宋体" w:hAnsi="宋体" w:cs="宋体"/>
          <w:bCs/>
          <w:color w:val="auto"/>
          <w:szCs w:val="21"/>
        </w:rPr>
        <w:t xml:space="preserve">自行组织 </w:t>
      </w:r>
      <w:r>
        <w:rPr>
          <w:rFonts w:hint="eastAsia" w:ascii="宋体" w:hAnsi="宋体" w:cs="宋体"/>
          <w:color w:val="auto"/>
          <w:szCs w:val="21"/>
        </w:rPr>
        <w:t>□</w:t>
      </w:r>
      <w:r>
        <w:rPr>
          <w:rFonts w:hint="eastAsia" w:ascii="宋体" w:hAnsi="宋体" w:cs="宋体"/>
          <w:bCs/>
          <w:color w:val="auto"/>
          <w:szCs w:val="21"/>
        </w:rPr>
        <w:t>委托第三方组织</w:t>
      </w:r>
    </w:p>
    <w:p w14:paraId="030FA480">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验收主体：</w:t>
      </w:r>
      <w:r>
        <w:rPr>
          <w:rFonts w:hint="eastAsia" w:ascii="宋体" w:hAnsi="宋体" w:cs="宋体"/>
          <w:bCs/>
          <w:color w:val="auto"/>
          <w:szCs w:val="21"/>
          <w:u w:val="single"/>
        </w:rPr>
        <w:t xml:space="preserve">                  </w:t>
      </w:r>
    </w:p>
    <w:p w14:paraId="046A86DE">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是否邀请本项目的其他供应商参加验收：</w:t>
      </w:r>
      <w:r>
        <w:rPr>
          <w:rFonts w:hint="eastAsia" w:ascii="宋体" w:hAnsi="宋体" w:cs="宋体"/>
          <w:color w:val="auto"/>
          <w:szCs w:val="21"/>
        </w:rPr>
        <w:t>□</w:t>
      </w:r>
      <w:r>
        <w:rPr>
          <w:rFonts w:hint="eastAsia" w:ascii="宋体" w:hAnsi="宋体" w:cs="宋体"/>
          <w:bCs/>
          <w:color w:val="auto"/>
          <w:szCs w:val="21"/>
        </w:rPr>
        <w:t xml:space="preserve">是  </w:t>
      </w:r>
      <w:r>
        <w:rPr>
          <w:rFonts w:hint="eastAsia" w:ascii="宋体" w:hAnsi="宋体" w:cs="宋体"/>
          <w:color w:val="auto"/>
          <w:szCs w:val="21"/>
        </w:rPr>
        <w:t>□</w:t>
      </w:r>
      <w:r>
        <w:rPr>
          <w:rFonts w:hint="eastAsia" w:ascii="宋体" w:hAnsi="宋体" w:cs="宋体"/>
          <w:bCs/>
          <w:color w:val="auto"/>
          <w:szCs w:val="21"/>
        </w:rPr>
        <w:t>否</w:t>
      </w:r>
    </w:p>
    <w:p w14:paraId="2DCC53C3">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是否邀请专家参加验收：</w:t>
      </w:r>
      <w:r>
        <w:rPr>
          <w:rFonts w:hint="eastAsia" w:ascii="宋体" w:hAnsi="宋体" w:cs="宋体"/>
          <w:color w:val="auto"/>
          <w:szCs w:val="21"/>
        </w:rPr>
        <w:t>□</w:t>
      </w:r>
      <w:r>
        <w:rPr>
          <w:rFonts w:hint="eastAsia" w:ascii="宋体" w:hAnsi="宋体" w:cs="宋体"/>
          <w:bCs/>
          <w:color w:val="auto"/>
          <w:szCs w:val="21"/>
        </w:rPr>
        <w:t xml:space="preserve">是  </w:t>
      </w:r>
      <w:r>
        <w:rPr>
          <w:rFonts w:hint="eastAsia" w:ascii="宋体" w:hAnsi="宋体" w:cs="宋体"/>
          <w:color w:val="auto"/>
          <w:szCs w:val="21"/>
        </w:rPr>
        <w:t>□</w:t>
      </w:r>
      <w:r>
        <w:rPr>
          <w:rFonts w:hint="eastAsia" w:ascii="宋体" w:hAnsi="宋体" w:cs="宋体"/>
          <w:bCs/>
          <w:color w:val="auto"/>
          <w:szCs w:val="21"/>
        </w:rPr>
        <w:t>否</w:t>
      </w:r>
    </w:p>
    <w:p w14:paraId="0E08EB67">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是否邀请服务对象参加验收：</w:t>
      </w:r>
      <w:r>
        <w:rPr>
          <w:rFonts w:hint="eastAsia" w:ascii="宋体" w:hAnsi="宋体" w:cs="宋体"/>
          <w:color w:val="auto"/>
          <w:szCs w:val="21"/>
        </w:rPr>
        <w:t>□</w:t>
      </w:r>
      <w:r>
        <w:rPr>
          <w:rFonts w:hint="eastAsia" w:ascii="宋体" w:hAnsi="宋体" w:cs="宋体"/>
          <w:bCs/>
          <w:color w:val="auto"/>
          <w:szCs w:val="21"/>
        </w:rPr>
        <w:t xml:space="preserve">是  </w:t>
      </w:r>
      <w:r>
        <w:rPr>
          <w:rFonts w:hint="eastAsia" w:ascii="宋体" w:hAnsi="宋体" w:cs="宋体"/>
          <w:color w:val="auto"/>
          <w:szCs w:val="21"/>
        </w:rPr>
        <w:t>□</w:t>
      </w:r>
      <w:r>
        <w:rPr>
          <w:rFonts w:hint="eastAsia" w:ascii="宋体" w:hAnsi="宋体" w:cs="宋体"/>
          <w:bCs/>
          <w:color w:val="auto"/>
          <w:szCs w:val="21"/>
        </w:rPr>
        <w:t>否</w:t>
      </w:r>
    </w:p>
    <w:p w14:paraId="00A39F36">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是否邀请第三方检测机构参加验收：</w:t>
      </w:r>
      <w:r>
        <w:rPr>
          <w:rFonts w:hint="eastAsia" w:ascii="宋体" w:hAnsi="宋体" w:cs="宋体"/>
          <w:color w:val="auto"/>
          <w:szCs w:val="21"/>
        </w:rPr>
        <w:t>□</w:t>
      </w:r>
      <w:r>
        <w:rPr>
          <w:rFonts w:hint="eastAsia" w:ascii="宋体" w:hAnsi="宋体" w:cs="宋体"/>
          <w:bCs/>
          <w:color w:val="auto"/>
          <w:szCs w:val="21"/>
        </w:rPr>
        <w:t xml:space="preserve">是  </w:t>
      </w:r>
      <w:r>
        <w:rPr>
          <w:rFonts w:hint="eastAsia" w:ascii="宋体" w:hAnsi="宋体" w:cs="宋体"/>
          <w:color w:val="auto"/>
          <w:szCs w:val="21"/>
        </w:rPr>
        <w:t>□</w:t>
      </w:r>
      <w:r>
        <w:rPr>
          <w:rFonts w:hint="eastAsia" w:ascii="宋体" w:hAnsi="宋体" w:cs="宋体"/>
          <w:bCs/>
          <w:color w:val="auto"/>
          <w:szCs w:val="21"/>
        </w:rPr>
        <w:t>否</w:t>
      </w:r>
    </w:p>
    <w:p w14:paraId="5137C2D3">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是否进行抽查检测：</w:t>
      </w:r>
      <w:r>
        <w:rPr>
          <w:rFonts w:hint="eastAsia" w:ascii="宋体" w:hAnsi="宋体" w:cs="宋体"/>
          <w:color w:val="auto"/>
          <w:szCs w:val="21"/>
        </w:rPr>
        <w:t>□</w:t>
      </w:r>
      <w:r>
        <w:rPr>
          <w:rFonts w:hint="eastAsia" w:ascii="宋体" w:hAnsi="宋体" w:cs="宋体"/>
          <w:bCs/>
          <w:color w:val="auto"/>
          <w:szCs w:val="21"/>
        </w:rPr>
        <w:t>是，抽查比例：</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r>
        <w:rPr>
          <w:rFonts w:hint="eastAsia" w:ascii="宋体" w:hAnsi="宋体" w:cs="宋体"/>
          <w:color w:val="auto"/>
          <w:szCs w:val="21"/>
        </w:rPr>
        <w:t>□</w:t>
      </w:r>
      <w:r>
        <w:rPr>
          <w:rFonts w:hint="eastAsia" w:ascii="宋体" w:hAnsi="宋体" w:cs="宋体"/>
          <w:bCs/>
          <w:color w:val="auto"/>
          <w:szCs w:val="21"/>
        </w:rPr>
        <w:t>否</w:t>
      </w:r>
    </w:p>
    <w:p w14:paraId="10BA89D0">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是否存在破坏性检测：</w:t>
      </w:r>
      <w:r>
        <w:rPr>
          <w:rFonts w:hint="eastAsia" w:ascii="宋体" w:hAnsi="宋体" w:cs="宋体"/>
          <w:color w:val="auto"/>
          <w:szCs w:val="21"/>
        </w:rPr>
        <w:t>□</w:t>
      </w:r>
      <w:r>
        <w:rPr>
          <w:rFonts w:hint="eastAsia" w:ascii="宋体" w:hAnsi="宋体" w:cs="宋体"/>
          <w:bCs/>
          <w:color w:val="auto"/>
          <w:szCs w:val="21"/>
        </w:rPr>
        <w:t>是，</w:t>
      </w:r>
      <w:r>
        <w:rPr>
          <w:rFonts w:hint="eastAsia" w:ascii="宋体" w:hAnsi="宋体" w:cs="宋体"/>
          <w:bCs/>
          <w:color w:val="auto"/>
          <w:szCs w:val="21"/>
          <w:u w:val="single"/>
        </w:rPr>
        <w:t>（应明确对被破坏的检测产品的处理方式）</w:t>
      </w:r>
    </w:p>
    <w:p w14:paraId="23E42229">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cs="宋体"/>
          <w:color w:val="auto"/>
          <w:szCs w:val="21"/>
        </w:rPr>
        <w:t>□</w:t>
      </w:r>
      <w:r>
        <w:rPr>
          <w:rFonts w:hint="eastAsia" w:ascii="宋体" w:hAnsi="宋体" w:cs="宋体"/>
          <w:bCs/>
          <w:color w:val="auto"/>
          <w:szCs w:val="21"/>
        </w:rPr>
        <w:t>否</w:t>
      </w:r>
    </w:p>
    <w:p w14:paraId="13384486">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验收组织的其他事项：</w:t>
      </w:r>
      <w:r>
        <w:rPr>
          <w:rFonts w:hint="eastAsia" w:ascii="宋体" w:hAnsi="宋体" w:cs="宋体"/>
          <w:bCs/>
          <w:color w:val="auto"/>
          <w:szCs w:val="21"/>
          <w:u w:val="single"/>
        </w:rPr>
        <w:t xml:space="preserve">                </w:t>
      </w:r>
    </w:p>
    <w:p w14:paraId="28F8DC09">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（2）履约验收时间：</w:t>
      </w:r>
      <w:r>
        <w:rPr>
          <w:rFonts w:hint="eastAsia" w:ascii="宋体" w:hAnsi="宋体" w:cs="宋体"/>
          <w:bCs/>
          <w:color w:val="auto"/>
          <w:szCs w:val="21"/>
          <w:u w:val="single"/>
        </w:rPr>
        <w:t xml:space="preserve">（计划于何时验收/供应商提出验收申请之日起   日内组织验收） </w:t>
      </w:r>
    </w:p>
    <w:p w14:paraId="03949692">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（3）履约验收方式：</w:t>
      </w:r>
      <w:r>
        <w:rPr>
          <w:rFonts w:hint="eastAsia" w:ascii="宋体" w:hAnsi="宋体" w:cs="宋体"/>
          <w:color w:val="auto"/>
          <w:szCs w:val="21"/>
        </w:rPr>
        <w:t>□</w:t>
      </w:r>
      <w:r>
        <w:rPr>
          <w:rFonts w:hint="eastAsia" w:ascii="宋体" w:hAnsi="宋体" w:cs="宋体"/>
          <w:bCs/>
          <w:color w:val="auto"/>
          <w:szCs w:val="21"/>
        </w:rPr>
        <w:t xml:space="preserve">一次性验收         </w:t>
      </w:r>
    </w:p>
    <w:p w14:paraId="5051D4E1">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cs="宋体"/>
          <w:color w:val="auto"/>
          <w:szCs w:val="21"/>
        </w:rPr>
        <w:t>□</w:t>
      </w:r>
      <w:r>
        <w:rPr>
          <w:rFonts w:hint="eastAsia" w:ascii="宋体" w:hAnsi="宋体" w:cs="宋体"/>
          <w:bCs/>
          <w:color w:val="auto"/>
          <w:szCs w:val="21"/>
        </w:rPr>
        <w:t>分期/分项验收：</w:t>
      </w:r>
      <w:r>
        <w:rPr>
          <w:rFonts w:hint="eastAsia" w:ascii="宋体" w:hAnsi="宋体" w:cs="宋体"/>
          <w:bCs/>
          <w:color w:val="auto"/>
          <w:szCs w:val="21"/>
          <w:u w:val="single"/>
        </w:rPr>
        <w:t xml:space="preserve"> （应明确分期</w:t>
      </w:r>
      <w:r>
        <w:rPr>
          <w:rFonts w:hint="eastAsia" w:ascii="宋体" w:hAnsi="宋体" w:cs="宋体"/>
          <w:bCs/>
          <w:color w:val="auto"/>
          <w:szCs w:val="21"/>
          <w:u w:val="single"/>
          <w:lang w:val="en"/>
        </w:rPr>
        <w:t>/分项验收的工作安排</w:t>
      </w:r>
      <w:r>
        <w:rPr>
          <w:rFonts w:hint="eastAsia" w:ascii="宋体" w:hAnsi="宋体" w:cs="宋体"/>
          <w:bCs/>
          <w:color w:val="auto"/>
          <w:szCs w:val="21"/>
          <w:u w:val="single"/>
        </w:rPr>
        <w:t xml:space="preserve">）  </w:t>
      </w:r>
    </w:p>
    <w:p w14:paraId="122D39B1">
      <w:pPr>
        <w:adjustRightInd w:val="0"/>
        <w:snapToGrid w:val="0"/>
        <w:spacing w:line="400" w:lineRule="exact"/>
        <w:ind w:firstLine="420" w:firstLineChars="200"/>
        <w:rPr>
          <w:rFonts w:hint="eastAsia" w:ascii="宋体" w:hAnsi="宋体" w:cs="宋体"/>
          <w:bCs/>
          <w:color w:val="auto"/>
          <w:szCs w:val="21"/>
        </w:rPr>
      </w:pPr>
      <w:r>
        <w:rPr>
          <w:rFonts w:hint="eastAsia" w:ascii="宋体" w:hAnsi="宋体" w:cs="宋体"/>
          <w:bCs/>
          <w:color w:val="auto"/>
          <w:szCs w:val="21"/>
        </w:rPr>
        <w:t>（4）履约验收程序：</w:t>
      </w:r>
      <w:r>
        <w:rPr>
          <w:rFonts w:hint="eastAsia" w:ascii="宋体" w:hAnsi="宋体" w:cs="宋体"/>
          <w:bCs/>
          <w:color w:val="auto"/>
          <w:szCs w:val="21"/>
          <w:u w:val="single"/>
        </w:rPr>
        <w:t xml:space="preserve">                                         </w:t>
      </w:r>
    </w:p>
    <w:p w14:paraId="20AC045B">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（5）履约验收的内容：</w:t>
      </w:r>
      <w:r>
        <w:rPr>
          <w:rFonts w:hint="eastAsia" w:ascii="宋体" w:hAnsi="宋体" w:cs="宋体"/>
          <w:bCs/>
          <w:color w:val="auto"/>
          <w:szCs w:val="21"/>
          <w:u w:val="single"/>
        </w:rPr>
        <w:t xml:space="preserve"> （应当包括每一项技术和商务要求的履约情况，特别是落实政府采购扶持中小企业，支持绿色发展和乡村振兴等政策情况）                                      </w:t>
      </w:r>
    </w:p>
    <w:p w14:paraId="68494834">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（6）履约验收标准：</w:t>
      </w:r>
      <w:r>
        <w:rPr>
          <w:rFonts w:hint="eastAsia" w:ascii="宋体" w:hAnsi="宋体" w:cs="宋体"/>
          <w:bCs/>
          <w:color w:val="auto"/>
          <w:szCs w:val="21"/>
          <w:u w:val="single"/>
        </w:rPr>
        <w:t xml:space="preserve">                                         </w:t>
      </w:r>
    </w:p>
    <w:p w14:paraId="173CA4F2">
      <w:pPr>
        <w:pStyle w:val="125"/>
        <w:ind w:firstLine="420"/>
        <w:rPr>
          <w:rFonts w:hint="eastAsia" w:ascii="宋体" w:hAnsi="宋体" w:eastAsia="宋体" w:cs="宋体"/>
          <w:color w:val="auto"/>
          <w:sz w:val="21"/>
        </w:rPr>
      </w:pPr>
      <w:r>
        <w:rPr>
          <w:rFonts w:hint="eastAsia" w:ascii="宋体" w:hAnsi="宋体" w:eastAsia="宋体" w:cs="宋体"/>
          <w:bCs/>
          <w:color w:val="auto"/>
          <w:sz w:val="21"/>
        </w:rPr>
        <w:t>（7）是否以采购活动中供应商提供的样品作为参考：</w:t>
      </w:r>
      <w:r>
        <w:rPr>
          <w:rFonts w:hint="eastAsia" w:ascii="宋体" w:hAnsi="宋体" w:eastAsia="宋体" w:cs="宋体"/>
          <w:color w:val="auto"/>
          <w:sz w:val="21"/>
        </w:rPr>
        <w:t>□</w:t>
      </w:r>
      <w:r>
        <w:rPr>
          <w:rFonts w:hint="eastAsia" w:ascii="宋体" w:hAnsi="宋体" w:eastAsia="宋体" w:cs="宋体"/>
          <w:bCs/>
          <w:color w:val="auto"/>
          <w:sz w:val="21"/>
        </w:rPr>
        <w:t xml:space="preserve">是  </w:t>
      </w:r>
      <w:r>
        <w:rPr>
          <w:rFonts w:hint="eastAsia" w:ascii="宋体" w:hAnsi="宋体" w:eastAsia="宋体" w:cs="宋体"/>
          <w:color w:val="auto"/>
          <w:sz w:val="21"/>
        </w:rPr>
        <w:t>□</w:t>
      </w:r>
      <w:r>
        <w:rPr>
          <w:rFonts w:hint="eastAsia" w:ascii="宋体" w:hAnsi="宋体" w:eastAsia="宋体" w:cs="宋体"/>
          <w:bCs/>
          <w:color w:val="auto"/>
          <w:sz w:val="21"/>
        </w:rPr>
        <w:t>否</w:t>
      </w:r>
    </w:p>
    <w:p w14:paraId="48D9BE03">
      <w:pPr>
        <w:adjustRightInd w:val="0"/>
        <w:snapToGrid w:val="0"/>
        <w:spacing w:line="400" w:lineRule="exact"/>
        <w:ind w:firstLine="420" w:firstLineChars="200"/>
        <w:rPr>
          <w:rFonts w:hint="eastAsia" w:ascii="宋体" w:hAnsi="宋体" w:cs="宋体"/>
          <w:bCs/>
          <w:color w:val="auto"/>
          <w:szCs w:val="21"/>
          <w:u w:val="single"/>
        </w:rPr>
      </w:pPr>
      <w:r>
        <w:rPr>
          <w:rFonts w:hint="eastAsia" w:ascii="宋体" w:hAnsi="宋体" w:cs="宋体"/>
          <w:bCs/>
          <w:color w:val="auto"/>
          <w:szCs w:val="21"/>
        </w:rPr>
        <w:t>（8）履约验收其他事项：</w:t>
      </w:r>
      <w:r>
        <w:rPr>
          <w:rFonts w:hint="eastAsia" w:ascii="宋体" w:hAnsi="宋体" w:cs="宋体"/>
          <w:bCs/>
          <w:color w:val="auto"/>
          <w:szCs w:val="21"/>
          <w:u w:val="single"/>
        </w:rPr>
        <w:t xml:space="preserve">      （产权过户登记等）          </w:t>
      </w:r>
    </w:p>
    <w:p w14:paraId="702EA7DA">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5.组成合同的文件</w:t>
      </w:r>
    </w:p>
    <w:p w14:paraId="212C9AB4">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本协议书与下列文件一起构成合同文件，如下述文件之间有任何抵触、矛盾或歧义，应按以下顺序解释：</w:t>
      </w:r>
    </w:p>
    <w:p w14:paraId="2853601D">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（1）政府采购合同协议书及其变更、补充协议</w:t>
      </w:r>
    </w:p>
    <w:p w14:paraId="317F73FA">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（2）政府采购合同专用条款</w:t>
      </w:r>
    </w:p>
    <w:p w14:paraId="5DE1C617">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（3）政府采购合同通用条款</w:t>
      </w:r>
    </w:p>
    <w:p w14:paraId="6E9CFEF7">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（4）中标（成交）通知书</w:t>
      </w:r>
    </w:p>
    <w:p w14:paraId="7AB0A297">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（5）投标（响应）文件</w:t>
      </w:r>
    </w:p>
    <w:p w14:paraId="7959C05D">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（6）招标文件</w:t>
      </w:r>
    </w:p>
    <w:p w14:paraId="5A7000C6">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（7）有关技术文件，图纸</w:t>
      </w:r>
    </w:p>
    <w:p w14:paraId="315B6059">
      <w:pPr>
        <w:pStyle w:val="125"/>
        <w:ind w:firstLine="420"/>
        <w:rPr>
          <w:rFonts w:hint="eastAsia" w:ascii="宋体" w:hAnsi="宋体" w:eastAsia="宋体" w:cs="宋体"/>
          <w:color w:val="auto"/>
          <w:kern w:val="2"/>
          <w:sz w:val="21"/>
        </w:rPr>
      </w:pPr>
      <w:r>
        <w:rPr>
          <w:rFonts w:hint="eastAsia" w:ascii="宋体" w:hAnsi="宋体" w:eastAsia="宋体" w:cs="宋体"/>
          <w:color w:val="auto"/>
          <w:sz w:val="21"/>
        </w:rPr>
        <w:t>（8）</w:t>
      </w:r>
      <w:r>
        <w:rPr>
          <w:rFonts w:hint="eastAsia" w:ascii="宋体" w:hAnsi="宋体" w:eastAsia="宋体" w:cs="宋体"/>
          <w:color w:val="auto"/>
          <w:kern w:val="2"/>
          <w:sz w:val="21"/>
        </w:rPr>
        <w:t>国家法律、行政法规和规章制度规定或合同约定的作为合同组成部分的其他文件</w:t>
      </w:r>
    </w:p>
    <w:p w14:paraId="3D2D1265">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6.合同生效</w:t>
      </w:r>
    </w:p>
    <w:p w14:paraId="4D62712C">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本合同自</w:t>
      </w:r>
      <w:r>
        <w:rPr>
          <w:rFonts w:hint="eastAsia" w:ascii="宋体" w:hAnsi="宋体" w:cs="宋体"/>
          <w:color w:val="auto"/>
          <w:szCs w:val="21"/>
          <w:u w:val="single"/>
        </w:rPr>
        <w:t xml:space="preserve">                             </w:t>
      </w:r>
      <w:r>
        <w:rPr>
          <w:rFonts w:hint="eastAsia" w:ascii="宋体" w:hAnsi="宋体" w:cs="宋体"/>
          <w:color w:val="auto"/>
          <w:szCs w:val="21"/>
        </w:rPr>
        <w:t>生效。</w:t>
      </w:r>
    </w:p>
    <w:p w14:paraId="2D9DC3D7">
      <w:pPr>
        <w:adjustRightInd w:val="0"/>
        <w:snapToGrid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7.合同份数</w:t>
      </w:r>
    </w:p>
    <w:p w14:paraId="71017EF2">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本合同一式</w:t>
      </w:r>
      <w:r>
        <w:rPr>
          <w:rFonts w:hint="eastAsia" w:ascii="宋体" w:hAnsi="宋体" w:cs="宋体"/>
          <w:color w:val="auto"/>
          <w:szCs w:val="21"/>
          <w:u w:val="single"/>
        </w:rPr>
        <w:t xml:space="preserve">    </w:t>
      </w:r>
      <w:r>
        <w:rPr>
          <w:rFonts w:hint="eastAsia" w:ascii="宋体" w:hAnsi="宋体" w:cs="宋体"/>
          <w:color w:val="auto"/>
          <w:szCs w:val="21"/>
        </w:rPr>
        <w:t>份，甲方执</w:t>
      </w:r>
      <w:r>
        <w:rPr>
          <w:rFonts w:hint="eastAsia" w:ascii="宋体" w:hAnsi="宋体" w:cs="宋体"/>
          <w:color w:val="auto"/>
          <w:szCs w:val="21"/>
          <w:u w:val="single"/>
        </w:rPr>
        <w:t xml:space="preserve">    </w:t>
      </w:r>
      <w:r>
        <w:rPr>
          <w:rFonts w:hint="eastAsia" w:ascii="宋体" w:hAnsi="宋体" w:cs="宋体"/>
          <w:color w:val="auto"/>
          <w:szCs w:val="21"/>
        </w:rPr>
        <w:t>份，乙方执</w:t>
      </w:r>
      <w:r>
        <w:rPr>
          <w:rFonts w:hint="eastAsia" w:ascii="宋体" w:hAnsi="宋体" w:cs="宋体"/>
          <w:color w:val="auto"/>
          <w:szCs w:val="21"/>
          <w:u w:val="single"/>
        </w:rPr>
        <w:t xml:space="preserve">    </w:t>
      </w:r>
      <w:r>
        <w:rPr>
          <w:rFonts w:hint="eastAsia" w:ascii="宋体" w:hAnsi="宋体" w:cs="宋体"/>
          <w:color w:val="auto"/>
          <w:szCs w:val="21"/>
        </w:rPr>
        <w:t>份，均具有同等法律效力。</w:t>
      </w:r>
    </w:p>
    <w:p w14:paraId="56E94835">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合同订立时间：</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14:paraId="7426A733">
      <w:pPr>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合同订立地点：</w:t>
      </w:r>
      <w:r>
        <w:rPr>
          <w:rFonts w:hint="eastAsia" w:ascii="宋体" w:hAnsi="宋体" w:cs="宋体"/>
          <w:color w:val="auto"/>
          <w:szCs w:val="21"/>
          <w:u w:val="single"/>
        </w:rPr>
        <w:t xml:space="preserve">                           </w:t>
      </w:r>
    </w:p>
    <w:p w14:paraId="0A860D30">
      <w:pPr>
        <w:adjustRightInd w:val="0"/>
        <w:snapToGrid w:val="0"/>
        <w:spacing w:line="400" w:lineRule="exact"/>
        <w:ind w:firstLine="420" w:firstLineChars="200"/>
        <w:rPr>
          <w:rFonts w:hint="eastAsia" w:ascii="宋体" w:hAnsi="宋体" w:cs="宋体"/>
          <w:color w:val="auto"/>
        </w:rPr>
      </w:pPr>
      <w:r>
        <w:rPr>
          <w:rFonts w:hint="eastAsia" w:ascii="宋体" w:hAnsi="宋体" w:cs="宋体"/>
          <w:color w:val="auto"/>
          <w:szCs w:val="21"/>
        </w:rPr>
        <w:t>附件：具体标的及其技术要求和商务要求、联合协议、分包意向协议等。</w:t>
      </w:r>
    </w:p>
    <w:p w14:paraId="2A940646">
      <w:pPr>
        <w:pStyle w:val="126"/>
        <w:spacing w:before="0" w:beforeAutospacing="0" w:after="0" w:afterAutospacing="0" w:line="400" w:lineRule="exact"/>
        <w:rPr>
          <w:rFonts w:hint="eastAsia" w:ascii="宋体" w:hAnsi="宋体" w:cs="宋体"/>
          <w:color w:val="auto"/>
        </w:rPr>
      </w:pPr>
    </w:p>
    <w:tbl>
      <w:tblPr>
        <w:tblStyle w:val="24"/>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87"/>
        <w:gridCol w:w="2790"/>
        <w:gridCol w:w="2289"/>
        <w:gridCol w:w="2448"/>
      </w:tblGrid>
      <w:tr w14:paraId="2171D1A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453E2B17">
            <w:pPr>
              <w:adjustRightInd w:val="0"/>
              <w:snapToGrid w:val="0"/>
              <w:spacing w:line="400" w:lineRule="exact"/>
              <w:jc w:val="center"/>
              <w:rPr>
                <w:rFonts w:hint="eastAsia" w:ascii="宋体" w:hAnsi="宋体" w:cs="宋体"/>
                <w:color w:val="auto"/>
              </w:rPr>
            </w:pPr>
            <w:r>
              <w:rPr>
                <w:rFonts w:hint="eastAsia" w:ascii="宋体" w:hAnsi="宋体" w:cs="宋体"/>
                <w:color w:val="auto"/>
                <w:szCs w:val="21"/>
              </w:rPr>
              <w:t>甲方（采购人、受采购人委托签订合同的单位或招标文件约定的合同甲方）</w:t>
            </w:r>
          </w:p>
        </w:tc>
        <w:tc>
          <w:tcPr>
            <w:tcW w:w="2437" w:type="pct"/>
            <w:gridSpan w:val="2"/>
            <w:tcBorders>
              <w:left w:val="single" w:color="auto" w:sz="2" w:space="0"/>
              <w:bottom w:val="single" w:color="auto" w:sz="2" w:space="0"/>
            </w:tcBorders>
            <w:noWrap w:val="0"/>
            <w:vAlign w:val="center"/>
          </w:tcPr>
          <w:p w14:paraId="325BD39F">
            <w:pPr>
              <w:adjustRightInd w:val="0"/>
              <w:snapToGrid w:val="0"/>
              <w:spacing w:line="400" w:lineRule="exact"/>
              <w:jc w:val="center"/>
              <w:rPr>
                <w:rFonts w:hint="eastAsia" w:ascii="宋体" w:hAnsi="宋体" w:cs="宋体"/>
                <w:color w:val="auto"/>
              </w:rPr>
            </w:pPr>
            <w:r>
              <w:rPr>
                <w:rFonts w:hint="eastAsia" w:ascii="宋体" w:hAnsi="宋体" w:cs="宋体"/>
                <w:color w:val="auto"/>
                <w:szCs w:val="21"/>
              </w:rPr>
              <w:t>乙方（供应商）</w:t>
            </w:r>
          </w:p>
        </w:tc>
      </w:tr>
      <w:tr w14:paraId="429F67B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5B2B5BA3">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B5D899B">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3CC4FC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单位名称（公章或合同章）</w:t>
            </w:r>
          </w:p>
        </w:tc>
        <w:tc>
          <w:tcPr>
            <w:tcW w:w="1259" w:type="pct"/>
            <w:tcBorders>
              <w:top w:val="single" w:color="auto" w:sz="2" w:space="0"/>
              <w:left w:val="single" w:color="auto" w:sz="2" w:space="0"/>
              <w:bottom w:val="single" w:color="auto" w:sz="2" w:space="0"/>
            </w:tcBorders>
            <w:noWrap w:val="0"/>
            <w:vAlign w:val="center"/>
          </w:tcPr>
          <w:p w14:paraId="16EC343E">
            <w:pPr>
              <w:adjustRightInd w:val="0"/>
              <w:snapToGrid w:val="0"/>
              <w:spacing w:line="400" w:lineRule="exact"/>
              <w:jc w:val="center"/>
              <w:rPr>
                <w:rFonts w:hint="eastAsia" w:ascii="宋体" w:hAnsi="宋体" w:cs="宋体"/>
                <w:color w:val="auto"/>
                <w:spacing w:val="20"/>
                <w:szCs w:val="21"/>
              </w:rPr>
            </w:pPr>
          </w:p>
        </w:tc>
      </w:tr>
      <w:tr w14:paraId="0D6CB1E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75002C6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法定代表人</w:t>
            </w:r>
          </w:p>
          <w:p w14:paraId="44EC0E30">
            <w:pPr>
              <w:adjustRightInd w:val="0"/>
              <w:snapToGrid w:val="0"/>
              <w:spacing w:line="400" w:lineRule="exact"/>
              <w:ind w:firstLine="100" w:firstLineChars="48"/>
              <w:jc w:val="center"/>
              <w:rPr>
                <w:rFonts w:hint="eastAsia" w:ascii="宋体" w:hAnsi="宋体" w:cs="宋体"/>
                <w:color w:val="auto"/>
                <w:szCs w:val="21"/>
              </w:rPr>
            </w:pPr>
            <w:r>
              <w:rPr>
                <w:rFonts w:hint="eastAsia" w:ascii="宋体" w:hAnsi="宋体" w:cs="宋体"/>
                <w:color w:val="auto"/>
                <w:szCs w:val="21"/>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7B684318">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right w:val="single" w:color="auto" w:sz="2" w:space="0"/>
            </w:tcBorders>
            <w:noWrap w:val="0"/>
            <w:vAlign w:val="center"/>
          </w:tcPr>
          <w:p w14:paraId="17448DB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法定代表人</w:t>
            </w:r>
          </w:p>
          <w:p w14:paraId="41EB1C4F">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或其委托代理人（签章）</w:t>
            </w:r>
          </w:p>
        </w:tc>
        <w:tc>
          <w:tcPr>
            <w:tcW w:w="1259" w:type="pct"/>
            <w:tcBorders>
              <w:top w:val="single" w:color="auto" w:sz="2" w:space="0"/>
              <w:left w:val="single" w:color="auto" w:sz="2" w:space="0"/>
              <w:bottom w:val="single" w:color="auto" w:sz="2" w:space="0"/>
            </w:tcBorders>
            <w:noWrap w:val="0"/>
            <w:vAlign w:val="center"/>
          </w:tcPr>
          <w:p w14:paraId="2A695ECB">
            <w:pPr>
              <w:adjustRightInd w:val="0"/>
              <w:snapToGrid w:val="0"/>
              <w:spacing w:line="400" w:lineRule="exact"/>
              <w:jc w:val="center"/>
              <w:rPr>
                <w:rFonts w:hint="eastAsia" w:ascii="宋体" w:hAnsi="宋体" w:cs="宋体"/>
                <w:color w:val="auto"/>
                <w:szCs w:val="21"/>
              </w:rPr>
            </w:pPr>
          </w:p>
        </w:tc>
      </w:tr>
      <w:tr w14:paraId="10C9221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37E9DAA9">
            <w:pPr>
              <w:adjustRightInd w:val="0"/>
              <w:snapToGrid w:val="0"/>
              <w:spacing w:line="400" w:lineRule="exact"/>
              <w:jc w:val="center"/>
              <w:rPr>
                <w:rFonts w:hint="eastAsia" w:ascii="宋体" w:hAnsi="宋体" w:cs="宋体"/>
                <w:color w:val="auto"/>
                <w:szCs w:val="21"/>
              </w:rPr>
            </w:pPr>
          </w:p>
        </w:tc>
        <w:tc>
          <w:tcPr>
            <w:tcW w:w="1436" w:type="pct"/>
            <w:vMerge w:val="continue"/>
            <w:tcBorders>
              <w:left w:val="single" w:color="auto" w:sz="2" w:space="0"/>
              <w:bottom w:val="single" w:color="auto" w:sz="2" w:space="0"/>
              <w:right w:val="single" w:color="auto" w:sz="2" w:space="0"/>
            </w:tcBorders>
            <w:noWrap w:val="0"/>
            <w:vAlign w:val="center"/>
          </w:tcPr>
          <w:p w14:paraId="1EA57D77">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93B93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拥有者性别</w:t>
            </w:r>
          </w:p>
        </w:tc>
        <w:tc>
          <w:tcPr>
            <w:tcW w:w="1259" w:type="pct"/>
            <w:tcBorders>
              <w:top w:val="single" w:color="auto" w:sz="2" w:space="0"/>
              <w:left w:val="single" w:color="auto" w:sz="2" w:space="0"/>
              <w:bottom w:val="single" w:color="auto" w:sz="2" w:space="0"/>
            </w:tcBorders>
            <w:noWrap w:val="0"/>
            <w:vAlign w:val="center"/>
          </w:tcPr>
          <w:p w14:paraId="6DA751BF">
            <w:pPr>
              <w:adjustRightInd w:val="0"/>
              <w:snapToGrid w:val="0"/>
              <w:spacing w:line="400" w:lineRule="exact"/>
              <w:jc w:val="center"/>
              <w:rPr>
                <w:rFonts w:hint="eastAsia" w:ascii="宋体" w:hAnsi="宋体" w:cs="宋体"/>
                <w:color w:val="auto"/>
                <w:spacing w:val="20"/>
                <w:szCs w:val="21"/>
              </w:rPr>
            </w:pPr>
          </w:p>
        </w:tc>
      </w:tr>
      <w:tr w14:paraId="19D60E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4237B587">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2F1D9C9">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8AAEBC9">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住  所</w:t>
            </w:r>
          </w:p>
        </w:tc>
        <w:tc>
          <w:tcPr>
            <w:tcW w:w="1259" w:type="pct"/>
            <w:tcBorders>
              <w:top w:val="single" w:color="auto" w:sz="2" w:space="0"/>
              <w:left w:val="single" w:color="auto" w:sz="2" w:space="0"/>
              <w:bottom w:val="single" w:color="auto" w:sz="2" w:space="0"/>
            </w:tcBorders>
            <w:noWrap w:val="0"/>
            <w:vAlign w:val="center"/>
          </w:tcPr>
          <w:p w14:paraId="6DD6378F">
            <w:pPr>
              <w:adjustRightInd w:val="0"/>
              <w:snapToGrid w:val="0"/>
              <w:spacing w:line="400" w:lineRule="exact"/>
              <w:jc w:val="center"/>
              <w:rPr>
                <w:rFonts w:hint="eastAsia" w:ascii="宋体" w:hAnsi="宋体" w:cs="宋体"/>
                <w:color w:val="auto"/>
                <w:spacing w:val="20"/>
                <w:szCs w:val="21"/>
              </w:rPr>
            </w:pPr>
          </w:p>
        </w:tc>
      </w:tr>
      <w:tr w14:paraId="4CACC22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D8F61E6">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DD98523">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5447CC6">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联 系 人</w:t>
            </w:r>
          </w:p>
        </w:tc>
        <w:tc>
          <w:tcPr>
            <w:tcW w:w="1259" w:type="pct"/>
            <w:tcBorders>
              <w:top w:val="single" w:color="auto" w:sz="2" w:space="0"/>
              <w:left w:val="single" w:color="auto" w:sz="2" w:space="0"/>
              <w:bottom w:val="single" w:color="auto" w:sz="2" w:space="0"/>
            </w:tcBorders>
            <w:noWrap w:val="0"/>
            <w:vAlign w:val="center"/>
          </w:tcPr>
          <w:p w14:paraId="46582067">
            <w:pPr>
              <w:adjustRightInd w:val="0"/>
              <w:snapToGrid w:val="0"/>
              <w:spacing w:line="400" w:lineRule="exact"/>
              <w:jc w:val="center"/>
              <w:rPr>
                <w:rFonts w:hint="eastAsia" w:ascii="宋体" w:hAnsi="宋体" w:cs="宋体"/>
                <w:color w:val="auto"/>
                <w:spacing w:val="20"/>
                <w:szCs w:val="21"/>
              </w:rPr>
            </w:pPr>
          </w:p>
        </w:tc>
      </w:tr>
      <w:tr w14:paraId="2E1A50F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DC5EFE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3659BE00">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A3B25E9">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联系电话</w:t>
            </w:r>
          </w:p>
        </w:tc>
        <w:tc>
          <w:tcPr>
            <w:tcW w:w="1259" w:type="pct"/>
            <w:tcBorders>
              <w:top w:val="single" w:color="auto" w:sz="2" w:space="0"/>
              <w:left w:val="single" w:color="auto" w:sz="2" w:space="0"/>
              <w:bottom w:val="single" w:color="auto" w:sz="2" w:space="0"/>
            </w:tcBorders>
            <w:noWrap w:val="0"/>
            <w:vAlign w:val="center"/>
          </w:tcPr>
          <w:p w14:paraId="10AB6118">
            <w:pPr>
              <w:adjustRightInd w:val="0"/>
              <w:snapToGrid w:val="0"/>
              <w:spacing w:line="400" w:lineRule="exact"/>
              <w:jc w:val="center"/>
              <w:rPr>
                <w:rFonts w:hint="eastAsia" w:ascii="宋体" w:hAnsi="宋体" w:cs="宋体"/>
                <w:color w:val="auto"/>
                <w:spacing w:val="20"/>
                <w:szCs w:val="21"/>
              </w:rPr>
            </w:pPr>
          </w:p>
        </w:tc>
      </w:tr>
      <w:tr w14:paraId="44F0FC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FA9254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B4430AE">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9E1A6B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通信地址</w:t>
            </w:r>
          </w:p>
        </w:tc>
        <w:tc>
          <w:tcPr>
            <w:tcW w:w="1259" w:type="pct"/>
            <w:tcBorders>
              <w:top w:val="single" w:color="auto" w:sz="2" w:space="0"/>
              <w:left w:val="single" w:color="auto" w:sz="2" w:space="0"/>
              <w:bottom w:val="single" w:color="auto" w:sz="2" w:space="0"/>
            </w:tcBorders>
            <w:noWrap w:val="0"/>
            <w:vAlign w:val="center"/>
          </w:tcPr>
          <w:p w14:paraId="758504E0">
            <w:pPr>
              <w:adjustRightInd w:val="0"/>
              <w:snapToGrid w:val="0"/>
              <w:spacing w:line="400" w:lineRule="exact"/>
              <w:jc w:val="center"/>
              <w:rPr>
                <w:rFonts w:hint="eastAsia" w:ascii="宋体" w:hAnsi="宋体" w:cs="宋体"/>
                <w:color w:val="auto"/>
                <w:spacing w:val="20"/>
                <w:szCs w:val="21"/>
              </w:rPr>
            </w:pPr>
          </w:p>
        </w:tc>
      </w:tr>
      <w:tr w14:paraId="5F8C36C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EB36580">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BA420A9">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951ECF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邮政编码</w:t>
            </w:r>
          </w:p>
        </w:tc>
        <w:tc>
          <w:tcPr>
            <w:tcW w:w="1259" w:type="pct"/>
            <w:tcBorders>
              <w:top w:val="single" w:color="auto" w:sz="2" w:space="0"/>
              <w:left w:val="single" w:color="auto" w:sz="2" w:space="0"/>
              <w:bottom w:val="single" w:color="auto" w:sz="2" w:space="0"/>
            </w:tcBorders>
            <w:noWrap w:val="0"/>
            <w:vAlign w:val="center"/>
          </w:tcPr>
          <w:p w14:paraId="307D38B2">
            <w:pPr>
              <w:adjustRightInd w:val="0"/>
              <w:snapToGrid w:val="0"/>
              <w:spacing w:line="400" w:lineRule="exact"/>
              <w:jc w:val="center"/>
              <w:rPr>
                <w:rFonts w:hint="eastAsia" w:ascii="宋体" w:hAnsi="宋体" w:cs="宋体"/>
                <w:color w:val="auto"/>
                <w:spacing w:val="20"/>
                <w:szCs w:val="21"/>
              </w:rPr>
            </w:pPr>
          </w:p>
        </w:tc>
      </w:tr>
      <w:tr w14:paraId="5EDEB4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334A7F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47F421DA">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9008A9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电子邮箱</w:t>
            </w:r>
          </w:p>
        </w:tc>
        <w:tc>
          <w:tcPr>
            <w:tcW w:w="1259" w:type="pct"/>
            <w:tcBorders>
              <w:top w:val="single" w:color="auto" w:sz="2" w:space="0"/>
              <w:left w:val="single" w:color="auto" w:sz="2" w:space="0"/>
              <w:bottom w:val="single" w:color="auto" w:sz="2" w:space="0"/>
            </w:tcBorders>
            <w:noWrap w:val="0"/>
            <w:vAlign w:val="center"/>
          </w:tcPr>
          <w:p w14:paraId="2583DE7E">
            <w:pPr>
              <w:adjustRightInd w:val="0"/>
              <w:snapToGrid w:val="0"/>
              <w:spacing w:line="400" w:lineRule="exact"/>
              <w:jc w:val="center"/>
              <w:rPr>
                <w:rFonts w:hint="eastAsia" w:ascii="宋体" w:hAnsi="宋体" w:cs="宋体"/>
                <w:color w:val="auto"/>
                <w:spacing w:val="20"/>
                <w:szCs w:val="21"/>
              </w:rPr>
            </w:pPr>
          </w:p>
        </w:tc>
      </w:tr>
      <w:tr w14:paraId="36BC1EF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3FE83C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9B0D474">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36224E26">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统一社会信用代码</w:t>
            </w:r>
          </w:p>
        </w:tc>
        <w:tc>
          <w:tcPr>
            <w:tcW w:w="1259" w:type="pct"/>
            <w:tcBorders>
              <w:top w:val="single" w:color="auto" w:sz="2" w:space="0"/>
              <w:left w:val="single" w:color="auto" w:sz="2" w:space="0"/>
              <w:bottom w:val="single" w:color="auto" w:sz="2" w:space="0"/>
            </w:tcBorders>
            <w:noWrap w:val="0"/>
            <w:vAlign w:val="center"/>
          </w:tcPr>
          <w:p w14:paraId="12D6E8EB">
            <w:pPr>
              <w:adjustRightInd w:val="0"/>
              <w:snapToGrid w:val="0"/>
              <w:spacing w:line="400" w:lineRule="exact"/>
              <w:jc w:val="center"/>
              <w:rPr>
                <w:rFonts w:hint="eastAsia" w:ascii="宋体" w:hAnsi="宋体" w:cs="宋体"/>
                <w:color w:val="auto"/>
                <w:spacing w:val="20"/>
                <w:szCs w:val="21"/>
              </w:rPr>
            </w:pPr>
          </w:p>
        </w:tc>
      </w:tr>
      <w:tr w14:paraId="5A45F06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B58F04A">
            <w:pPr>
              <w:adjustRightInd w:val="0"/>
              <w:snapToGrid w:val="0"/>
              <w:spacing w:line="400" w:lineRule="exact"/>
              <w:jc w:val="center"/>
              <w:rPr>
                <w:rFonts w:hint="eastAsia" w:ascii="宋体" w:hAnsi="宋体" w:cs="宋体"/>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8F3028E">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0788B8A">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开户名称</w:t>
            </w:r>
          </w:p>
        </w:tc>
        <w:tc>
          <w:tcPr>
            <w:tcW w:w="1259" w:type="pct"/>
            <w:tcBorders>
              <w:top w:val="single" w:color="auto" w:sz="2" w:space="0"/>
              <w:left w:val="single" w:color="auto" w:sz="2" w:space="0"/>
              <w:bottom w:val="single" w:color="auto" w:sz="2" w:space="0"/>
            </w:tcBorders>
            <w:noWrap w:val="0"/>
            <w:vAlign w:val="center"/>
          </w:tcPr>
          <w:p w14:paraId="5CA340DF">
            <w:pPr>
              <w:adjustRightInd w:val="0"/>
              <w:snapToGrid w:val="0"/>
              <w:spacing w:line="400" w:lineRule="exact"/>
              <w:jc w:val="center"/>
              <w:rPr>
                <w:rFonts w:hint="eastAsia" w:ascii="宋体" w:hAnsi="宋体" w:cs="宋体"/>
                <w:color w:val="auto"/>
                <w:spacing w:val="20"/>
                <w:szCs w:val="21"/>
              </w:rPr>
            </w:pPr>
          </w:p>
        </w:tc>
      </w:tr>
      <w:tr w14:paraId="1554EF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CE24E28">
            <w:pPr>
              <w:adjustRightInd w:val="0"/>
              <w:snapToGrid w:val="0"/>
              <w:spacing w:line="400" w:lineRule="exact"/>
              <w:jc w:val="center"/>
              <w:rPr>
                <w:rFonts w:hint="eastAsia" w:ascii="宋体" w:hAnsi="宋体" w:cs="宋体"/>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663A25E">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E0225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开户银行</w:t>
            </w:r>
          </w:p>
        </w:tc>
        <w:tc>
          <w:tcPr>
            <w:tcW w:w="1259" w:type="pct"/>
            <w:tcBorders>
              <w:top w:val="single" w:color="auto" w:sz="2" w:space="0"/>
              <w:left w:val="single" w:color="auto" w:sz="2" w:space="0"/>
              <w:bottom w:val="single" w:color="auto" w:sz="2" w:space="0"/>
            </w:tcBorders>
            <w:noWrap w:val="0"/>
            <w:vAlign w:val="center"/>
          </w:tcPr>
          <w:p w14:paraId="71D2060D">
            <w:pPr>
              <w:adjustRightInd w:val="0"/>
              <w:snapToGrid w:val="0"/>
              <w:spacing w:line="400" w:lineRule="exact"/>
              <w:jc w:val="center"/>
              <w:rPr>
                <w:rFonts w:hint="eastAsia" w:ascii="宋体" w:hAnsi="宋体" w:cs="宋体"/>
                <w:color w:val="auto"/>
                <w:spacing w:val="20"/>
                <w:szCs w:val="21"/>
              </w:rPr>
            </w:pPr>
          </w:p>
        </w:tc>
      </w:tr>
      <w:tr w14:paraId="187E315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DF00D66">
            <w:pPr>
              <w:adjustRightInd w:val="0"/>
              <w:snapToGrid w:val="0"/>
              <w:spacing w:line="400" w:lineRule="exact"/>
              <w:jc w:val="center"/>
              <w:rPr>
                <w:rFonts w:hint="eastAsia" w:ascii="宋体" w:hAnsi="宋体" w:cs="宋体"/>
                <w:color w:val="auto"/>
                <w:szCs w:val="21"/>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A4368E2">
            <w:pPr>
              <w:adjustRightInd w:val="0"/>
              <w:snapToGrid w:val="0"/>
              <w:spacing w:line="400" w:lineRule="exact"/>
              <w:jc w:val="center"/>
              <w:rPr>
                <w:rFonts w:hint="eastAsia" w:ascii="宋体" w:hAnsi="宋体" w:cs="宋体"/>
                <w:color w:val="auto"/>
                <w:szCs w:val="21"/>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8A6A33A">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银行账号</w:t>
            </w:r>
          </w:p>
        </w:tc>
        <w:tc>
          <w:tcPr>
            <w:tcW w:w="1259" w:type="pct"/>
            <w:tcBorders>
              <w:top w:val="single" w:color="auto" w:sz="2" w:space="0"/>
              <w:left w:val="single" w:color="auto" w:sz="2" w:space="0"/>
              <w:bottom w:val="single" w:color="auto" w:sz="2" w:space="0"/>
            </w:tcBorders>
            <w:noWrap w:val="0"/>
            <w:vAlign w:val="center"/>
          </w:tcPr>
          <w:p w14:paraId="405B8C75">
            <w:pPr>
              <w:adjustRightInd w:val="0"/>
              <w:snapToGrid w:val="0"/>
              <w:spacing w:line="400" w:lineRule="exact"/>
              <w:jc w:val="center"/>
              <w:rPr>
                <w:rFonts w:hint="eastAsia" w:ascii="宋体" w:hAnsi="宋体" w:cs="宋体"/>
                <w:color w:val="auto"/>
                <w:spacing w:val="20"/>
                <w:szCs w:val="21"/>
              </w:rPr>
            </w:pPr>
          </w:p>
        </w:tc>
      </w:tr>
      <w:tr w14:paraId="0414B1F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412F71BE">
            <w:pPr>
              <w:pStyle w:val="11"/>
              <w:adjustRightInd w:val="0"/>
              <w:snapToGrid w:val="0"/>
              <w:spacing w:line="400" w:lineRule="exact"/>
              <w:jc w:val="left"/>
              <w:rPr>
                <w:rFonts w:hint="eastAsia" w:hAnsi="宋体" w:cs="宋体"/>
                <w:color w:val="auto"/>
                <w:spacing w:val="20"/>
                <w:sz w:val="21"/>
                <w:szCs w:val="21"/>
              </w:rPr>
            </w:pPr>
            <w:r>
              <w:rPr>
                <w:rFonts w:hint="eastAsia" w:hAnsi="宋体" w:cs="宋体"/>
                <w:color w:val="auto"/>
                <w:sz w:val="21"/>
                <w:szCs w:val="21"/>
              </w:rPr>
              <w:t>注：涉及联合体或其他合同主体的信息应按上表格式加列。</w:t>
            </w:r>
          </w:p>
        </w:tc>
      </w:tr>
    </w:tbl>
    <w:p w14:paraId="7C8F37F0">
      <w:pPr>
        <w:pStyle w:val="3"/>
        <w:adjustRightInd w:val="0"/>
        <w:snapToGrid w:val="0"/>
        <w:spacing w:before="0" w:after="0" w:line="400" w:lineRule="exact"/>
        <w:jc w:val="center"/>
        <w:rPr>
          <w:rFonts w:hint="eastAsia" w:ascii="宋体" w:hAnsi="宋体" w:eastAsia="宋体" w:cs="宋体"/>
          <w:color w:val="auto"/>
          <w:sz w:val="28"/>
          <w:szCs w:val="28"/>
        </w:rPr>
      </w:pPr>
      <w:r>
        <w:rPr>
          <w:rFonts w:hint="eastAsia" w:ascii="宋体" w:hAnsi="宋体" w:eastAsia="宋体" w:cs="宋体"/>
          <w:color w:val="auto"/>
          <w:sz w:val="21"/>
          <w:szCs w:val="21"/>
          <w:u w:val="single"/>
        </w:rPr>
        <w:br w:type="page"/>
      </w:r>
      <w:bookmarkStart w:id="87" w:name="_Toc505"/>
      <w:bookmarkStart w:id="88" w:name="_Toc27624"/>
      <w:r>
        <w:rPr>
          <w:rFonts w:hint="eastAsia" w:ascii="宋体" w:hAnsi="宋体" w:eastAsia="宋体" w:cs="宋体"/>
          <w:color w:val="auto"/>
        </w:rPr>
        <w:t>第二节 政府采购合同通用条款</w:t>
      </w:r>
      <w:bookmarkEnd w:id="87"/>
      <w:bookmarkEnd w:id="88"/>
    </w:p>
    <w:p w14:paraId="269A2100">
      <w:pPr>
        <w:tabs>
          <w:tab w:val="left" w:pos="8820"/>
          <w:tab w:val="left" w:pos="9345"/>
          <w:tab w:val="left" w:pos="9765"/>
        </w:tabs>
        <w:adjustRightInd w:val="0"/>
        <w:snapToGrid w:val="0"/>
        <w:spacing w:line="400" w:lineRule="exact"/>
        <w:jc w:val="left"/>
        <w:rPr>
          <w:rFonts w:hint="eastAsia" w:ascii="宋体" w:hAnsi="宋体" w:cs="宋体"/>
          <w:b/>
          <w:bCs/>
          <w:color w:val="auto"/>
          <w:sz w:val="24"/>
        </w:rPr>
      </w:pPr>
      <w:r>
        <w:rPr>
          <w:rFonts w:hint="eastAsia" w:ascii="宋体" w:hAnsi="宋体" w:cs="宋体"/>
          <w:b/>
          <w:color w:val="auto"/>
          <w:sz w:val="24"/>
        </w:rPr>
        <w:t>1.</w:t>
      </w:r>
      <w:r>
        <w:rPr>
          <w:rFonts w:hint="eastAsia" w:ascii="宋体" w:hAnsi="宋体" w:cs="宋体"/>
          <w:b/>
          <w:bCs/>
          <w:color w:val="auto"/>
          <w:sz w:val="24"/>
        </w:rPr>
        <w:t>定义</w:t>
      </w:r>
    </w:p>
    <w:p w14:paraId="6EB4C565">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1.1合同当事人</w:t>
      </w:r>
    </w:p>
    <w:p w14:paraId="2436C52A">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（1）采购人（以下称甲方）是指使用财政性资金，通过政府采购方式向供应商购买货物及其相关服务的国家机关、事业单位、团体组织。</w:t>
      </w:r>
    </w:p>
    <w:p w14:paraId="549EB83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（2）供应商（以下称乙方）是指参加政府采购活动并且中标（成交），向采购人提供合同约定的货物及其相关服务的法人、非法人组织或者自然人。</w:t>
      </w:r>
    </w:p>
    <w:p w14:paraId="06716115">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（3）其他合同主体是指除采购人和供应商以外，</w:t>
      </w:r>
      <w:r>
        <w:rPr>
          <w:rFonts w:hint="eastAsia" w:ascii="宋体" w:hAnsi="宋体" w:cs="宋体"/>
          <w:bCs/>
          <w:color w:val="auto"/>
          <w:szCs w:val="21"/>
        </w:rPr>
        <w:t>依法参与合同缔结或履行，享有权利、承担义务的合同当事人</w:t>
      </w:r>
      <w:r>
        <w:rPr>
          <w:rFonts w:hint="eastAsia" w:ascii="宋体" w:hAnsi="宋体" w:cs="宋体"/>
          <w:color w:val="auto"/>
          <w:szCs w:val="21"/>
        </w:rPr>
        <w:t>。</w:t>
      </w:r>
    </w:p>
    <w:p w14:paraId="7E01A347">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1.2本合同下列术语应解释为：</w:t>
      </w:r>
    </w:p>
    <w:p w14:paraId="11373AA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（1）“合同”系指</w:t>
      </w:r>
      <w:r>
        <w:rPr>
          <w:rFonts w:hint="eastAsia" w:ascii="宋体" w:hAnsi="宋体" w:cs="宋体"/>
          <w:bCs/>
          <w:color w:val="auto"/>
          <w:szCs w:val="21"/>
        </w:rPr>
        <w:t>合同当事人意思表示达成一致的任何协议，包括签署的</w:t>
      </w:r>
      <w:r>
        <w:rPr>
          <w:rFonts w:hint="eastAsia" w:ascii="宋体" w:hAnsi="宋体" w:cs="宋体"/>
          <w:color w:val="auto"/>
          <w:szCs w:val="21"/>
        </w:rPr>
        <w:t>政府采购合同协议书及其变更、补充协议，政府采购合同专用条款，政府采购合同通用条款，中标（成交）通知书，投标（响应）文件，招标文件，有关技术文件和图纸，以及国家法律、行政法规和规章制度规定或合同约定的作为合同组成部分的其他文件。</w:t>
      </w:r>
    </w:p>
    <w:p w14:paraId="541A24BD">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（2）“合同价款”系指根据本合同规定乙方在全面履行合同义务后甲方应支付给乙方的价款。</w:t>
      </w:r>
    </w:p>
    <w:p w14:paraId="29DFB489">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（3）“货物”系指乙方根据本合同规定须向甲方提供的各种形态和种类的物品，包括原材料、设备、产品（包括软件）及相关的其备品备件、工具、手册及</w:t>
      </w:r>
      <w:r>
        <w:rPr>
          <w:rFonts w:hint="eastAsia" w:ascii="宋体" w:hAnsi="宋体" w:cs="宋体"/>
          <w:color w:val="auto"/>
          <w:szCs w:val="21"/>
          <w:lang w:val="en"/>
        </w:rPr>
        <w:t>其他</w:t>
      </w:r>
      <w:r>
        <w:rPr>
          <w:rFonts w:hint="eastAsia" w:ascii="宋体" w:hAnsi="宋体" w:cs="宋体"/>
          <w:color w:val="auto"/>
          <w:szCs w:val="21"/>
        </w:rPr>
        <w:t>技术资料和材料等。</w:t>
      </w:r>
    </w:p>
    <w:p w14:paraId="6CBE0CF0">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（4）“相关服务”系指根据合同规定，乙方应提供的与货物有关的技术、管理和</w:t>
      </w:r>
      <w:r>
        <w:rPr>
          <w:rFonts w:hint="eastAsia" w:ascii="宋体" w:hAnsi="宋体" w:cs="宋体"/>
          <w:color w:val="auto"/>
          <w:szCs w:val="21"/>
          <w:lang w:val="en"/>
        </w:rPr>
        <w:t>其他</w:t>
      </w:r>
      <w:r>
        <w:rPr>
          <w:rFonts w:hint="eastAsia" w:ascii="宋体" w:hAnsi="宋体" w:cs="宋体"/>
          <w:color w:val="auto"/>
          <w:szCs w:val="21"/>
        </w:rPr>
        <w:t>服务，包括但不限于：管理和质量保证、运输、保险、检验、现场准备、安装、集成、调试、培训、维修、废弃处置、技术支持等以及合同中规定乙方应承担的</w:t>
      </w:r>
      <w:r>
        <w:rPr>
          <w:rFonts w:hint="eastAsia" w:ascii="宋体" w:hAnsi="宋体" w:cs="宋体"/>
          <w:color w:val="auto"/>
          <w:szCs w:val="21"/>
          <w:lang w:val="en"/>
        </w:rPr>
        <w:t>其他</w:t>
      </w:r>
      <w:r>
        <w:rPr>
          <w:rFonts w:hint="eastAsia" w:ascii="宋体" w:hAnsi="宋体" w:cs="宋体"/>
          <w:color w:val="auto"/>
          <w:szCs w:val="21"/>
        </w:rPr>
        <w:t>义务。</w:t>
      </w:r>
    </w:p>
    <w:p w14:paraId="04C96C2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（5）“分包”系指中标（成交）供应商按招标文件、投标（响应）文件的规定，根据分包意向协议，将中标（成交）项目中的部分履约内容，分给具有相应资质条件的供应商履行合同的行为。</w:t>
      </w:r>
    </w:p>
    <w:p w14:paraId="0AEBA81D">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cs="宋体"/>
          <w:b/>
          <w:bCs/>
          <w:color w:val="auto"/>
          <w:szCs w:val="21"/>
        </w:rPr>
        <w:t>政府采购合同专用条款</w:t>
      </w:r>
      <w:r>
        <w:rPr>
          <w:rFonts w:hint="eastAsia" w:ascii="宋体" w:hAnsi="宋体" w:cs="宋体"/>
          <w:color w:val="auto"/>
          <w:szCs w:val="21"/>
        </w:rPr>
        <w:t>】。</w:t>
      </w:r>
    </w:p>
    <w:p w14:paraId="275698E9">
      <w:pPr>
        <w:tabs>
          <w:tab w:val="left" w:pos="570"/>
          <w:tab w:val="left" w:pos="9240"/>
          <w:tab w:val="left" w:pos="9555"/>
        </w:tabs>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（7）其他术语解释，见【</w:t>
      </w:r>
      <w:r>
        <w:rPr>
          <w:rFonts w:hint="eastAsia" w:ascii="宋体" w:hAnsi="宋体" w:cs="宋体"/>
          <w:b/>
          <w:bCs/>
          <w:color w:val="auto"/>
          <w:szCs w:val="21"/>
        </w:rPr>
        <w:t>政府采购合同专用条款</w:t>
      </w:r>
      <w:r>
        <w:rPr>
          <w:rFonts w:hint="eastAsia" w:ascii="宋体" w:hAnsi="宋体" w:cs="宋体"/>
          <w:color w:val="auto"/>
          <w:szCs w:val="21"/>
        </w:rPr>
        <w:t>】。</w:t>
      </w:r>
    </w:p>
    <w:p w14:paraId="6BF740BE">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b/>
          <w:color w:val="auto"/>
          <w:sz w:val="24"/>
        </w:rPr>
        <w:t>合同标的及金额</w:t>
      </w:r>
    </w:p>
    <w:p w14:paraId="5095B700">
      <w:pPr>
        <w:autoSpaceDE w:val="0"/>
        <w:autoSpaceDN w:val="0"/>
        <w:adjustRightInd w:val="0"/>
        <w:snapToGrid w:val="0"/>
        <w:spacing w:line="400" w:lineRule="exact"/>
        <w:ind w:firstLine="420" w:firstLineChars="200"/>
        <w:jc w:val="left"/>
        <w:rPr>
          <w:rFonts w:hint="eastAsia" w:ascii="宋体" w:hAnsi="宋体" w:cs="宋体"/>
          <w:b/>
          <w:bCs/>
          <w:i/>
          <w:iCs/>
          <w:color w:val="auto"/>
          <w:szCs w:val="21"/>
        </w:rPr>
      </w:pPr>
      <w:r>
        <w:rPr>
          <w:rFonts w:hint="eastAsia" w:ascii="宋体" w:hAnsi="宋体" w:cs="宋体"/>
          <w:color w:val="auto"/>
          <w:szCs w:val="21"/>
        </w:rPr>
        <w:t>2.1合同标的及金额应与中标（成交）结果一致。乙方为履行本合同而发生的所有费用均应包含在合同价款中，甲方不再另行支付</w:t>
      </w:r>
      <w:r>
        <w:rPr>
          <w:rFonts w:hint="eastAsia" w:ascii="宋体" w:hAnsi="宋体" w:cs="宋体"/>
          <w:color w:val="auto"/>
          <w:szCs w:val="21"/>
          <w:lang w:val="en"/>
        </w:rPr>
        <w:t>其他</w:t>
      </w:r>
      <w:r>
        <w:rPr>
          <w:rFonts w:hint="eastAsia" w:ascii="宋体" w:hAnsi="宋体" w:cs="宋体"/>
          <w:color w:val="auto"/>
          <w:szCs w:val="21"/>
        </w:rPr>
        <w:t>任何费用。</w:t>
      </w:r>
    </w:p>
    <w:p w14:paraId="016086EB">
      <w:pPr>
        <w:adjustRightInd w:val="0"/>
        <w:snapToGrid w:val="0"/>
        <w:spacing w:line="400" w:lineRule="exact"/>
        <w:jc w:val="left"/>
        <w:rPr>
          <w:rFonts w:hint="eastAsia" w:ascii="宋体" w:hAnsi="宋体" w:cs="宋体"/>
          <w:b/>
          <w:color w:val="auto"/>
          <w:sz w:val="24"/>
        </w:rPr>
      </w:pPr>
      <w:r>
        <w:rPr>
          <w:rFonts w:hint="eastAsia" w:ascii="宋体" w:hAnsi="宋体" w:cs="宋体"/>
          <w:b/>
          <w:color w:val="auto"/>
          <w:sz w:val="24"/>
        </w:rPr>
        <w:t>3.履行合同的时间、地点和方式</w:t>
      </w:r>
    </w:p>
    <w:p w14:paraId="6713EDCA">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3.1乙方应当在约定的时间、地点，按照约定方式履行合同。</w:t>
      </w:r>
    </w:p>
    <w:p w14:paraId="50D6C8FB">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4.甲方的权利和义务</w:t>
      </w:r>
    </w:p>
    <w:p w14:paraId="22DB18FA">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4.1签署合同后，甲方应确定项目负责人（或项目联系人），负责与本合同有关的事务。甲方有权对乙方的履约行为进行检查，并及时确认乙方提交的事项。甲方应当配合乙方完成相关项目实施工作。</w:t>
      </w:r>
    </w:p>
    <w:p w14:paraId="37DD964A">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4.2 甲方有权要求乙方按时提交各阶段有关安排计划，并有权定期核对乙方提供货物数量、规格、质量等内容。甲方有权督促乙方工作并要求乙方更换不符合要求的货物。</w:t>
      </w:r>
    </w:p>
    <w:p w14:paraId="05D503A3">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4.3甲方有权要求乙方对缺陷部分予以修复，并按合同约定享有货物保修及其他合同约定的权利。</w:t>
      </w:r>
    </w:p>
    <w:p w14:paraId="56E5D6C9">
      <w:pPr>
        <w:snapToGrid w:val="0"/>
        <w:spacing w:line="400" w:lineRule="exact"/>
        <w:ind w:firstLine="420" w:firstLineChars="200"/>
        <w:rPr>
          <w:rFonts w:hint="eastAsia" w:ascii="宋体" w:hAnsi="宋体" w:cs="宋体"/>
          <w:color w:val="auto"/>
        </w:rPr>
      </w:pPr>
      <w:r>
        <w:rPr>
          <w:rFonts w:hint="eastAsia" w:ascii="宋体" w:hAnsi="宋体" w:cs="宋体"/>
          <w:color w:val="auto"/>
          <w:szCs w:val="21"/>
        </w:rPr>
        <w:t>4.4甲方应当按照合同约定及时对交付的货物进行验收，未在</w:t>
      </w:r>
      <w:r>
        <w:rPr>
          <w:rFonts w:hint="eastAsia" w:ascii="宋体" w:hAnsi="宋体" w:cs="宋体"/>
          <w:b/>
          <w:bCs/>
          <w:color w:val="auto"/>
          <w:szCs w:val="21"/>
        </w:rPr>
        <w:t>【政府采购合同专用条款】</w:t>
      </w:r>
      <w:r>
        <w:rPr>
          <w:rFonts w:hint="eastAsia" w:ascii="宋体" w:hAnsi="宋体" w:cs="宋体"/>
          <w:color w:val="auto"/>
          <w:szCs w:val="21"/>
        </w:rPr>
        <w:t>约定的期限内对乙方履约提出任何异议或者向乙方作出任何说明的，视为验收通过。</w:t>
      </w:r>
    </w:p>
    <w:p w14:paraId="254BB42C">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4.5甲方应当根据合同约定及时向乙方支付合同价款，不得以内部人员变更、履行内部付款流程等为由，拒绝或迟延支付。</w:t>
      </w:r>
    </w:p>
    <w:p w14:paraId="0C47700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4.6国家法律法规规定及</w:t>
      </w:r>
      <w:r>
        <w:rPr>
          <w:rFonts w:hint="eastAsia" w:ascii="宋体" w:hAnsi="宋体" w:cs="宋体"/>
          <w:b/>
          <w:bCs/>
          <w:color w:val="auto"/>
          <w:szCs w:val="21"/>
        </w:rPr>
        <w:t>【政府采购合同专用条款】</w:t>
      </w:r>
      <w:r>
        <w:rPr>
          <w:rFonts w:hint="eastAsia" w:ascii="宋体" w:hAnsi="宋体" w:cs="宋体"/>
          <w:color w:val="auto"/>
          <w:szCs w:val="21"/>
        </w:rPr>
        <w:t>约定应由甲方承担的其他义务和责任。</w:t>
      </w:r>
    </w:p>
    <w:p w14:paraId="6DDBAF4A">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5.乙方的权利和义务</w:t>
      </w:r>
    </w:p>
    <w:p w14:paraId="78D247D9">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5.1签署合同后，乙方应确定项目负责人（或项目联系人），负责与本合同有关的事务。</w:t>
      </w:r>
    </w:p>
    <w:p w14:paraId="1CE0B38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5.2乙方应按照合同要求履约，充分合理安排，确保提供的货物及相关服务符合合同有关要求。接受项目行业管理部门及政府有关部门的指导，配合甲方的履约检查及验收，并负责项目实施过程中的所有协调工作。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92560EB">
      <w:pPr>
        <w:pStyle w:val="10"/>
        <w:spacing w:after="0" w:line="400" w:lineRule="exact"/>
        <w:ind w:firstLine="369" w:firstLineChars="176"/>
        <w:rPr>
          <w:rFonts w:hint="eastAsia" w:ascii="宋体" w:hAnsi="宋体" w:cs="宋体"/>
          <w:color w:val="auto"/>
          <w:szCs w:val="21"/>
        </w:rPr>
      </w:pPr>
      <w:r>
        <w:rPr>
          <w:rFonts w:hint="eastAsia" w:ascii="宋体" w:hAnsi="宋体" w:cs="宋体"/>
          <w:color w:val="auto"/>
          <w:szCs w:val="21"/>
          <w:lang w:eastAsia="zh-CN"/>
        </w:rPr>
        <w:t>5</w:t>
      </w:r>
      <w:r>
        <w:rPr>
          <w:rFonts w:hint="eastAsia" w:ascii="宋体" w:hAnsi="宋体" w:cs="宋体"/>
          <w:color w:val="auto"/>
          <w:szCs w:val="21"/>
        </w:rPr>
        <w:t>.3乙方有权根据合同约定向甲方收取</w:t>
      </w:r>
      <w:r>
        <w:rPr>
          <w:rFonts w:hint="eastAsia" w:ascii="宋体" w:hAnsi="宋体" w:cs="宋体"/>
          <w:color w:val="auto"/>
          <w:szCs w:val="21"/>
          <w:lang w:eastAsia="zh-CN"/>
        </w:rPr>
        <w:t>合同价款</w:t>
      </w:r>
      <w:r>
        <w:rPr>
          <w:rFonts w:hint="eastAsia" w:ascii="宋体" w:hAnsi="宋体" w:cs="宋体"/>
          <w:color w:val="auto"/>
          <w:szCs w:val="21"/>
        </w:rPr>
        <w:t>。</w:t>
      </w:r>
    </w:p>
    <w:p w14:paraId="5672473C">
      <w:pPr>
        <w:pStyle w:val="10"/>
        <w:spacing w:after="0" w:line="400" w:lineRule="exact"/>
        <w:ind w:firstLine="369" w:firstLineChars="176"/>
        <w:rPr>
          <w:rFonts w:hint="eastAsia" w:ascii="宋体" w:hAnsi="宋体" w:cs="宋体"/>
          <w:color w:val="auto"/>
          <w:szCs w:val="21"/>
        </w:rPr>
      </w:pPr>
      <w:r>
        <w:rPr>
          <w:rFonts w:hint="eastAsia" w:ascii="宋体" w:hAnsi="宋体" w:cs="宋体"/>
          <w:color w:val="auto"/>
          <w:szCs w:val="21"/>
          <w:lang w:eastAsia="zh-CN"/>
        </w:rPr>
        <w:t>5</w:t>
      </w:r>
      <w:r>
        <w:rPr>
          <w:rFonts w:hint="eastAsia" w:ascii="宋体" w:hAnsi="宋体" w:cs="宋体"/>
          <w:color w:val="auto"/>
          <w:szCs w:val="21"/>
        </w:rPr>
        <w:t>.4国家法律法规规定</w:t>
      </w:r>
      <w:r>
        <w:rPr>
          <w:rFonts w:hint="eastAsia" w:ascii="宋体" w:hAnsi="宋体" w:cs="宋体"/>
          <w:color w:val="auto"/>
          <w:szCs w:val="21"/>
          <w:lang w:eastAsia="zh-CN"/>
        </w:rPr>
        <w:t>及</w:t>
      </w:r>
      <w:r>
        <w:rPr>
          <w:rFonts w:hint="eastAsia" w:ascii="宋体" w:hAnsi="宋体" w:cs="宋体"/>
          <w:b/>
          <w:bCs/>
          <w:color w:val="auto"/>
          <w:szCs w:val="21"/>
        </w:rPr>
        <w:t>【政府采购合同专用条款】</w:t>
      </w:r>
      <w:r>
        <w:rPr>
          <w:rFonts w:hint="eastAsia" w:ascii="宋体" w:hAnsi="宋体" w:cs="宋体"/>
          <w:color w:val="auto"/>
          <w:szCs w:val="21"/>
          <w:lang w:eastAsia="zh-CN"/>
        </w:rPr>
        <w:t>约定应</w:t>
      </w:r>
      <w:r>
        <w:rPr>
          <w:rFonts w:hint="eastAsia" w:ascii="宋体" w:hAnsi="宋体" w:cs="宋体"/>
          <w:color w:val="auto"/>
          <w:szCs w:val="21"/>
        </w:rPr>
        <w:t>由乙方承担的其他义务和责任。</w:t>
      </w:r>
    </w:p>
    <w:p w14:paraId="45E6BBCA">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合同履行</w:t>
      </w:r>
    </w:p>
    <w:p w14:paraId="5CC7F218">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6.1甲乙双方应当按照</w:t>
      </w:r>
      <w:r>
        <w:rPr>
          <w:rFonts w:hint="eastAsia" w:ascii="宋体" w:hAnsi="宋体" w:cs="宋体"/>
          <w:b/>
          <w:bCs/>
          <w:color w:val="auto"/>
          <w:szCs w:val="21"/>
        </w:rPr>
        <w:t>【政府采购合同专用条款】</w:t>
      </w:r>
      <w:r>
        <w:rPr>
          <w:rFonts w:hint="eastAsia" w:ascii="宋体" w:hAnsi="宋体" w:cs="宋体"/>
          <w:color w:val="auto"/>
          <w:szCs w:val="21"/>
        </w:rPr>
        <w:t>约定顺序履行合同义务；如果没有先后顺序的，应当同时履行。</w:t>
      </w:r>
    </w:p>
    <w:p w14:paraId="2954CC9F">
      <w:pPr>
        <w:autoSpaceDE w:val="0"/>
        <w:autoSpaceDN w:val="0"/>
        <w:adjustRightInd w:val="0"/>
        <w:snapToGrid w:val="0"/>
        <w:spacing w:line="400" w:lineRule="exact"/>
        <w:ind w:firstLine="420" w:firstLineChars="200"/>
        <w:jc w:val="left"/>
        <w:rPr>
          <w:rFonts w:hint="eastAsia" w:ascii="宋体" w:hAnsi="宋体" w:cs="宋体"/>
          <w:color w:val="auto"/>
        </w:rPr>
      </w:pPr>
      <w:r>
        <w:rPr>
          <w:rFonts w:hint="eastAsia" w:ascii="宋体" w:hAnsi="宋体" w:cs="宋体"/>
          <w:color w:val="auto"/>
          <w:szCs w:val="21"/>
        </w:rPr>
        <w:t>6.2甲乙双方按照合同约定顺序履行合同义务时，应当先履行一方未履行的，后履行一方有权拒绝其履行请求。先履行一方履行不符合约定的，后履行一方有权拒绝其相应的履行请求。</w:t>
      </w:r>
    </w:p>
    <w:p w14:paraId="6A656F76">
      <w:pPr>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7.货物包装、运输、保险和交付要求</w:t>
      </w:r>
    </w:p>
    <w:p w14:paraId="7FF04643">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7.1本合同</w:t>
      </w:r>
      <w:r>
        <w:rPr>
          <w:rFonts w:hint="eastAsia" w:ascii="宋体" w:hAnsi="宋体" w:cs="宋体"/>
          <w:bCs/>
          <w:color w:val="auto"/>
          <w:szCs w:val="21"/>
        </w:rPr>
        <w:t>涉及商品包装、快递包装的，</w:t>
      </w:r>
      <w:r>
        <w:rPr>
          <w:rFonts w:hint="eastAsia" w:ascii="宋体" w:hAnsi="宋体" w:cs="宋体"/>
          <w:color w:val="auto"/>
          <w:szCs w:val="21"/>
        </w:rPr>
        <w:t>除</w:t>
      </w:r>
      <w:r>
        <w:rPr>
          <w:rFonts w:hint="eastAsia" w:ascii="宋体" w:hAnsi="宋体" w:cs="宋体"/>
          <w:b/>
          <w:color w:val="auto"/>
          <w:szCs w:val="21"/>
        </w:rPr>
        <w:t>【政府采购合同专用条款】</w:t>
      </w:r>
      <w:r>
        <w:rPr>
          <w:rFonts w:hint="eastAsia" w:ascii="宋体" w:hAnsi="宋体" w:cs="宋体"/>
          <w:bCs/>
          <w:color w:val="auto"/>
          <w:szCs w:val="21"/>
        </w:rPr>
        <w:t>另有约定外，</w:t>
      </w:r>
      <w:r>
        <w:rPr>
          <w:rFonts w:hint="eastAsia" w:ascii="宋体" w:hAnsi="宋体" w:cs="宋体"/>
          <w:color w:val="auto"/>
          <w:szCs w:val="21"/>
        </w:rPr>
        <w:t>包装应适应远距离运输、防潮、防震、防锈和防野蛮装卸等要求，确保货物安全无损地运抵</w:t>
      </w:r>
      <w:r>
        <w:rPr>
          <w:rFonts w:hint="eastAsia" w:ascii="宋体" w:hAnsi="宋体" w:cs="宋体"/>
          <w:b/>
          <w:color w:val="auto"/>
          <w:szCs w:val="21"/>
        </w:rPr>
        <w:t>【政府采购合同专用条款】</w:t>
      </w:r>
      <w:r>
        <w:rPr>
          <w:rFonts w:hint="eastAsia" w:ascii="宋体" w:hAnsi="宋体" w:cs="宋体"/>
          <w:bCs/>
          <w:color w:val="auto"/>
          <w:szCs w:val="21"/>
        </w:rPr>
        <w:t>约定的</w:t>
      </w:r>
      <w:r>
        <w:rPr>
          <w:rFonts w:hint="eastAsia" w:ascii="宋体" w:hAnsi="宋体" w:cs="宋体"/>
          <w:color w:val="auto"/>
          <w:szCs w:val="21"/>
        </w:rPr>
        <w:t>指定现场。</w:t>
      </w:r>
    </w:p>
    <w:p w14:paraId="33880317">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7.2除</w:t>
      </w:r>
      <w:r>
        <w:rPr>
          <w:rFonts w:hint="eastAsia" w:ascii="宋体" w:hAnsi="宋体" w:cs="宋体"/>
          <w:b/>
          <w:color w:val="auto"/>
          <w:szCs w:val="21"/>
        </w:rPr>
        <w:t>【政府采购合同专用条款】</w:t>
      </w:r>
      <w:r>
        <w:rPr>
          <w:rFonts w:hint="eastAsia" w:ascii="宋体" w:hAnsi="宋体" w:cs="宋体"/>
          <w:bCs/>
          <w:color w:val="auto"/>
          <w:szCs w:val="21"/>
        </w:rPr>
        <w:t>另有约定外，</w:t>
      </w:r>
      <w:r>
        <w:rPr>
          <w:rFonts w:hint="eastAsia" w:ascii="宋体" w:hAnsi="宋体" w:cs="宋体"/>
          <w:color w:val="auto"/>
          <w:szCs w:val="21"/>
        </w:rPr>
        <w:t>乙方负责办理将货物运抵本合同规定的交货地点，并装卸、交付至甲方的一切运输事项，相关费用应包含在合同价款中。</w:t>
      </w:r>
    </w:p>
    <w:p w14:paraId="0ACC65C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7.3货物保险要求按</w:t>
      </w:r>
      <w:r>
        <w:rPr>
          <w:rFonts w:hint="eastAsia" w:ascii="宋体" w:hAnsi="宋体" w:cs="宋体"/>
          <w:b/>
          <w:color w:val="auto"/>
          <w:szCs w:val="21"/>
        </w:rPr>
        <w:t>【政府采购合同专用条款】</w:t>
      </w:r>
      <w:r>
        <w:rPr>
          <w:rFonts w:hint="eastAsia" w:ascii="宋体" w:hAnsi="宋体" w:cs="宋体"/>
          <w:bCs/>
          <w:color w:val="auto"/>
          <w:szCs w:val="21"/>
        </w:rPr>
        <w:t>规定执行</w:t>
      </w:r>
      <w:r>
        <w:rPr>
          <w:rFonts w:hint="eastAsia" w:ascii="宋体" w:hAnsi="宋体" w:cs="宋体"/>
          <w:color w:val="auto"/>
          <w:szCs w:val="21"/>
        </w:rPr>
        <w:t>。</w:t>
      </w:r>
    </w:p>
    <w:p w14:paraId="2779D43C">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7.4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4853D45">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7.5乙方在运输到达之前应提前通知甲方，并提示货物运输装卸的注意事项，甲方配合乙方做好货物的接收工作。</w:t>
      </w:r>
    </w:p>
    <w:p w14:paraId="5ADA1944">
      <w:pPr>
        <w:pStyle w:val="125"/>
        <w:ind w:firstLine="420"/>
        <w:rPr>
          <w:rFonts w:hint="eastAsia" w:ascii="宋体" w:hAnsi="宋体" w:eastAsia="宋体" w:cs="宋体"/>
          <w:color w:val="auto"/>
          <w:sz w:val="21"/>
        </w:rPr>
      </w:pPr>
      <w:r>
        <w:rPr>
          <w:rFonts w:hint="eastAsia" w:ascii="宋体" w:hAnsi="宋体" w:eastAsia="宋体" w:cs="宋体"/>
          <w:color w:val="auto"/>
          <w:kern w:val="2"/>
          <w:sz w:val="21"/>
        </w:rPr>
        <w:t>7.6如因包装、运输问题导致货物损毁、丢失或者品质下降，甲方有权要求降价、换货、拒收部分或整批货物，由此产生的费用和损失，均由乙方承担。</w:t>
      </w:r>
    </w:p>
    <w:p w14:paraId="2F0BAB19">
      <w:pPr>
        <w:adjustRightInd w:val="0"/>
        <w:snapToGrid w:val="0"/>
        <w:spacing w:line="400" w:lineRule="exact"/>
        <w:jc w:val="left"/>
        <w:rPr>
          <w:rFonts w:hint="eastAsia" w:ascii="宋体" w:hAnsi="宋体" w:cs="宋体"/>
          <w:b/>
          <w:color w:val="auto"/>
          <w:sz w:val="24"/>
        </w:rPr>
      </w:pPr>
      <w:r>
        <w:rPr>
          <w:rFonts w:hint="eastAsia" w:ascii="宋体" w:hAnsi="宋体" w:cs="宋体"/>
          <w:b/>
          <w:color w:val="auto"/>
          <w:sz w:val="24"/>
        </w:rPr>
        <w:t>8.质量标准和保证</w:t>
      </w:r>
    </w:p>
    <w:p w14:paraId="51920319">
      <w:pPr>
        <w:pStyle w:val="14"/>
        <w:adjustRightInd w:val="0"/>
        <w:snapToGrid w:val="0"/>
        <w:spacing w:line="400" w:lineRule="exact"/>
        <w:ind w:firstLine="400" w:firstLineChars="200"/>
        <w:jc w:val="left"/>
        <w:rPr>
          <w:rFonts w:hint="eastAsia" w:hAnsi="宋体" w:cs="宋体"/>
          <w:b/>
          <w:color w:val="auto"/>
        </w:rPr>
      </w:pPr>
      <w:r>
        <w:rPr>
          <w:rFonts w:hint="eastAsia" w:hAnsi="宋体" w:cs="宋体"/>
          <w:color w:val="auto"/>
        </w:rPr>
        <w:t>8.1质量标准</w:t>
      </w:r>
    </w:p>
    <w:p w14:paraId="3FF85EDB">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9A21524">
      <w:pPr>
        <w:pStyle w:val="14"/>
        <w:adjustRightInd w:val="0"/>
        <w:snapToGrid w:val="0"/>
        <w:spacing w:line="400" w:lineRule="exact"/>
        <w:ind w:firstLine="400" w:firstLineChars="200"/>
        <w:jc w:val="left"/>
        <w:rPr>
          <w:rFonts w:hint="eastAsia" w:hAnsi="宋体" w:cs="宋体"/>
          <w:color w:val="auto"/>
        </w:rPr>
      </w:pPr>
      <w:r>
        <w:rPr>
          <w:rFonts w:hint="eastAsia" w:hAnsi="宋体" w:cs="宋体"/>
          <w:color w:val="auto"/>
        </w:rPr>
        <w:t>（2）采用中华人民共和国法定计量单位。</w:t>
      </w:r>
    </w:p>
    <w:p w14:paraId="3A12C5B7">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（3）乙方所提供的货物应符合国家有关安全、环保、卫生的规定。</w:t>
      </w:r>
    </w:p>
    <w:p w14:paraId="1A690351">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（4）乙方应向甲方提交所提供货物的技术文件，包括相应的中文技术文件，如：产品目录、图纸、操作手册、使用说明、维护手册或服务指南等。上述文件应包装好随货物一同发运。</w:t>
      </w:r>
    </w:p>
    <w:p w14:paraId="5D6207C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8.2保证</w:t>
      </w:r>
    </w:p>
    <w:p w14:paraId="03B6988B">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宋体" w:hAnsi="宋体" w:cs="宋体"/>
          <w:b/>
          <w:color w:val="auto"/>
          <w:szCs w:val="21"/>
        </w:rPr>
        <w:t>【政府采购合同专用条款】</w:t>
      </w:r>
      <w:r>
        <w:rPr>
          <w:rFonts w:hint="eastAsia" w:ascii="宋体" w:hAnsi="宋体" w:cs="宋体"/>
          <w:color w:val="auto"/>
          <w:szCs w:val="21"/>
        </w:rPr>
        <w:t>规定或乙方书面承诺（两者以较长的为准）的质量保证期内，本保证保持有效。</w:t>
      </w:r>
    </w:p>
    <w:p w14:paraId="4238F77E">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（2）在质量保证期内所发现的缺陷，甲方应尽快以书面形式通知乙方。</w:t>
      </w:r>
    </w:p>
    <w:p w14:paraId="29DB029B">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（3）乙方收到通知后，应在</w:t>
      </w:r>
      <w:r>
        <w:rPr>
          <w:rFonts w:hint="eastAsia" w:ascii="宋体" w:hAnsi="宋体" w:cs="宋体"/>
          <w:b/>
          <w:color w:val="auto"/>
          <w:szCs w:val="21"/>
        </w:rPr>
        <w:t>【政府采购合同专用条款】</w:t>
      </w:r>
      <w:r>
        <w:rPr>
          <w:rFonts w:hint="eastAsia" w:ascii="宋体" w:hAnsi="宋体" w:cs="宋体"/>
          <w:color w:val="auto"/>
          <w:szCs w:val="21"/>
        </w:rPr>
        <w:t>规定的响应时间内以合理的速度免费维修或更换有缺陷的货物或部件。</w:t>
      </w:r>
    </w:p>
    <w:p w14:paraId="468DFC2F">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（4）在质量保证期内，如果货物的质量或规格与合同不符，或证实货物是有缺陷的，包括潜在的缺陷或使用不符合要求的材料等，甲方可以根据本合同第15.1条规定以书面形式追究乙方的违约责任。</w:t>
      </w:r>
    </w:p>
    <w:p w14:paraId="6ED36BC0">
      <w:pPr>
        <w:adjustRightInd w:val="0"/>
        <w:snapToGrid w:val="0"/>
        <w:spacing w:line="400" w:lineRule="exact"/>
        <w:ind w:firstLine="420" w:firstLineChars="200"/>
        <w:jc w:val="left"/>
        <w:rPr>
          <w:rFonts w:hint="eastAsia" w:ascii="宋体" w:hAnsi="宋体" w:cs="宋体"/>
          <w:color w:val="auto"/>
        </w:rPr>
      </w:pPr>
      <w:r>
        <w:rPr>
          <w:rFonts w:hint="eastAsia" w:ascii="宋体" w:hAnsi="宋体" w:cs="宋体"/>
          <w:color w:val="auto"/>
          <w:szCs w:val="21"/>
        </w:rPr>
        <w:t>（5）乙方在约定的时间内未能弥补缺陷，甲方可采取必要的补救措施，但其风险和费用将由乙方承担，甲方根据合同约定对乙方行使的其他权利不受影响。</w:t>
      </w:r>
    </w:p>
    <w:p w14:paraId="40E118D0">
      <w:pPr>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9.权利瑕疵担保</w:t>
      </w:r>
    </w:p>
    <w:p w14:paraId="33311C9D">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9.1乙方保证对其出售的货物享有合法的权利。</w:t>
      </w:r>
    </w:p>
    <w:p w14:paraId="1F426D2E">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9.2</w:t>
      </w:r>
      <w:r>
        <w:rPr>
          <w:rFonts w:hint="eastAsia" w:ascii="宋体" w:hAnsi="宋体" w:cs="宋体"/>
          <w:color w:val="auto"/>
          <w:szCs w:val="15"/>
        </w:rPr>
        <w:t>乙方保证在交付的货物上不存在抵押权等担保物权。</w:t>
      </w:r>
    </w:p>
    <w:p w14:paraId="2DCF5DEA">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9.3如甲方使用上述货物构成对第三人侵权的，则由乙方承担全部责任。</w:t>
      </w:r>
    </w:p>
    <w:p w14:paraId="7635F0FC">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10.知识产权保护</w:t>
      </w:r>
    </w:p>
    <w:p w14:paraId="04682E6C">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10.1乙方对其所销售的货物应当享有知识产权或经权利人合法授权，保证没有侵犯任何第三人的知识产权等权利。</w:t>
      </w:r>
      <w:bookmarkStart w:id="89" w:name="_Hlk163047038"/>
      <w:r>
        <w:rPr>
          <w:rFonts w:hint="eastAsia" w:ascii="宋体" w:hAnsi="宋体" w:cs="宋体"/>
          <w:color w:val="auto"/>
          <w:szCs w:val="15"/>
        </w:rPr>
        <w:t>因违反前述约定对第三人构成侵权的，应当由乙方向第三人承担法律责任；甲方依法向第三人赔偿后，有权向乙方追偿。甲方有其他损失的，乙方应当赔偿</w:t>
      </w:r>
      <w:bookmarkEnd w:id="89"/>
      <w:r>
        <w:rPr>
          <w:rFonts w:hint="eastAsia" w:ascii="宋体" w:hAnsi="宋体" w:cs="宋体"/>
          <w:color w:val="auto"/>
          <w:szCs w:val="21"/>
        </w:rPr>
        <w:t>。</w:t>
      </w:r>
    </w:p>
    <w:p w14:paraId="2607C5E8">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11.保密义务</w:t>
      </w:r>
    </w:p>
    <w:p w14:paraId="0FE5DE79">
      <w:pPr>
        <w:autoSpaceDE w:val="0"/>
        <w:autoSpaceDN w:val="0"/>
        <w:adjustRightInd w:val="0"/>
        <w:snapToGrid w:val="0"/>
        <w:spacing w:line="400" w:lineRule="exact"/>
        <w:ind w:firstLine="420" w:firstLineChars="200"/>
        <w:jc w:val="left"/>
        <w:rPr>
          <w:rFonts w:hint="eastAsia" w:ascii="宋体" w:hAnsi="宋体" w:cs="宋体"/>
          <w:color w:val="auto"/>
          <w:szCs w:val="15"/>
        </w:rPr>
      </w:pPr>
      <w:r>
        <w:rPr>
          <w:rFonts w:hint="eastAsia" w:ascii="宋体" w:hAnsi="宋体" w:cs="宋体"/>
          <w:color w:val="auto"/>
          <w:szCs w:val="15"/>
        </w:rPr>
        <w:t>11.1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color w:val="auto"/>
          <w:szCs w:val="15"/>
        </w:rPr>
        <w:t>【政府采购合同专用条款】</w:t>
      </w:r>
      <w:r>
        <w:rPr>
          <w:rFonts w:hint="eastAsia" w:ascii="宋体" w:hAnsi="宋体" w:cs="宋体"/>
          <w:color w:val="auto"/>
          <w:szCs w:val="15"/>
        </w:rPr>
        <w:t>中约定。</w:t>
      </w:r>
    </w:p>
    <w:p w14:paraId="07B9A6C1">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12.合同价款支付</w:t>
      </w:r>
    </w:p>
    <w:p w14:paraId="045FB41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12.1合同价款支付按照国库集中支付制度及财政管理相关规定执行。</w:t>
      </w:r>
    </w:p>
    <w:p w14:paraId="56F9CEC3">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12.2对于满足合同约定支付条件的，甲方原则上应当自收到发票后10个工作日内将资金支付到合同约定的乙方账户，不得以机构变动、人员更替、政策调整等为由迟延付款，不得将招标文件和合同中未规定的义务作为向乙方付款的条件。具体合同价款支付时间在</w:t>
      </w:r>
      <w:r>
        <w:rPr>
          <w:rFonts w:hint="eastAsia" w:ascii="宋体" w:hAnsi="宋体" w:cs="宋体"/>
          <w:b/>
          <w:bCs/>
          <w:color w:val="auto"/>
          <w:szCs w:val="21"/>
        </w:rPr>
        <w:t>【政府采购合同专用条款】</w:t>
      </w:r>
      <w:r>
        <w:rPr>
          <w:rFonts w:hint="eastAsia" w:ascii="宋体" w:hAnsi="宋体" w:cs="宋体"/>
          <w:color w:val="auto"/>
          <w:szCs w:val="21"/>
        </w:rPr>
        <w:t>中约定。</w:t>
      </w:r>
    </w:p>
    <w:p w14:paraId="1F259397">
      <w:pPr>
        <w:pStyle w:val="10"/>
        <w:spacing w:after="0" w:line="400" w:lineRule="exact"/>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eastAsia="zh-CN"/>
        </w:rPr>
        <w:t>3</w:t>
      </w:r>
      <w:r>
        <w:rPr>
          <w:rFonts w:hint="eastAsia" w:ascii="宋体" w:hAnsi="宋体" w:cs="宋体"/>
          <w:b/>
          <w:bCs/>
          <w:color w:val="auto"/>
          <w:sz w:val="24"/>
        </w:rPr>
        <w:t>.履约保证金</w:t>
      </w:r>
    </w:p>
    <w:p w14:paraId="56EB9CBD">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13.1</w:t>
      </w:r>
      <w:r>
        <w:rPr>
          <w:rFonts w:hint="eastAsia" w:ascii="宋体" w:hAnsi="宋体" w:cs="宋体"/>
          <w:color w:val="auto"/>
          <w:szCs w:val="15"/>
        </w:rPr>
        <w:t>乙方应当以支票、汇票、本票或者金融机构、担保机构出具的保函等非现金形式提交。</w:t>
      </w:r>
    </w:p>
    <w:p w14:paraId="41184D9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13.2如果乙方出现</w:t>
      </w:r>
      <w:r>
        <w:rPr>
          <w:rFonts w:hint="eastAsia" w:ascii="宋体" w:hAnsi="宋体" w:cs="宋体"/>
          <w:b/>
          <w:bCs/>
          <w:color w:val="auto"/>
          <w:szCs w:val="15"/>
        </w:rPr>
        <w:t>【政府采购合同专用条款】</w:t>
      </w:r>
      <w:r>
        <w:rPr>
          <w:rFonts w:hint="eastAsia" w:ascii="宋体" w:hAnsi="宋体" w:cs="宋体"/>
          <w:color w:val="auto"/>
          <w:szCs w:val="15"/>
        </w:rPr>
        <w:t>约定情形的</w:t>
      </w:r>
      <w:r>
        <w:rPr>
          <w:rFonts w:hint="eastAsia" w:ascii="宋体" w:hAnsi="宋体" w:cs="宋体"/>
          <w:color w:val="auto"/>
          <w:szCs w:val="21"/>
        </w:rPr>
        <w:t>，履约保证金不予退还；如果乙方未能按合同约定全面履行义务，甲方有权从履约保证金中取得补偿或赔偿，且不影响甲方要求乙方承担合同约定的超过履约保证金的违约责任的权利。</w:t>
      </w:r>
    </w:p>
    <w:p w14:paraId="3F94741D">
      <w:pPr>
        <w:spacing w:line="400" w:lineRule="exact"/>
        <w:ind w:firstLine="420"/>
        <w:rPr>
          <w:rFonts w:hint="eastAsia" w:ascii="宋体" w:hAnsi="宋体" w:cs="宋体"/>
          <w:color w:val="auto"/>
        </w:rPr>
      </w:pPr>
      <w:r>
        <w:rPr>
          <w:rFonts w:hint="eastAsia" w:ascii="宋体" w:hAnsi="宋体" w:cs="宋体"/>
          <w:color w:val="auto"/>
          <w:szCs w:val="21"/>
        </w:rPr>
        <w:t>13.3甲方在项目通过验收后按照</w:t>
      </w:r>
      <w:r>
        <w:rPr>
          <w:rFonts w:hint="eastAsia" w:ascii="宋体" w:hAnsi="宋体" w:cs="宋体"/>
          <w:b/>
          <w:color w:val="auto"/>
          <w:szCs w:val="21"/>
        </w:rPr>
        <w:t>【政府采购合同专用条款】</w:t>
      </w:r>
      <w:r>
        <w:rPr>
          <w:rFonts w:hint="eastAsia" w:ascii="宋体" w:hAnsi="宋体" w:cs="宋体"/>
          <w:color w:val="auto"/>
          <w:szCs w:val="21"/>
        </w:rPr>
        <w:t>规定的时间内将履约保证金退还乙方；逾期退还的，乙方可要求甲方支付违约金，违约金按照</w:t>
      </w:r>
      <w:r>
        <w:rPr>
          <w:rFonts w:hint="eastAsia" w:ascii="宋体" w:hAnsi="宋体" w:cs="宋体"/>
          <w:b/>
          <w:color w:val="auto"/>
          <w:szCs w:val="21"/>
        </w:rPr>
        <w:t>【政府采购合同专用条款】</w:t>
      </w:r>
      <w:r>
        <w:rPr>
          <w:rFonts w:hint="eastAsia" w:ascii="宋体" w:hAnsi="宋体" w:cs="宋体"/>
          <w:color w:val="auto"/>
          <w:szCs w:val="21"/>
        </w:rPr>
        <w:t>规定支付。</w:t>
      </w:r>
    </w:p>
    <w:p w14:paraId="79D3512F">
      <w:pPr>
        <w:autoSpaceDE w:val="0"/>
        <w:autoSpaceDN w:val="0"/>
        <w:adjustRightInd w:val="0"/>
        <w:snapToGrid w:val="0"/>
        <w:spacing w:line="400" w:lineRule="exact"/>
        <w:jc w:val="left"/>
        <w:rPr>
          <w:rFonts w:hint="eastAsia" w:ascii="宋体" w:hAnsi="宋体" w:cs="宋体"/>
          <w:b/>
          <w:color w:val="auto"/>
          <w:sz w:val="24"/>
        </w:rPr>
      </w:pPr>
      <w:r>
        <w:rPr>
          <w:rFonts w:hint="eastAsia" w:ascii="宋体" w:hAnsi="宋体" w:cs="宋体"/>
          <w:b/>
          <w:bCs/>
          <w:color w:val="auto"/>
          <w:sz w:val="24"/>
        </w:rPr>
        <w:t>14.</w:t>
      </w:r>
      <w:r>
        <w:rPr>
          <w:rFonts w:hint="eastAsia" w:ascii="宋体" w:hAnsi="宋体" w:cs="宋体"/>
          <w:b/>
          <w:color w:val="auto"/>
          <w:sz w:val="24"/>
        </w:rPr>
        <w:t>售后服务</w:t>
      </w:r>
    </w:p>
    <w:p w14:paraId="75E43127">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14.1除项目不涉及或采购活动中明确约定无须承担外，乙方还应提供下列服务：</w:t>
      </w:r>
    </w:p>
    <w:p w14:paraId="347D2802">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（1）货物的现场移动、安装、调试、启动监督及技术支持；</w:t>
      </w:r>
    </w:p>
    <w:p w14:paraId="3986EC28">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（2）提供货物组装和维修所需的专用工具和辅助材料；</w:t>
      </w:r>
    </w:p>
    <w:p w14:paraId="1B8B10A7">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（3）在</w:t>
      </w:r>
      <w:r>
        <w:rPr>
          <w:rFonts w:hint="eastAsia" w:ascii="宋体" w:hAnsi="宋体" w:cs="宋体"/>
          <w:b/>
          <w:bCs/>
          <w:color w:val="auto"/>
          <w:szCs w:val="15"/>
        </w:rPr>
        <w:t>【政府采购合同专用条款】</w:t>
      </w:r>
      <w:r>
        <w:rPr>
          <w:rFonts w:hint="eastAsia" w:ascii="宋体" w:hAnsi="宋体" w:cs="宋体"/>
          <w:color w:val="auto"/>
          <w:szCs w:val="21"/>
        </w:rPr>
        <w:t>约定的期限内对所有的货物实施运行监督、维修，但前提条件是该服务并不能免除乙方在质量保证期内所承担的义务；</w:t>
      </w:r>
    </w:p>
    <w:p w14:paraId="217C17DC">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（4）在制造商所在地或指定现场就货物的安装、启动、运营、维护、废弃处置等对甲方操作人员进行培训</w:t>
      </w:r>
      <w:r>
        <w:rPr>
          <w:rFonts w:hint="eastAsia" w:ascii="宋体" w:hAnsi="宋体" w:cs="宋体"/>
          <w:color w:val="auto"/>
          <w:szCs w:val="15"/>
        </w:rPr>
        <w:t>；</w:t>
      </w:r>
    </w:p>
    <w:p w14:paraId="6C6B5627">
      <w:pPr>
        <w:pStyle w:val="125"/>
        <w:ind w:firstLine="420"/>
        <w:rPr>
          <w:rFonts w:hint="eastAsia" w:ascii="宋体" w:hAnsi="宋体" w:eastAsia="宋体" w:cs="宋体"/>
          <w:color w:val="auto"/>
          <w:sz w:val="21"/>
        </w:rPr>
      </w:pPr>
      <w:r>
        <w:rPr>
          <w:rFonts w:hint="eastAsia" w:ascii="宋体" w:hAnsi="宋体" w:eastAsia="宋体" w:cs="宋体"/>
          <w:color w:val="auto"/>
          <w:sz w:val="21"/>
        </w:rPr>
        <w:t>（5）依照法律、行政法规的规定或者按照</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约定，货物在有效使用年限届满后应予回收的，乙方负有自行或者委托第三人对货物予以回收的义务；</w:t>
      </w:r>
    </w:p>
    <w:p w14:paraId="4BCD8FE6">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（6）</w:t>
      </w:r>
      <w:r>
        <w:rPr>
          <w:rFonts w:hint="eastAsia" w:ascii="宋体" w:hAnsi="宋体" w:cs="宋体"/>
          <w:b/>
          <w:color w:val="auto"/>
          <w:szCs w:val="21"/>
        </w:rPr>
        <w:t>【政府采购合同专用条款】</w:t>
      </w:r>
      <w:r>
        <w:rPr>
          <w:rFonts w:hint="eastAsia" w:ascii="宋体" w:hAnsi="宋体" w:cs="宋体"/>
          <w:color w:val="auto"/>
          <w:szCs w:val="21"/>
        </w:rPr>
        <w:t>规定由乙方提供的其他服务。</w:t>
      </w:r>
    </w:p>
    <w:p w14:paraId="06A55206">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14.2乙方提供的售后服务的费用已包含在合同价款中，甲方不再另行支付。</w:t>
      </w:r>
    </w:p>
    <w:p w14:paraId="4E398C0D">
      <w:pPr>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15.违约责任</w:t>
      </w:r>
    </w:p>
    <w:p w14:paraId="5DFDA022">
      <w:pPr>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15.1质量瑕疵的违约责任</w:t>
      </w:r>
    </w:p>
    <w:p w14:paraId="64705105">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乙方提供的产品不符合合同约定的质量标准或存在产品质量缺陷，甲方有权要求乙方根据</w:t>
      </w:r>
      <w:r>
        <w:rPr>
          <w:rFonts w:hint="eastAsia" w:ascii="宋体" w:hAnsi="宋体" w:cs="宋体"/>
          <w:b/>
          <w:color w:val="auto"/>
          <w:szCs w:val="21"/>
        </w:rPr>
        <w:t>【政府采购合同专用条款】</w:t>
      </w:r>
      <w:r>
        <w:rPr>
          <w:rFonts w:hint="eastAsia" w:ascii="宋体" w:hAnsi="宋体" w:cs="宋体"/>
          <w:bCs/>
          <w:color w:val="auto"/>
          <w:szCs w:val="21"/>
        </w:rPr>
        <w:t>要求</w:t>
      </w:r>
      <w:r>
        <w:rPr>
          <w:rFonts w:hint="eastAsia" w:ascii="宋体" w:hAnsi="宋体" w:cs="宋体"/>
          <w:color w:val="auto"/>
          <w:szCs w:val="21"/>
        </w:rPr>
        <w:t>及时修理、重作、更换，并承担由此给甲方造成的损失。</w:t>
      </w:r>
    </w:p>
    <w:p w14:paraId="48BD2019">
      <w:pPr>
        <w:autoSpaceDE w:val="0"/>
        <w:autoSpaceDN w:val="0"/>
        <w:adjustRightInd w:val="0"/>
        <w:snapToGrid w:val="0"/>
        <w:spacing w:line="400" w:lineRule="exact"/>
        <w:ind w:firstLine="420" w:firstLineChars="200"/>
        <w:jc w:val="left"/>
        <w:rPr>
          <w:rFonts w:hint="eastAsia" w:ascii="宋体" w:hAnsi="宋体" w:cs="宋体"/>
          <w:bCs/>
          <w:color w:val="auto"/>
          <w:szCs w:val="21"/>
        </w:rPr>
      </w:pPr>
      <w:r>
        <w:rPr>
          <w:rFonts w:hint="eastAsia" w:ascii="宋体" w:hAnsi="宋体" w:cs="宋体"/>
          <w:bCs/>
          <w:color w:val="auto"/>
          <w:szCs w:val="21"/>
        </w:rPr>
        <w:t>15.2迟延交货的违约责任</w:t>
      </w:r>
    </w:p>
    <w:p w14:paraId="12CB1C0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0BDCF33">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（2）如果乙方没有按照合同规定的时间交货和提供相关服务，甲方有权从货款中扣除误期赔偿费而不影响合同项下的其他补救方法，赔偿费按</w:t>
      </w:r>
      <w:r>
        <w:rPr>
          <w:rFonts w:hint="eastAsia" w:ascii="宋体" w:hAnsi="宋体" w:cs="宋体"/>
          <w:b/>
          <w:color w:val="auto"/>
          <w:szCs w:val="21"/>
        </w:rPr>
        <w:t>【政府采购合同专用条款】</w:t>
      </w:r>
      <w:r>
        <w:rPr>
          <w:rFonts w:hint="eastAsia" w:ascii="宋体" w:hAnsi="宋体" w:cs="宋体"/>
          <w:color w:val="auto"/>
          <w:szCs w:val="21"/>
        </w:rPr>
        <w:t>规定执行。如果涉及公共利益，且赔偿金额无法弥补公共利益损失，甲方可要求继续履行或者采取其他补救措施。</w:t>
      </w:r>
    </w:p>
    <w:p w14:paraId="6D140B03">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15.3迟延支付的违约责任</w:t>
      </w:r>
    </w:p>
    <w:p w14:paraId="385C04FE">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甲方存在迟延支付乙方合同款项的，应当承担</w:t>
      </w:r>
      <w:r>
        <w:rPr>
          <w:rFonts w:hint="eastAsia" w:ascii="宋体" w:hAnsi="宋体" w:cs="宋体"/>
          <w:b/>
          <w:bCs/>
          <w:color w:val="auto"/>
          <w:szCs w:val="21"/>
        </w:rPr>
        <w:t>【政府采购合同专用条款】</w:t>
      </w:r>
      <w:r>
        <w:rPr>
          <w:rFonts w:hint="eastAsia" w:ascii="宋体" w:hAnsi="宋体" w:cs="宋体"/>
          <w:color w:val="auto"/>
          <w:szCs w:val="21"/>
        </w:rPr>
        <w:t>规定的逾期付款利息。</w:t>
      </w:r>
    </w:p>
    <w:p w14:paraId="3933449B">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bCs/>
          <w:color w:val="auto"/>
          <w:szCs w:val="21"/>
        </w:rPr>
        <w:t>15.4其他违约责任根据项目实际需要按</w:t>
      </w:r>
      <w:r>
        <w:rPr>
          <w:rFonts w:hint="eastAsia" w:ascii="宋体" w:hAnsi="宋体" w:cs="宋体"/>
          <w:b/>
          <w:bCs/>
          <w:color w:val="auto"/>
          <w:szCs w:val="21"/>
        </w:rPr>
        <w:t>【政府采购合同专用条款】</w:t>
      </w:r>
      <w:r>
        <w:rPr>
          <w:rFonts w:hint="eastAsia" w:ascii="宋体" w:hAnsi="宋体" w:cs="宋体"/>
          <w:color w:val="auto"/>
          <w:szCs w:val="21"/>
        </w:rPr>
        <w:t>规定执行。</w:t>
      </w:r>
    </w:p>
    <w:p w14:paraId="12BEC6D1">
      <w:pPr>
        <w:autoSpaceDE w:val="0"/>
        <w:autoSpaceDN w:val="0"/>
        <w:adjustRightInd w:val="0"/>
        <w:snapToGrid w:val="0"/>
        <w:spacing w:line="400" w:lineRule="exact"/>
        <w:jc w:val="left"/>
        <w:rPr>
          <w:rFonts w:hint="eastAsia" w:ascii="宋体" w:hAnsi="宋体" w:cs="宋体"/>
          <w:b/>
          <w:color w:val="auto"/>
          <w:sz w:val="24"/>
        </w:rPr>
      </w:pPr>
      <w:r>
        <w:rPr>
          <w:rFonts w:hint="eastAsia" w:ascii="宋体" w:hAnsi="宋体" w:cs="宋体"/>
          <w:b/>
          <w:color w:val="auto"/>
          <w:sz w:val="24"/>
        </w:rPr>
        <w:t>16.合同变更、中止与终止</w:t>
      </w:r>
    </w:p>
    <w:p w14:paraId="4B3645D2">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16.1合同的变更</w:t>
      </w:r>
    </w:p>
    <w:p w14:paraId="026D53D3">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政府采购合同履行中，在不改变合同其他条款的前提下，甲方可以在合同价款10%的范围内追加与合同标的相同的货物，并就此与乙方协商一致后签订补充协议。</w:t>
      </w:r>
    </w:p>
    <w:p w14:paraId="7971AC90">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16.2合同的中止</w:t>
      </w:r>
    </w:p>
    <w:p w14:paraId="3F8076CB">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（1）合同履行过程中因供应商就招标文件、采购过程或结果提起投诉的，甲方认为有必要的，可以中止合同的履行。</w:t>
      </w:r>
    </w:p>
    <w:p w14:paraId="5B18E208">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F744326">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（3）乙方分立、合并或者变更住所的，应当及时以书面形式告知甲方。乙方没有及时告知甲方，致使合同履行发生困难的，甲方可以中止合同履行并要求乙方承担由此给甲方造成的损失。</w:t>
      </w:r>
    </w:p>
    <w:p w14:paraId="73256E3A">
      <w:pPr>
        <w:snapToGrid w:val="0"/>
        <w:spacing w:line="400" w:lineRule="exact"/>
        <w:ind w:firstLine="420" w:firstLineChars="200"/>
        <w:jc w:val="left"/>
        <w:rPr>
          <w:rFonts w:hint="eastAsia" w:ascii="宋体" w:hAnsi="宋体" w:cs="宋体"/>
          <w:color w:val="auto"/>
        </w:rPr>
      </w:pPr>
      <w:r>
        <w:rPr>
          <w:rFonts w:hint="eastAsia" w:ascii="宋体" w:hAnsi="宋体" w:cs="宋体"/>
          <w:color w:val="auto"/>
          <w:szCs w:val="21"/>
        </w:rPr>
        <w:t>（4）甲方不得以行政区划调整、政府换届、机构或者职能调整以及相关责任人更替为由中止合同。</w:t>
      </w:r>
    </w:p>
    <w:p w14:paraId="1268D0F6">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16.3合同的终止</w:t>
      </w:r>
    </w:p>
    <w:p w14:paraId="3D9122AB">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（1）合同因有效期限届满而终止；</w:t>
      </w:r>
    </w:p>
    <w:p w14:paraId="1E1BC16D">
      <w:pPr>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（2）乙方未按合同约定履行，构成根本性违约的，甲方有权终止合同，并追究乙方的违约责任。</w:t>
      </w:r>
    </w:p>
    <w:p w14:paraId="454FE249">
      <w:pPr>
        <w:pStyle w:val="125"/>
        <w:rPr>
          <w:rFonts w:hint="eastAsia" w:ascii="宋体" w:hAnsi="宋体" w:eastAsia="宋体" w:cs="宋体"/>
          <w:color w:val="auto"/>
        </w:rPr>
      </w:pPr>
      <w:r>
        <w:rPr>
          <w:rFonts w:hint="eastAsia" w:ascii="宋体" w:hAnsi="宋体" w:eastAsia="宋体" w:cs="宋体"/>
          <w:color w:val="auto"/>
        </w:rPr>
        <w:t>16.4</w:t>
      </w:r>
      <w:r>
        <w:rPr>
          <w:rFonts w:hint="eastAsia" w:ascii="宋体" w:hAnsi="宋体" w:eastAsia="宋体" w:cs="宋体"/>
          <w:color w:val="auto"/>
          <w:kern w:val="2"/>
          <w:sz w:val="21"/>
        </w:rPr>
        <w:t>涉及国家利益、社会公共利益的情形</w:t>
      </w:r>
    </w:p>
    <w:p w14:paraId="5B25F1C8">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政府采购合同继续履行将损害国家利益和社会公共利益的，双方当事人应当变更、中止或者终止合同。有过错的一方应当承担赔偿责任，双方都有过错的，各自承担相应的责任。</w:t>
      </w:r>
    </w:p>
    <w:p w14:paraId="0CCE6A8D">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17.合同分包</w:t>
      </w:r>
    </w:p>
    <w:p w14:paraId="778BB680">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17.1乙方不得将合同转包给其他供应商。涉及合同分包的，乙方应根据招标文件和投标（响应）文件规定进行合同分包。</w:t>
      </w:r>
    </w:p>
    <w:p w14:paraId="1996DBDC">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17.2乙方执行政府采购政策向中小企业依法分包的，乙方应当按招标文件和投标（响应）文件签订分包意向协议，分包意向协议属于本合同组成部分。</w:t>
      </w:r>
    </w:p>
    <w:p w14:paraId="78AD121A">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18.不可抗力</w:t>
      </w:r>
    </w:p>
    <w:p w14:paraId="6EF2B5FF">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18.1不可抗力是指合同双方不能预见、不能避免且不能克服的客观情况。</w:t>
      </w:r>
    </w:p>
    <w:p w14:paraId="235F79D4">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18.2任何一方对由于不可抗力造成的部分或全部不能履行合同不承担违约责任。但迟延履行后发生不可抗力的，不能免除责任。</w:t>
      </w:r>
    </w:p>
    <w:p w14:paraId="2119FBA9">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18.3遇有不可抗力的一方，应及时将事件情况以书面形式告知另一方，并在事件发生后及时向另一方提交合同不能履行或部分不能履行或需要延期履行的详细报告，以及证明不可抗力发生及其持续时间的证据。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1C10A2">
      <w:pPr>
        <w:autoSpaceDE w:val="0"/>
        <w:autoSpaceDN w:val="0"/>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19.解决争议的方法</w:t>
      </w:r>
    </w:p>
    <w:p w14:paraId="7569DC27">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19.1因本合同及合同有关事项发生的争议，由甲乙双方友好协商解决。协商不成时，可以向有关组织申请调解。合同一方或双方不愿调解或调解不成的，可以通过仲裁或诉讼的方式解决争议。</w:t>
      </w:r>
    </w:p>
    <w:p w14:paraId="7584B98A">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19.2选择仲裁的，应在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中明确仲裁机构及仲裁地；通过诉讼方式解决的，可以在</w:t>
      </w:r>
      <w:r>
        <w:rPr>
          <w:rFonts w:hint="eastAsia" w:ascii="宋体" w:hAnsi="宋体" w:eastAsia="宋体" w:cs="宋体"/>
          <w:b/>
          <w:bCs/>
          <w:color w:val="auto"/>
          <w:sz w:val="21"/>
        </w:rPr>
        <w:t>【政府采购合同专用条款】</w:t>
      </w:r>
      <w:r>
        <w:rPr>
          <w:rFonts w:hint="eastAsia" w:ascii="宋体" w:hAnsi="宋体" w:eastAsia="宋体" w:cs="宋体"/>
          <w:color w:val="auto"/>
          <w:sz w:val="21"/>
        </w:rPr>
        <w:t>中进一步约定选择与争议有实际联系的地点的人民法院管辖，但管辖法院的约定不得违反级别管辖和专属管辖的规定。</w:t>
      </w:r>
    </w:p>
    <w:p w14:paraId="33CC6567">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19.3如甲乙双方有争议的事项不影响合同其他部分的履行，在争议解决期间，合同其他部分应当继续履行。</w:t>
      </w:r>
    </w:p>
    <w:p w14:paraId="6E07BEE2">
      <w:pPr>
        <w:autoSpaceDE w:val="0"/>
        <w:autoSpaceDN w:val="0"/>
        <w:adjustRightInd w:val="0"/>
        <w:snapToGrid w:val="0"/>
        <w:spacing w:line="400" w:lineRule="exact"/>
        <w:jc w:val="left"/>
        <w:rPr>
          <w:rFonts w:hint="eastAsia" w:ascii="宋体" w:hAnsi="宋体" w:cs="宋体"/>
          <w:color w:val="auto"/>
          <w:sz w:val="24"/>
        </w:rPr>
      </w:pPr>
      <w:r>
        <w:rPr>
          <w:rFonts w:hint="eastAsia" w:ascii="宋体" w:hAnsi="宋体" w:cs="宋体"/>
          <w:b/>
          <w:color w:val="auto"/>
          <w:sz w:val="24"/>
        </w:rPr>
        <w:t>20.政府采购政策</w:t>
      </w:r>
    </w:p>
    <w:p w14:paraId="3318FB4E">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20.1</w:t>
      </w:r>
      <w:r>
        <w:rPr>
          <w:rFonts w:hint="eastAsia" w:ascii="宋体" w:hAnsi="宋体" w:cs="宋体"/>
          <w:color w:val="auto"/>
          <w:lang w:val="en-GB"/>
        </w:rPr>
        <w:t>本合同应当按照规定执行政府采购政策。</w:t>
      </w:r>
    </w:p>
    <w:p w14:paraId="6911E3F2">
      <w:pPr>
        <w:autoSpaceDE w:val="0"/>
        <w:autoSpaceDN w:val="0"/>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20.2本合同依法执行政府采购政策的方式和内容，属于合同履约验收的范围。</w:t>
      </w:r>
      <w:r>
        <w:rPr>
          <w:rFonts w:hint="eastAsia" w:ascii="宋体" w:hAnsi="宋体" w:cs="宋体"/>
          <w:color w:val="auto"/>
        </w:rPr>
        <w:t>甲乙双方</w:t>
      </w:r>
      <w:r>
        <w:rPr>
          <w:rFonts w:hint="eastAsia" w:ascii="宋体" w:hAnsi="宋体" w:cs="宋体"/>
          <w:color w:val="auto"/>
          <w:lang w:val="en-GB"/>
        </w:rPr>
        <w:t>未按规定要求执行政府采购政策造成损失的</w:t>
      </w:r>
      <w:r>
        <w:rPr>
          <w:rFonts w:hint="eastAsia" w:ascii="宋体" w:hAnsi="宋体" w:cs="宋体"/>
          <w:color w:val="auto"/>
          <w:szCs w:val="21"/>
        </w:rPr>
        <w:t>，有过错的一方应当承担赔偿责任，双方都有过错的，各自承担相应的责任。</w:t>
      </w:r>
    </w:p>
    <w:p w14:paraId="5DBA2CCC">
      <w:pPr>
        <w:pStyle w:val="10"/>
        <w:spacing w:after="0" w:line="400" w:lineRule="exact"/>
        <w:ind w:firstLine="420" w:firstLineChars="200"/>
        <w:rPr>
          <w:rFonts w:hint="eastAsia" w:ascii="宋体" w:hAnsi="宋体" w:cs="宋体"/>
          <w:color w:val="auto"/>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w:t>
      </w:r>
      <w:r>
        <w:rPr>
          <w:rFonts w:hint="eastAsia" w:ascii="宋体" w:hAnsi="宋体" w:cs="宋体"/>
          <w:color w:val="auto"/>
          <w:szCs w:val="21"/>
          <w:lang w:val="en-US" w:eastAsia="zh-CN"/>
        </w:rPr>
        <w:t>3</w:t>
      </w:r>
      <w:r>
        <w:rPr>
          <w:rFonts w:hint="eastAsia" w:ascii="宋体" w:hAnsi="宋体" w:cs="宋体"/>
          <w:color w:val="auto"/>
          <w:szCs w:val="21"/>
        </w:rPr>
        <w:t>对于</w:t>
      </w:r>
      <w:r>
        <w:rPr>
          <w:rFonts w:hint="eastAsia" w:ascii="宋体" w:hAnsi="宋体" w:cs="宋体"/>
          <w:color w:val="auto"/>
          <w:szCs w:val="21"/>
          <w:lang w:eastAsia="zh-CN"/>
        </w:rPr>
        <w:t>为落实中小企业支持政策，</w:t>
      </w:r>
      <w:r>
        <w:rPr>
          <w:rFonts w:hint="eastAsia" w:ascii="宋体" w:hAnsi="宋体" w:cs="宋体"/>
          <w:color w:val="auto"/>
          <w:szCs w:val="21"/>
        </w:rPr>
        <w:t>通过采购项目</w:t>
      </w:r>
      <w:r>
        <w:rPr>
          <w:rFonts w:hint="eastAsia" w:ascii="宋体" w:hAnsi="宋体" w:cs="宋体"/>
          <w:color w:val="auto"/>
          <w:szCs w:val="21"/>
          <w:lang w:eastAsia="zh-CN"/>
        </w:rPr>
        <w:t>整体</w:t>
      </w:r>
      <w:r>
        <w:rPr>
          <w:rFonts w:hint="eastAsia" w:ascii="宋体" w:hAnsi="宋体" w:cs="宋体"/>
          <w:color w:val="auto"/>
          <w:szCs w:val="21"/>
        </w:rPr>
        <w:t>预留、</w:t>
      </w:r>
      <w:r>
        <w:rPr>
          <w:rFonts w:hint="eastAsia" w:ascii="宋体" w:hAnsi="宋体" w:cs="宋体"/>
          <w:color w:val="auto"/>
          <w:szCs w:val="21"/>
          <w:lang w:eastAsia="zh-CN"/>
        </w:rPr>
        <w:t>设置</w:t>
      </w:r>
      <w:r>
        <w:rPr>
          <w:rFonts w:hint="eastAsia" w:ascii="宋体" w:hAnsi="宋体" w:cs="宋体"/>
          <w:color w:val="auto"/>
          <w:szCs w:val="21"/>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2646F3BA">
      <w:pPr>
        <w:autoSpaceDE w:val="0"/>
        <w:autoSpaceDN w:val="0"/>
        <w:adjustRightInd w:val="0"/>
        <w:snapToGrid w:val="0"/>
        <w:spacing w:line="400" w:lineRule="exact"/>
        <w:jc w:val="left"/>
        <w:rPr>
          <w:rFonts w:hint="eastAsia" w:ascii="宋体" w:hAnsi="宋体" w:cs="宋体"/>
          <w:b/>
          <w:color w:val="auto"/>
          <w:sz w:val="24"/>
        </w:rPr>
      </w:pPr>
      <w:r>
        <w:rPr>
          <w:rFonts w:hint="eastAsia" w:ascii="宋体" w:hAnsi="宋体" w:cs="宋体"/>
          <w:b/>
          <w:color w:val="auto"/>
          <w:sz w:val="24"/>
        </w:rPr>
        <w:t>21.法律适用</w:t>
      </w:r>
    </w:p>
    <w:p w14:paraId="03986B23">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21.1本合同的订立、生效、解释、履行及与本合同有关的争议解决，均适用法律、行政法规。</w:t>
      </w:r>
    </w:p>
    <w:p w14:paraId="798498AB">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21.2本合同条款与法律、行政法规的强制性规定不一致的，双方当事人应按照法律、行政法规的强制性规定修改本合同的相关条款。</w:t>
      </w:r>
    </w:p>
    <w:p w14:paraId="7E8FE557">
      <w:pPr>
        <w:autoSpaceDE w:val="0"/>
        <w:autoSpaceDN w:val="0"/>
        <w:adjustRightInd w:val="0"/>
        <w:snapToGrid w:val="0"/>
        <w:spacing w:line="400" w:lineRule="exact"/>
        <w:jc w:val="left"/>
        <w:rPr>
          <w:rFonts w:hint="eastAsia" w:ascii="宋体" w:hAnsi="宋体" w:cs="宋体"/>
          <w:b/>
          <w:color w:val="auto"/>
          <w:sz w:val="24"/>
        </w:rPr>
      </w:pPr>
      <w:r>
        <w:rPr>
          <w:rFonts w:hint="eastAsia" w:ascii="宋体" w:hAnsi="宋体" w:cs="宋体"/>
          <w:b/>
          <w:color w:val="auto"/>
          <w:sz w:val="24"/>
        </w:rPr>
        <w:t>22.通知</w:t>
      </w:r>
    </w:p>
    <w:p w14:paraId="347B768B">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22.1本合同任何一方向对方发出的通知、信件、数据电文等，应当发送至本合同第一部分《政府采购合同协议书》所约定的通讯地址、联系人、联系电话或电子邮箱。</w:t>
      </w:r>
    </w:p>
    <w:p w14:paraId="1B79D0C5">
      <w:pPr>
        <w:pStyle w:val="125"/>
        <w:ind w:firstLine="420"/>
        <w:jc w:val="both"/>
        <w:rPr>
          <w:rFonts w:hint="eastAsia" w:ascii="宋体" w:hAnsi="宋体" w:eastAsia="宋体" w:cs="宋体"/>
          <w:color w:val="auto"/>
          <w:sz w:val="21"/>
        </w:rPr>
      </w:pPr>
      <w:r>
        <w:rPr>
          <w:rFonts w:hint="eastAsia" w:ascii="宋体" w:hAnsi="宋体" w:eastAsia="宋体" w:cs="宋体"/>
          <w:color w:val="auto"/>
          <w:sz w:val="21"/>
        </w:rPr>
        <w:t>22.2一方当事人变更名称、住所、联系人、联系电话或电子邮箱等信息的，应当在变更后3日内及时书面通知对方，对方实际收到变更通知前的送达仍为有效送达。</w:t>
      </w:r>
    </w:p>
    <w:p w14:paraId="0E405B9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22.3本合同一方给另一方的通知均应采用书面形式，传真或快递送到本合同中规定的对方的地址和办理签收手续。</w:t>
      </w:r>
    </w:p>
    <w:p w14:paraId="5D303C02">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22.4通知以送达之日或通知书中规定的生效之日起生效，两者中以较迟之日为准。</w:t>
      </w:r>
    </w:p>
    <w:p w14:paraId="0FAFF192">
      <w:pPr>
        <w:adjustRightInd w:val="0"/>
        <w:snapToGrid w:val="0"/>
        <w:spacing w:line="400" w:lineRule="exact"/>
        <w:jc w:val="left"/>
        <w:rPr>
          <w:rFonts w:hint="eastAsia" w:ascii="宋体" w:hAnsi="宋体" w:cs="宋体"/>
          <w:b/>
          <w:bCs/>
          <w:color w:val="auto"/>
          <w:sz w:val="24"/>
        </w:rPr>
      </w:pPr>
      <w:r>
        <w:rPr>
          <w:rFonts w:hint="eastAsia" w:ascii="宋体" w:hAnsi="宋体" w:cs="宋体"/>
          <w:b/>
          <w:bCs/>
          <w:color w:val="auto"/>
          <w:sz w:val="24"/>
        </w:rPr>
        <w:t>23.合同未尽事项</w:t>
      </w:r>
    </w:p>
    <w:p w14:paraId="35B7A059">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23.1合同未尽事项见</w:t>
      </w:r>
      <w:r>
        <w:rPr>
          <w:rFonts w:hint="eastAsia" w:ascii="宋体" w:hAnsi="宋体" w:cs="宋体"/>
          <w:b/>
          <w:bCs/>
          <w:color w:val="auto"/>
          <w:szCs w:val="21"/>
        </w:rPr>
        <w:t>【政府采购合同专用条款】</w:t>
      </w:r>
      <w:r>
        <w:rPr>
          <w:rFonts w:hint="eastAsia" w:ascii="宋体" w:hAnsi="宋体" w:cs="宋体"/>
          <w:color w:val="auto"/>
          <w:szCs w:val="21"/>
        </w:rPr>
        <w:t>。</w:t>
      </w:r>
    </w:p>
    <w:p w14:paraId="7E54722E">
      <w:pPr>
        <w:adjustRightInd w:val="0"/>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23.2合同附件与合同正文具有同等的法律效力。</w:t>
      </w:r>
      <w:bookmarkStart w:id="90" w:name="_Toc20313"/>
    </w:p>
    <w:p w14:paraId="01360261">
      <w:pPr>
        <w:bidi w:val="0"/>
        <w:rPr>
          <w:rFonts w:hint="eastAsia"/>
        </w:rPr>
      </w:pPr>
      <w:r>
        <w:rPr>
          <w:rFonts w:hint="eastAsia"/>
        </w:rPr>
        <w:br w:type="page"/>
      </w:r>
    </w:p>
    <w:p w14:paraId="0B07815C">
      <w:pPr>
        <w:pStyle w:val="3"/>
        <w:adjustRightInd w:val="0"/>
        <w:snapToGrid w:val="0"/>
        <w:spacing w:before="0" w:after="0" w:line="400" w:lineRule="exact"/>
        <w:jc w:val="center"/>
        <w:rPr>
          <w:rFonts w:hint="eastAsia" w:ascii="宋体" w:hAnsi="宋体" w:eastAsia="宋体" w:cs="宋体"/>
          <w:b w:val="0"/>
          <w:bCs w:val="0"/>
          <w:color w:val="auto"/>
          <w:sz w:val="28"/>
          <w:szCs w:val="28"/>
        </w:rPr>
      </w:pPr>
      <w:bookmarkStart w:id="91" w:name="_Toc6506"/>
      <w:r>
        <w:rPr>
          <w:rFonts w:hint="eastAsia" w:ascii="宋体" w:hAnsi="宋体" w:eastAsia="宋体" w:cs="宋体"/>
          <w:color w:val="auto"/>
        </w:rPr>
        <w:t>第三节 政府采购合同专用条款</w:t>
      </w:r>
      <w:bookmarkEnd w:id="90"/>
      <w:bookmarkEnd w:id="91"/>
    </w:p>
    <w:tbl>
      <w:tblPr>
        <w:tblStyle w:val="24"/>
        <w:tblW w:w="851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3A9D36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14E0E180">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390D99C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第1.2（6）项</w:t>
            </w:r>
          </w:p>
        </w:tc>
        <w:tc>
          <w:tcPr>
            <w:tcW w:w="1742" w:type="dxa"/>
            <w:noWrap w:val="0"/>
            <w:vAlign w:val="center"/>
          </w:tcPr>
          <w:p w14:paraId="445B75FB">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联合体具体要求</w:t>
            </w:r>
          </w:p>
        </w:tc>
        <w:tc>
          <w:tcPr>
            <w:tcW w:w="5170" w:type="dxa"/>
            <w:noWrap w:val="0"/>
            <w:vAlign w:val="center"/>
          </w:tcPr>
          <w:p w14:paraId="759C329C">
            <w:pPr>
              <w:adjustRightInd w:val="0"/>
              <w:snapToGrid w:val="0"/>
              <w:spacing w:line="400" w:lineRule="exact"/>
              <w:jc w:val="left"/>
              <w:rPr>
                <w:rFonts w:hint="eastAsia" w:ascii="宋体" w:hAnsi="宋体" w:cs="宋体"/>
                <w:color w:val="auto"/>
                <w:szCs w:val="21"/>
              </w:rPr>
            </w:pPr>
          </w:p>
        </w:tc>
      </w:tr>
      <w:tr w14:paraId="0EA046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3D71312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4FA186E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第1.2（7）项</w:t>
            </w:r>
          </w:p>
        </w:tc>
        <w:tc>
          <w:tcPr>
            <w:tcW w:w="1742" w:type="dxa"/>
            <w:noWrap w:val="0"/>
            <w:vAlign w:val="center"/>
          </w:tcPr>
          <w:p w14:paraId="4487D35F">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其他术语解释</w:t>
            </w:r>
          </w:p>
        </w:tc>
        <w:tc>
          <w:tcPr>
            <w:tcW w:w="5170" w:type="dxa"/>
            <w:noWrap w:val="0"/>
            <w:vAlign w:val="center"/>
          </w:tcPr>
          <w:p w14:paraId="0CC6F968">
            <w:pPr>
              <w:adjustRightInd w:val="0"/>
              <w:snapToGrid w:val="0"/>
              <w:spacing w:line="400" w:lineRule="exact"/>
              <w:jc w:val="left"/>
              <w:rPr>
                <w:rFonts w:hint="eastAsia" w:ascii="宋体" w:hAnsi="宋体" w:cs="宋体"/>
                <w:color w:val="auto"/>
                <w:szCs w:val="21"/>
              </w:rPr>
            </w:pPr>
          </w:p>
        </w:tc>
      </w:tr>
      <w:tr w14:paraId="7F048D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4BD5E9E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6310CCF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第4.4款</w:t>
            </w:r>
          </w:p>
        </w:tc>
        <w:tc>
          <w:tcPr>
            <w:tcW w:w="1742" w:type="dxa"/>
            <w:noWrap w:val="0"/>
            <w:vAlign w:val="center"/>
          </w:tcPr>
          <w:p w14:paraId="18A4D85D">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履约验收中甲方提出异议或作出说明的期限</w:t>
            </w:r>
          </w:p>
        </w:tc>
        <w:tc>
          <w:tcPr>
            <w:tcW w:w="5170" w:type="dxa"/>
            <w:noWrap w:val="0"/>
            <w:vAlign w:val="center"/>
          </w:tcPr>
          <w:p w14:paraId="2FB07F21">
            <w:pPr>
              <w:adjustRightInd w:val="0"/>
              <w:snapToGrid w:val="0"/>
              <w:spacing w:line="400" w:lineRule="exact"/>
              <w:jc w:val="left"/>
              <w:rPr>
                <w:rFonts w:hint="eastAsia" w:ascii="宋体" w:hAnsi="宋体" w:cs="宋体"/>
                <w:color w:val="auto"/>
                <w:szCs w:val="21"/>
              </w:rPr>
            </w:pPr>
          </w:p>
        </w:tc>
      </w:tr>
      <w:tr w14:paraId="05D97DE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0241039F">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4C5815D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第4.6款</w:t>
            </w:r>
          </w:p>
        </w:tc>
        <w:tc>
          <w:tcPr>
            <w:tcW w:w="1742" w:type="dxa"/>
            <w:noWrap w:val="0"/>
            <w:vAlign w:val="center"/>
          </w:tcPr>
          <w:p w14:paraId="5A51C664">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约定甲方承担的其他义务和责任</w:t>
            </w:r>
          </w:p>
        </w:tc>
        <w:tc>
          <w:tcPr>
            <w:tcW w:w="5170" w:type="dxa"/>
            <w:noWrap w:val="0"/>
            <w:vAlign w:val="center"/>
          </w:tcPr>
          <w:p w14:paraId="60348953">
            <w:pPr>
              <w:adjustRightInd w:val="0"/>
              <w:snapToGrid w:val="0"/>
              <w:spacing w:line="400" w:lineRule="exact"/>
              <w:jc w:val="left"/>
              <w:rPr>
                <w:rFonts w:hint="eastAsia" w:ascii="宋体" w:hAnsi="宋体" w:cs="宋体"/>
                <w:color w:val="auto"/>
                <w:szCs w:val="21"/>
              </w:rPr>
            </w:pPr>
          </w:p>
        </w:tc>
      </w:tr>
      <w:tr w14:paraId="4363507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661EC16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477706D1">
            <w:pPr>
              <w:snapToGrid w:val="0"/>
              <w:spacing w:line="400" w:lineRule="exact"/>
              <w:jc w:val="center"/>
              <w:rPr>
                <w:rFonts w:hint="eastAsia" w:ascii="宋体" w:hAnsi="宋体" w:cs="宋体"/>
                <w:color w:val="auto"/>
              </w:rPr>
            </w:pPr>
            <w:r>
              <w:rPr>
                <w:rFonts w:hint="eastAsia" w:ascii="宋体" w:hAnsi="宋体" w:cs="宋体"/>
                <w:color w:val="auto"/>
                <w:szCs w:val="21"/>
              </w:rPr>
              <w:t>第5.4款</w:t>
            </w:r>
          </w:p>
        </w:tc>
        <w:tc>
          <w:tcPr>
            <w:tcW w:w="1742" w:type="dxa"/>
            <w:noWrap w:val="0"/>
            <w:vAlign w:val="center"/>
          </w:tcPr>
          <w:p w14:paraId="7B8CF919">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约定乙方承担的其他义务和责任</w:t>
            </w:r>
          </w:p>
        </w:tc>
        <w:tc>
          <w:tcPr>
            <w:tcW w:w="5170" w:type="dxa"/>
            <w:noWrap w:val="0"/>
            <w:vAlign w:val="center"/>
          </w:tcPr>
          <w:p w14:paraId="64D4B9E5">
            <w:pPr>
              <w:adjustRightInd w:val="0"/>
              <w:snapToGrid w:val="0"/>
              <w:spacing w:line="400" w:lineRule="exact"/>
              <w:jc w:val="left"/>
              <w:rPr>
                <w:rFonts w:hint="eastAsia" w:ascii="宋体" w:hAnsi="宋体" w:cs="宋体"/>
                <w:color w:val="auto"/>
                <w:szCs w:val="21"/>
              </w:rPr>
            </w:pPr>
          </w:p>
        </w:tc>
      </w:tr>
      <w:tr w14:paraId="295D3F9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0DBF6BA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0BFAB3FE">
            <w:pPr>
              <w:snapToGrid w:val="0"/>
              <w:spacing w:line="400" w:lineRule="exact"/>
              <w:jc w:val="center"/>
              <w:rPr>
                <w:rFonts w:hint="eastAsia" w:ascii="宋体" w:hAnsi="宋体" w:cs="宋体"/>
                <w:color w:val="auto"/>
                <w:szCs w:val="21"/>
              </w:rPr>
            </w:pPr>
            <w:r>
              <w:rPr>
                <w:rFonts w:hint="eastAsia" w:ascii="宋体" w:hAnsi="宋体" w:cs="宋体"/>
                <w:color w:val="auto"/>
                <w:szCs w:val="21"/>
              </w:rPr>
              <w:t>第6.1款</w:t>
            </w:r>
          </w:p>
        </w:tc>
        <w:tc>
          <w:tcPr>
            <w:tcW w:w="1742" w:type="dxa"/>
            <w:noWrap w:val="0"/>
            <w:vAlign w:val="center"/>
          </w:tcPr>
          <w:p w14:paraId="2948A308">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履行合同义务的顺序</w:t>
            </w:r>
          </w:p>
        </w:tc>
        <w:tc>
          <w:tcPr>
            <w:tcW w:w="5170" w:type="dxa"/>
            <w:noWrap w:val="0"/>
            <w:vAlign w:val="center"/>
          </w:tcPr>
          <w:p w14:paraId="4E0E95C0">
            <w:pPr>
              <w:adjustRightInd w:val="0"/>
              <w:snapToGrid w:val="0"/>
              <w:spacing w:line="400" w:lineRule="exact"/>
              <w:jc w:val="left"/>
              <w:rPr>
                <w:rFonts w:hint="eastAsia" w:ascii="宋体" w:hAnsi="宋体" w:cs="宋体"/>
                <w:color w:val="auto"/>
                <w:szCs w:val="21"/>
              </w:rPr>
            </w:pPr>
          </w:p>
        </w:tc>
      </w:tr>
      <w:tr w14:paraId="10B5FD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Merge w:val="restart"/>
            <w:noWrap w:val="0"/>
            <w:vAlign w:val="center"/>
          </w:tcPr>
          <w:p w14:paraId="79EC95D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51B0C74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第7.1款</w:t>
            </w:r>
          </w:p>
        </w:tc>
        <w:tc>
          <w:tcPr>
            <w:tcW w:w="1742" w:type="dxa"/>
            <w:noWrap w:val="0"/>
            <w:vAlign w:val="center"/>
          </w:tcPr>
          <w:p w14:paraId="136F743A">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包装特殊要求</w:t>
            </w:r>
          </w:p>
        </w:tc>
        <w:tc>
          <w:tcPr>
            <w:tcW w:w="5170" w:type="dxa"/>
            <w:noWrap w:val="0"/>
            <w:vAlign w:val="center"/>
          </w:tcPr>
          <w:p w14:paraId="4A4B4344">
            <w:pPr>
              <w:spacing w:line="400" w:lineRule="exact"/>
              <w:rPr>
                <w:rFonts w:hint="eastAsia" w:ascii="宋体" w:hAnsi="宋体" w:cs="宋体"/>
                <w:color w:val="auto"/>
              </w:rPr>
            </w:pPr>
          </w:p>
        </w:tc>
      </w:tr>
      <w:tr w14:paraId="5FC6719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vMerge w:val="continue"/>
            <w:noWrap w:val="0"/>
            <w:vAlign w:val="center"/>
          </w:tcPr>
          <w:p w14:paraId="2750BC72">
            <w:pPr>
              <w:adjustRightInd w:val="0"/>
              <w:snapToGrid w:val="0"/>
              <w:spacing w:line="400" w:lineRule="exact"/>
              <w:jc w:val="center"/>
              <w:rPr>
                <w:rFonts w:hint="eastAsia" w:ascii="宋体" w:hAnsi="宋体" w:cs="宋体"/>
                <w:color w:val="auto"/>
                <w:szCs w:val="21"/>
              </w:rPr>
            </w:pPr>
          </w:p>
        </w:tc>
        <w:tc>
          <w:tcPr>
            <w:tcW w:w="1742" w:type="dxa"/>
            <w:noWrap w:val="0"/>
            <w:vAlign w:val="center"/>
          </w:tcPr>
          <w:p w14:paraId="224A87C0">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指定现场</w:t>
            </w:r>
          </w:p>
        </w:tc>
        <w:tc>
          <w:tcPr>
            <w:tcW w:w="5170" w:type="dxa"/>
            <w:noWrap w:val="0"/>
            <w:vAlign w:val="center"/>
          </w:tcPr>
          <w:p w14:paraId="45EDCA92">
            <w:pPr>
              <w:spacing w:line="400" w:lineRule="exact"/>
              <w:rPr>
                <w:rFonts w:hint="eastAsia" w:ascii="宋体" w:hAnsi="宋体" w:cs="宋体"/>
                <w:color w:val="auto"/>
              </w:rPr>
            </w:pPr>
          </w:p>
        </w:tc>
      </w:tr>
      <w:tr w14:paraId="55076D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5047A12A">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1FE37D3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第7.2款</w:t>
            </w:r>
          </w:p>
        </w:tc>
        <w:tc>
          <w:tcPr>
            <w:tcW w:w="1742" w:type="dxa"/>
            <w:noWrap w:val="0"/>
            <w:vAlign w:val="center"/>
          </w:tcPr>
          <w:p w14:paraId="4450EFFB">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运输特殊要求</w:t>
            </w:r>
          </w:p>
        </w:tc>
        <w:tc>
          <w:tcPr>
            <w:tcW w:w="5170" w:type="dxa"/>
            <w:noWrap w:val="0"/>
            <w:vAlign w:val="center"/>
          </w:tcPr>
          <w:p w14:paraId="02B49636">
            <w:pPr>
              <w:spacing w:line="400" w:lineRule="exact"/>
              <w:rPr>
                <w:rFonts w:hint="eastAsia" w:ascii="宋体" w:hAnsi="宋体" w:cs="宋体"/>
                <w:color w:val="auto"/>
              </w:rPr>
            </w:pPr>
          </w:p>
        </w:tc>
      </w:tr>
      <w:tr w14:paraId="41DD8A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50115633">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1800151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第7.3款</w:t>
            </w:r>
          </w:p>
        </w:tc>
        <w:tc>
          <w:tcPr>
            <w:tcW w:w="1742" w:type="dxa"/>
            <w:noWrap w:val="0"/>
            <w:vAlign w:val="center"/>
          </w:tcPr>
          <w:p w14:paraId="3F6A7F2E">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保险要求</w:t>
            </w:r>
          </w:p>
        </w:tc>
        <w:tc>
          <w:tcPr>
            <w:tcW w:w="5170" w:type="dxa"/>
            <w:noWrap w:val="0"/>
            <w:vAlign w:val="center"/>
          </w:tcPr>
          <w:p w14:paraId="32CCCE43">
            <w:pPr>
              <w:spacing w:line="400" w:lineRule="exact"/>
              <w:rPr>
                <w:rFonts w:hint="eastAsia" w:ascii="宋体" w:hAnsi="宋体" w:cs="宋体"/>
                <w:color w:val="auto"/>
              </w:rPr>
            </w:pPr>
          </w:p>
        </w:tc>
      </w:tr>
      <w:tr w14:paraId="45699A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42A02EF4">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4577E0F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第8.2（1）项</w:t>
            </w:r>
          </w:p>
        </w:tc>
        <w:tc>
          <w:tcPr>
            <w:tcW w:w="1742" w:type="dxa"/>
            <w:noWrap w:val="0"/>
            <w:vAlign w:val="center"/>
          </w:tcPr>
          <w:p w14:paraId="6ABA00A6">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质量保证期</w:t>
            </w:r>
          </w:p>
        </w:tc>
        <w:tc>
          <w:tcPr>
            <w:tcW w:w="5170" w:type="dxa"/>
            <w:noWrap w:val="0"/>
            <w:vAlign w:val="center"/>
          </w:tcPr>
          <w:p w14:paraId="2D062E5E">
            <w:pPr>
              <w:autoSpaceDE w:val="0"/>
              <w:autoSpaceDN w:val="0"/>
              <w:adjustRightInd w:val="0"/>
              <w:snapToGrid w:val="0"/>
              <w:spacing w:line="400" w:lineRule="exact"/>
              <w:ind w:firstLine="420" w:firstLineChars="200"/>
              <w:jc w:val="left"/>
              <w:rPr>
                <w:rFonts w:hint="eastAsia" w:ascii="宋体" w:hAnsi="宋体" w:cs="宋体"/>
                <w:color w:val="auto"/>
                <w:szCs w:val="21"/>
              </w:rPr>
            </w:pPr>
          </w:p>
        </w:tc>
      </w:tr>
      <w:tr w14:paraId="41F6B8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7287C89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20199C3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第8.2（3）项</w:t>
            </w:r>
          </w:p>
        </w:tc>
        <w:tc>
          <w:tcPr>
            <w:tcW w:w="1742" w:type="dxa"/>
            <w:noWrap w:val="0"/>
            <w:vAlign w:val="center"/>
          </w:tcPr>
          <w:p w14:paraId="7C347CDE">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货物质量缺陷</w:t>
            </w:r>
          </w:p>
          <w:p w14:paraId="21573F08">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响应时间</w:t>
            </w:r>
          </w:p>
        </w:tc>
        <w:tc>
          <w:tcPr>
            <w:tcW w:w="5170" w:type="dxa"/>
            <w:noWrap w:val="0"/>
            <w:vAlign w:val="center"/>
          </w:tcPr>
          <w:p w14:paraId="26E23391">
            <w:pPr>
              <w:adjustRightInd w:val="0"/>
              <w:snapToGrid w:val="0"/>
              <w:spacing w:line="400" w:lineRule="exact"/>
              <w:jc w:val="left"/>
              <w:rPr>
                <w:rFonts w:hint="eastAsia" w:ascii="宋体" w:hAnsi="宋体" w:cs="宋体"/>
                <w:color w:val="auto"/>
                <w:szCs w:val="21"/>
              </w:rPr>
            </w:pPr>
          </w:p>
        </w:tc>
      </w:tr>
      <w:tr w14:paraId="02893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2F92D74C">
            <w:pPr>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5A6D70FB">
            <w:pPr>
              <w:pStyle w:val="125"/>
              <w:ind w:firstLine="0" w:firstLineChars="0"/>
              <w:jc w:val="center"/>
              <w:rPr>
                <w:rFonts w:hint="eastAsia" w:ascii="宋体" w:hAnsi="宋体" w:eastAsia="宋体" w:cs="宋体"/>
                <w:color w:val="auto"/>
              </w:rPr>
            </w:pPr>
            <w:r>
              <w:rPr>
                <w:rFonts w:hint="eastAsia" w:ascii="宋体" w:hAnsi="宋体" w:eastAsia="宋体" w:cs="宋体"/>
                <w:color w:val="auto"/>
              </w:rPr>
              <w:t>第11.1款</w:t>
            </w:r>
          </w:p>
        </w:tc>
        <w:tc>
          <w:tcPr>
            <w:tcW w:w="1742" w:type="dxa"/>
            <w:noWrap w:val="0"/>
            <w:vAlign w:val="center"/>
          </w:tcPr>
          <w:p w14:paraId="12FF68E1">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其他应当保密的信息</w:t>
            </w:r>
          </w:p>
        </w:tc>
        <w:tc>
          <w:tcPr>
            <w:tcW w:w="5170" w:type="dxa"/>
            <w:noWrap w:val="0"/>
            <w:vAlign w:val="center"/>
          </w:tcPr>
          <w:p w14:paraId="4F8D2367">
            <w:pPr>
              <w:adjustRightInd w:val="0"/>
              <w:snapToGrid w:val="0"/>
              <w:spacing w:line="400" w:lineRule="exact"/>
              <w:jc w:val="left"/>
              <w:rPr>
                <w:rFonts w:hint="eastAsia" w:ascii="宋体" w:hAnsi="宋体" w:cs="宋体"/>
                <w:color w:val="auto"/>
                <w:szCs w:val="21"/>
              </w:rPr>
            </w:pPr>
          </w:p>
        </w:tc>
      </w:tr>
      <w:tr w14:paraId="0492B2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04A531B3">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0D29B8D8">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第12.2款</w:t>
            </w:r>
          </w:p>
        </w:tc>
        <w:tc>
          <w:tcPr>
            <w:tcW w:w="1742" w:type="dxa"/>
            <w:noWrap w:val="0"/>
            <w:vAlign w:val="center"/>
          </w:tcPr>
          <w:p w14:paraId="62884962">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合同价款支付时间</w:t>
            </w:r>
          </w:p>
        </w:tc>
        <w:tc>
          <w:tcPr>
            <w:tcW w:w="5170" w:type="dxa"/>
            <w:noWrap w:val="0"/>
            <w:vAlign w:val="center"/>
          </w:tcPr>
          <w:p w14:paraId="7C9A979B">
            <w:pPr>
              <w:adjustRightInd w:val="0"/>
              <w:snapToGrid w:val="0"/>
              <w:spacing w:line="400" w:lineRule="exact"/>
              <w:jc w:val="left"/>
              <w:rPr>
                <w:rFonts w:hint="eastAsia" w:ascii="宋体" w:hAnsi="宋体" w:cs="宋体"/>
                <w:color w:val="auto"/>
                <w:szCs w:val="21"/>
              </w:rPr>
            </w:pPr>
          </w:p>
        </w:tc>
      </w:tr>
      <w:tr w14:paraId="312DC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36589497">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6603ED1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第13.2款</w:t>
            </w:r>
          </w:p>
        </w:tc>
        <w:tc>
          <w:tcPr>
            <w:tcW w:w="1742" w:type="dxa"/>
            <w:noWrap w:val="0"/>
            <w:vAlign w:val="center"/>
          </w:tcPr>
          <w:p w14:paraId="24251222">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履约保证金不予退还的情形</w:t>
            </w:r>
          </w:p>
        </w:tc>
        <w:tc>
          <w:tcPr>
            <w:tcW w:w="5170" w:type="dxa"/>
            <w:noWrap w:val="0"/>
            <w:vAlign w:val="center"/>
          </w:tcPr>
          <w:p w14:paraId="2D506E5A">
            <w:pPr>
              <w:adjustRightInd w:val="0"/>
              <w:snapToGrid w:val="0"/>
              <w:spacing w:line="400" w:lineRule="exact"/>
              <w:jc w:val="left"/>
              <w:rPr>
                <w:rFonts w:hint="eastAsia" w:ascii="宋体" w:hAnsi="宋体" w:cs="宋体"/>
                <w:color w:val="auto"/>
                <w:szCs w:val="21"/>
              </w:rPr>
            </w:pPr>
          </w:p>
        </w:tc>
      </w:tr>
      <w:tr w14:paraId="0295A5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36C39D8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13D5C4D4">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第13.3款</w:t>
            </w:r>
          </w:p>
        </w:tc>
        <w:tc>
          <w:tcPr>
            <w:tcW w:w="1742" w:type="dxa"/>
            <w:noWrap w:val="0"/>
            <w:vAlign w:val="center"/>
          </w:tcPr>
          <w:p w14:paraId="09512C53">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履约保证金退还时间及逾期退还的违约金</w:t>
            </w:r>
          </w:p>
        </w:tc>
        <w:tc>
          <w:tcPr>
            <w:tcW w:w="5170" w:type="dxa"/>
            <w:noWrap w:val="0"/>
            <w:vAlign w:val="center"/>
          </w:tcPr>
          <w:p w14:paraId="650F4F78">
            <w:pPr>
              <w:adjustRightInd w:val="0"/>
              <w:snapToGrid w:val="0"/>
              <w:spacing w:line="400" w:lineRule="exact"/>
              <w:jc w:val="left"/>
              <w:rPr>
                <w:rFonts w:hint="eastAsia" w:ascii="宋体" w:hAnsi="宋体" w:cs="宋体"/>
                <w:color w:val="auto"/>
                <w:szCs w:val="21"/>
              </w:rPr>
            </w:pPr>
          </w:p>
        </w:tc>
      </w:tr>
      <w:tr w14:paraId="51ACC0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28ED32A9">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513AF7CA">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第14.1（3）项</w:t>
            </w:r>
          </w:p>
        </w:tc>
        <w:tc>
          <w:tcPr>
            <w:tcW w:w="1742" w:type="dxa"/>
            <w:noWrap w:val="0"/>
            <w:vAlign w:val="center"/>
          </w:tcPr>
          <w:p w14:paraId="45D31F67">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运行监督、维修期限</w:t>
            </w:r>
          </w:p>
        </w:tc>
        <w:tc>
          <w:tcPr>
            <w:tcW w:w="5170" w:type="dxa"/>
            <w:noWrap w:val="0"/>
            <w:vAlign w:val="center"/>
          </w:tcPr>
          <w:p w14:paraId="7CEE0ABB">
            <w:pPr>
              <w:adjustRightInd w:val="0"/>
              <w:snapToGrid w:val="0"/>
              <w:spacing w:line="400" w:lineRule="exact"/>
              <w:jc w:val="left"/>
              <w:rPr>
                <w:rFonts w:hint="eastAsia" w:ascii="宋体" w:hAnsi="宋体" w:cs="宋体"/>
                <w:color w:val="auto"/>
                <w:szCs w:val="21"/>
              </w:rPr>
            </w:pPr>
          </w:p>
        </w:tc>
      </w:tr>
      <w:tr w14:paraId="211A92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52CA0EE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7DF8988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第14.1（5）项</w:t>
            </w:r>
          </w:p>
        </w:tc>
        <w:tc>
          <w:tcPr>
            <w:tcW w:w="1742" w:type="dxa"/>
            <w:noWrap w:val="0"/>
            <w:vAlign w:val="center"/>
          </w:tcPr>
          <w:p w14:paraId="200775AB">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货物回收的约定</w:t>
            </w:r>
          </w:p>
        </w:tc>
        <w:tc>
          <w:tcPr>
            <w:tcW w:w="5170" w:type="dxa"/>
            <w:noWrap w:val="0"/>
            <w:vAlign w:val="center"/>
          </w:tcPr>
          <w:p w14:paraId="26B0BC40">
            <w:pPr>
              <w:adjustRightInd w:val="0"/>
              <w:snapToGrid w:val="0"/>
              <w:spacing w:line="400" w:lineRule="exact"/>
              <w:jc w:val="left"/>
              <w:rPr>
                <w:rFonts w:hint="eastAsia" w:ascii="宋体" w:hAnsi="宋体" w:cs="宋体"/>
                <w:color w:val="auto"/>
                <w:szCs w:val="21"/>
              </w:rPr>
            </w:pPr>
          </w:p>
        </w:tc>
      </w:tr>
      <w:tr w14:paraId="6159FA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4759415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090D3035">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第14.1（6）项</w:t>
            </w:r>
          </w:p>
        </w:tc>
        <w:tc>
          <w:tcPr>
            <w:tcW w:w="1742" w:type="dxa"/>
            <w:noWrap w:val="0"/>
            <w:vAlign w:val="center"/>
          </w:tcPr>
          <w:p w14:paraId="06901843">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乙方提供的其他服务</w:t>
            </w:r>
          </w:p>
        </w:tc>
        <w:tc>
          <w:tcPr>
            <w:tcW w:w="5170" w:type="dxa"/>
            <w:noWrap w:val="0"/>
            <w:vAlign w:val="center"/>
          </w:tcPr>
          <w:p w14:paraId="1B95000C">
            <w:pPr>
              <w:adjustRightInd w:val="0"/>
              <w:snapToGrid w:val="0"/>
              <w:spacing w:line="400" w:lineRule="exact"/>
              <w:jc w:val="left"/>
              <w:rPr>
                <w:rFonts w:hint="eastAsia" w:ascii="宋体" w:hAnsi="宋体" w:cs="宋体"/>
                <w:color w:val="auto"/>
                <w:szCs w:val="21"/>
              </w:rPr>
            </w:pPr>
          </w:p>
        </w:tc>
      </w:tr>
      <w:tr w14:paraId="35F1336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72A3E949">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7B3F399B">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第15.1款</w:t>
            </w:r>
          </w:p>
        </w:tc>
        <w:tc>
          <w:tcPr>
            <w:tcW w:w="1742" w:type="dxa"/>
            <w:noWrap w:val="0"/>
            <w:vAlign w:val="center"/>
          </w:tcPr>
          <w:p w14:paraId="7F83229A">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修理、重作、更换相关具体规定</w:t>
            </w:r>
          </w:p>
        </w:tc>
        <w:tc>
          <w:tcPr>
            <w:tcW w:w="5170" w:type="dxa"/>
            <w:noWrap w:val="0"/>
            <w:vAlign w:val="center"/>
          </w:tcPr>
          <w:p w14:paraId="60C6061E">
            <w:pPr>
              <w:adjustRightInd w:val="0"/>
              <w:snapToGrid w:val="0"/>
              <w:spacing w:line="400" w:lineRule="exact"/>
              <w:jc w:val="left"/>
              <w:rPr>
                <w:rFonts w:hint="eastAsia" w:ascii="宋体" w:hAnsi="宋体" w:cs="宋体"/>
                <w:color w:val="auto"/>
                <w:szCs w:val="21"/>
              </w:rPr>
            </w:pPr>
          </w:p>
        </w:tc>
      </w:tr>
      <w:tr w14:paraId="2EB43F0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1E36DDCC">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4FBE975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第15.2（2）项</w:t>
            </w:r>
          </w:p>
        </w:tc>
        <w:tc>
          <w:tcPr>
            <w:tcW w:w="1742" w:type="dxa"/>
            <w:noWrap w:val="0"/>
            <w:vAlign w:val="center"/>
          </w:tcPr>
          <w:p w14:paraId="7FDC98E9">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迟延交货赔偿费</w:t>
            </w:r>
          </w:p>
        </w:tc>
        <w:tc>
          <w:tcPr>
            <w:tcW w:w="5170" w:type="dxa"/>
            <w:noWrap w:val="0"/>
            <w:vAlign w:val="center"/>
          </w:tcPr>
          <w:p w14:paraId="0AC2CD9D">
            <w:pPr>
              <w:adjustRightInd w:val="0"/>
              <w:snapToGrid w:val="0"/>
              <w:spacing w:line="400" w:lineRule="exact"/>
              <w:jc w:val="left"/>
              <w:rPr>
                <w:rFonts w:hint="eastAsia" w:ascii="宋体" w:hAnsi="宋体" w:cs="宋体"/>
                <w:color w:val="auto"/>
                <w:szCs w:val="21"/>
                <w:u w:val="single"/>
              </w:rPr>
            </w:pPr>
          </w:p>
        </w:tc>
      </w:tr>
      <w:tr w14:paraId="2383BB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2330738F">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79CCAA0D">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第15.3款</w:t>
            </w:r>
          </w:p>
        </w:tc>
        <w:tc>
          <w:tcPr>
            <w:tcW w:w="1742" w:type="dxa"/>
            <w:noWrap w:val="0"/>
            <w:vAlign w:val="center"/>
          </w:tcPr>
          <w:p w14:paraId="1FC0D367">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逾期付款利息</w:t>
            </w:r>
          </w:p>
        </w:tc>
        <w:tc>
          <w:tcPr>
            <w:tcW w:w="5170" w:type="dxa"/>
            <w:noWrap w:val="0"/>
            <w:vAlign w:val="center"/>
          </w:tcPr>
          <w:p w14:paraId="4BEEFDB2">
            <w:pPr>
              <w:adjustRightInd w:val="0"/>
              <w:snapToGrid w:val="0"/>
              <w:spacing w:line="400" w:lineRule="exact"/>
              <w:jc w:val="left"/>
              <w:rPr>
                <w:rFonts w:hint="eastAsia" w:ascii="宋体" w:hAnsi="宋体" w:cs="宋体"/>
                <w:color w:val="auto"/>
                <w:szCs w:val="21"/>
                <w:u w:val="single"/>
              </w:rPr>
            </w:pPr>
          </w:p>
        </w:tc>
      </w:tr>
      <w:tr w14:paraId="5D649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tcBorders>
              <w:bottom w:val="single" w:color="auto" w:sz="2" w:space="0"/>
              <w:right w:val="single" w:color="auto" w:sz="2" w:space="0"/>
            </w:tcBorders>
            <w:noWrap w:val="0"/>
            <w:vAlign w:val="center"/>
          </w:tcPr>
          <w:p w14:paraId="2960180F">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1D8D2B3C">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第15.4款</w:t>
            </w:r>
          </w:p>
        </w:tc>
        <w:tc>
          <w:tcPr>
            <w:tcW w:w="1742" w:type="dxa"/>
            <w:tcBorders>
              <w:left w:val="single" w:color="auto" w:sz="2" w:space="0"/>
              <w:bottom w:val="single" w:color="auto" w:sz="2" w:space="0"/>
              <w:right w:val="single" w:color="auto" w:sz="2" w:space="0"/>
            </w:tcBorders>
            <w:noWrap w:val="0"/>
            <w:vAlign w:val="center"/>
          </w:tcPr>
          <w:p w14:paraId="42DC6D11">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其他违约责任</w:t>
            </w:r>
          </w:p>
        </w:tc>
        <w:tc>
          <w:tcPr>
            <w:tcW w:w="5170" w:type="dxa"/>
            <w:tcBorders>
              <w:left w:val="single" w:color="auto" w:sz="2" w:space="0"/>
              <w:bottom w:val="single" w:color="auto" w:sz="2" w:space="0"/>
            </w:tcBorders>
            <w:noWrap w:val="0"/>
            <w:vAlign w:val="center"/>
          </w:tcPr>
          <w:p w14:paraId="72089CA1">
            <w:pPr>
              <w:adjustRightInd w:val="0"/>
              <w:snapToGrid w:val="0"/>
              <w:spacing w:line="400" w:lineRule="exact"/>
              <w:jc w:val="left"/>
              <w:rPr>
                <w:rFonts w:hint="eastAsia" w:ascii="宋体" w:hAnsi="宋体" w:cs="宋体"/>
                <w:color w:val="auto"/>
                <w:szCs w:val="21"/>
                <w:u w:val="single"/>
              </w:rPr>
            </w:pPr>
          </w:p>
        </w:tc>
      </w:tr>
      <w:tr w14:paraId="19615AA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tcBorders>
              <w:top w:val="single" w:color="auto" w:sz="2" w:space="0"/>
              <w:right w:val="single" w:color="auto" w:sz="2" w:space="0"/>
            </w:tcBorders>
            <w:noWrap w:val="0"/>
            <w:vAlign w:val="center"/>
          </w:tcPr>
          <w:p w14:paraId="4484856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29E5974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第19.2款</w:t>
            </w:r>
          </w:p>
        </w:tc>
        <w:tc>
          <w:tcPr>
            <w:tcW w:w="1742" w:type="dxa"/>
            <w:tcBorders>
              <w:top w:val="single" w:color="auto" w:sz="2" w:space="0"/>
              <w:left w:val="single" w:color="auto" w:sz="2" w:space="0"/>
              <w:right w:val="single" w:color="auto" w:sz="2" w:space="0"/>
            </w:tcBorders>
            <w:noWrap w:val="0"/>
            <w:vAlign w:val="center"/>
          </w:tcPr>
          <w:p w14:paraId="4B91CC04">
            <w:pPr>
              <w:adjustRightInd w:val="0"/>
              <w:snapToGrid w:val="0"/>
              <w:spacing w:line="400" w:lineRule="exact"/>
              <w:jc w:val="left"/>
              <w:rPr>
                <w:rFonts w:hint="eastAsia" w:ascii="宋体" w:hAnsi="宋体" w:cs="宋体"/>
                <w:color w:val="auto"/>
                <w:szCs w:val="21"/>
              </w:rPr>
            </w:pPr>
            <w:r>
              <w:rPr>
                <w:rFonts w:hint="eastAsia" w:ascii="宋体" w:hAnsi="宋体" w:cs="宋体"/>
                <w:color w:val="auto"/>
                <w:szCs w:val="21"/>
              </w:rPr>
              <w:t>解决争议的方法</w:t>
            </w:r>
          </w:p>
        </w:tc>
        <w:tc>
          <w:tcPr>
            <w:tcW w:w="5170" w:type="dxa"/>
            <w:tcBorders>
              <w:top w:val="single" w:color="auto" w:sz="2" w:space="0"/>
              <w:left w:val="single" w:color="auto" w:sz="2" w:space="0"/>
            </w:tcBorders>
            <w:noWrap w:val="0"/>
            <w:vAlign w:val="center"/>
          </w:tcPr>
          <w:p w14:paraId="5CC5DA35">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因本合同及合同有关事项发生的争议，按下列第</w:t>
            </w:r>
            <w:r>
              <w:rPr>
                <w:rFonts w:hint="eastAsia" w:ascii="宋体" w:hAnsi="宋体" w:cs="宋体"/>
                <w:iCs/>
                <w:color w:val="auto"/>
                <w:szCs w:val="21"/>
                <w:u w:val="single"/>
              </w:rPr>
              <w:t xml:space="preserve">   </w:t>
            </w:r>
            <w:r>
              <w:rPr>
                <w:rFonts w:hint="eastAsia" w:ascii="宋体" w:hAnsi="宋体" w:cs="宋体"/>
                <w:iCs/>
                <w:color w:val="auto"/>
                <w:szCs w:val="21"/>
              </w:rPr>
              <w:t>种方式解决：</w:t>
            </w:r>
          </w:p>
          <w:p w14:paraId="5363C58A">
            <w:pPr>
              <w:autoSpaceDE w:val="0"/>
              <w:autoSpaceDN w:val="0"/>
              <w:adjustRightInd w:val="0"/>
              <w:snapToGrid w:val="0"/>
              <w:spacing w:line="400" w:lineRule="exact"/>
              <w:jc w:val="left"/>
              <w:rPr>
                <w:rFonts w:hint="eastAsia" w:ascii="宋体" w:hAnsi="宋体" w:cs="宋体"/>
                <w:iCs/>
                <w:color w:val="auto"/>
                <w:szCs w:val="21"/>
              </w:rPr>
            </w:pPr>
            <w:r>
              <w:rPr>
                <w:rFonts w:hint="eastAsia" w:ascii="宋体" w:hAnsi="宋体" w:cs="宋体"/>
                <w:iCs/>
                <w:color w:val="auto"/>
                <w:szCs w:val="21"/>
              </w:rPr>
              <w:t>（1）向</w:t>
            </w:r>
            <w:r>
              <w:rPr>
                <w:rFonts w:hint="eastAsia" w:ascii="宋体" w:hAnsi="宋体" w:cs="宋体"/>
                <w:iCs/>
                <w:color w:val="auto"/>
                <w:szCs w:val="21"/>
                <w:u w:val="single"/>
              </w:rPr>
              <w:t xml:space="preserve">                    </w:t>
            </w:r>
            <w:r>
              <w:rPr>
                <w:rFonts w:hint="eastAsia" w:ascii="宋体" w:hAnsi="宋体" w:cs="宋体"/>
                <w:iCs/>
                <w:color w:val="auto"/>
                <w:szCs w:val="21"/>
              </w:rPr>
              <w:t>仲裁委员会申请仲裁，仲裁地点为</w:t>
            </w:r>
            <w:r>
              <w:rPr>
                <w:rFonts w:hint="eastAsia" w:ascii="宋体" w:hAnsi="宋体" w:cs="宋体"/>
                <w:iCs/>
                <w:color w:val="auto"/>
                <w:szCs w:val="21"/>
                <w:u w:val="single"/>
              </w:rPr>
              <w:t xml:space="preserve">           </w:t>
            </w:r>
            <w:r>
              <w:rPr>
                <w:rFonts w:hint="eastAsia" w:ascii="宋体" w:hAnsi="宋体" w:cs="宋体"/>
                <w:iCs/>
                <w:color w:val="auto"/>
                <w:szCs w:val="21"/>
              </w:rPr>
              <w:t>；</w:t>
            </w:r>
          </w:p>
          <w:p w14:paraId="5B849F81">
            <w:pPr>
              <w:adjustRightInd w:val="0"/>
              <w:snapToGrid w:val="0"/>
              <w:spacing w:line="400" w:lineRule="exact"/>
              <w:jc w:val="left"/>
              <w:rPr>
                <w:rFonts w:hint="eastAsia" w:ascii="宋体" w:hAnsi="宋体" w:cs="宋体"/>
                <w:color w:val="auto"/>
                <w:szCs w:val="21"/>
                <w:u w:val="single"/>
              </w:rPr>
            </w:pPr>
            <w:r>
              <w:rPr>
                <w:rFonts w:hint="eastAsia" w:ascii="宋体" w:hAnsi="宋体" w:cs="宋体"/>
                <w:iCs/>
                <w:color w:val="auto"/>
                <w:szCs w:val="21"/>
              </w:rPr>
              <w:t>（2）向</w:t>
            </w:r>
            <w:r>
              <w:rPr>
                <w:rFonts w:hint="eastAsia" w:ascii="宋体" w:hAnsi="宋体" w:cs="宋体"/>
                <w:iCs/>
                <w:color w:val="auto"/>
                <w:szCs w:val="21"/>
                <w:u w:val="single"/>
              </w:rPr>
              <w:t xml:space="preserve">                    </w:t>
            </w:r>
            <w:r>
              <w:rPr>
                <w:rFonts w:hint="eastAsia" w:ascii="宋体" w:hAnsi="宋体" w:cs="宋体"/>
                <w:iCs/>
                <w:color w:val="auto"/>
                <w:szCs w:val="21"/>
              </w:rPr>
              <w:t>人民法院起诉。</w:t>
            </w:r>
          </w:p>
        </w:tc>
      </w:tr>
      <w:tr w14:paraId="6FC068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607" w:type="dxa"/>
            <w:noWrap w:val="0"/>
            <w:vAlign w:val="center"/>
          </w:tcPr>
          <w:p w14:paraId="5D1A404E">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第二节</w:t>
            </w:r>
          </w:p>
          <w:p w14:paraId="5BD97A32">
            <w:pPr>
              <w:adjustRightInd w:val="0"/>
              <w:snapToGrid w:val="0"/>
              <w:spacing w:line="400" w:lineRule="exact"/>
              <w:jc w:val="center"/>
              <w:rPr>
                <w:rFonts w:hint="eastAsia" w:ascii="宋体" w:hAnsi="宋体" w:cs="宋体"/>
                <w:color w:val="auto"/>
                <w:szCs w:val="21"/>
              </w:rPr>
            </w:pPr>
            <w:r>
              <w:rPr>
                <w:rFonts w:hint="eastAsia" w:ascii="宋体" w:hAnsi="宋体" w:cs="宋体"/>
                <w:color w:val="auto"/>
                <w:szCs w:val="21"/>
              </w:rPr>
              <w:t>第23.1款</w:t>
            </w:r>
          </w:p>
        </w:tc>
        <w:tc>
          <w:tcPr>
            <w:tcW w:w="1742" w:type="dxa"/>
            <w:noWrap w:val="0"/>
            <w:vAlign w:val="center"/>
          </w:tcPr>
          <w:p w14:paraId="46972DBA">
            <w:pPr>
              <w:adjustRightInd w:val="0"/>
              <w:snapToGrid w:val="0"/>
              <w:spacing w:line="400" w:lineRule="exact"/>
              <w:jc w:val="left"/>
              <w:rPr>
                <w:rFonts w:hint="eastAsia" w:ascii="宋体" w:hAnsi="宋体" w:cs="宋体"/>
                <w:color w:val="auto"/>
                <w:szCs w:val="21"/>
              </w:rPr>
            </w:pPr>
            <w:r>
              <w:rPr>
                <w:rFonts w:hint="eastAsia" w:ascii="宋体" w:hAnsi="宋体" w:cs="宋体"/>
                <w:bCs/>
                <w:color w:val="auto"/>
                <w:szCs w:val="21"/>
              </w:rPr>
              <w:t>其他专用条款</w:t>
            </w:r>
          </w:p>
        </w:tc>
        <w:tc>
          <w:tcPr>
            <w:tcW w:w="5170" w:type="dxa"/>
            <w:noWrap w:val="0"/>
            <w:vAlign w:val="center"/>
          </w:tcPr>
          <w:p w14:paraId="1713237C">
            <w:pPr>
              <w:adjustRightInd w:val="0"/>
              <w:snapToGrid w:val="0"/>
              <w:spacing w:line="400" w:lineRule="exact"/>
              <w:jc w:val="left"/>
              <w:rPr>
                <w:rFonts w:hint="eastAsia" w:ascii="宋体" w:hAnsi="宋体" w:cs="宋体"/>
                <w:color w:val="auto"/>
                <w:szCs w:val="21"/>
              </w:rPr>
            </w:pPr>
          </w:p>
        </w:tc>
      </w:tr>
    </w:tbl>
    <w:p w14:paraId="19762B67">
      <w:pPr>
        <w:snapToGrid w:val="0"/>
        <w:spacing w:line="360" w:lineRule="auto"/>
        <w:ind w:left="480" w:hanging="480" w:hangingChars="200"/>
        <w:rPr>
          <w:rFonts w:hint="eastAsia" w:ascii="宋体" w:hAnsi="宋体" w:eastAsia="宋体" w:cs="宋体"/>
          <w:sz w:val="24"/>
        </w:rPr>
      </w:pPr>
    </w:p>
    <w:p w14:paraId="3E25663D">
      <w:pPr>
        <w:snapToGrid w:val="0"/>
        <w:spacing w:line="400" w:lineRule="exact"/>
        <w:jc w:val="center"/>
        <w:rPr>
          <w:rFonts w:hint="eastAsia" w:ascii="宋体" w:hAnsi="宋体" w:eastAsia="宋体" w:cs="宋体"/>
          <w:color w:val="000000" w:themeColor="text1"/>
          <w:sz w:val="24"/>
          <w14:textFill>
            <w14:solidFill>
              <w14:schemeClr w14:val="tx1"/>
            </w14:solidFill>
          </w14:textFill>
        </w:rPr>
      </w:pPr>
    </w:p>
    <w:sectPr>
      <w:footerReference r:id="rId9" w:type="first"/>
      <w:pgSz w:w="11910" w:h="16840"/>
      <w:pgMar w:top="1134" w:right="1134" w:bottom="1134" w:left="113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77D134F-37C0-4173-8E10-9AE3C04F8A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4944325-1640-47F7-8091-CAAFE7C4AACC}"/>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D0702F3-5576-49A9-B52E-717B01FC7D3D}"/>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0D104">
    <w:pPr>
      <w:pStyle w:val="1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72768D">
    <w:pPr>
      <w:pStyle w:val="17"/>
      <w:jc w:val="center"/>
    </w:pPr>
    <w:r>
      <w:fldChar w:fldCharType="begin"/>
    </w:r>
    <w:r>
      <w:instrText xml:space="preserve"> PAGE   \* MERGEFORMAT </w:instrText>
    </w:r>
    <w:r>
      <w:fldChar w:fldCharType="separate"/>
    </w:r>
    <w:r>
      <w:rPr>
        <w:lang w:val="zh-CN"/>
      </w:rPr>
      <w:t>3</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7ADE1C">
    <w:pPr>
      <w:pStyle w:val="17"/>
      <w:tabs>
        <w:tab w:val="left" w:pos="4000"/>
        <w:tab w:val="clear" w:pos="4153"/>
      </w:tabs>
      <w:rPr>
        <w:rFonts w:hint="eastAsia" w:eastAsia="宋体"/>
        <w:lang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8B195C">
                          <w:pPr>
                            <w:pStyle w:val="17"/>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48B195C">
                    <w:pPr>
                      <w:pStyle w:val="17"/>
                    </w:pPr>
                    <w:r>
                      <w:fldChar w:fldCharType="begin"/>
                    </w:r>
                    <w:r>
                      <w:instrText xml:space="preserve"> PAGE  \* MERGEFORMAT </w:instrText>
                    </w:r>
                    <w:r>
                      <w:fldChar w:fldCharType="separate"/>
                    </w:r>
                    <w:r>
                      <w:t>32</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397CB">
    <w:pPr>
      <w:pStyle w:val="17"/>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E9E2AA">
                          <w:pPr>
                            <w:pStyle w:val="17"/>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512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WUsMhdABAACqAwAADgAAAAAAAAABACAAAAAeAQAAZHJz&#10;L2Uyb0RvYy54bWxQSwUGAAAAAAYABgBZAQAAYAUAAAAA&#10;">
              <v:fill on="f" focussize="0,0"/>
              <v:stroke on="f"/>
              <v:imagedata o:title=""/>
              <o:lock v:ext="edit" aspectratio="f"/>
              <v:textbox inset="0mm,0mm,0mm,0mm" style="mso-fit-shape-to-text:t;">
                <w:txbxContent>
                  <w:p w14:paraId="18E9E2AA">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0ED0E">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A0140">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BC187">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FC674"/>
    <w:multiLevelType w:val="singleLevel"/>
    <w:tmpl w:val="FFEFC674"/>
    <w:lvl w:ilvl="0" w:tentative="0">
      <w:start w:val="1"/>
      <w:numFmt w:val="decimal"/>
      <w:suff w:val="nothing"/>
      <w:lvlText w:val="（%1）"/>
      <w:lvlJc w:val="left"/>
    </w:lvl>
  </w:abstractNum>
  <w:abstractNum w:abstractNumId="1">
    <w:nsid w:val="11342AEB"/>
    <w:multiLevelType w:val="multilevel"/>
    <w:tmpl w:val="11342AEB"/>
    <w:lvl w:ilvl="0" w:tentative="0">
      <w:start w:val="1"/>
      <w:numFmt w:val="decimal"/>
      <w:lvlText w:val="%1."/>
      <w:lvlJc w:val="left"/>
      <w:pPr>
        <w:tabs>
          <w:tab w:val="left" w:pos="1276"/>
        </w:tabs>
        <w:ind w:left="1276" w:hanging="425"/>
      </w:pPr>
      <w:rPr>
        <w:rFonts w:hint="eastAsia"/>
      </w:rPr>
    </w:lvl>
    <w:lvl w:ilvl="1" w:tentative="0">
      <w:start w:val="1"/>
      <w:numFmt w:val="decimal"/>
      <w:lvlText w:val="4.%2."/>
      <w:lvlJc w:val="left"/>
      <w:pPr>
        <w:tabs>
          <w:tab w:val="left" w:pos="1418"/>
        </w:tabs>
        <w:ind w:left="1418" w:hanging="567"/>
      </w:pPr>
      <w:rPr>
        <w:rFonts w:hint="eastAsia"/>
      </w:rPr>
    </w:lvl>
    <w:lvl w:ilvl="2" w:tentative="0">
      <w:start w:val="1"/>
      <w:numFmt w:val="decimal"/>
      <w:pStyle w:val="4"/>
      <w:lvlText w:val="4.%3."/>
      <w:lvlJc w:val="left"/>
      <w:pPr>
        <w:tabs>
          <w:tab w:val="left" w:pos="1560"/>
        </w:tabs>
        <w:ind w:left="1560" w:hanging="709"/>
      </w:pPr>
      <w:rPr>
        <w:rFonts w:hint="eastAsia"/>
      </w:rPr>
    </w:lvl>
    <w:lvl w:ilvl="3" w:tentative="0">
      <w:start w:val="1"/>
      <w:numFmt w:val="decimal"/>
      <w:lvlText w:val="%1.%2.%3.%4."/>
      <w:lvlJc w:val="left"/>
      <w:pPr>
        <w:tabs>
          <w:tab w:val="left" w:pos="1702"/>
        </w:tabs>
        <w:ind w:left="1702" w:hanging="851"/>
      </w:pPr>
      <w:rPr>
        <w:rFonts w:hint="eastAsia"/>
      </w:rPr>
    </w:lvl>
    <w:lvl w:ilvl="4" w:tentative="0">
      <w:start w:val="1"/>
      <w:numFmt w:val="decimal"/>
      <w:lvlText w:val="%1.%2.%3.%4.%5."/>
      <w:lvlJc w:val="left"/>
      <w:pPr>
        <w:tabs>
          <w:tab w:val="left" w:pos="1843"/>
        </w:tabs>
        <w:ind w:left="1843" w:hanging="992"/>
      </w:pPr>
      <w:rPr>
        <w:rFonts w:hint="eastAsia"/>
      </w:rPr>
    </w:lvl>
    <w:lvl w:ilvl="5" w:tentative="0">
      <w:start w:val="1"/>
      <w:numFmt w:val="decimal"/>
      <w:lvlText w:val="%1.%2.%3.%4.%5.%6."/>
      <w:lvlJc w:val="left"/>
      <w:pPr>
        <w:tabs>
          <w:tab w:val="left" w:pos="1985"/>
        </w:tabs>
        <w:ind w:left="1985" w:hanging="1134"/>
      </w:pPr>
      <w:rPr>
        <w:rFonts w:hint="eastAsia"/>
      </w:rPr>
    </w:lvl>
    <w:lvl w:ilvl="6" w:tentative="0">
      <w:start w:val="1"/>
      <w:numFmt w:val="decimal"/>
      <w:lvlText w:val="%1.%2.%3.%4.%5.%6.%7."/>
      <w:lvlJc w:val="left"/>
      <w:pPr>
        <w:tabs>
          <w:tab w:val="left" w:pos="2127"/>
        </w:tabs>
        <w:ind w:left="2127" w:hanging="1276"/>
      </w:pPr>
      <w:rPr>
        <w:rFonts w:hint="eastAsia"/>
      </w:rPr>
    </w:lvl>
    <w:lvl w:ilvl="7" w:tentative="0">
      <w:start w:val="1"/>
      <w:numFmt w:val="decimal"/>
      <w:lvlText w:val="%1.%2.%3.%4.%5.%6.%7.%8."/>
      <w:lvlJc w:val="left"/>
      <w:pPr>
        <w:tabs>
          <w:tab w:val="left" w:pos="2269"/>
        </w:tabs>
        <w:ind w:left="2269" w:hanging="1418"/>
      </w:pPr>
      <w:rPr>
        <w:rFonts w:hint="eastAsia"/>
      </w:rPr>
    </w:lvl>
    <w:lvl w:ilvl="8" w:tentative="0">
      <w:start w:val="1"/>
      <w:numFmt w:val="decimal"/>
      <w:lvlText w:val="%1.%2.%3.%4.%5.%6.%7.%8.%9."/>
      <w:lvlJc w:val="left"/>
      <w:pPr>
        <w:tabs>
          <w:tab w:val="left" w:pos="2410"/>
        </w:tabs>
        <w:ind w:left="2410" w:hanging="1559"/>
      </w:pPr>
      <w:rPr>
        <w:rFonts w:hint="eastAsia"/>
      </w:rPr>
    </w:lvl>
  </w:abstractNum>
  <w:abstractNum w:abstractNumId="2">
    <w:nsid w:val="7ED45875"/>
    <w:multiLevelType w:val="multilevel"/>
    <w:tmpl w:val="7ED458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WVlMTE0ODI2MjRmYTRiODhiZWI1MWQ1YTFlMTMifQ=="/>
  </w:docVars>
  <w:rsids>
    <w:rsidRoot w:val="003512C6"/>
    <w:rsid w:val="00000672"/>
    <w:rsid w:val="00000B45"/>
    <w:rsid w:val="00001799"/>
    <w:rsid w:val="00002D29"/>
    <w:rsid w:val="000040C5"/>
    <w:rsid w:val="00004514"/>
    <w:rsid w:val="00004A8A"/>
    <w:rsid w:val="00005E55"/>
    <w:rsid w:val="00005FDF"/>
    <w:rsid w:val="00006586"/>
    <w:rsid w:val="0000692B"/>
    <w:rsid w:val="00006A4F"/>
    <w:rsid w:val="00010D39"/>
    <w:rsid w:val="000112BB"/>
    <w:rsid w:val="0001149B"/>
    <w:rsid w:val="0001172C"/>
    <w:rsid w:val="00012854"/>
    <w:rsid w:val="00012EA6"/>
    <w:rsid w:val="000139DC"/>
    <w:rsid w:val="00013D8C"/>
    <w:rsid w:val="00013DFE"/>
    <w:rsid w:val="000141EA"/>
    <w:rsid w:val="00014385"/>
    <w:rsid w:val="00014B02"/>
    <w:rsid w:val="000166C4"/>
    <w:rsid w:val="00016960"/>
    <w:rsid w:val="00017396"/>
    <w:rsid w:val="000177DB"/>
    <w:rsid w:val="00020227"/>
    <w:rsid w:val="000203E4"/>
    <w:rsid w:val="00020455"/>
    <w:rsid w:val="00022731"/>
    <w:rsid w:val="00022792"/>
    <w:rsid w:val="0002392D"/>
    <w:rsid w:val="00024B43"/>
    <w:rsid w:val="00025382"/>
    <w:rsid w:val="00025636"/>
    <w:rsid w:val="00025E36"/>
    <w:rsid w:val="00026627"/>
    <w:rsid w:val="00026886"/>
    <w:rsid w:val="00030496"/>
    <w:rsid w:val="000329A1"/>
    <w:rsid w:val="000329E0"/>
    <w:rsid w:val="000333A0"/>
    <w:rsid w:val="000352E9"/>
    <w:rsid w:val="00036A07"/>
    <w:rsid w:val="00036E33"/>
    <w:rsid w:val="00037E2D"/>
    <w:rsid w:val="00040571"/>
    <w:rsid w:val="0004156E"/>
    <w:rsid w:val="00041597"/>
    <w:rsid w:val="0004440C"/>
    <w:rsid w:val="00045880"/>
    <w:rsid w:val="000462CB"/>
    <w:rsid w:val="00046B5E"/>
    <w:rsid w:val="0004783A"/>
    <w:rsid w:val="000509D9"/>
    <w:rsid w:val="000541D2"/>
    <w:rsid w:val="0005524B"/>
    <w:rsid w:val="000552A6"/>
    <w:rsid w:val="00055D41"/>
    <w:rsid w:val="00057CEC"/>
    <w:rsid w:val="00060DCE"/>
    <w:rsid w:val="000623B4"/>
    <w:rsid w:val="000634A7"/>
    <w:rsid w:val="00063E85"/>
    <w:rsid w:val="00063F81"/>
    <w:rsid w:val="00064847"/>
    <w:rsid w:val="0006484B"/>
    <w:rsid w:val="000655AC"/>
    <w:rsid w:val="00065BBC"/>
    <w:rsid w:val="000673E2"/>
    <w:rsid w:val="000711E4"/>
    <w:rsid w:val="00072AED"/>
    <w:rsid w:val="00073F47"/>
    <w:rsid w:val="00074FDF"/>
    <w:rsid w:val="00075B7E"/>
    <w:rsid w:val="00076408"/>
    <w:rsid w:val="00077C70"/>
    <w:rsid w:val="00080B57"/>
    <w:rsid w:val="000817D1"/>
    <w:rsid w:val="00081BA3"/>
    <w:rsid w:val="00081D2E"/>
    <w:rsid w:val="0008267B"/>
    <w:rsid w:val="00082D02"/>
    <w:rsid w:val="000831E0"/>
    <w:rsid w:val="00083B91"/>
    <w:rsid w:val="00083F12"/>
    <w:rsid w:val="0008520B"/>
    <w:rsid w:val="0008538C"/>
    <w:rsid w:val="0008630C"/>
    <w:rsid w:val="000871B8"/>
    <w:rsid w:val="00087DB6"/>
    <w:rsid w:val="00090639"/>
    <w:rsid w:val="000913BE"/>
    <w:rsid w:val="000918F8"/>
    <w:rsid w:val="00092442"/>
    <w:rsid w:val="0009588E"/>
    <w:rsid w:val="000959EE"/>
    <w:rsid w:val="00095B2F"/>
    <w:rsid w:val="00095B51"/>
    <w:rsid w:val="00097DA0"/>
    <w:rsid w:val="000A0D6B"/>
    <w:rsid w:val="000A0EEE"/>
    <w:rsid w:val="000A1389"/>
    <w:rsid w:val="000A166E"/>
    <w:rsid w:val="000A17D0"/>
    <w:rsid w:val="000A2B0E"/>
    <w:rsid w:val="000A3865"/>
    <w:rsid w:val="000A398F"/>
    <w:rsid w:val="000A4AEE"/>
    <w:rsid w:val="000A509C"/>
    <w:rsid w:val="000A6007"/>
    <w:rsid w:val="000A61DA"/>
    <w:rsid w:val="000A65A6"/>
    <w:rsid w:val="000A7275"/>
    <w:rsid w:val="000A7A12"/>
    <w:rsid w:val="000A7AD8"/>
    <w:rsid w:val="000A7CA5"/>
    <w:rsid w:val="000B0095"/>
    <w:rsid w:val="000B039A"/>
    <w:rsid w:val="000B140B"/>
    <w:rsid w:val="000B1801"/>
    <w:rsid w:val="000B19B3"/>
    <w:rsid w:val="000B1D0C"/>
    <w:rsid w:val="000B2D03"/>
    <w:rsid w:val="000B3815"/>
    <w:rsid w:val="000B3C7B"/>
    <w:rsid w:val="000B6C95"/>
    <w:rsid w:val="000B728B"/>
    <w:rsid w:val="000C0C58"/>
    <w:rsid w:val="000C1679"/>
    <w:rsid w:val="000C2898"/>
    <w:rsid w:val="000C2F89"/>
    <w:rsid w:val="000C435F"/>
    <w:rsid w:val="000C4635"/>
    <w:rsid w:val="000C548E"/>
    <w:rsid w:val="000C6DE4"/>
    <w:rsid w:val="000D01EB"/>
    <w:rsid w:val="000D056E"/>
    <w:rsid w:val="000D0675"/>
    <w:rsid w:val="000D0A89"/>
    <w:rsid w:val="000D11F8"/>
    <w:rsid w:val="000D1389"/>
    <w:rsid w:val="000D1798"/>
    <w:rsid w:val="000D1A2A"/>
    <w:rsid w:val="000D2626"/>
    <w:rsid w:val="000D4A06"/>
    <w:rsid w:val="000D54D4"/>
    <w:rsid w:val="000D73AF"/>
    <w:rsid w:val="000D73DD"/>
    <w:rsid w:val="000D758E"/>
    <w:rsid w:val="000D7D9B"/>
    <w:rsid w:val="000E18E2"/>
    <w:rsid w:val="000E28AB"/>
    <w:rsid w:val="000E2E3E"/>
    <w:rsid w:val="000E33C5"/>
    <w:rsid w:val="000E3583"/>
    <w:rsid w:val="000E3AF0"/>
    <w:rsid w:val="000E3D53"/>
    <w:rsid w:val="000E4E04"/>
    <w:rsid w:val="000E6EC9"/>
    <w:rsid w:val="000E70B4"/>
    <w:rsid w:val="000F15B9"/>
    <w:rsid w:val="000F3281"/>
    <w:rsid w:val="000F3733"/>
    <w:rsid w:val="000F3B2C"/>
    <w:rsid w:val="000F4D88"/>
    <w:rsid w:val="000F5B1B"/>
    <w:rsid w:val="000F64AA"/>
    <w:rsid w:val="000F7AF4"/>
    <w:rsid w:val="000F7C33"/>
    <w:rsid w:val="000F7F0C"/>
    <w:rsid w:val="00100246"/>
    <w:rsid w:val="001004D6"/>
    <w:rsid w:val="00100D90"/>
    <w:rsid w:val="00103918"/>
    <w:rsid w:val="00104324"/>
    <w:rsid w:val="00104889"/>
    <w:rsid w:val="00104897"/>
    <w:rsid w:val="00104EDE"/>
    <w:rsid w:val="00105372"/>
    <w:rsid w:val="00106BEE"/>
    <w:rsid w:val="00113134"/>
    <w:rsid w:val="00113AC0"/>
    <w:rsid w:val="00113E75"/>
    <w:rsid w:val="001143AB"/>
    <w:rsid w:val="00114851"/>
    <w:rsid w:val="00115E11"/>
    <w:rsid w:val="00115F56"/>
    <w:rsid w:val="00116424"/>
    <w:rsid w:val="00116588"/>
    <w:rsid w:val="00117CBD"/>
    <w:rsid w:val="0012006A"/>
    <w:rsid w:val="00120990"/>
    <w:rsid w:val="001217B5"/>
    <w:rsid w:val="00121979"/>
    <w:rsid w:val="00122064"/>
    <w:rsid w:val="00125004"/>
    <w:rsid w:val="001263B8"/>
    <w:rsid w:val="00126763"/>
    <w:rsid w:val="00130217"/>
    <w:rsid w:val="00130783"/>
    <w:rsid w:val="00131081"/>
    <w:rsid w:val="001312CB"/>
    <w:rsid w:val="00131B75"/>
    <w:rsid w:val="00132B47"/>
    <w:rsid w:val="00132E64"/>
    <w:rsid w:val="0013451C"/>
    <w:rsid w:val="001351CB"/>
    <w:rsid w:val="001359A2"/>
    <w:rsid w:val="00135E37"/>
    <w:rsid w:val="00136020"/>
    <w:rsid w:val="00136445"/>
    <w:rsid w:val="00140132"/>
    <w:rsid w:val="0014083F"/>
    <w:rsid w:val="00141C9C"/>
    <w:rsid w:val="001434BE"/>
    <w:rsid w:val="0014479F"/>
    <w:rsid w:val="001452B4"/>
    <w:rsid w:val="0014550E"/>
    <w:rsid w:val="00146EC6"/>
    <w:rsid w:val="001478D2"/>
    <w:rsid w:val="00150CC9"/>
    <w:rsid w:val="00152A87"/>
    <w:rsid w:val="001536E9"/>
    <w:rsid w:val="00154486"/>
    <w:rsid w:val="0015650E"/>
    <w:rsid w:val="00156D0E"/>
    <w:rsid w:val="0016086E"/>
    <w:rsid w:val="00160D0C"/>
    <w:rsid w:val="00161172"/>
    <w:rsid w:val="0016139E"/>
    <w:rsid w:val="00161E65"/>
    <w:rsid w:val="00162597"/>
    <w:rsid w:val="001629AF"/>
    <w:rsid w:val="0016428A"/>
    <w:rsid w:val="001647C9"/>
    <w:rsid w:val="001661A3"/>
    <w:rsid w:val="00167370"/>
    <w:rsid w:val="0016782B"/>
    <w:rsid w:val="00170036"/>
    <w:rsid w:val="00171EF4"/>
    <w:rsid w:val="00171F3C"/>
    <w:rsid w:val="00173256"/>
    <w:rsid w:val="001733E1"/>
    <w:rsid w:val="00173F74"/>
    <w:rsid w:val="00175086"/>
    <w:rsid w:val="00175BA6"/>
    <w:rsid w:val="00176B1E"/>
    <w:rsid w:val="00176CA7"/>
    <w:rsid w:val="001778C5"/>
    <w:rsid w:val="00177B2C"/>
    <w:rsid w:val="00177E56"/>
    <w:rsid w:val="00177F0A"/>
    <w:rsid w:val="00180024"/>
    <w:rsid w:val="00180669"/>
    <w:rsid w:val="00182B6B"/>
    <w:rsid w:val="00183088"/>
    <w:rsid w:val="00185617"/>
    <w:rsid w:val="00186926"/>
    <w:rsid w:val="0019171E"/>
    <w:rsid w:val="0019220F"/>
    <w:rsid w:val="001928B1"/>
    <w:rsid w:val="00194ED5"/>
    <w:rsid w:val="00195424"/>
    <w:rsid w:val="001955FF"/>
    <w:rsid w:val="001965C7"/>
    <w:rsid w:val="00197EDD"/>
    <w:rsid w:val="001A02B3"/>
    <w:rsid w:val="001A04BB"/>
    <w:rsid w:val="001A08D0"/>
    <w:rsid w:val="001A14B1"/>
    <w:rsid w:val="001A1B39"/>
    <w:rsid w:val="001A2492"/>
    <w:rsid w:val="001A28B6"/>
    <w:rsid w:val="001A2E69"/>
    <w:rsid w:val="001A3377"/>
    <w:rsid w:val="001A3C34"/>
    <w:rsid w:val="001A3EDE"/>
    <w:rsid w:val="001A4222"/>
    <w:rsid w:val="001A50EA"/>
    <w:rsid w:val="001A5AB8"/>
    <w:rsid w:val="001A5E24"/>
    <w:rsid w:val="001A6D8B"/>
    <w:rsid w:val="001B079E"/>
    <w:rsid w:val="001B0CDA"/>
    <w:rsid w:val="001B0E26"/>
    <w:rsid w:val="001B125A"/>
    <w:rsid w:val="001B1E05"/>
    <w:rsid w:val="001B1EBA"/>
    <w:rsid w:val="001B2142"/>
    <w:rsid w:val="001B26CF"/>
    <w:rsid w:val="001B2F2B"/>
    <w:rsid w:val="001B327A"/>
    <w:rsid w:val="001B35DE"/>
    <w:rsid w:val="001B3A13"/>
    <w:rsid w:val="001B5333"/>
    <w:rsid w:val="001B59FF"/>
    <w:rsid w:val="001B636D"/>
    <w:rsid w:val="001B65D7"/>
    <w:rsid w:val="001B6752"/>
    <w:rsid w:val="001B6768"/>
    <w:rsid w:val="001B68CC"/>
    <w:rsid w:val="001B6F1F"/>
    <w:rsid w:val="001B7ECC"/>
    <w:rsid w:val="001B7EFA"/>
    <w:rsid w:val="001C13B4"/>
    <w:rsid w:val="001C1AED"/>
    <w:rsid w:val="001C25A7"/>
    <w:rsid w:val="001C318C"/>
    <w:rsid w:val="001C4287"/>
    <w:rsid w:val="001C4479"/>
    <w:rsid w:val="001C76B7"/>
    <w:rsid w:val="001C76FB"/>
    <w:rsid w:val="001D2764"/>
    <w:rsid w:val="001D3697"/>
    <w:rsid w:val="001D51DE"/>
    <w:rsid w:val="001D540E"/>
    <w:rsid w:val="001D58A1"/>
    <w:rsid w:val="001D5A8A"/>
    <w:rsid w:val="001D64EA"/>
    <w:rsid w:val="001D709B"/>
    <w:rsid w:val="001D735E"/>
    <w:rsid w:val="001D73C8"/>
    <w:rsid w:val="001D74D4"/>
    <w:rsid w:val="001D7E1F"/>
    <w:rsid w:val="001E0756"/>
    <w:rsid w:val="001E0A8D"/>
    <w:rsid w:val="001E0FFB"/>
    <w:rsid w:val="001E129E"/>
    <w:rsid w:val="001E2B9F"/>
    <w:rsid w:val="001E3F22"/>
    <w:rsid w:val="001E4A8D"/>
    <w:rsid w:val="001E5A94"/>
    <w:rsid w:val="001E7648"/>
    <w:rsid w:val="001F127B"/>
    <w:rsid w:val="001F2A2E"/>
    <w:rsid w:val="001F2E3D"/>
    <w:rsid w:val="001F3B72"/>
    <w:rsid w:val="001F3C63"/>
    <w:rsid w:val="001F4460"/>
    <w:rsid w:val="001F5DAF"/>
    <w:rsid w:val="001F637C"/>
    <w:rsid w:val="001F6B6C"/>
    <w:rsid w:val="001F711A"/>
    <w:rsid w:val="001F75B0"/>
    <w:rsid w:val="001F7686"/>
    <w:rsid w:val="00200CE5"/>
    <w:rsid w:val="002014DB"/>
    <w:rsid w:val="00201E12"/>
    <w:rsid w:val="002031E2"/>
    <w:rsid w:val="002033B5"/>
    <w:rsid w:val="0020382C"/>
    <w:rsid w:val="00203CB0"/>
    <w:rsid w:val="0020437A"/>
    <w:rsid w:val="00204B5F"/>
    <w:rsid w:val="0020532C"/>
    <w:rsid w:val="00205D23"/>
    <w:rsid w:val="00206658"/>
    <w:rsid w:val="0021064F"/>
    <w:rsid w:val="002114C7"/>
    <w:rsid w:val="002118F3"/>
    <w:rsid w:val="00212756"/>
    <w:rsid w:val="0021302C"/>
    <w:rsid w:val="00213045"/>
    <w:rsid w:val="00213483"/>
    <w:rsid w:val="00213B1C"/>
    <w:rsid w:val="00214202"/>
    <w:rsid w:val="002146F3"/>
    <w:rsid w:val="002148E3"/>
    <w:rsid w:val="00214DB9"/>
    <w:rsid w:val="00215373"/>
    <w:rsid w:val="0021552D"/>
    <w:rsid w:val="002156AE"/>
    <w:rsid w:val="00217338"/>
    <w:rsid w:val="00217861"/>
    <w:rsid w:val="002204C9"/>
    <w:rsid w:val="0022054D"/>
    <w:rsid w:val="0022290A"/>
    <w:rsid w:val="00224DE1"/>
    <w:rsid w:val="00225664"/>
    <w:rsid w:val="002269DC"/>
    <w:rsid w:val="00227F2D"/>
    <w:rsid w:val="0023089D"/>
    <w:rsid w:val="00231851"/>
    <w:rsid w:val="002319FB"/>
    <w:rsid w:val="00231B89"/>
    <w:rsid w:val="002355BE"/>
    <w:rsid w:val="00236DE9"/>
    <w:rsid w:val="00237D5A"/>
    <w:rsid w:val="00237EA9"/>
    <w:rsid w:val="00241300"/>
    <w:rsid w:val="00241D3C"/>
    <w:rsid w:val="0024274D"/>
    <w:rsid w:val="002439AB"/>
    <w:rsid w:val="002450D5"/>
    <w:rsid w:val="00245587"/>
    <w:rsid w:val="00245F2B"/>
    <w:rsid w:val="00246F95"/>
    <w:rsid w:val="00247F3A"/>
    <w:rsid w:val="00250122"/>
    <w:rsid w:val="00250755"/>
    <w:rsid w:val="00250AE3"/>
    <w:rsid w:val="00251C4A"/>
    <w:rsid w:val="0025271C"/>
    <w:rsid w:val="00252A91"/>
    <w:rsid w:val="00252E81"/>
    <w:rsid w:val="002533CD"/>
    <w:rsid w:val="002544C1"/>
    <w:rsid w:val="00254EAB"/>
    <w:rsid w:val="002557AF"/>
    <w:rsid w:val="002561FA"/>
    <w:rsid w:val="00256474"/>
    <w:rsid w:val="002566B1"/>
    <w:rsid w:val="002575E3"/>
    <w:rsid w:val="002603C1"/>
    <w:rsid w:val="002609A1"/>
    <w:rsid w:val="002612B1"/>
    <w:rsid w:val="00266165"/>
    <w:rsid w:val="0027125E"/>
    <w:rsid w:val="00271767"/>
    <w:rsid w:val="00272293"/>
    <w:rsid w:val="002723C8"/>
    <w:rsid w:val="00272676"/>
    <w:rsid w:val="0027399A"/>
    <w:rsid w:val="00273CBE"/>
    <w:rsid w:val="00275167"/>
    <w:rsid w:val="00277441"/>
    <w:rsid w:val="002802D7"/>
    <w:rsid w:val="002805CC"/>
    <w:rsid w:val="0028232C"/>
    <w:rsid w:val="002827F1"/>
    <w:rsid w:val="00282EC3"/>
    <w:rsid w:val="002835B0"/>
    <w:rsid w:val="0028407E"/>
    <w:rsid w:val="0028410F"/>
    <w:rsid w:val="00286603"/>
    <w:rsid w:val="00286A98"/>
    <w:rsid w:val="00286FB5"/>
    <w:rsid w:val="00287763"/>
    <w:rsid w:val="00290606"/>
    <w:rsid w:val="00290F9D"/>
    <w:rsid w:val="002918A7"/>
    <w:rsid w:val="00291CD3"/>
    <w:rsid w:val="00291D6D"/>
    <w:rsid w:val="00291FF1"/>
    <w:rsid w:val="002923F6"/>
    <w:rsid w:val="00293361"/>
    <w:rsid w:val="00293770"/>
    <w:rsid w:val="00295287"/>
    <w:rsid w:val="002952B1"/>
    <w:rsid w:val="00295D11"/>
    <w:rsid w:val="00295FA0"/>
    <w:rsid w:val="00297A7A"/>
    <w:rsid w:val="00297BCA"/>
    <w:rsid w:val="002A0C3A"/>
    <w:rsid w:val="002A1130"/>
    <w:rsid w:val="002A14D3"/>
    <w:rsid w:val="002A1880"/>
    <w:rsid w:val="002A1D47"/>
    <w:rsid w:val="002A23B7"/>
    <w:rsid w:val="002A3A57"/>
    <w:rsid w:val="002A6717"/>
    <w:rsid w:val="002A6BC9"/>
    <w:rsid w:val="002A6D22"/>
    <w:rsid w:val="002A6DEF"/>
    <w:rsid w:val="002A734A"/>
    <w:rsid w:val="002A7411"/>
    <w:rsid w:val="002A7C24"/>
    <w:rsid w:val="002B013E"/>
    <w:rsid w:val="002B058D"/>
    <w:rsid w:val="002B0C16"/>
    <w:rsid w:val="002B11C9"/>
    <w:rsid w:val="002B169E"/>
    <w:rsid w:val="002B2621"/>
    <w:rsid w:val="002B2AC5"/>
    <w:rsid w:val="002B3528"/>
    <w:rsid w:val="002B3539"/>
    <w:rsid w:val="002B3B2B"/>
    <w:rsid w:val="002B6D17"/>
    <w:rsid w:val="002C0C1C"/>
    <w:rsid w:val="002C184E"/>
    <w:rsid w:val="002C29C1"/>
    <w:rsid w:val="002C54C2"/>
    <w:rsid w:val="002C58F6"/>
    <w:rsid w:val="002C5D34"/>
    <w:rsid w:val="002C5EA7"/>
    <w:rsid w:val="002C661A"/>
    <w:rsid w:val="002C730C"/>
    <w:rsid w:val="002C7378"/>
    <w:rsid w:val="002D0AF5"/>
    <w:rsid w:val="002D1C54"/>
    <w:rsid w:val="002D2231"/>
    <w:rsid w:val="002D25FC"/>
    <w:rsid w:val="002D318B"/>
    <w:rsid w:val="002D3380"/>
    <w:rsid w:val="002D4925"/>
    <w:rsid w:val="002D4AC6"/>
    <w:rsid w:val="002D5C7B"/>
    <w:rsid w:val="002D6DFC"/>
    <w:rsid w:val="002D7648"/>
    <w:rsid w:val="002D7909"/>
    <w:rsid w:val="002D7E56"/>
    <w:rsid w:val="002E109C"/>
    <w:rsid w:val="002E115E"/>
    <w:rsid w:val="002E193E"/>
    <w:rsid w:val="002E1BE6"/>
    <w:rsid w:val="002E1D76"/>
    <w:rsid w:val="002E243C"/>
    <w:rsid w:val="002E26C4"/>
    <w:rsid w:val="002E31DC"/>
    <w:rsid w:val="002E4B37"/>
    <w:rsid w:val="002E4BF9"/>
    <w:rsid w:val="002E6F5B"/>
    <w:rsid w:val="002F0631"/>
    <w:rsid w:val="002F16DD"/>
    <w:rsid w:val="002F199D"/>
    <w:rsid w:val="002F23B2"/>
    <w:rsid w:val="002F2AC5"/>
    <w:rsid w:val="002F4084"/>
    <w:rsid w:val="002F4672"/>
    <w:rsid w:val="002F4A08"/>
    <w:rsid w:val="002F4ADB"/>
    <w:rsid w:val="002F50E5"/>
    <w:rsid w:val="002F531E"/>
    <w:rsid w:val="002F5ACC"/>
    <w:rsid w:val="002F6C2C"/>
    <w:rsid w:val="002F704B"/>
    <w:rsid w:val="002F70A6"/>
    <w:rsid w:val="002F72C3"/>
    <w:rsid w:val="002F768C"/>
    <w:rsid w:val="002F7D1E"/>
    <w:rsid w:val="00300F92"/>
    <w:rsid w:val="00301839"/>
    <w:rsid w:val="00302929"/>
    <w:rsid w:val="00302F0F"/>
    <w:rsid w:val="00303243"/>
    <w:rsid w:val="00303BCC"/>
    <w:rsid w:val="00303F2B"/>
    <w:rsid w:val="00303F8D"/>
    <w:rsid w:val="00304541"/>
    <w:rsid w:val="00304580"/>
    <w:rsid w:val="0030586A"/>
    <w:rsid w:val="0030742B"/>
    <w:rsid w:val="003074C5"/>
    <w:rsid w:val="00307A3C"/>
    <w:rsid w:val="00307FA4"/>
    <w:rsid w:val="00310CC1"/>
    <w:rsid w:val="0031202C"/>
    <w:rsid w:val="0031299F"/>
    <w:rsid w:val="00313026"/>
    <w:rsid w:val="0031421F"/>
    <w:rsid w:val="0031471D"/>
    <w:rsid w:val="00314B31"/>
    <w:rsid w:val="00314B36"/>
    <w:rsid w:val="00315158"/>
    <w:rsid w:val="00315346"/>
    <w:rsid w:val="00315A65"/>
    <w:rsid w:val="00316686"/>
    <w:rsid w:val="00316CEC"/>
    <w:rsid w:val="00317BA7"/>
    <w:rsid w:val="00320BE2"/>
    <w:rsid w:val="00321886"/>
    <w:rsid w:val="00321902"/>
    <w:rsid w:val="00322F03"/>
    <w:rsid w:val="00323558"/>
    <w:rsid w:val="00323694"/>
    <w:rsid w:val="00324A31"/>
    <w:rsid w:val="00324D63"/>
    <w:rsid w:val="003255AF"/>
    <w:rsid w:val="003256EB"/>
    <w:rsid w:val="003259DB"/>
    <w:rsid w:val="00331060"/>
    <w:rsid w:val="00331A48"/>
    <w:rsid w:val="003330C9"/>
    <w:rsid w:val="0033364C"/>
    <w:rsid w:val="00334415"/>
    <w:rsid w:val="0033445C"/>
    <w:rsid w:val="00334F92"/>
    <w:rsid w:val="0033691E"/>
    <w:rsid w:val="00336CCB"/>
    <w:rsid w:val="00336D6B"/>
    <w:rsid w:val="0033745F"/>
    <w:rsid w:val="00337631"/>
    <w:rsid w:val="00337F44"/>
    <w:rsid w:val="003411D1"/>
    <w:rsid w:val="003416BA"/>
    <w:rsid w:val="00341BD6"/>
    <w:rsid w:val="00342A8A"/>
    <w:rsid w:val="00342F99"/>
    <w:rsid w:val="00343958"/>
    <w:rsid w:val="00344726"/>
    <w:rsid w:val="003454A4"/>
    <w:rsid w:val="00350E6C"/>
    <w:rsid w:val="003512C6"/>
    <w:rsid w:val="003518A6"/>
    <w:rsid w:val="00351A4F"/>
    <w:rsid w:val="00351CB0"/>
    <w:rsid w:val="00351E7F"/>
    <w:rsid w:val="00352953"/>
    <w:rsid w:val="00354062"/>
    <w:rsid w:val="00355C0D"/>
    <w:rsid w:val="00355C69"/>
    <w:rsid w:val="003561F1"/>
    <w:rsid w:val="003566A9"/>
    <w:rsid w:val="00356988"/>
    <w:rsid w:val="00356B20"/>
    <w:rsid w:val="00356E94"/>
    <w:rsid w:val="00357128"/>
    <w:rsid w:val="0035755E"/>
    <w:rsid w:val="00357A80"/>
    <w:rsid w:val="00361B8B"/>
    <w:rsid w:val="00361B95"/>
    <w:rsid w:val="00363F39"/>
    <w:rsid w:val="00364738"/>
    <w:rsid w:val="00364AB0"/>
    <w:rsid w:val="003667B0"/>
    <w:rsid w:val="003667DD"/>
    <w:rsid w:val="00366B48"/>
    <w:rsid w:val="00367764"/>
    <w:rsid w:val="00367B65"/>
    <w:rsid w:val="00370316"/>
    <w:rsid w:val="00370DC7"/>
    <w:rsid w:val="0037156C"/>
    <w:rsid w:val="00371CBD"/>
    <w:rsid w:val="00373CBE"/>
    <w:rsid w:val="003740CC"/>
    <w:rsid w:val="0037435E"/>
    <w:rsid w:val="00374E79"/>
    <w:rsid w:val="00375388"/>
    <w:rsid w:val="00375FB9"/>
    <w:rsid w:val="00376851"/>
    <w:rsid w:val="00376FA2"/>
    <w:rsid w:val="0037738D"/>
    <w:rsid w:val="003773AE"/>
    <w:rsid w:val="00377A3B"/>
    <w:rsid w:val="00377E3C"/>
    <w:rsid w:val="00380BBE"/>
    <w:rsid w:val="00381775"/>
    <w:rsid w:val="00381D70"/>
    <w:rsid w:val="00382128"/>
    <w:rsid w:val="0038235E"/>
    <w:rsid w:val="003829D0"/>
    <w:rsid w:val="00382FBA"/>
    <w:rsid w:val="0038444F"/>
    <w:rsid w:val="00384E83"/>
    <w:rsid w:val="00385333"/>
    <w:rsid w:val="0038664D"/>
    <w:rsid w:val="00387051"/>
    <w:rsid w:val="00387712"/>
    <w:rsid w:val="00387ECF"/>
    <w:rsid w:val="0039021B"/>
    <w:rsid w:val="00390429"/>
    <w:rsid w:val="00392A7A"/>
    <w:rsid w:val="0039327C"/>
    <w:rsid w:val="003933A2"/>
    <w:rsid w:val="0039366C"/>
    <w:rsid w:val="00393767"/>
    <w:rsid w:val="003938F3"/>
    <w:rsid w:val="00393EC8"/>
    <w:rsid w:val="00394BC6"/>
    <w:rsid w:val="00395E42"/>
    <w:rsid w:val="00396052"/>
    <w:rsid w:val="00396A2D"/>
    <w:rsid w:val="00396FC3"/>
    <w:rsid w:val="003A0B61"/>
    <w:rsid w:val="003A1554"/>
    <w:rsid w:val="003A1A94"/>
    <w:rsid w:val="003A204E"/>
    <w:rsid w:val="003A277E"/>
    <w:rsid w:val="003A2D25"/>
    <w:rsid w:val="003A39B2"/>
    <w:rsid w:val="003A4DDB"/>
    <w:rsid w:val="003A60E7"/>
    <w:rsid w:val="003A6E03"/>
    <w:rsid w:val="003B0B6A"/>
    <w:rsid w:val="003B0F79"/>
    <w:rsid w:val="003B1483"/>
    <w:rsid w:val="003B1CFD"/>
    <w:rsid w:val="003B24DB"/>
    <w:rsid w:val="003B29CF"/>
    <w:rsid w:val="003B2AA0"/>
    <w:rsid w:val="003B41B5"/>
    <w:rsid w:val="003B54DF"/>
    <w:rsid w:val="003B5F96"/>
    <w:rsid w:val="003B6659"/>
    <w:rsid w:val="003B7733"/>
    <w:rsid w:val="003C0166"/>
    <w:rsid w:val="003C350C"/>
    <w:rsid w:val="003C3903"/>
    <w:rsid w:val="003C3BA0"/>
    <w:rsid w:val="003C4580"/>
    <w:rsid w:val="003C52D8"/>
    <w:rsid w:val="003C5C5E"/>
    <w:rsid w:val="003C6746"/>
    <w:rsid w:val="003C7133"/>
    <w:rsid w:val="003C7555"/>
    <w:rsid w:val="003C7898"/>
    <w:rsid w:val="003D010A"/>
    <w:rsid w:val="003D0A6B"/>
    <w:rsid w:val="003D0FF5"/>
    <w:rsid w:val="003D194F"/>
    <w:rsid w:val="003D2D1B"/>
    <w:rsid w:val="003D30AB"/>
    <w:rsid w:val="003D3D94"/>
    <w:rsid w:val="003D48C7"/>
    <w:rsid w:val="003D4B26"/>
    <w:rsid w:val="003D4C08"/>
    <w:rsid w:val="003D51ED"/>
    <w:rsid w:val="003D71A6"/>
    <w:rsid w:val="003D7969"/>
    <w:rsid w:val="003D7CE8"/>
    <w:rsid w:val="003E1032"/>
    <w:rsid w:val="003E163B"/>
    <w:rsid w:val="003E1904"/>
    <w:rsid w:val="003E285E"/>
    <w:rsid w:val="003E3300"/>
    <w:rsid w:val="003E65AC"/>
    <w:rsid w:val="003E6E24"/>
    <w:rsid w:val="003E72B9"/>
    <w:rsid w:val="003E7ED4"/>
    <w:rsid w:val="003F0E52"/>
    <w:rsid w:val="003F0EF2"/>
    <w:rsid w:val="003F0F6B"/>
    <w:rsid w:val="003F1F40"/>
    <w:rsid w:val="003F1FE3"/>
    <w:rsid w:val="003F3865"/>
    <w:rsid w:val="003F3A0A"/>
    <w:rsid w:val="003F4632"/>
    <w:rsid w:val="003F47BA"/>
    <w:rsid w:val="003F5C65"/>
    <w:rsid w:val="003F6617"/>
    <w:rsid w:val="0040194E"/>
    <w:rsid w:val="00402127"/>
    <w:rsid w:val="00402332"/>
    <w:rsid w:val="004025C2"/>
    <w:rsid w:val="00403E55"/>
    <w:rsid w:val="00404532"/>
    <w:rsid w:val="00404681"/>
    <w:rsid w:val="0040496D"/>
    <w:rsid w:val="00405010"/>
    <w:rsid w:val="0040595A"/>
    <w:rsid w:val="00406923"/>
    <w:rsid w:val="0040713A"/>
    <w:rsid w:val="0040763D"/>
    <w:rsid w:val="004105B0"/>
    <w:rsid w:val="00410624"/>
    <w:rsid w:val="00410EC5"/>
    <w:rsid w:val="00411A3D"/>
    <w:rsid w:val="0041250F"/>
    <w:rsid w:val="004133A8"/>
    <w:rsid w:val="00413821"/>
    <w:rsid w:val="00413D43"/>
    <w:rsid w:val="004141A3"/>
    <w:rsid w:val="00414909"/>
    <w:rsid w:val="00414BB2"/>
    <w:rsid w:val="00414D27"/>
    <w:rsid w:val="004154E9"/>
    <w:rsid w:val="00415E66"/>
    <w:rsid w:val="00416112"/>
    <w:rsid w:val="00416DF0"/>
    <w:rsid w:val="00417AE0"/>
    <w:rsid w:val="00417BAA"/>
    <w:rsid w:val="00420BA9"/>
    <w:rsid w:val="00420D7A"/>
    <w:rsid w:val="004223DE"/>
    <w:rsid w:val="0042293E"/>
    <w:rsid w:val="00422A10"/>
    <w:rsid w:val="00423D86"/>
    <w:rsid w:val="00424A63"/>
    <w:rsid w:val="00424D17"/>
    <w:rsid w:val="00424DA2"/>
    <w:rsid w:val="00425357"/>
    <w:rsid w:val="00425DFD"/>
    <w:rsid w:val="004263A3"/>
    <w:rsid w:val="00427713"/>
    <w:rsid w:val="00427CCC"/>
    <w:rsid w:val="0043013A"/>
    <w:rsid w:val="00430421"/>
    <w:rsid w:val="00430B4F"/>
    <w:rsid w:val="004314B1"/>
    <w:rsid w:val="00431E65"/>
    <w:rsid w:val="00432589"/>
    <w:rsid w:val="00432A94"/>
    <w:rsid w:val="00432DBE"/>
    <w:rsid w:val="0043366D"/>
    <w:rsid w:val="00433827"/>
    <w:rsid w:val="00434D2E"/>
    <w:rsid w:val="004360C8"/>
    <w:rsid w:val="0044006B"/>
    <w:rsid w:val="0044033F"/>
    <w:rsid w:val="00440630"/>
    <w:rsid w:val="00441123"/>
    <w:rsid w:val="00442095"/>
    <w:rsid w:val="00442965"/>
    <w:rsid w:val="00444157"/>
    <w:rsid w:val="0044417C"/>
    <w:rsid w:val="00444DB3"/>
    <w:rsid w:val="004452B9"/>
    <w:rsid w:val="00445A2F"/>
    <w:rsid w:val="00446328"/>
    <w:rsid w:val="00446341"/>
    <w:rsid w:val="00446648"/>
    <w:rsid w:val="0044684E"/>
    <w:rsid w:val="004479CA"/>
    <w:rsid w:val="004503A4"/>
    <w:rsid w:val="00450555"/>
    <w:rsid w:val="00450DC6"/>
    <w:rsid w:val="004516A5"/>
    <w:rsid w:val="00451FE8"/>
    <w:rsid w:val="00452179"/>
    <w:rsid w:val="004522E3"/>
    <w:rsid w:val="00452DA8"/>
    <w:rsid w:val="00452E99"/>
    <w:rsid w:val="004535AE"/>
    <w:rsid w:val="00453C42"/>
    <w:rsid w:val="0045463A"/>
    <w:rsid w:val="00454AC9"/>
    <w:rsid w:val="00454E26"/>
    <w:rsid w:val="004554A3"/>
    <w:rsid w:val="00455A6E"/>
    <w:rsid w:val="00456758"/>
    <w:rsid w:val="004569CD"/>
    <w:rsid w:val="004578EB"/>
    <w:rsid w:val="00460303"/>
    <w:rsid w:val="004605E5"/>
    <w:rsid w:val="00460697"/>
    <w:rsid w:val="00462593"/>
    <w:rsid w:val="00465EEF"/>
    <w:rsid w:val="00466D03"/>
    <w:rsid w:val="0046711B"/>
    <w:rsid w:val="00467312"/>
    <w:rsid w:val="00471156"/>
    <w:rsid w:val="00472429"/>
    <w:rsid w:val="004725E5"/>
    <w:rsid w:val="004726FE"/>
    <w:rsid w:val="00472751"/>
    <w:rsid w:val="00473128"/>
    <w:rsid w:val="00475078"/>
    <w:rsid w:val="00475226"/>
    <w:rsid w:val="0047734F"/>
    <w:rsid w:val="004779A0"/>
    <w:rsid w:val="004808E3"/>
    <w:rsid w:val="00481016"/>
    <w:rsid w:val="004814D3"/>
    <w:rsid w:val="0048204C"/>
    <w:rsid w:val="00482104"/>
    <w:rsid w:val="004821BB"/>
    <w:rsid w:val="00482233"/>
    <w:rsid w:val="0048261A"/>
    <w:rsid w:val="004826FE"/>
    <w:rsid w:val="004827D5"/>
    <w:rsid w:val="004830C9"/>
    <w:rsid w:val="00483347"/>
    <w:rsid w:val="0048350F"/>
    <w:rsid w:val="00483BA5"/>
    <w:rsid w:val="00483E2E"/>
    <w:rsid w:val="00484B69"/>
    <w:rsid w:val="00485406"/>
    <w:rsid w:val="0048590F"/>
    <w:rsid w:val="004867A5"/>
    <w:rsid w:val="00486D60"/>
    <w:rsid w:val="00487C87"/>
    <w:rsid w:val="00490BB8"/>
    <w:rsid w:val="00492A25"/>
    <w:rsid w:val="0049474A"/>
    <w:rsid w:val="004961EA"/>
    <w:rsid w:val="00496350"/>
    <w:rsid w:val="00496F91"/>
    <w:rsid w:val="00497274"/>
    <w:rsid w:val="00497708"/>
    <w:rsid w:val="0049797C"/>
    <w:rsid w:val="00497C2C"/>
    <w:rsid w:val="00497E9D"/>
    <w:rsid w:val="004A07AC"/>
    <w:rsid w:val="004A1405"/>
    <w:rsid w:val="004A1FC6"/>
    <w:rsid w:val="004A3C03"/>
    <w:rsid w:val="004A3DB7"/>
    <w:rsid w:val="004A3FB3"/>
    <w:rsid w:val="004A5088"/>
    <w:rsid w:val="004A5255"/>
    <w:rsid w:val="004A6097"/>
    <w:rsid w:val="004A6CB0"/>
    <w:rsid w:val="004A70FF"/>
    <w:rsid w:val="004A7CCC"/>
    <w:rsid w:val="004B1B84"/>
    <w:rsid w:val="004B2878"/>
    <w:rsid w:val="004B29AC"/>
    <w:rsid w:val="004B35DF"/>
    <w:rsid w:val="004B3627"/>
    <w:rsid w:val="004B3F3A"/>
    <w:rsid w:val="004B4779"/>
    <w:rsid w:val="004B4922"/>
    <w:rsid w:val="004B57DF"/>
    <w:rsid w:val="004C03A0"/>
    <w:rsid w:val="004C04AB"/>
    <w:rsid w:val="004C2138"/>
    <w:rsid w:val="004C2ED0"/>
    <w:rsid w:val="004C32D4"/>
    <w:rsid w:val="004C3940"/>
    <w:rsid w:val="004C51FD"/>
    <w:rsid w:val="004C534B"/>
    <w:rsid w:val="004C5B87"/>
    <w:rsid w:val="004C65A8"/>
    <w:rsid w:val="004C6F74"/>
    <w:rsid w:val="004C786C"/>
    <w:rsid w:val="004C7963"/>
    <w:rsid w:val="004D2F63"/>
    <w:rsid w:val="004D35BA"/>
    <w:rsid w:val="004D4701"/>
    <w:rsid w:val="004D47C7"/>
    <w:rsid w:val="004D5878"/>
    <w:rsid w:val="004D618D"/>
    <w:rsid w:val="004D62A9"/>
    <w:rsid w:val="004D6AEE"/>
    <w:rsid w:val="004D6FC3"/>
    <w:rsid w:val="004D7476"/>
    <w:rsid w:val="004D7CEE"/>
    <w:rsid w:val="004E0306"/>
    <w:rsid w:val="004E0572"/>
    <w:rsid w:val="004E25A8"/>
    <w:rsid w:val="004E2AA0"/>
    <w:rsid w:val="004E3930"/>
    <w:rsid w:val="004E3ED9"/>
    <w:rsid w:val="004E5866"/>
    <w:rsid w:val="004E5D94"/>
    <w:rsid w:val="004E6097"/>
    <w:rsid w:val="004E61EF"/>
    <w:rsid w:val="004E6772"/>
    <w:rsid w:val="004E76A7"/>
    <w:rsid w:val="004E7736"/>
    <w:rsid w:val="004E7B03"/>
    <w:rsid w:val="004F0064"/>
    <w:rsid w:val="004F06AC"/>
    <w:rsid w:val="004F0C76"/>
    <w:rsid w:val="004F1AE6"/>
    <w:rsid w:val="004F243F"/>
    <w:rsid w:val="004F258B"/>
    <w:rsid w:val="004F3E0C"/>
    <w:rsid w:val="004F4B37"/>
    <w:rsid w:val="004F6272"/>
    <w:rsid w:val="004F6A2D"/>
    <w:rsid w:val="004F7160"/>
    <w:rsid w:val="00500258"/>
    <w:rsid w:val="0050175E"/>
    <w:rsid w:val="00501A99"/>
    <w:rsid w:val="00503180"/>
    <w:rsid w:val="0050417C"/>
    <w:rsid w:val="00505450"/>
    <w:rsid w:val="00505BFB"/>
    <w:rsid w:val="00506BA5"/>
    <w:rsid w:val="005100B7"/>
    <w:rsid w:val="005113C9"/>
    <w:rsid w:val="0051280C"/>
    <w:rsid w:val="00512842"/>
    <w:rsid w:val="005128BE"/>
    <w:rsid w:val="00512B7B"/>
    <w:rsid w:val="00512E6C"/>
    <w:rsid w:val="0051356F"/>
    <w:rsid w:val="00513E7C"/>
    <w:rsid w:val="005140BB"/>
    <w:rsid w:val="005143C2"/>
    <w:rsid w:val="0051454F"/>
    <w:rsid w:val="00514FD9"/>
    <w:rsid w:val="0051608F"/>
    <w:rsid w:val="005210F7"/>
    <w:rsid w:val="00521753"/>
    <w:rsid w:val="00521A44"/>
    <w:rsid w:val="00521D16"/>
    <w:rsid w:val="005222BE"/>
    <w:rsid w:val="005224EE"/>
    <w:rsid w:val="00523BB1"/>
    <w:rsid w:val="0052451A"/>
    <w:rsid w:val="00524737"/>
    <w:rsid w:val="00526265"/>
    <w:rsid w:val="0052652D"/>
    <w:rsid w:val="0052655D"/>
    <w:rsid w:val="005265E0"/>
    <w:rsid w:val="00526BC3"/>
    <w:rsid w:val="00530F9E"/>
    <w:rsid w:val="005316C6"/>
    <w:rsid w:val="0053274E"/>
    <w:rsid w:val="0053358A"/>
    <w:rsid w:val="00534668"/>
    <w:rsid w:val="00534DDD"/>
    <w:rsid w:val="00535291"/>
    <w:rsid w:val="00535A94"/>
    <w:rsid w:val="00537874"/>
    <w:rsid w:val="00540204"/>
    <w:rsid w:val="00540578"/>
    <w:rsid w:val="005407D2"/>
    <w:rsid w:val="00540808"/>
    <w:rsid w:val="0054080E"/>
    <w:rsid w:val="00540EA1"/>
    <w:rsid w:val="00541F62"/>
    <w:rsid w:val="00542AD8"/>
    <w:rsid w:val="0054358E"/>
    <w:rsid w:val="00543AF4"/>
    <w:rsid w:val="00544191"/>
    <w:rsid w:val="00544F39"/>
    <w:rsid w:val="0054515D"/>
    <w:rsid w:val="00547EFB"/>
    <w:rsid w:val="00552563"/>
    <w:rsid w:val="005531DF"/>
    <w:rsid w:val="00553874"/>
    <w:rsid w:val="00553ACC"/>
    <w:rsid w:val="00554AD8"/>
    <w:rsid w:val="00554F78"/>
    <w:rsid w:val="005556A5"/>
    <w:rsid w:val="00556BF7"/>
    <w:rsid w:val="00562149"/>
    <w:rsid w:val="005630D8"/>
    <w:rsid w:val="00563FFD"/>
    <w:rsid w:val="00565855"/>
    <w:rsid w:val="005663AD"/>
    <w:rsid w:val="005677CE"/>
    <w:rsid w:val="00567B5D"/>
    <w:rsid w:val="00573595"/>
    <w:rsid w:val="00573733"/>
    <w:rsid w:val="00574554"/>
    <w:rsid w:val="00575A01"/>
    <w:rsid w:val="00576089"/>
    <w:rsid w:val="005764B1"/>
    <w:rsid w:val="00576A56"/>
    <w:rsid w:val="00576D06"/>
    <w:rsid w:val="00577853"/>
    <w:rsid w:val="005779E4"/>
    <w:rsid w:val="00580AC5"/>
    <w:rsid w:val="00580EB3"/>
    <w:rsid w:val="00581A2A"/>
    <w:rsid w:val="00581DB7"/>
    <w:rsid w:val="0058289C"/>
    <w:rsid w:val="00582C35"/>
    <w:rsid w:val="00582DC6"/>
    <w:rsid w:val="005836C7"/>
    <w:rsid w:val="00583E30"/>
    <w:rsid w:val="0058408E"/>
    <w:rsid w:val="005845AF"/>
    <w:rsid w:val="00585374"/>
    <w:rsid w:val="00586F3C"/>
    <w:rsid w:val="00590B77"/>
    <w:rsid w:val="005913A3"/>
    <w:rsid w:val="00591DCD"/>
    <w:rsid w:val="00591E6C"/>
    <w:rsid w:val="00594A7B"/>
    <w:rsid w:val="00594AFA"/>
    <w:rsid w:val="0059580E"/>
    <w:rsid w:val="00596A6F"/>
    <w:rsid w:val="005976E1"/>
    <w:rsid w:val="005A0541"/>
    <w:rsid w:val="005A1525"/>
    <w:rsid w:val="005A1EC3"/>
    <w:rsid w:val="005A252B"/>
    <w:rsid w:val="005A2A71"/>
    <w:rsid w:val="005A3204"/>
    <w:rsid w:val="005A3341"/>
    <w:rsid w:val="005A3FA1"/>
    <w:rsid w:val="005A46EC"/>
    <w:rsid w:val="005A4847"/>
    <w:rsid w:val="005A494F"/>
    <w:rsid w:val="005A5DA1"/>
    <w:rsid w:val="005B0160"/>
    <w:rsid w:val="005B0185"/>
    <w:rsid w:val="005B07EC"/>
    <w:rsid w:val="005B09D8"/>
    <w:rsid w:val="005B120C"/>
    <w:rsid w:val="005B24F3"/>
    <w:rsid w:val="005B2B11"/>
    <w:rsid w:val="005B2E00"/>
    <w:rsid w:val="005B30C3"/>
    <w:rsid w:val="005B370E"/>
    <w:rsid w:val="005B4DA3"/>
    <w:rsid w:val="005B5BEE"/>
    <w:rsid w:val="005B77D2"/>
    <w:rsid w:val="005C019B"/>
    <w:rsid w:val="005C144E"/>
    <w:rsid w:val="005C14A8"/>
    <w:rsid w:val="005C30F5"/>
    <w:rsid w:val="005C357E"/>
    <w:rsid w:val="005C3951"/>
    <w:rsid w:val="005C51A5"/>
    <w:rsid w:val="005C557A"/>
    <w:rsid w:val="005C61DD"/>
    <w:rsid w:val="005C6438"/>
    <w:rsid w:val="005C6B8B"/>
    <w:rsid w:val="005D018F"/>
    <w:rsid w:val="005D02E3"/>
    <w:rsid w:val="005D0310"/>
    <w:rsid w:val="005D039C"/>
    <w:rsid w:val="005D1F34"/>
    <w:rsid w:val="005D2529"/>
    <w:rsid w:val="005D2C1F"/>
    <w:rsid w:val="005D34B2"/>
    <w:rsid w:val="005D3B54"/>
    <w:rsid w:val="005D40CD"/>
    <w:rsid w:val="005D4546"/>
    <w:rsid w:val="005D6B59"/>
    <w:rsid w:val="005D7037"/>
    <w:rsid w:val="005E03E4"/>
    <w:rsid w:val="005E0454"/>
    <w:rsid w:val="005E0BF4"/>
    <w:rsid w:val="005E171D"/>
    <w:rsid w:val="005E2481"/>
    <w:rsid w:val="005E34C2"/>
    <w:rsid w:val="005E35C6"/>
    <w:rsid w:val="005E3E46"/>
    <w:rsid w:val="005E5B01"/>
    <w:rsid w:val="005E664D"/>
    <w:rsid w:val="005E7933"/>
    <w:rsid w:val="005E7E0B"/>
    <w:rsid w:val="005F009E"/>
    <w:rsid w:val="005F0A88"/>
    <w:rsid w:val="005F0DF1"/>
    <w:rsid w:val="005F1516"/>
    <w:rsid w:val="005F229E"/>
    <w:rsid w:val="005F2564"/>
    <w:rsid w:val="005F3822"/>
    <w:rsid w:val="005F3E0B"/>
    <w:rsid w:val="005F4D16"/>
    <w:rsid w:val="005F4E52"/>
    <w:rsid w:val="005F5590"/>
    <w:rsid w:val="005F5967"/>
    <w:rsid w:val="005F6A62"/>
    <w:rsid w:val="005F77C8"/>
    <w:rsid w:val="005F7DA4"/>
    <w:rsid w:val="005F7EA8"/>
    <w:rsid w:val="0060058E"/>
    <w:rsid w:val="00602740"/>
    <w:rsid w:val="00602A3C"/>
    <w:rsid w:val="00603BE3"/>
    <w:rsid w:val="00603EFD"/>
    <w:rsid w:val="006041DF"/>
    <w:rsid w:val="0060475B"/>
    <w:rsid w:val="00604FB6"/>
    <w:rsid w:val="00605387"/>
    <w:rsid w:val="00606302"/>
    <w:rsid w:val="006072EF"/>
    <w:rsid w:val="006076FD"/>
    <w:rsid w:val="00607BA3"/>
    <w:rsid w:val="0061143F"/>
    <w:rsid w:val="006114D8"/>
    <w:rsid w:val="00611585"/>
    <w:rsid w:val="00612931"/>
    <w:rsid w:val="00613601"/>
    <w:rsid w:val="00613791"/>
    <w:rsid w:val="00613AAB"/>
    <w:rsid w:val="00614505"/>
    <w:rsid w:val="006148C7"/>
    <w:rsid w:val="006150D6"/>
    <w:rsid w:val="00617EEE"/>
    <w:rsid w:val="006210FE"/>
    <w:rsid w:val="00622811"/>
    <w:rsid w:val="00622894"/>
    <w:rsid w:val="00622BB7"/>
    <w:rsid w:val="00622F3B"/>
    <w:rsid w:val="00623389"/>
    <w:rsid w:val="0062352A"/>
    <w:rsid w:val="00625E45"/>
    <w:rsid w:val="006265C4"/>
    <w:rsid w:val="00627383"/>
    <w:rsid w:val="00627733"/>
    <w:rsid w:val="00627F47"/>
    <w:rsid w:val="006301BB"/>
    <w:rsid w:val="006319FC"/>
    <w:rsid w:val="00632605"/>
    <w:rsid w:val="00633AC3"/>
    <w:rsid w:val="00633F8D"/>
    <w:rsid w:val="006341EF"/>
    <w:rsid w:val="00634BED"/>
    <w:rsid w:val="00635A4A"/>
    <w:rsid w:val="00635FB9"/>
    <w:rsid w:val="00636148"/>
    <w:rsid w:val="006370CF"/>
    <w:rsid w:val="00637774"/>
    <w:rsid w:val="0064024C"/>
    <w:rsid w:val="00640291"/>
    <w:rsid w:val="00641967"/>
    <w:rsid w:val="00641FAC"/>
    <w:rsid w:val="006432A5"/>
    <w:rsid w:val="00643664"/>
    <w:rsid w:val="00643CAA"/>
    <w:rsid w:val="00644075"/>
    <w:rsid w:val="00652137"/>
    <w:rsid w:val="00652680"/>
    <w:rsid w:val="00652A09"/>
    <w:rsid w:val="006530A1"/>
    <w:rsid w:val="00653CDE"/>
    <w:rsid w:val="006540B4"/>
    <w:rsid w:val="0065636A"/>
    <w:rsid w:val="00656C3C"/>
    <w:rsid w:val="00656CA9"/>
    <w:rsid w:val="00657003"/>
    <w:rsid w:val="00657126"/>
    <w:rsid w:val="006572C1"/>
    <w:rsid w:val="00657930"/>
    <w:rsid w:val="00660238"/>
    <w:rsid w:val="006602EF"/>
    <w:rsid w:val="00660F41"/>
    <w:rsid w:val="00661277"/>
    <w:rsid w:val="006616FE"/>
    <w:rsid w:val="006619D1"/>
    <w:rsid w:val="00663FEA"/>
    <w:rsid w:val="00664253"/>
    <w:rsid w:val="006647AE"/>
    <w:rsid w:val="00664803"/>
    <w:rsid w:val="00664A29"/>
    <w:rsid w:val="006661A4"/>
    <w:rsid w:val="006670E0"/>
    <w:rsid w:val="00667532"/>
    <w:rsid w:val="006704FD"/>
    <w:rsid w:val="006716B4"/>
    <w:rsid w:val="0067294B"/>
    <w:rsid w:val="006738F2"/>
    <w:rsid w:val="00673AA4"/>
    <w:rsid w:val="00674187"/>
    <w:rsid w:val="006744E8"/>
    <w:rsid w:val="0067508F"/>
    <w:rsid w:val="00675349"/>
    <w:rsid w:val="006754B2"/>
    <w:rsid w:val="00675E7E"/>
    <w:rsid w:val="0068051E"/>
    <w:rsid w:val="00680B9D"/>
    <w:rsid w:val="00681F13"/>
    <w:rsid w:val="0068231C"/>
    <w:rsid w:val="00682344"/>
    <w:rsid w:val="00682F28"/>
    <w:rsid w:val="00683E26"/>
    <w:rsid w:val="006840C2"/>
    <w:rsid w:val="00684842"/>
    <w:rsid w:val="0068494E"/>
    <w:rsid w:val="00685BD6"/>
    <w:rsid w:val="006878A6"/>
    <w:rsid w:val="00690437"/>
    <w:rsid w:val="00690E65"/>
    <w:rsid w:val="0069188E"/>
    <w:rsid w:val="00691974"/>
    <w:rsid w:val="00692CE6"/>
    <w:rsid w:val="00693B6C"/>
    <w:rsid w:val="00694202"/>
    <w:rsid w:val="006942AE"/>
    <w:rsid w:val="0069483C"/>
    <w:rsid w:val="00695421"/>
    <w:rsid w:val="00695A2F"/>
    <w:rsid w:val="00696D4B"/>
    <w:rsid w:val="00697BD3"/>
    <w:rsid w:val="00697DFA"/>
    <w:rsid w:val="006A0C53"/>
    <w:rsid w:val="006A10F3"/>
    <w:rsid w:val="006A16D5"/>
    <w:rsid w:val="006A1772"/>
    <w:rsid w:val="006A1780"/>
    <w:rsid w:val="006A258B"/>
    <w:rsid w:val="006A25A5"/>
    <w:rsid w:val="006A2790"/>
    <w:rsid w:val="006A3CEC"/>
    <w:rsid w:val="006A3F75"/>
    <w:rsid w:val="006A4FB3"/>
    <w:rsid w:val="006A5543"/>
    <w:rsid w:val="006A5A3E"/>
    <w:rsid w:val="006A6454"/>
    <w:rsid w:val="006A6CA7"/>
    <w:rsid w:val="006A703E"/>
    <w:rsid w:val="006A7BE3"/>
    <w:rsid w:val="006B01D1"/>
    <w:rsid w:val="006B16EA"/>
    <w:rsid w:val="006B1780"/>
    <w:rsid w:val="006B224E"/>
    <w:rsid w:val="006B376E"/>
    <w:rsid w:val="006B4589"/>
    <w:rsid w:val="006B55F2"/>
    <w:rsid w:val="006B5D6D"/>
    <w:rsid w:val="006B6460"/>
    <w:rsid w:val="006B6805"/>
    <w:rsid w:val="006B6BBE"/>
    <w:rsid w:val="006B6DE0"/>
    <w:rsid w:val="006B7D5F"/>
    <w:rsid w:val="006C1A44"/>
    <w:rsid w:val="006C32F4"/>
    <w:rsid w:val="006C390F"/>
    <w:rsid w:val="006C3C54"/>
    <w:rsid w:val="006C4015"/>
    <w:rsid w:val="006C40F4"/>
    <w:rsid w:val="006C427B"/>
    <w:rsid w:val="006C4D5D"/>
    <w:rsid w:val="006C4E5A"/>
    <w:rsid w:val="006C4F9F"/>
    <w:rsid w:val="006C61AB"/>
    <w:rsid w:val="006C650D"/>
    <w:rsid w:val="006C748D"/>
    <w:rsid w:val="006C74E2"/>
    <w:rsid w:val="006D0C1D"/>
    <w:rsid w:val="006D0CE1"/>
    <w:rsid w:val="006D2004"/>
    <w:rsid w:val="006D2A8C"/>
    <w:rsid w:val="006D2E9D"/>
    <w:rsid w:val="006D4C1E"/>
    <w:rsid w:val="006D4C42"/>
    <w:rsid w:val="006D5809"/>
    <w:rsid w:val="006D630A"/>
    <w:rsid w:val="006D668D"/>
    <w:rsid w:val="006D7363"/>
    <w:rsid w:val="006D74F2"/>
    <w:rsid w:val="006E04C8"/>
    <w:rsid w:val="006E0712"/>
    <w:rsid w:val="006E0754"/>
    <w:rsid w:val="006E2668"/>
    <w:rsid w:val="006E2D39"/>
    <w:rsid w:val="006E32B0"/>
    <w:rsid w:val="006E36D8"/>
    <w:rsid w:val="006E396A"/>
    <w:rsid w:val="006E3A73"/>
    <w:rsid w:val="006E4309"/>
    <w:rsid w:val="006E5DD8"/>
    <w:rsid w:val="006E5EA1"/>
    <w:rsid w:val="006E5F4A"/>
    <w:rsid w:val="006E7ABC"/>
    <w:rsid w:val="006F0760"/>
    <w:rsid w:val="006F0FF1"/>
    <w:rsid w:val="006F11E2"/>
    <w:rsid w:val="006F12F5"/>
    <w:rsid w:val="006F1FD6"/>
    <w:rsid w:val="006F2574"/>
    <w:rsid w:val="006F3231"/>
    <w:rsid w:val="006F3DE3"/>
    <w:rsid w:val="006F471B"/>
    <w:rsid w:val="006F511F"/>
    <w:rsid w:val="006F54B3"/>
    <w:rsid w:val="006F61D8"/>
    <w:rsid w:val="006F62B7"/>
    <w:rsid w:val="006F70BC"/>
    <w:rsid w:val="006F713A"/>
    <w:rsid w:val="006F76BF"/>
    <w:rsid w:val="00700077"/>
    <w:rsid w:val="0070114D"/>
    <w:rsid w:val="007066A4"/>
    <w:rsid w:val="00706F37"/>
    <w:rsid w:val="00707D09"/>
    <w:rsid w:val="00711208"/>
    <w:rsid w:val="0071209F"/>
    <w:rsid w:val="007125A2"/>
    <w:rsid w:val="007129C8"/>
    <w:rsid w:val="00712DA3"/>
    <w:rsid w:val="00713F79"/>
    <w:rsid w:val="007148A8"/>
    <w:rsid w:val="00714AA4"/>
    <w:rsid w:val="007171E0"/>
    <w:rsid w:val="0072033C"/>
    <w:rsid w:val="00720B1B"/>
    <w:rsid w:val="00720EC1"/>
    <w:rsid w:val="00721062"/>
    <w:rsid w:val="00721E5D"/>
    <w:rsid w:val="00722573"/>
    <w:rsid w:val="007229D4"/>
    <w:rsid w:val="00722CD9"/>
    <w:rsid w:val="007230F8"/>
    <w:rsid w:val="007233F4"/>
    <w:rsid w:val="00724044"/>
    <w:rsid w:val="007244E1"/>
    <w:rsid w:val="007248D3"/>
    <w:rsid w:val="00725137"/>
    <w:rsid w:val="007263ED"/>
    <w:rsid w:val="00727941"/>
    <w:rsid w:val="00727A43"/>
    <w:rsid w:val="00727FF2"/>
    <w:rsid w:val="007306C7"/>
    <w:rsid w:val="0073161F"/>
    <w:rsid w:val="007323E0"/>
    <w:rsid w:val="00733791"/>
    <w:rsid w:val="0073391B"/>
    <w:rsid w:val="00733DE2"/>
    <w:rsid w:val="007352EA"/>
    <w:rsid w:val="00735DFA"/>
    <w:rsid w:val="007364E5"/>
    <w:rsid w:val="0073792F"/>
    <w:rsid w:val="00740DA6"/>
    <w:rsid w:val="00741A0E"/>
    <w:rsid w:val="00741D1E"/>
    <w:rsid w:val="00741EE2"/>
    <w:rsid w:val="00742367"/>
    <w:rsid w:val="00742EAA"/>
    <w:rsid w:val="00743818"/>
    <w:rsid w:val="007439E2"/>
    <w:rsid w:val="00743D6F"/>
    <w:rsid w:val="00743DD8"/>
    <w:rsid w:val="007441FB"/>
    <w:rsid w:val="00744517"/>
    <w:rsid w:val="007445DB"/>
    <w:rsid w:val="00744810"/>
    <w:rsid w:val="00747C88"/>
    <w:rsid w:val="00747DE2"/>
    <w:rsid w:val="007504BF"/>
    <w:rsid w:val="007506CD"/>
    <w:rsid w:val="0075267F"/>
    <w:rsid w:val="007526EC"/>
    <w:rsid w:val="0075310C"/>
    <w:rsid w:val="00753347"/>
    <w:rsid w:val="00753C48"/>
    <w:rsid w:val="00754C97"/>
    <w:rsid w:val="00754FE4"/>
    <w:rsid w:val="00755538"/>
    <w:rsid w:val="00756236"/>
    <w:rsid w:val="00756271"/>
    <w:rsid w:val="00756521"/>
    <w:rsid w:val="007565F7"/>
    <w:rsid w:val="00756AB7"/>
    <w:rsid w:val="00760477"/>
    <w:rsid w:val="00761AF4"/>
    <w:rsid w:val="00762071"/>
    <w:rsid w:val="007623FB"/>
    <w:rsid w:val="0076376A"/>
    <w:rsid w:val="0076435B"/>
    <w:rsid w:val="0076500F"/>
    <w:rsid w:val="0076504E"/>
    <w:rsid w:val="00765E6A"/>
    <w:rsid w:val="00767EA0"/>
    <w:rsid w:val="0077068F"/>
    <w:rsid w:val="0077408D"/>
    <w:rsid w:val="00774270"/>
    <w:rsid w:val="00775679"/>
    <w:rsid w:val="00775803"/>
    <w:rsid w:val="00777B32"/>
    <w:rsid w:val="0078051E"/>
    <w:rsid w:val="007813F1"/>
    <w:rsid w:val="00781FDD"/>
    <w:rsid w:val="00782A45"/>
    <w:rsid w:val="00782A9F"/>
    <w:rsid w:val="00782DDC"/>
    <w:rsid w:val="0078508A"/>
    <w:rsid w:val="00786D5C"/>
    <w:rsid w:val="00786E96"/>
    <w:rsid w:val="00787F93"/>
    <w:rsid w:val="007907CA"/>
    <w:rsid w:val="007913A1"/>
    <w:rsid w:val="00791E6D"/>
    <w:rsid w:val="007928DC"/>
    <w:rsid w:val="007939CC"/>
    <w:rsid w:val="00793C79"/>
    <w:rsid w:val="00794AD7"/>
    <w:rsid w:val="00796FB8"/>
    <w:rsid w:val="00797E7F"/>
    <w:rsid w:val="007A0A5E"/>
    <w:rsid w:val="007A11C2"/>
    <w:rsid w:val="007A2367"/>
    <w:rsid w:val="007A41BF"/>
    <w:rsid w:val="007A490A"/>
    <w:rsid w:val="007A581D"/>
    <w:rsid w:val="007A5EF6"/>
    <w:rsid w:val="007A7B95"/>
    <w:rsid w:val="007B0297"/>
    <w:rsid w:val="007B0F53"/>
    <w:rsid w:val="007B1DD8"/>
    <w:rsid w:val="007B21AE"/>
    <w:rsid w:val="007B2570"/>
    <w:rsid w:val="007B259F"/>
    <w:rsid w:val="007B3113"/>
    <w:rsid w:val="007B3304"/>
    <w:rsid w:val="007B332B"/>
    <w:rsid w:val="007B394D"/>
    <w:rsid w:val="007B3AA5"/>
    <w:rsid w:val="007B59D3"/>
    <w:rsid w:val="007B61F4"/>
    <w:rsid w:val="007B7490"/>
    <w:rsid w:val="007B774A"/>
    <w:rsid w:val="007C0525"/>
    <w:rsid w:val="007C0B56"/>
    <w:rsid w:val="007C1176"/>
    <w:rsid w:val="007C13F7"/>
    <w:rsid w:val="007C1F94"/>
    <w:rsid w:val="007C218D"/>
    <w:rsid w:val="007C2B88"/>
    <w:rsid w:val="007C2D28"/>
    <w:rsid w:val="007C3E22"/>
    <w:rsid w:val="007C4273"/>
    <w:rsid w:val="007C5153"/>
    <w:rsid w:val="007C67C6"/>
    <w:rsid w:val="007C707A"/>
    <w:rsid w:val="007C7E59"/>
    <w:rsid w:val="007D0B91"/>
    <w:rsid w:val="007D0F53"/>
    <w:rsid w:val="007D1452"/>
    <w:rsid w:val="007D1E29"/>
    <w:rsid w:val="007D460C"/>
    <w:rsid w:val="007D4AD3"/>
    <w:rsid w:val="007D4C8D"/>
    <w:rsid w:val="007D534A"/>
    <w:rsid w:val="007D5D19"/>
    <w:rsid w:val="007D5FDC"/>
    <w:rsid w:val="007D6232"/>
    <w:rsid w:val="007D6D68"/>
    <w:rsid w:val="007E01DA"/>
    <w:rsid w:val="007E0533"/>
    <w:rsid w:val="007E1603"/>
    <w:rsid w:val="007E32DA"/>
    <w:rsid w:val="007E4998"/>
    <w:rsid w:val="007E4A9C"/>
    <w:rsid w:val="007E6914"/>
    <w:rsid w:val="007E707F"/>
    <w:rsid w:val="007E7F78"/>
    <w:rsid w:val="007F0C8B"/>
    <w:rsid w:val="007F1517"/>
    <w:rsid w:val="007F1D44"/>
    <w:rsid w:val="007F23CC"/>
    <w:rsid w:val="007F2908"/>
    <w:rsid w:val="007F2C13"/>
    <w:rsid w:val="007F2CEC"/>
    <w:rsid w:val="007F55DE"/>
    <w:rsid w:val="007F5605"/>
    <w:rsid w:val="007F6147"/>
    <w:rsid w:val="007F6FCD"/>
    <w:rsid w:val="007F78FF"/>
    <w:rsid w:val="00800F6C"/>
    <w:rsid w:val="008025BE"/>
    <w:rsid w:val="00804C86"/>
    <w:rsid w:val="008051FC"/>
    <w:rsid w:val="008055A9"/>
    <w:rsid w:val="008070EB"/>
    <w:rsid w:val="00807376"/>
    <w:rsid w:val="00810E8E"/>
    <w:rsid w:val="0081142D"/>
    <w:rsid w:val="00812462"/>
    <w:rsid w:val="00812824"/>
    <w:rsid w:val="008131C3"/>
    <w:rsid w:val="008140A5"/>
    <w:rsid w:val="0081481D"/>
    <w:rsid w:val="008148B2"/>
    <w:rsid w:val="00814BE8"/>
    <w:rsid w:val="00814F6E"/>
    <w:rsid w:val="00815B84"/>
    <w:rsid w:val="008211EF"/>
    <w:rsid w:val="00821A3D"/>
    <w:rsid w:val="00821B36"/>
    <w:rsid w:val="00822037"/>
    <w:rsid w:val="00823E0A"/>
    <w:rsid w:val="00823FC6"/>
    <w:rsid w:val="00823FFC"/>
    <w:rsid w:val="00824811"/>
    <w:rsid w:val="00825C74"/>
    <w:rsid w:val="00826AB9"/>
    <w:rsid w:val="00826E0E"/>
    <w:rsid w:val="0082731F"/>
    <w:rsid w:val="00827D11"/>
    <w:rsid w:val="00827E0F"/>
    <w:rsid w:val="00827F6E"/>
    <w:rsid w:val="00831758"/>
    <w:rsid w:val="0083279F"/>
    <w:rsid w:val="00833B7F"/>
    <w:rsid w:val="00834906"/>
    <w:rsid w:val="00836075"/>
    <w:rsid w:val="00836417"/>
    <w:rsid w:val="008411F9"/>
    <w:rsid w:val="008413AB"/>
    <w:rsid w:val="00842D10"/>
    <w:rsid w:val="0084322B"/>
    <w:rsid w:val="00843B93"/>
    <w:rsid w:val="00843F81"/>
    <w:rsid w:val="00844087"/>
    <w:rsid w:val="0084519E"/>
    <w:rsid w:val="00846370"/>
    <w:rsid w:val="00847C2B"/>
    <w:rsid w:val="00850ADF"/>
    <w:rsid w:val="0085270D"/>
    <w:rsid w:val="008532BF"/>
    <w:rsid w:val="00853BF4"/>
    <w:rsid w:val="00854294"/>
    <w:rsid w:val="0085595B"/>
    <w:rsid w:val="00855F80"/>
    <w:rsid w:val="008566B8"/>
    <w:rsid w:val="00856C23"/>
    <w:rsid w:val="0085788B"/>
    <w:rsid w:val="00857A9E"/>
    <w:rsid w:val="00857DE2"/>
    <w:rsid w:val="00862AB5"/>
    <w:rsid w:val="0086353C"/>
    <w:rsid w:val="0086407F"/>
    <w:rsid w:val="00864E79"/>
    <w:rsid w:val="00866111"/>
    <w:rsid w:val="0086661F"/>
    <w:rsid w:val="00866A0D"/>
    <w:rsid w:val="00866DB5"/>
    <w:rsid w:val="0086784E"/>
    <w:rsid w:val="00867AF1"/>
    <w:rsid w:val="00870445"/>
    <w:rsid w:val="00872118"/>
    <w:rsid w:val="00872827"/>
    <w:rsid w:val="00872888"/>
    <w:rsid w:val="00872A32"/>
    <w:rsid w:val="00872D92"/>
    <w:rsid w:val="00872E21"/>
    <w:rsid w:val="008745F3"/>
    <w:rsid w:val="00874C70"/>
    <w:rsid w:val="00874ECA"/>
    <w:rsid w:val="00876EAE"/>
    <w:rsid w:val="00880F95"/>
    <w:rsid w:val="008819C6"/>
    <w:rsid w:val="00882B44"/>
    <w:rsid w:val="00882FE5"/>
    <w:rsid w:val="008845A4"/>
    <w:rsid w:val="00886138"/>
    <w:rsid w:val="00886E66"/>
    <w:rsid w:val="008871B0"/>
    <w:rsid w:val="0089217C"/>
    <w:rsid w:val="008928A1"/>
    <w:rsid w:val="00893671"/>
    <w:rsid w:val="00895838"/>
    <w:rsid w:val="00895A72"/>
    <w:rsid w:val="00895CDF"/>
    <w:rsid w:val="008968C7"/>
    <w:rsid w:val="008971DB"/>
    <w:rsid w:val="00897A55"/>
    <w:rsid w:val="008A0FC9"/>
    <w:rsid w:val="008A1956"/>
    <w:rsid w:val="008A2B5F"/>
    <w:rsid w:val="008A40D3"/>
    <w:rsid w:val="008A469C"/>
    <w:rsid w:val="008A484A"/>
    <w:rsid w:val="008A5877"/>
    <w:rsid w:val="008A6539"/>
    <w:rsid w:val="008A701C"/>
    <w:rsid w:val="008A79F6"/>
    <w:rsid w:val="008B05DD"/>
    <w:rsid w:val="008B17E8"/>
    <w:rsid w:val="008B1925"/>
    <w:rsid w:val="008B266C"/>
    <w:rsid w:val="008B2D03"/>
    <w:rsid w:val="008B2E7C"/>
    <w:rsid w:val="008B2ECB"/>
    <w:rsid w:val="008B356D"/>
    <w:rsid w:val="008B42EB"/>
    <w:rsid w:val="008B45A7"/>
    <w:rsid w:val="008B4A70"/>
    <w:rsid w:val="008B502F"/>
    <w:rsid w:val="008B5A88"/>
    <w:rsid w:val="008B61F0"/>
    <w:rsid w:val="008B6AFE"/>
    <w:rsid w:val="008B7034"/>
    <w:rsid w:val="008B7227"/>
    <w:rsid w:val="008C0A3C"/>
    <w:rsid w:val="008C191C"/>
    <w:rsid w:val="008C1DA4"/>
    <w:rsid w:val="008C2CD5"/>
    <w:rsid w:val="008C3618"/>
    <w:rsid w:val="008C37C2"/>
    <w:rsid w:val="008C3F20"/>
    <w:rsid w:val="008C43AD"/>
    <w:rsid w:val="008C59FB"/>
    <w:rsid w:val="008C6687"/>
    <w:rsid w:val="008C68F0"/>
    <w:rsid w:val="008C6F92"/>
    <w:rsid w:val="008C731F"/>
    <w:rsid w:val="008C74D9"/>
    <w:rsid w:val="008D01FF"/>
    <w:rsid w:val="008D1052"/>
    <w:rsid w:val="008D124C"/>
    <w:rsid w:val="008D1BB3"/>
    <w:rsid w:val="008D22AE"/>
    <w:rsid w:val="008D234A"/>
    <w:rsid w:val="008D2600"/>
    <w:rsid w:val="008D443A"/>
    <w:rsid w:val="008D566C"/>
    <w:rsid w:val="008D58D9"/>
    <w:rsid w:val="008D6426"/>
    <w:rsid w:val="008D66EA"/>
    <w:rsid w:val="008D6E59"/>
    <w:rsid w:val="008D7155"/>
    <w:rsid w:val="008D7DE4"/>
    <w:rsid w:val="008E09B3"/>
    <w:rsid w:val="008E141A"/>
    <w:rsid w:val="008E1A44"/>
    <w:rsid w:val="008E28E6"/>
    <w:rsid w:val="008E2B60"/>
    <w:rsid w:val="008E3232"/>
    <w:rsid w:val="008E3674"/>
    <w:rsid w:val="008E3B6C"/>
    <w:rsid w:val="008E6423"/>
    <w:rsid w:val="008E68BB"/>
    <w:rsid w:val="008E6C9B"/>
    <w:rsid w:val="008E77D0"/>
    <w:rsid w:val="008E77D4"/>
    <w:rsid w:val="008F0981"/>
    <w:rsid w:val="008F0AFD"/>
    <w:rsid w:val="008F17B2"/>
    <w:rsid w:val="008F28EE"/>
    <w:rsid w:val="008F357B"/>
    <w:rsid w:val="008F44CA"/>
    <w:rsid w:val="008F49B9"/>
    <w:rsid w:val="008F49D3"/>
    <w:rsid w:val="008F6519"/>
    <w:rsid w:val="008F7012"/>
    <w:rsid w:val="008F7B17"/>
    <w:rsid w:val="00900013"/>
    <w:rsid w:val="00900042"/>
    <w:rsid w:val="0090034B"/>
    <w:rsid w:val="00902623"/>
    <w:rsid w:val="00902890"/>
    <w:rsid w:val="00903E79"/>
    <w:rsid w:val="009049B1"/>
    <w:rsid w:val="00904BE4"/>
    <w:rsid w:val="0090504A"/>
    <w:rsid w:val="00905231"/>
    <w:rsid w:val="00905D7E"/>
    <w:rsid w:val="009063B7"/>
    <w:rsid w:val="00906B83"/>
    <w:rsid w:val="00906C1A"/>
    <w:rsid w:val="00907037"/>
    <w:rsid w:val="009070F0"/>
    <w:rsid w:val="0091114B"/>
    <w:rsid w:val="0091160A"/>
    <w:rsid w:val="00913258"/>
    <w:rsid w:val="0091564D"/>
    <w:rsid w:val="009156DA"/>
    <w:rsid w:val="00916BC5"/>
    <w:rsid w:val="0091726A"/>
    <w:rsid w:val="009172CF"/>
    <w:rsid w:val="00917CEA"/>
    <w:rsid w:val="00920184"/>
    <w:rsid w:val="009206A8"/>
    <w:rsid w:val="00920A19"/>
    <w:rsid w:val="00920EA4"/>
    <w:rsid w:val="00921792"/>
    <w:rsid w:val="00921BEA"/>
    <w:rsid w:val="00923998"/>
    <w:rsid w:val="00923DB4"/>
    <w:rsid w:val="0092430E"/>
    <w:rsid w:val="009249D7"/>
    <w:rsid w:val="00925349"/>
    <w:rsid w:val="009257EB"/>
    <w:rsid w:val="0092625F"/>
    <w:rsid w:val="009268A9"/>
    <w:rsid w:val="00927B37"/>
    <w:rsid w:val="009301B2"/>
    <w:rsid w:val="009313DD"/>
    <w:rsid w:val="00931AC0"/>
    <w:rsid w:val="00931BDE"/>
    <w:rsid w:val="009321B1"/>
    <w:rsid w:val="00932ED7"/>
    <w:rsid w:val="0093357E"/>
    <w:rsid w:val="0093422D"/>
    <w:rsid w:val="00934325"/>
    <w:rsid w:val="00934DD7"/>
    <w:rsid w:val="009369A9"/>
    <w:rsid w:val="00936CF7"/>
    <w:rsid w:val="00937201"/>
    <w:rsid w:val="0093734A"/>
    <w:rsid w:val="00937783"/>
    <w:rsid w:val="00940FE1"/>
    <w:rsid w:val="00942306"/>
    <w:rsid w:val="009424B8"/>
    <w:rsid w:val="009433A4"/>
    <w:rsid w:val="0094435B"/>
    <w:rsid w:val="00944668"/>
    <w:rsid w:val="00944DC6"/>
    <w:rsid w:val="0094515F"/>
    <w:rsid w:val="0094537D"/>
    <w:rsid w:val="0094573F"/>
    <w:rsid w:val="009458B0"/>
    <w:rsid w:val="00945B52"/>
    <w:rsid w:val="00945DC0"/>
    <w:rsid w:val="00945F05"/>
    <w:rsid w:val="00946348"/>
    <w:rsid w:val="009471AD"/>
    <w:rsid w:val="009478A2"/>
    <w:rsid w:val="00950404"/>
    <w:rsid w:val="009513B6"/>
    <w:rsid w:val="00952060"/>
    <w:rsid w:val="009547AF"/>
    <w:rsid w:val="00954800"/>
    <w:rsid w:val="00955643"/>
    <w:rsid w:val="00955FBB"/>
    <w:rsid w:val="0095694B"/>
    <w:rsid w:val="00956BD5"/>
    <w:rsid w:val="009574BB"/>
    <w:rsid w:val="009577B5"/>
    <w:rsid w:val="009608E6"/>
    <w:rsid w:val="00961779"/>
    <w:rsid w:val="00962EB1"/>
    <w:rsid w:val="00966522"/>
    <w:rsid w:val="00967D3F"/>
    <w:rsid w:val="00967E78"/>
    <w:rsid w:val="00970D7E"/>
    <w:rsid w:val="00970F18"/>
    <w:rsid w:val="00971173"/>
    <w:rsid w:val="00971CF1"/>
    <w:rsid w:val="009721E9"/>
    <w:rsid w:val="00972A58"/>
    <w:rsid w:val="00973772"/>
    <w:rsid w:val="009738FC"/>
    <w:rsid w:val="00975E1E"/>
    <w:rsid w:val="00975E70"/>
    <w:rsid w:val="00977CD6"/>
    <w:rsid w:val="00982481"/>
    <w:rsid w:val="00982D26"/>
    <w:rsid w:val="0098330E"/>
    <w:rsid w:val="009833DD"/>
    <w:rsid w:val="00983554"/>
    <w:rsid w:val="009840AB"/>
    <w:rsid w:val="009849E9"/>
    <w:rsid w:val="009866F3"/>
    <w:rsid w:val="00987812"/>
    <w:rsid w:val="00990225"/>
    <w:rsid w:val="0099174D"/>
    <w:rsid w:val="0099244B"/>
    <w:rsid w:val="00993186"/>
    <w:rsid w:val="00994136"/>
    <w:rsid w:val="00994480"/>
    <w:rsid w:val="009947B6"/>
    <w:rsid w:val="00994FCC"/>
    <w:rsid w:val="00995150"/>
    <w:rsid w:val="009957F3"/>
    <w:rsid w:val="00995D67"/>
    <w:rsid w:val="009970BF"/>
    <w:rsid w:val="009A013B"/>
    <w:rsid w:val="009A02F4"/>
    <w:rsid w:val="009A1844"/>
    <w:rsid w:val="009A1F12"/>
    <w:rsid w:val="009A2494"/>
    <w:rsid w:val="009A26CA"/>
    <w:rsid w:val="009A36F2"/>
    <w:rsid w:val="009A5749"/>
    <w:rsid w:val="009A57D0"/>
    <w:rsid w:val="009A6559"/>
    <w:rsid w:val="009A68FC"/>
    <w:rsid w:val="009A7514"/>
    <w:rsid w:val="009A7E7A"/>
    <w:rsid w:val="009B1584"/>
    <w:rsid w:val="009B1585"/>
    <w:rsid w:val="009B2469"/>
    <w:rsid w:val="009B295D"/>
    <w:rsid w:val="009B314F"/>
    <w:rsid w:val="009B439C"/>
    <w:rsid w:val="009B4A6C"/>
    <w:rsid w:val="009B5777"/>
    <w:rsid w:val="009B5779"/>
    <w:rsid w:val="009B6753"/>
    <w:rsid w:val="009B6A26"/>
    <w:rsid w:val="009C079D"/>
    <w:rsid w:val="009C0D70"/>
    <w:rsid w:val="009C13D1"/>
    <w:rsid w:val="009C1BFF"/>
    <w:rsid w:val="009C2913"/>
    <w:rsid w:val="009C3008"/>
    <w:rsid w:val="009C3FA2"/>
    <w:rsid w:val="009C52CF"/>
    <w:rsid w:val="009C5AFE"/>
    <w:rsid w:val="009C6606"/>
    <w:rsid w:val="009C6CE5"/>
    <w:rsid w:val="009C6D50"/>
    <w:rsid w:val="009C7547"/>
    <w:rsid w:val="009D1678"/>
    <w:rsid w:val="009D1693"/>
    <w:rsid w:val="009D2721"/>
    <w:rsid w:val="009D2F60"/>
    <w:rsid w:val="009D338C"/>
    <w:rsid w:val="009D3598"/>
    <w:rsid w:val="009D3D0D"/>
    <w:rsid w:val="009D5BAC"/>
    <w:rsid w:val="009D64BD"/>
    <w:rsid w:val="009E0D0A"/>
    <w:rsid w:val="009E0D1A"/>
    <w:rsid w:val="009E153F"/>
    <w:rsid w:val="009E2D6C"/>
    <w:rsid w:val="009E388B"/>
    <w:rsid w:val="009E393E"/>
    <w:rsid w:val="009E444E"/>
    <w:rsid w:val="009E4968"/>
    <w:rsid w:val="009E663C"/>
    <w:rsid w:val="009E6BB1"/>
    <w:rsid w:val="009E7786"/>
    <w:rsid w:val="009F0092"/>
    <w:rsid w:val="009F0CD9"/>
    <w:rsid w:val="009F1A79"/>
    <w:rsid w:val="009F1F57"/>
    <w:rsid w:val="009F2E26"/>
    <w:rsid w:val="009F332A"/>
    <w:rsid w:val="009F490C"/>
    <w:rsid w:val="009F4FCF"/>
    <w:rsid w:val="009F5DE2"/>
    <w:rsid w:val="009F6166"/>
    <w:rsid w:val="009F65F4"/>
    <w:rsid w:val="009F676B"/>
    <w:rsid w:val="009F6EA6"/>
    <w:rsid w:val="00A004DF"/>
    <w:rsid w:val="00A00D29"/>
    <w:rsid w:val="00A00FD5"/>
    <w:rsid w:val="00A019A8"/>
    <w:rsid w:val="00A01B03"/>
    <w:rsid w:val="00A02C66"/>
    <w:rsid w:val="00A03861"/>
    <w:rsid w:val="00A03919"/>
    <w:rsid w:val="00A0464C"/>
    <w:rsid w:val="00A04D48"/>
    <w:rsid w:val="00A054E0"/>
    <w:rsid w:val="00A05ABE"/>
    <w:rsid w:val="00A0663F"/>
    <w:rsid w:val="00A066CE"/>
    <w:rsid w:val="00A0740B"/>
    <w:rsid w:val="00A075A9"/>
    <w:rsid w:val="00A11042"/>
    <w:rsid w:val="00A133D8"/>
    <w:rsid w:val="00A14E97"/>
    <w:rsid w:val="00A20069"/>
    <w:rsid w:val="00A20280"/>
    <w:rsid w:val="00A20CEE"/>
    <w:rsid w:val="00A2244D"/>
    <w:rsid w:val="00A2253D"/>
    <w:rsid w:val="00A22861"/>
    <w:rsid w:val="00A22AEC"/>
    <w:rsid w:val="00A23D3D"/>
    <w:rsid w:val="00A2418A"/>
    <w:rsid w:val="00A247B8"/>
    <w:rsid w:val="00A24D39"/>
    <w:rsid w:val="00A24D8F"/>
    <w:rsid w:val="00A252D3"/>
    <w:rsid w:val="00A25B8B"/>
    <w:rsid w:val="00A26130"/>
    <w:rsid w:val="00A269AF"/>
    <w:rsid w:val="00A269C3"/>
    <w:rsid w:val="00A26ECA"/>
    <w:rsid w:val="00A30D5A"/>
    <w:rsid w:val="00A3142C"/>
    <w:rsid w:val="00A324C1"/>
    <w:rsid w:val="00A337DB"/>
    <w:rsid w:val="00A3467F"/>
    <w:rsid w:val="00A3551A"/>
    <w:rsid w:val="00A376E8"/>
    <w:rsid w:val="00A37E69"/>
    <w:rsid w:val="00A37F8E"/>
    <w:rsid w:val="00A41737"/>
    <w:rsid w:val="00A42B8F"/>
    <w:rsid w:val="00A43254"/>
    <w:rsid w:val="00A43896"/>
    <w:rsid w:val="00A43A26"/>
    <w:rsid w:val="00A447A0"/>
    <w:rsid w:val="00A4598B"/>
    <w:rsid w:val="00A459F5"/>
    <w:rsid w:val="00A45FC0"/>
    <w:rsid w:val="00A46B32"/>
    <w:rsid w:val="00A46D04"/>
    <w:rsid w:val="00A47301"/>
    <w:rsid w:val="00A47448"/>
    <w:rsid w:val="00A47ECC"/>
    <w:rsid w:val="00A5008C"/>
    <w:rsid w:val="00A50171"/>
    <w:rsid w:val="00A5102E"/>
    <w:rsid w:val="00A51083"/>
    <w:rsid w:val="00A5132E"/>
    <w:rsid w:val="00A51533"/>
    <w:rsid w:val="00A51547"/>
    <w:rsid w:val="00A51E68"/>
    <w:rsid w:val="00A52F3B"/>
    <w:rsid w:val="00A531D4"/>
    <w:rsid w:val="00A53770"/>
    <w:rsid w:val="00A55970"/>
    <w:rsid w:val="00A55ACD"/>
    <w:rsid w:val="00A55CFA"/>
    <w:rsid w:val="00A575B8"/>
    <w:rsid w:val="00A6189D"/>
    <w:rsid w:val="00A647B1"/>
    <w:rsid w:val="00A64C35"/>
    <w:rsid w:val="00A64DEF"/>
    <w:rsid w:val="00A65E4E"/>
    <w:rsid w:val="00A665DF"/>
    <w:rsid w:val="00A66DC7"/>
    <w:rsid w:val="00A67F1B"/>
    <w:rsid w:val="00A67FCC"/>
    <w:rsid w:val="00A716DC"/>
    <w:rsid w:val="00A71ABE"/>
    <w:rsid w:val="00A7217B"/>
    <w:rsid w:val="00A7293E"/>
    <w:rsid w:val="00A72CAE"/>
    <w:rsid w:val="00A72EE4"/>
    <w:rsid w:val="00A73067"/>
    <w:rsid w:val="00A737C4"/>
    <w:rsid w:val="00A739A6"/>
    <w:rsid w:val="00A73BB5"/>
    <w:rsid w:val="00A75EF9"/>
    <w:rsid w:val="00A76BC9"/>
    <w:rsid w:val="00A76FD8"/>
    <w:rsid w:val="00A77566"/>
    <w:rsid w:val="00A77EBC"/>
    <w:rsid w:val="00A80563"/>
    <w:rsid w:val="00A8162F"/>
    <w:rsid w:val="00A8311C"/>
    <w:rsid w:val="00A84189"/>
    <w:rsid w:val="00A84BC8"/>
    <w:rsid w:val="00A84C5F"/>
    <w:rsid w:val="00A84F86"/>
    <w:rsid w:val="00A86973"/>
    <w:rsid w:val="00A8721F"/>
    <w:rsid w:val="00A8740B"/>
    <w:rsid w:val="00A87519"/>
    <w:rsid w:val="00A90DE4"/>
    <w:rsid w:val="00A9246D"/>
    <w:rsid w:val="00A92E19"/>
    <w:rsid w:val="00A93644"/>
    <w:rsid w:val="00A93BD0"/>
    <w:rsid w:val="00A95D69"/>
    <w:rsid w:val="00A975A4"/>
    <w:rsid w:val="00AA01D6"/>
    <w:rsid w:val="00AA2001"/>
    <w:rsid w:val="00AA2B5C"/>
    <w:rsid w:val="00AA4E59"/>
    <w:rsid w:val="00AA5328"/>
    <w:rsid w:val="00AA5393"/>
    <w:rsid w:val="00AA5771"/>
    <w:rsid w:val="00AA63D4"/>
    <w:rsid w:val="00AA6767"/>
    <w:rsid w:val="00AB03FD"/>
    <w:rsid w:val="00AB38CB"/>
    <w:rsid w:val="00AB3BEC"/>
    <w:rsid w:val="00AB44E4"/>
    <w:rsid w:val="00AB4AEB"/>
    <w:rsid w:val="00AB5352"/>
    <w:rsid w:val="00AB56AE"/>
    <w:rsid w:val="00AB62D5"/>
    <w:rsid w:val="00AB65B5"/>
    <w:rsid w:val="00AB6DCD"/>
    <w:rsid w:val="00AB6EE0"/>
    <w:rsid w:val="00AB7D91"/>
    <w:rsid w:val="00AC2DFD"/>
    <w:rsid w:val="00AC352D"/>
    <w:rsid w:val="00AC39B7"/>
    <w:rsid w:val="00AC40B7"/>
    <w:rsid w:val="00AC531F"/>
    <w:rsid w:val="00AC6121"/>
    <w:rsid w:val="00AC626D"/>
    <w:rsid w:val="00AC6CB1"/>
    <w:rsid w:val="00AC6DCB"/>
    <w:rsid w:val="00AC7558"/>
    <w:rsid w:val="00AD0091"/>
    <w:rsid w:val="00AD23D8"/>
    <w:rsid w:val="00AD23EF"/>
    <w:rsid w:val="00AD307B"/>
    <w:rsid w:val="00AD41B3"/>
    <w:rsid w:val="00AD4C48"/>
    <w:rsid w:val="00AD57AF"/>
    <w:rsid w:val="00AD5997"/>
    <w:rsid w:val="00AD6267"/>
    <w:rsid w:val="00AD7317"/>
    <w:rsid w:val="00AE01A8"/>
    <w:rsid w:val="00AE0CBD"/>
    <w:rsid w:val="00AE123A"/>
    <w:rsid w:val="00AE28A7"/>
    <w:rsid w:val="00AE33A6"/>
    <w:rsid w:val="00AE3446"/>
    <w:rsid w:val="00AE3715"/>
    <w:rsid w:val="00AE3729"/>
    <w:rsid w:val="00AE55B2"/>
    <w:rsid w:val="00AE5C6A"/>
    <w:rsid w:val="00AE65F7"/>
    <w:rsid w:val="00AE7280"/>
    <w:rsid w:val="00AF033A"/>
    <w:rsid w:val="00AF1699"/>
    <w:rsid w:val="00AF3896"/>
    <w:rsid w:val="00AF4F41"/>
    <w:rsid w:val="00AF61A6"/>
    <w:rsid w:val="00AF6C33"/>
    <w:rsid w:val="00B0098A"/>
    <w:rsid w:val="00B00A5F"/>
    <w:rsid w:val="00B0225F"/>
    <w:rsid w:val="00B0235A"/>
    <w:rsid w:val="00B029B8"/>
    <w:rsid w:val="00B02F60"/>
    <w:rsid w:val="00B032B8"/>
    <w:rsid w:val="00B04B46"/>
    <w:rsid w:val="00B0534D"/>
    <w:rsid w:val="00B06368"/>
    <w:rsid w:val="00B06FC6"/>
    <w:rsid w:val="00B07163"/>
    <w:rsid w:val="00B07429"/>
    <w:rsid w:val="00B12FE6"/>
    <w:rsid w:val="00B1303F"/>
    <w:rsid w:val="00B1364A"/>
    <w:rsid w:val="00B13D3C"/>
    <w:rsid w:val="00B1525C"/>
    <w:rsid w:val="00B16242"/>
    <w:rsid w:val="00B16715"/>
    <w:rsid w:val="00B171B4"/>
    <w:rsid w:val="00B174A8"/>
    <w:rsid w:val="00B17910"/>
    <w:rsid w:val="00B204C1"/>
    <w:rsid w:val="00B20F18"/>
    <w:rsid w:val="00B21516"/>
    <w:rsid w:val="00B22CE0"/>
    <w:rsid w:val="00B23738"/>
    <w:rsid w:val="00B23BEF"/>
    <w:rsid w:val="00B247BB"/>
    <w:rsid w:val="00B256F9"/>
    <w:rsid w:val="00B25806"/>
    <w:rsid w:val="00B25C11"/>
    <w:rsid w:val="00B25EDF"/>
    <w:rsid w:val="00B25EE6"/>
    <w:rsid w:val="00B25F46"/>
    <w:rsid w:val="00B26B53"/>
    <w:rsid w:val="00B3115A"/>
    <w:rsid w:val="00B31A5C"/>
    <w:rsid w:val="00B33C19"/>
    <w:rsid w:val="00B34861"/>
    <w:rsid w:val="00B34BBC"/>
    <w:rsid w:val="00B34CB7"/>
    <w:rsid w:val="00B35F6E"/>
    <w:rsid w:val="00B363BD"/>
    <w:rsid w:val="00B369F7"/>
    <w:rsid w:val="00B36A99"/>
    <w:rsid w:val="00B37537"/>
    <w:rsid w:val="00B40A9C"/>
    <w:rsid w:val="00B41B81"/>
    <w:rsid w:val="00B42980"/>
    <w:rsid w:val="00B434B2"/>
    <w:rsid w:val="00B434C7"/>
    <w:rsid w:val="00B43B69"/>
    <w:rsid w:val="00B43D45"/>
    <w:rsid w:val="00B44771"/>
    <w:rsid w:val="00B4650E"/>
    <w:rsid w:val="00B468F2"/>
    <w:rsid w:val="00B46B45"/>
    <w:rsid w:val="00B46F6B"/>
    <w:rsid w:val="00B47286"/>
    <w:rsid w:val="00B47894"/>
    <w:rsid w:val="00B47F62"/>
    <w:rsid w:val="00B50234"/>
    <w:rsid w:val="00B51794"/>
    <w:rsid w:val="00B51BF4"/>
    <w:rsid w:val="00B52C68"/>
    <w:rsid w:val="00B542FE"/>
    <w:rsid w:val="00B55A1B"/>
    <w:rsid w:val="00B561DB"/>
    <w:rsid w:val="00B57494"/>
    <w:rsid w:val="00B60D5F"/>
    <w:rsid w:val="00B61DCE"/>
    <w:rsid w:val="00B62188"/>
    <w:rsid w:val="00B62467"/>
    <w:rsid w:val="00B62F79"/>
    <w:rsid w:val="00B62F82"/>
    <w:rsid w:val="00B6325B"/>
    <w:rsid w:val="00B648FA"/>
    <w:rsid w:val="00B662FF"/>
    <w:rsid w:val="00B6712F"/>
    <w:rsid w:val="00B7102F"/>
    <w:rsid w:val="00B72C80"/>
    <w:rsid w:val="00B730B4"/>
    <w:rsid w:val="00B74340"/>
    <w:rsid w:val="00B744E0"/>
    <w:rsid w:val="00B7481A"/>
    <w:rsid w:val="00B74F2F"/>
    <w:rsid w:val="00B756FB"/>
    <w:rsid w:val="00B75AD9"/>
    <w:rsid w:val="00B769BC"/>
    <w:rsid w:val="00B77349"/>
    <w:rsid w:val="00B7761E"/>
    <w:rsid w:val="00B80A37"/>
    <w:rsid w:val="00B80A3D"/>
    <w:rsid w:val="00B823E0"/>
    <w:rsid w:val="00B82B78"/>
    <w:rsid w:val="00B82F8A"/>
    <w:rsid w:val="00B83199"/>
    <w:rsid w:val="00B83E3C"/>
    <w:rsid w:val="00B84662"/>
    <w:rsid w:val="00B85402"/>
    <w:rsid w:val="00B864A3"/>
    <w:rsid w:val="00B86C2A"/>
    <w:rsid w:val="00B86D6F"/>
    <w:rsid w:val="00B902A5"/>
    <w:rsid w:val="00B90420"/>
    <w:rsid w:val="00B913E4"/>
    <w:rsid w:val="00B91DB9"/>
    <w:rsid w:val="00B92201"/>
    <w:rsid w:val="00B933CC"/>
    <w:rsid w:val="00B93EFE"/>
    <w:rsid w:val="00B94956"/>
    <w:rsid w:val="00B94C7F"/>
    <w:rsid w:val="00B956B5"/>
    <w:rsid w:val="00B95904"/>
    <w:rsid w:val="00B95C3A"/>
    <w:rsid w:val="00B95FCE"/>
    <w:rsid w:val="00BA0D44"/>
    <w:rsid w:val="00BA0E26"/>
    <w:rsid w:val="00BA31BF"/>
    <w:rsid w:val="00BA43FC"/>
    <w:rsid w:val="00BA478B"/>
    <w:rsid w:val="00BA5224"/>
    <w:rsid w:val="00BA7456"/>
    <w:rsid w:val="00BA7925"/>
    <w:rsid w:val="00BA7B27"/>
    <w:rsid w:val="00BA7E3B"/>
    <w:rsid w:val="00BB079C"/>
    <w:rsid w:val="00BB32A1"/>
    <w:rsid w:val="00BB39C1"/>
    <w:rsid w:val="00BB5555"/>
    <w:rsid w:val="00BB5D16"/>
    <w:rsid w:val="00BB6180"/>
    <w:rsid w:val="00BB69E6"/>
    <w:rsid w:val="00BB7714"/>
    <w:rsid w:val="00BC1B7A"/>
    <w:rsid w:val="00BC2BC7"/>
    <w:rsid w:val="00BC2C17"/>
    <w:rsid w:val="00BC3ACD"/>
    <w:rsid w:val="00BC50FC"/>
    <w:rsid w:val="00BC5C09"/>
    <w:rsid w:val="00BC6E73"/>
    <w:rsid w:val="00BD0014"/>
    <w:rsid w:val="00BD01D8"/>
    <w:rsid w:val="00BD1B17"/>
    <w:rsid w:val="00BD2512"/>
    <w:rsid w:val="00BD255F"/>
    <w:rsid w:val="00BD26DE"/>
    <w:rsid w:val="00BD2C72"/>
    <w:rsid w:val="00BD383D"/>
    <w:rsid w:val="00BD3AAB"/>
    <w:rsid w:val="00BD4236"/>
    <w:rsid w:val="00BD5CCA"/>
    <w:rsid w:val="00BD5CD4"/>
    <w:rsid w:val="00BD6EF9"/>
    <w:rsid w:val="00BD77DD"/>
    <w:rsid w:val="00BE0ACB"/>
    <w:rsid w:val="00BE0E3C"/>
    <w:rsid w:val="00BE1A90"/>
    <w:rsid w:val="00BE2113"/>
    <w:rsid w:val="00BE2497"/>
    <w:rsid w:val="00BE2C0A"/>
    <w:rsid w:val="00BE3537"/>
    <w:rsid w:val="00BE360F"/>
    <w:rsid w:val="00BE50FD"/>
    <w:rsid w:val="00BE51CA"/>
    <w:rsid w:val="00BE5E5A"/>
    <w:rsid w:val="00BE6D47"/>
    <w:rsid w:val="00BE6D4D"/>
    <w:rsid w:val="00BE7032"/>
    <w:rsid w:val="00BE7330"/>
    <w:rsid w:val="00BF01C5"/>
    <w:rsid w:val="00BF045B"/>
    <w:rsid w:val="00BF066A"/>
    <w:rsid w:val="00BF361C"/>
    <w:rsid w:val="00BF39EC"/>
    <w:rsid w:val="00BF4342"/>
    <w:rsid w:val="00BF5050"/>
    <w:rsid w:val="00BF5422"/>
    <w:rsid w:val="00BF54CF"/>
    <w:rsid w:val="00BF59B1"/>
    <w:rsid w:val="00BF6A78"/>
    <w:rsid w:val="00BF6E19"/>
    <w:rsid w:val="00BF77A8"/>
    <w:rsid w:val="00BF79B4"/>
    <w:rsid w:val="00C0099F"/>
    <w:rsid w:val="00C01427"/>
    <w:rsid w:val="00C0162B"/>
    <w:rsid w:val="00C016A1"/>
    <w:rsid w:val="00C04AAB"/>
    <w:rsid w:val="00C052E5"/>
    <w:rsid w:val="00C058AF"/>
    <w:rsid w:val="00C06395"/>
    <w:rsid w:val="00C124C1"/>
    <w:rsid w:val="00C128AE"/>
    <w:rsid w:val="00C136D6"/>
    <w:rsid w:val="00C13D5B"/>
    <w:rsid w:val="00C16615"/>
    <w:rsid w:val="00C17AE2"/>
    <w:rsid w:val="00C20F27"/>
    <w:rsid w:val="00C215CF"/>
    <w:rsid w:val="00C2244B"/>
    <w:rsid w:val="00C2263D"/>
    <w:rsid w:val="00C22B0D"/>
    <w:rsid w:val="00C22F55"/>
    <w:rsid w:val="00C240C1"/>
    <w:rsid w:val="00C250D0"/>
    <w:rsid w:val="00C252AC"/>
    <w:rsid w:val="00C255AB"/>
    <w:rsid w:val="00C27214"/>
    <w:rsid w:val="00C27597"/>
    <w:rsid w:val="00C30382"/>
    <w:rsid w:val="00C30D6F"/>
    <w:rsid w:val="00C31063"/>
    <w:rsid w:val="00C31B7E"/>
    <w:rsid w:val="00C3242A"/>
    <w:rsid w:val="00C32AE2"/>
    <w:rsid w:val="00C33201"/>
    <w:rsid w:val="00C332C4"/>
    <w:rsid w:val="00C33DEB"/>
    <w:rsid w:val="00C360B3"/>
    <w:rsid w:val="00C36363"/>
    <w:rsid w:val="00C3679B"/>
    <w:rsid w:val="00C37027"/>
    <w:rsid w:val="00C3778D"/>
    <w:rsid w:val="00C405A3"/>
    <w:rsid w:val="00C42752"/>
    <w:rsid w:val="00C42973"/>
    <w:rsid w:val="00C44F9C"/>
    <w:rsid w:val="00C46D58"/>
    <w:rsid w:val="00C4730E"/>
    <w:rsid w:val="00C47EE9"/>
    <w:rsid w:val="00C5019C"/>
    <w:rsid w:val="00C5034F"/>
    <w:rsid w:val="00C514D3"/>
    <w:rsid w:val="00C52479"/>
    <w:rsid w:val="00C52586"/>
    <w:rsid w:val="00C5291F"/>
    <w:rsid w:val="00C52BC8"/>
    <w:rsid w:val="00C52C59"/>
    <w:rsid w:val="00C5349E"/>
    <w:rsid w:val="00C5354B"/>
    <w:rsid w:val="00C54467"/>
    <w:rsid w:val="00C54D3D"/>
    <w:rsid w:val="00C55116"/>
    <w:rsid w:val="00C55A30"/>
    <w:rsid w:val="00C57C58"/>
    <w:rsid w:val="00C6028F"/>
    <w:rsid w:val="00C6036D"/>
    <w:rsid w:val="00C608F1"/>
    <w:rsid w:val="00C631E1"/>
    <w:rsid w:val="00C638D8"/>
    <w:rsid w:val="00C63C84"/>
    <w:rsid w:val="00C63D26"/>
    <w:rsid w:val="00C641EB"/>
    <w:rsid w:val="00C64825"/>
    <w:rsid w:val="00C65053"/>
    <w:rsid w:val="00C65BD9"/>
    <w:rsid w:val="00C66061"/>
    <w:rsid w:val="00C661D6"/>
    <w:rsid w:val="00C66F69"/>
    <w:rsid w:val="00C67223"/>
    <w:rsid w:val="00C67CFF"/>
    <w:rsid w:val="00C707B8"/>
    <w:rsid w:val="00C7084B"/>
    <w:rsid w:val="00C713E4"/>
    <w:rsid w:val="00C71806"/>
    <w:rsid w:val="00C71C15"/>
    <w:rsid w:val="00C71F3D"/>
    <w:rsid w:val="00C72B53"/>
    <w:rsid w:val="00C72F53"/>
    <w:rsid w:val="00C74035"/>
    <w:rsid w:val="00C74A46"/>
    <w:rsid w:val="00C76FF4"/>
    <w:rsid w:val="00C77818"/>
    <w:rsid w:val="00C77AE3"/>
    <w:rsid w:val="00C8063F"/>
    <w:rsid w:val="00C81549"/>
    <w:rsid w:val="00C829A1"/>
    <w:rsid w:val="00C83B36"/>
    <w:rsid w:val="00C84F8A"/>
    <w:rsid w:val="00C85209"/>
    <w:rsid w:val="00C8618F"/>
    <w:rsid w:val="00C90372"/>
    <w:rsid w:val="00C9041F"/>
    <w:rsid w:val="00C91A45"/>
    <w:rsid w:val="00C91ED2"/>
    <w:rsid w:val="00C91F66"/>
    <w:rsid w:val="00C91FB4"/>
    <w:rsid w:val="00C938D6"/>
    <w:rsid w:val="00C94D41"/>
    <w:rsid w:val="00C95745"/>
    <w:rsid w:val="00C962E3"/>
    <w:rsid w:val="00C965BD"/>
    <w:rsid w:val="00C96717"/>
    <w:rsid w:val="00C97997"/>
    <w:rsid w:val="00CA08FE"/>
    <w:rsid w:val="00CA0B8A"/>
    <w:rsid w:val="00CA0FAC"/>
    <w:rsid w:val="00CA2513"/>
    <w:rsid w:val="00CA25C0"/>
    <w:rsid w:val="00CA3451"/>
    <w:rsid w:val="00CA36FD"/>
    <w:rsid w:val="00CA421F"/>
    <w:rsid w:val="00CA4948"/>
    <w:rsid w:val="00CA52F9"/>
    <w:rsid w:val="00CA568B"/>
    <w:rsid w:val="00CA7500"/>
    <w:rsid w:val="00CA7C34"/>
    <w:rsid w:val="00CB03AD"/>
    <w:rsid w:val="00CB0696"/>
    <w:rsid w:val="00CB1239"/>
    <w:rsid w:val="00CB19FE"/>
    <w:rsid w:val="00CB304C"/>
    <w:rsid w:val="00CB53E8"/>
    <w:rsid w:val="00CB594A"/>
    <w:rsid w:val="00CB5CB2"/>
    <w:rsid w:val="00CB6979"/>
    <w:rsid w:val="00CC0A3D"/>
    <w:rsid w:val="00CC2373"/>
    <w:rsid w:val="00CC3D24"/>
    <w:rsid w:val="00CC3F91"/>
    <w:rsid w:val="00CC40B6"/>
    <w:rsid w:val="00CC4B0A"/>
    <w:rsid w:val="00CC544A"/>
    <w:rsid w:val="00CC57EA"/>
    <w:rsid w:val="00CC5954"/>
    <w:rsid w:val="00CC6C4E"/>
    <w:rsid w:val="00CC6DD8"/>
    <w:rsid w:val="00CD05A2"/>
    <w:rsid w:val="00CD19DA"/>
    <w:rsid w:val="00CD29D4"/>
    <w:rsid w:val="00CD38F5"/>
    <w:rsid w:val="00CD437E"/>
    <w:rsid w:val="00CD4AE5"/>
    <w:rsid w:val="00CD5833"/>
    <w:rsid w:val="00CD58D4"/>
    <w:rsid w:val="00CD5A63"/>
    <w:rsid w:val="00CD5A89"/>
    <w:rsid w:val="00CD5DAD"/>
    <w:rsid w:val="00CD72C5"/>
    <w:rsid w:val="00CD79A7"/>
    <w:rsid w:val="00CE0789"/>
    <w:rsid w:val="00CE1A03"/>
    <w:rsid w:val="00CE2346"/>
    <w:rsid w:val="00CE3529"/>
    <w:rsid w:val="00CE35C8"/>
    <w:rsid w:val="00CE3962"/>
    <w:rsid w:val="00CE5105"/>
    <w:rsid w:val="00CE56BD"/>
    <w:rsid w:val="00CE5EC0"/>
    <w:rsid w:val="00CE68BB"/>
    <w:rsid w:val="00CE6F9F"/>
    <w:rsid w:val="00CE773B"/>
    <w:rsid w:val="00CE781A"/>
    <w:rsid w:val="00CF10FC"/>
    <w:rsid w:val="00CF1D74"/>
    <w:rsid w:val="00CF2BE2"/>
    <w:rsid w:val="00CF55F9"/>
    <w:rsid w:val="00CF71A6"/>
    <w:rsid w:val="00CF7495"/>
    <w:rsid w:val="00CF7671"/>
    <w:rsid w:val="00CF7C5B"/>
    <w:rsid w:val="00D01CF9"/>
    <w:rsid w:val="00D02246"/>
    <w:rsid w:val="00D0334D"/>
    <w:rsid w:val="00D0374D"/>
    <w:rsid w:val="00D03BAF"/>
    <w:rsid w:val="00D05835"/>
    <w:rsid w:val="00D05A76"/>
    <w:rsid w:val="00D07BEF"/>
    <w:rsid w:val="00D07F1D"/>
    <w:rsid w:val="00D10558"/>
    <w:rsid w:val="00D1203E"/>
    <w:rsid w:val="00D1379B"/>
    <w:rsid w:val="00D13E70"/>
    <w:rsid w:val="00D16C58"/>
    <w:rsid w:val="00D17019"/>
    <w:rsid w:val="00D170C1"/>
    <w:rsid w:val="00D178DE"/>
    <w:rsid w:val="00D17C6E"/>
    <w:rsid w:val="00D20818"/>
    <w:rsid w:val="00D21168"/>
    <w:rsid w:val="00D235C8"/>
    <w:rsid w:val="00D2384A"/>
    <w:rsid w:val="00D2438C"/>
    <w:rsid w:val="00D26C3F"/>
    <w:rsid w:val="00D27138"/>
    <w:rsid w:val="00D27185"/>
    <w:rsid w:val="00D276B8"/>
    <w:rsid w:val="00D31CA2"/>
    <w:rsid w:val="00D32B84"/>
    <w:rsid w:val="00D337AE"/>
    <w:rsid w:val="00D33AB3"/>
    <w:rsid w:val="00D33F24"/>
    <w:rsid w:val="00D346B7"/>
    <w:rsid w:val="00D346B8"/>
    <w:rsid w:val="00D35AC8"/>
    <w:rsid w:val="00D35D34"/>
    <w:rsid w:val="00D35D9D"/>
    <w:rsid w:val="00D36F87"/>
    <w:rsid w:val="00D37E4E"/>
    <w:rsid w:val="00D42E6C"/>
    <w:rsid w:val="00D43218"/>
    <w:rsid w:val="00D43B80"/>
    <w:rsid w:val="00D44236"/>
    <w:rsid w:val="00D44AE2"/>
    <w:rsid w:val="00D45B1E"/>
    <w:rsid w:val="00D45BA4"/>
    <w:rsid w:val="00D46FFF"/>
    <w:rsid w:val="00D471AF"/>
    <w:rsid w:val="00D4724F"/>
    <w:rsid w:val="00D47E81"/>
    <w:rsid w:val="00D50519"/>
    <w:rsid w:val="00D516A5"/>
    <w:rsid w:val="00D5264C"/>
    <w:rsid w:val="00D5289A"/>
    <w:rsid w:val="00D537FE"/>
    <w:rsid w:val="00D538F0"/>
    <w:rsid w:val="00D53B6F"/>
    <w:rsid w:val="00D54A6A"/>
    <w:rsid w:val="00D54B7B"/>
    <w:rsid w:val="00D54BF8"/>
    <w:rsid w:val="00D54D7C"/>
    <w:rsid w:val="00D55951"/>
    <w:rsid w:val="00D572BE"/>
    <w:rsid w:val="00D57EB6"/>
    <w:rsid w:val="00D60ED7"/>
    <w:rsid w:val="00D63586"/>
    <w:rsid w:val="00D65538"/>
    <w:rsid w:val="00D65D10"/>
    <w:rsid w:val="00D664BF"/>
    <w:rsid w:val="00D66D8B"/>
    <w:rsid w:val="00D67D04"/>
    <w:rsid w:val="00D72826"/>
    <w:rsid w:val="00D72A1C"/>
    <w:rsid w:val="00D73580"/>
    <w:rsid w:val="00D73802"/>
    <w:rsid w:val="00D73868"/>
    <w:rsid w:val="00D73C2C"/>
    <w:rsid w:val="00D73D52"/>
    <w:rsid w:val="00D74042"/>
    <w:rsid w:val="00D7453F"/>
    <w:rsid w:val="00D745E7"/>
    <w:rsid w:val="00D7542B"/>
    <w:rsid w:val="00D77495"/>
    <w:rsid w:val="00D774ED"/>
    <w:rsid w:val="00D777F6"/>
    <w:rsid w:val="00D77F88"/>
    <w:rsid w:val="00D8002D"/>
    <w:rsid w:val="00D8047C"/>
    <w:rsid w:val="00D81EAA"/>
    <w:rsid w:val="00D8259F"/>
    <w:rsid w:val="00D825F2"/>
    <w:rsid w:val="00D828B1"/>
    <w:rsid w:val="00D84F27"/>
    <w:rsid w:val="00D850D4"/>
    <w:rsid w:val="00D862D1"/>
    <w:rsid w:val="00D86469"/>
    <w:rsid w:val="00D873C6"/>
    <w:rsid w:val="00D91027"/>
    <w:rsid w:val="00D94C7D"/>
    <w:rsid w:val="00D94CA4"/>
    <w:rsid w:val="00D94FB4"/>
    <w:rsid w:val="00D95E99"/>
    <w:rsid w:val="00DA098C"/>
    <w:rsid w:val="00DA1A3A"/>
    <w:rsid w:val="00DA2712"/>
    <w:rsid w:val="00DA2C65"/>
    <w:rsid w:val="00DA395D"/>
    <w:rsid w:val="00DA49E8"/>
    <w:rsid w:val="00DA6D33"/>
    <w:rsid w:val="00DB0B74"/>
    <w:rsid w:val="00DB16B8"/>
    <w:rsid w:val="00DB1869"/>
    <w:rsid w:val="00DB1D52"/>
    <w:rsid w:val="00DB1F62"/>
    <w:rsid w:val="00DB2E03"/>
    <w:rsid w:val="00DB3369"/>
    <w:rsid w:val="00DB3742"/>
    <w:rsid w:val="00DB3F4B"/>
    <w:rsid w:val="00DB61A4"/>
    <w:rsid w:val="00DB67C1"/>
    <w:rsid w:val="00DB70CD"/>
    <w:rsid w:val="00DB70F4"/>
    <w:rsid w:val="00DB7343"/>
    <w:rsid w:val="00DC1056"/>
    <w:rsid w:val="00DC211E"/>
    <w:rsid w:val="00DC21D8"/>
    <w:rsid w:val="00DC282A"/>
    <w:rsid w:val="00DC34C5"/>
    <w:rsid w:val="00DC34DC"/>
    <w:rsid w:val="00DC3584"/>
    <w:rsid w:val="00DC3CC6"/>
    <w:rsid w:val="00DC514A"/>
    <w:rsid w:val="00DC64EC"/>
    <w:rsid w:val="00DC67B1"/>
    <w:rsid w:val="00DC7833"/>
    <w:rsid w:val="00DC7CE9"/>
    <w:rsid w:val="00DD132B"/>
    <w:rsid w:val="00DD1725"/>
    <w:rsid w:val="00DD2427"/>
    <w:rsid w:val="00DD2A18"/>
    <w:rsid w:val="00DD36DA"/>
    <w:rsid w:val="00DD5093"/>
    <w:rsid w:val="00DD5B1A"/>
    <w:rsid w:val="00DD61E8"/>
    <w:rsid w:val="00DD62C0"/>
    <w:rsid w:val="00DD75EE"/>
    <w:rsid w:val="00DD7859"/>
    <w:rsid w:val="00DE03AC"/>
    <w:rsid w:val="00DE0A1D"/>
    <w:rsid w:val="00DE15B2"/>
    <w:rsid w:val="00DE1A9A"/>
    <w:rsid w:val="00DE1AD6"/>
    <w:rsid w:val="00DE3D2C"/>
    <w:rsid w:val="00DE522F"/>
    <w:rsid w:val="00DE59F8"/>
    <w:rsid w:val="00DE5E82"/>
    <w:rsid w:val="00DE5FA6"/>
    <w:rsid w:val="00DE6494"/>
    <w:rsid w:val="00DE6AA1"/>
    <w:rsid w:val="00DE74D7"/>
    <w:rsid w:val="00DE7EF7"/>
    <w:rsid w:val="00DF01B8"/>
    <w:rsid w:val="00DF106A"/>
    <w:rsid w:val="00DF1185"/>
    <w:rsid w:val="00DF1299"/>
    <w:rsid w:val="00DF1A70"/>
    <w:rsid w:val="00DF23A8"/>
    <w:rsid w:val="00DF2F27"/>
    <w:rsid w:val="00DF6CCC"/>
    <w:rsid w:val="00DF6D0C"/>
    <w:rsid w:val="00DF6DC2"/>
    <w:rsid w:val="00DF6F64"/>
    <w:rsid w:val="00DF721E"/>
    <w:rsid w:val="00DF7C87"/>
    <w:rsid w:val="00E009B0"/>
    <w:rsid w:val="00E031C0"/>
    <w:rsid w:val="00E03AFE"/>
    <w:rsid w:val="00E03D5C"/>
    <w:rsid w:val="00E046A9"/>
    <w:rsid w:val="00E04C0F"/>
    <w:rsid w:val="00E0570B"/>
    <w:rsid w:val="00E057B2"/>
    <w:rsid w:val="00E05996"/>
    <w:rsid w:val="00E068D9"/>
    <w:rsid w:val="00E10B87"/>
    <w:rsid w:val="00E1478B"/>
    <w:rsid w:val="00E14FAC"/>
    <w:rsid w:val="00E15007"/>
    <w:rsid w:val="00E1644E"/>
    <w:rsid w:val="00E16EC7"/>
    <w:rsid w:val="00E1714F"/>
    <w:rsid w:val="00E177D2"/>
    <w:rsid w:val="00E17995"/>
    <w:rsid w:val="00E21576"/>
    <w:rsid w:val="00E216A8"/>
    <w:rsid w:val="00E21801"/>
    <w:rsid w:val="00E219CE"/>
    <w:rsid w:val="00E23961"/>
    <w:rsid w:val="00E23A73"/>
    <w:rsid w:val="00E24071"/>
    <w:rsid w:val="00E24EBC"/>
    <w:rsid w:val="00E2522C"/>
    <w:rsid w:val="00E2599B"/>
    <w:rsid w:val="00E27383"/>
    <w:rsid w:val="00E2793D"/>
    <w:rsid w:val="00E31A25"/>
    <w:rsid w:val="00E31AFA"/>
    <w:rsid w:val="00E324EE"/>
    <w:rsid w:val="00E359FF"/>
    <w:rsid w:val="00E36083"/>
    <w:rsid w:val="00E36AA7"/>
    <w:rsid w:val="00E36E39"/>
    <w:rsid w:val="00E405F1"/>
    <w:rsid w:val="00E42336"/>
    <w:rsid w:val="00E43054"/>
    <w:rsid w:val="00E434C4"/>
    <w:rsid w:val="00E44FE4"/>
    <w:rsid w:val="00E46013"/>
    <w:rsid w:val="00E460F7"/>
    <w:rsid w:val="00E4671C"/>
    <w:rsid w:val="00E477C3"/>
    <w:rsid w:val="00E5048D"/>
    <w:rsid w:val="00E50AC4"/>
    <w:rsid w:val="00E51077"/>
    <w:rsid w:val="00E5132D"/>
    <w:rsid w:val="00E51741"/>
    <w:rsid w:val="00E51E16"/>
    <w:rsid w:val="00E52151"/>
    <w:rsid w:val="00E53730"/>
    <w:rsid w:val="00E53C46"/>
    <w:rsid w:val="00E544C3"/>
    <w:rsid w:val="00E54511"/>
    <w:rsid w:val="00E548BE"/>
    <w:rsid w:val="00E54978"/>
    <w:rsid w:val="00E5504D"/>
    <w:rsid w:val="00E55DC3"/>
    <w:rsid w:val="00E56525"/>
    <w:rsid w:val="00E57577"/>
    <w:rsid w:val="00E62043"/>
    <w:rsid w:val="00E626B9"/>
    <w:rsid w:val="00E627C9"/>
    <w:rsid w:val="00E630F3"/>
    <w:rsid w:val="00E65198"/>
    <w:rsid w:val="00E664FB"/>
    <w:rsid w:val="00E66F0D"/>
    <w:rsid w:val="00E70615"/>
    <w:rsid w:val="00E71A5E"/>
    <w:rsid w:val="00E7207B"/>
    <w:rsid w:val="00E7347A"/>
    <w:rsid w:val="00E746F4"/>
    <w:rsid w:val="00E75325"/>
    <w:rsid w:val="00E75A47"/>
    <w:rsid w:val="00E75D8C"/>
    <w:rsid w:val="00E77771"/>
    <w:rsid w:val="00E777F2"/>
    <w:rsid w:val="00E779ED"/>
    <w:rsid w:val="00E802C9"/>
    <w:rsid w:val="00E80EDD"/>
    <w:rsid w:val="00E80F0A"/>
    <w:rsid w:val="00E81A6A"/>
    <w:rsid w:val="00E8291B"/>
    <w:rsid w:val="00E8395F"/>
    <w:rsid w:val="00E83BAE"/>
    <w:rsid w:val="00E8473F"/>
    <w:rsid w:val="00E857EB"/>
    <w:rsid w:val="00E85E41"/>
    <w:rsid w:val="00E85EA1"/>
    <w:rsid w:val="00E8610B"/>
    <w:rsid w:val="00E86C86"/>
    <w:rsid w:val="00E87AEC"/>
    <w:rsid w:val="00E91044"/>
    <w:rsid w:val="00E910D3"/>
    <w:rsid w:val="00E9214B"/>
    <w:rsid w:val="00E923CF"/>
    <w:rsid w:val="00E9335F"/>
    <w:rsid w:val="00E95111"/>
    <w:rsid w:val="00E9783B"/>
    <w:rsid w:val="00E97EE7"/>
    <w:rsid w:val="00EA061E"/>
    <w:rsid w:val="00EA14C8"/>
    <w:rsid w:val="00EA19D3"/>
    <w:rsid w:val="00EA2358"/>
    <w:rsid w:val="00EA2C8B"/>
    <w:rsid w:val="00EA3582"/>
    <w:rsid w:val="00EA6649"/>
    <w:rsid w:val="00EB05D0"/>
    <w:rsid w:val="00EB07C5"/>
    <w:rsid w:val="00EB107E"/>
    <w:rsid w:val="00EB11D8"/>
    <w:rsid w:val="00EB1D3D"/>
    <w:rsid w:val="00EB1D49"/>
    <w:rsid w:val="00EB42DD"/>
    <w:rsid w:val="00EB559F"/>
    <w:rsid w:val="00EB5F3D"/>
    <w:rsid w:val="00EB6EC2"/>
    <w:rsid w:val="00EC1CEB"/>
    <w:rsid w:val="00EC268C"/>
    <w:rsid w:val="00EC3602"/>
    <w:rsid w:val="00EC3753"/>
    <w:rsid w:val="00EC3CB8"/>
    <w:rsid w:val="00EC3D46"/>
    <w:rsid w:val="00EC4E71"/>
    <w:rsid w:val="00EC569A"/>
    <w:rsid w:val="00EC6667"/>
    <w:rsid w:val="00ED0365"/>
    <w:rsid w:val="00ED0865"/>
    <w:rsid w:val="00ED094F"/>
    <w:rsid w:val="00ED16B6"/>
    <w:rsid w:val="00ED1C60"/>
    <w:rsid w:val="00ED2EB9"/>
    <w:rsid w:val="00ED4469"/>
    <w:rsid w:val="00ED586A"/>
    <w:rsid w:val="00ED5F23"/>
    <w:rsid w:val="00ED6DC0"/>
    <w:rsid w:val="00ED79CE"/>
    <w:rsid w:val="00ED7A7A"/>
    <w:rsid w:val="00EE038C"/>
    <w:rsid w:val="00EE040B"/>
    <w:rsid w:val="00EE254F"/>
    <w:rsid w:val="00EE47C5"/>
    <w:rsid w:val="00EE490C"/>
    <w:rsid w:val="00EE4E02"/>
    <w:rsid w:val="00EE613B"/>
    <w:rsid w:val="00EE6911"/>
    <w:rsid w:val="00EE7E17"/>
    <w:rsid w:val="00EF0A5F"/>
    <w:rsid w:val="00EF19B3"/>
    <w:rsid w:val="00EF2C8E"/>
    <w:rsid w:val="00EF3A0D"/>
    <w:rsid w:val="00EF3CEB"/>
    <w:rsid w:val="00EF41A8"/>
    <w:rsid w:val="00EF44FB"/>
    <w:rsid w:val="00EF4B4E"/>
    <w:rsid w:val="00EF4D3C"/>
    <w:rsid w:val="00EF5554"/>
    <w:rsid w:val="00EF5AD8"/>
    <w:rsid w:val="00EF5D2F"/>
    <w:rsid w:val="00EF63F5"/>
    <w:rsid w:val="00EF6549"/>
    <w:rsid w:val="00EF666F"/>
    <w:rsid w:val="00EF6758"/>
    <w:rsid w:val="00EF6B90"/>
    <w:rsid w:val="00EF70AE"/>
    <w:rsid w:val="00EF79F7"/>
    <w:rsid w:val="00F00418"/>
    <w:rsid w:val="00F006C0"/>
    <w:rsid w:val="00F019AA"/>
    <w:rsid w:val="00F0267E"/>
    <w:rsid w:val="00F02686"/>
    <w:rsid w:val="00F0459B"/>
    <w:rsid w:val="00F04E15"/>
    <w:rsid w:val="00F05DF3"/>
    <w:rsid w:val="00F0641B"/>
    <w:rsid w:val="00F069EA"/>
    <w:rsid w:val="00F07B6E"/>
    <w:rsid w:val="00F07DF8"/>
    <w:rsid w:val="00F11461"/>
    <w:rsid w:val="00F11675"/>
    <w:rsid w:val="00F1182D"/>
    <w:rsid w:val="00F12557"/>
    <w:rsid w:val="00F13A8F"/>
    <w:rsid w:val="00F144F8"/>
    <w:rsid w:val="00F14DF8"/>
    <w:rsid w:val="00F164A3"/>
    <w:rsid w:val="00F17281"/>
    <w:rsid w:val="00F17AD9"/>
    <w:rsid w:val="00F17F74"/>
    <w:rsid w:val="00F202C2"/>
    <w:rsid w:val="00F22756"/>
    <w:rsid w:val="00F22B29"/>
    <w:rsid w:val="00F23890"/>
    <w:rsid w:val="00F2447A"/>
    <w:rsid w:val="00F24638"/>
    <w:rsid w:val="00F2504D"/>
    <w:rsid w:val="00F2637F"/>
    <w:rsid w:val="00F263A8"/>
    <w:rsid w:val="00F268F7"/>
    <w:rsid w:val="00F27280"/>
    <w:rsid w:val="00F3053D"/>
    <w:rsid w:val="00F30BDB"/>
    <w:rsid w:val="00F30CF8"/>
    <w:rsid w:val="00F317E3"/>
    <w:rsid w:val="00F31EDF"/>
    <w:rsid w:val="00F32CDE"/>
    <w:rsid w:val="00F32D4C"/>
    <w:rsid w:val="00F34811"/>
    <w:rsid w:val="00F34B14"/>
    <w:rsid w:val="00F3648A"/>
    <w:rsid w:val="00F36A6A"/>
    <w:rsid w:val="00F40101"/>
    <w:rsid w:val="00F40474"/>
    <w:rsid w:val="00F404F7"/>
    <w:rsid w:val="00F40CCA"/>
    <w:rsid w:val="00F413A7"/>
    <w:rsid w:val="00F41521"/>
    <w:rsid w:val="00F41975"/>
    <w:rsid w:val="00F41B5A"/>
    <w:rsid w:val="00F41C0E"/>
    <w:rsid w:val="00F42D97"/>
    <w:rsid w:val="00F43F09"/>
    <w:rsid w:val="00F45A72"/>
    <w:rsid w:val="00F46723"/>
    <w:rsid w:val="00F50016"/>
    <w:rsid w:val="00F50647"/>
    <w:rsid w:val="00F5118A"/>
    <w:rsid w:val="00F51A21"/>
    <w:rsid w:val="00F5276E"/>
    <w:rsid w:val="00F529F9"/>
    <w:rsid w:val="00F52E9F"/>
    <w:rsid w:val="00F53304"/>
    <w:rsid w:val="00F53C70"/>
    <w:rsid w:val="00F53D40"/>
    <w:rsid w:val="00F545ED"/>
    <w:rsid w:val="00F5687F"/>
    <w:rsid w:val="00F575C7"/>
    <w:rsid w:val="00F60305"/>
    <w:rsid w:val="00F61B12"/>
    <w:rsid w:val="00F61CC5"/>
    <w:rsid w:val="00F62398"/>
    <w:rsid w:val="00F631E8"/>
    <w:rsid w:val="00F63223"/>
    <w:rsid w:val="00F63264"/>
    <w:rsid w:val="00F635F4"/>
    <w:rsid w:val="00F6379E"/>
    <w:rsid w:val="00F64142"/>
    <w:rsid w:val="00F657E9"/>
    <w:rsid w:val="00F70799"/>
    <w:rsid w:val="00F70906"/>
    <w:rsid w:val="00F70A8B"/>
    <w:rsid w:val="00F724FB"/>
    <w:rsid w:val="00F72578"/>
    <w:rsid w:val="00F72A26"/>
    <w:rsid w:val="00F733C3"/>
    <w:rsid w:val="00F747A6"/>
    <w:rsid w:val="00F756DD"/>
    <w:rsid w:val="00F75DB3"/>
    <w:rsid w:val="00F80047"/>
    <w:rsid w:val="00F8104D"/>
    <w:rsid w:val="00F81587"/>
    <w:rsid w:val="00F82571"/>
    <w:rsid w:val="00F83379"/>
    <w:rsid w:val="00F85B72"/>
    <w:rsid w:val="00F86B6D"/>
    <w:rsid w:val="00F8766F"/>
    <w:rsid w:val="00F87A81"/>
    <w:rsid w:val="00F9104C"/>
    <w:rsid w:val="00F91082"/>
    <w:rsid w:val="00F91A9A"/>
    <w:rsid w:val="00F93ABB"/>
    <w:rsid w:val="00F94D79"/>
    <w:rsid w:val="00F97E7E"/>
    <w:rsid w:val="00FA118A"/>
    <w:rsid w:val="00FA31C7"/>
    <w:rsid w:val="00FA472D"/>
    <w:rsid w:val="00FA7254"/>
    <w:rsid w:val="00FB0214"/>
    <w:rsid w:val="00FB080C"/>
    <w:rsid w:val="00FB0FAF"/>
    <w:rsid w:val="00FB12BC"/>
    <w:rsid w:val="00FB18F6"/>
    <w:rsid w:val="00FB2A52"/>
    <w:rsid w:val="00FB2F13"/>
    <w:rsid w:val="00FB31FD"/>
    <w:rsid w:val="00FB6887"/>
    <w:rsid w:val="00FB6E19"/>
    <w:rsid w:val="00FB71F6"/>
    <w:rsid w:val="00FC1339"/>
    <w:rsid w:val="00FC1483"/>
    <w:rsid w:val="00FC1C47"/>
    <w:rsid w:val="00FC39ED"/>
    <w:rsid w:val="00FC4419"/>
    <w:rsid w:val="00FC47E2"/>
    <w:rsid w:val="00FC4AA5"/>
    <w:rsid w:val="00FC5148"/>
    <w:rsid w:val="00FC5528"/>
    <w:rsid w:val="00FC75AC"/>
    <w:rsid w:val="00FD01BF"/>
    <w:rsid w:val="00FD0525"/>
    <w:rsid w:val="00FD297D"/>
    <w:rsid w:val="00FD298C"/>
    <w:rsid w:val="00FD2D13"/>
    <w:rsid w:val="00FD365E"/>
    <w:rsid w:val="00FD3D26"/>
    <w:rsid w:val="00FD4789"/>
    <w:rsid w:val="00FD59FE"/>
    <w:rsid w:val="00FD6071"/>
    <w:rsid w:val="00FE0794"/>
    <w:rsid w:val="00FE1041"/>
    <w:rsid w:val="00FE24CB"/>
    <w:rsid w:val="00FE2D46"/>
    <w:rsid w:val="00FE3166"/>
    <w:rsid w:val="00FE3320"/>
    <w:rsid w:val="00FE3473"/>
    <w:rsid w:val="00FE353B"/>
    <w:rsid w:val="00FE3E81"/>
    <w:rsid w:val="00FE4049"/>
    <w:rsid w:val="00FE4794"/>
    <w:rsid w:val="00FE5DF7"/>
    <w:rsid w:val="00FE5F72"/>
    <w:rsid w:val="00FF0231"/>
    <w:rsid w:val="00FF1C9B"/>
    <w:rsid w:val="00FF1D49"/>
    <w:rsid w:val="00FF2562"/>
    <w:rsid w:val="00FF2CE1"/>
    <w:rsid w:val="00FF3A41"/>
    <w:rsid w:val="00FF3E5B"/>
    <w:rsid w:val="00FF544F"/>
    <w:rsid w:val="00FF57E4"/>
    <w:rsid w:val="00FF6DBA"/>
    <w:rsid w:val="00FF75D9"/>
    <w:rsid w:val="00FF78E5"/>
    <w:rsid w:val="017F6F52"/>
    <w:rsid w:val="01B0327B"/>
    <w:rsid w:val="01B033D2"/>
    <w:rsid w:val="01BD22C8"/>
    <w:rsid w:val="01D35D46"/>
    <w:rsid w:val="01D57778"/>
    <w:rsid w:val="01DA3C65"/>
    <w:rsid w:val="01DF0948"/>
    <w:rsid w:val="02511F9D"/>
    <w:rsid w:val="02B80216"/>
    <w:rsid w:val="02FD5966"/>
    <w:rsid w:val="03056ED3"/>
    <w:rsid w:val="03250F37"/>
    <w:rsid w:val="03504153"/>
    <w:rsid w:val="03801111"/>
    <w:rsid w:val="03A314B8"/>
    <w:rsid w:val="03C439D4"/>
    <w:rsid w:val="03D82B98"/>
    <w:rsid w:val="03F83E8B"/>
    <w:rsid w:val="040170A7"/>
    <w:rsid w:val="04033EF4"/>
    <w:rsid w:val="04222DC2"/>
    <w:rsid w:val="04D93276"/>
    <w:rsid w:val="05D84628"/>
    <w:rsid w:val="05F37081"/>
    <w:rsid w:val="06124590"/>
    <w:rsid w:val="066A7FAC"/>
    <w:rsid w:val="069A7C77"/>
    <w:rsid w:val="06CC603E"/>
    <w:rsid w:val="0702609F"/>
    <w:rsid w:val="074A3EA2"/>
    <w:rsid w:val="075E2DAA"/>
    <w:rsid w:val="077A3324"/>
    <w:rsid w:val="07B72767"/>
    <w:rsid w:val="08077E72"/>
    <w:rsid w:val="08766BA9"/>
    <w:rsid w:val="09270E73"/>
    <w:rsid w:val="094B69DD"/>
    <w:rsid w:val="09681DB7"/>
    <w:rsid w:val="09CC2AAC"/>
    <w:rsid w:val="09D820EE"/>
    <w:rsid w:val="0A4B5296"/>
    <w:rsid w:val="0A4F54E8"/>
    <w:rsid w:val="0A652D3E"/>
    <w:rsid w:val="0A8D59B6"/>
    <w:rsid w:val="0AEC6174"/>
    <w:rsid w:val="0B176E69"/>
    <w:rsid w:val="0B253A7F"/>
    <w:rsid w:val="0B36278D"/>
    <w:rsid w:val="0B3638DE"/>
    <w:rsid w:val="0B3A48F0"/>
    <w:rsid w:val="0B6F0E78"/>
    <w:rsid w:val="0B8C0BDF"/>
    <w:rsid w:val="0BB62B41"/>
    <w:rsid w:val="0C005822"/>
    <w:rsid w:val="0C526FE5"/>
    <w:rsid w:val="0C92213C"/>
    <w:rsid w:val="0CA167E0"/>
    <w:rsid w:val="0CBC1B45"/>
    <w:rsid w:val="0D0D3E42"/>
    <w:rsid w:val="0D4F221D"/>
    <w:rsid w:val="0D84032B"/>
    <w:rsid w:val="0DDF61E3"/>
    <w:rsid w:val="0E425BB0"/>
    <w:rsid w:val="0E935286"/>
    <w:rsid w:val="0EB406C5"/>
    <w:rsid w:val="0EC251B7"/>
    <w:rsid w:val="0ED317E0"/>
    <w:rsid w:val="0F061D7D"/>
    <w:rsid w:val="0F0A0484"/>
    <w:rsid w:val="10211F13"/>
    <w:rsid w:val="103113D5"/>
    <w:rsid w:val="10476D2B"/>
    <w:rsid w:val="106D0312"/>
    <w:rsid w:val="10820986"/>
    <w:rsid w:val="10A27F31"/>
    <w:rsid w:val="10CA487C"/>
    <w:rsid w:val="11681CD4"/>
    <w:rsid w:val="11927058"/>
    <w:rsid w:val="119F0FD4"/>
    <w:rsid w:val="11B15DCC"/>
    <w:rsid w:val="11E90B68"/>
    <w:rsid w:val="12584CB9"/>
    <w:rsid w:val="126537F7"/>
    <w:rsid w:val="13433002"/>
    <w:rsid w:val="1390686A"/>
    <w:rsid w:val="13A81E6B"/>
    <w:rsid w:val="13AF4F03"/>
    <w:rsid w:val="14736E66"/>
    <w:rsid w:val="149B6AC2"/>
    <w:rsid w:val="14BF3CEC"/>
    <w:rsid w:val="14CF48FA"/>
    <w:rsid w:val="14FE278E"/>
    <w:rsid w:val="15293653"/>
    <w:rsid w:val="1534169A"/>
    <w:rsid w:val="1566192C"/>
    <w:rsid w:val="15803AFC"/>
    <w:rsid w:val="15AE7982"/>
    <w:rsid w:val="15C03E03"/>
    <w:rsid w:val="162A25EB"/>
    <w:rsid w:val="16904B28"/>
    <w:rsid w:val="16DB6D8C"/>
    <w:rsid w:val="16FD2A55"/>
    <w:rsid w:val="17366761"/>
    <w:rsid w:val="1740460A"/>
    <w:rsid w:val="17686185"/>
    <w:rsid w:val="177C01F0"/>
    <w:rsid w:val="178057B9"/>
    <w:rsid w:val="17CE6630"/>
    <w:rsid w:val="18332743"/>
    <w:rsid w:val="184C69C1"/>
    <w:rsid w:val="18754787"/>
    <w:rsid w:val="18AD626F"/>
    <w:rsid w:val="19125962"/>
    <w:rsid w:val="19241D0A"/>
    <w:rsid w:val="194C27A2"/>
    <w:rsid w:val="195748F1"/>
    <w:rsid w:val="19820BA0"/>
    <w:rsid w:val="198808F2"/>
    <w:rsid w:val="19A13261"/>
    <w:rsid w:val="1A54439E"/>
    <w:rsid w:val="1AD447AC"/>
    <w:rsid w:val="1AFA16D5"/>
    <w:rsid w:val="1B4F19F8"/>
    <w:rsid w:val="1BD92184"/>
    <w:rsid w:val="1C5170A2"/>
    <w:rsid w:val="1C5663FD"/>
    <w:rsid w:val="1CD11494"/>
    <w:rsid w:val="1CF1275A"/>
    <w:rsid w:val="1CF520FF"/>
    <w:rsid w:val="1D4061A8"/>
    <w:rsid w:val="1D65039C"/>
    <w:rsid w:val="1D7B2297"/>
    <w:rsid w:val="1D961F13"/>
    <w:rsid w:val="1D9921EE"/>
    <w:rsid w:val="1DA12AD6"/>
    <w:rsid w:val="1DA5148C"/>
    <w:rsid w:val="1E4B2C26"/>
    <w:rsid w:val="1E9B4F4B"/>
    <w:rsid w:val="1F063325"/>
    <w:rsid w:val="1F4E7AE0"/>
    <w:rsid w:val="1F562DC8"/>
    <w:rsid w:val="1FBC5DF5"/>
    <w:rsid w:val="1FC55574"/>
    <w:rsid w:val="1FE83919"/>
    <w:rsid w:val="1FFD5E3D"/>
    <w:rsid w:val="1FFFE6D3"/>
    <w:rsid w:val="20005763"/>
    <w:rsid w:val="2014371F"/>
    <w:rsid w:val="201D1505"/>
    <w:rsid w:val="20E71F9A"/>
    <w:rsid w:val="21AD4A24"/>
    <w:rsid w:val="21B83F86"/>
    <w:rsid w:val="21D6176F"/>
    <w:rsid w:val="21E55E66"/>
    <w:rsid w:val="221178A8"/>
    <w:rsid w:val="221213CF"/>
    <w:rsid w:val="22327A92"/>
    <w:rsid w:val="22605823"/>
    <w:rsid w:val="22965435"/>
    <w:rsid w:val="22BD6F35"/>
    <w:rsid w:val="23050055"/>
    <w:rsid w:val="231D53A2"/>
    <w:rsid w:val="23B7504C"/>
    <w:rsid w:val="23BB05E0"/>
    <w:rsid w:val="23E014F0"/>
    <w:rsid w:val="23EE527F"/>
    <w:rsid w:val="23F8409F"/>
    <w:rsid w:val="244275CD"/>
    <w:rsid w:val="24571307"/>
    <w:rsid w:val="24910954"/>
    <w:rsid w:val="24A84075"/>
    <w:rsid w:val="24BA2984"/>
    <w:rsid w:val="24DE1906"/>
    <w:rsid w:val="25246333"/>
    <w:rsid w:val="25321521"/>
    <w:rsid w:val="2580787D"/>
    <w:rsid w:val="25827670"/>
    <w:rsid w:val="25AC2351"/>
    <w:rsid w:val="25D733A9"/>
    <w:rsid w:val="26446DE3"/>
    <w:rsid w:val="264D165B"/>
    <w:rsid w:val="269B50CC"/>
    <w:rsid w:val="26BC55FD"/>
    <w:rsid w:val="26D7699F"/>
    <w:rsid w:val="26E4504A"/>
    <w:rsid w:val="274A5E17"/>
    <w:rsid w:val="27E03860"/>
    <w:rsid w:val="27E4630B"/>
    <w:rsid w:val="27F76F67"/>
    <w:rsid w:val="2862636E"/>
    <w:rsid w:val="28AB22D4"/>
    <w:rsid w:val="2A82486D"/>
    <w:rsid w:val="2A835889"/>
    <w:rsid w:val="2AA16F1D"/>
    <w:rsid w:val="2AA93DC7"/>
    <w:rsid w:val="2AB65FAF"/>
    <w:rsid w:val="2B09065E"/>
    <w:rsid w:val="2B0B528D"/>
    <w:rsid w:val="2B2A692F"/>
    <w:rsid w:val="2B774624"/>
    <w:rsid w:val="2B9B1A2B"/>
    <w:rsid w:val="2BAA0E71"/>
    <w:rsid w:val="2BC068DD"/>
    <w:rsid w:val="2BC41D72"/>
    <w:rsid w:val="2BFB7591"/>
    <w:rsid w:val="2C0C63D6"/>
    <w:rsid w:val="2C6862B1"/>
    <w:rsid w:val="2C7A72BE"/>
    <w:rsid w:val="2CDF7925"/>
    <w:rsid w:val="2D0932BD"/>
    <w:rsid w:val="2D364985"/>
    <w:rsid w:val="2D393D96"/>
    <w:rsid w:val="2D3F165D"/>
    <w:rsid w:val="2DBD60D6"/>
    <w:rsid w:val="2DD74052"/>
    <w:rsid w:val="2E262979"/>
    <w:rsid w:val="2E767E57"/>
    <w:rsid w:val="2E872162"/>
    <w:rsid w:val="2E8D3FCA"/>
    <w:rsid w:val="2ECA1E35"/>
    <w:rsid w:val="2F0E5872"/>
    <w:rsid w:val="2F382935"/>
    <w:rsid w:val="2F401D3C"/>
    <w:rsid w:val="2FA95C88"/>
    <w:rsid w:val="2FD17D20"/>
    <w:rsid w:val="2FEE5C1B"/>
    <w:rsid w:val="30062ABE"/>
    <w:rsid w:val="3041370F"/>
    <w:rsid w:val="307551E0"/>
    <w:rsid w:val="307976F4"/>
    <w:rsid w:val="30890434"/>
    <w:rsid w:val="308E2CD0"/>
    <w:rsid w:val="309C7FC2"/>
    <w:rsid w:val="30F90559"/>
    <w:rsid w:val="31083A05"/>
    <w:rsid w:val="31AF5CFD"/>
    <w:rsid w:val="32016E38"/>
    <w:rsid w:val="32453A27"/>
    <w:rsid w:val="3263064A"/>
    <w:rsid w:val="32684925"/>
    <w:rsid w:val="327B2ECA"/>
    <w:rsid w:val="329B4993"/>
    <w:rsid w:val="32A63380"/>
    <w:rsid w:val="32AC0C06"/>
    <w:rsid w:val="339E473B"/>
    <w:rsid w:val="340A3262"/>
    <w:rsid w:val="342C6052"/>
    <w:rsid w:val="34773B5B"/>
    <w:rsid w:val="3537750C"/>
    <w:rsid w:val="3537798C"/>
    <w:rsid w:val="357F7ED5"/>
    <w:rsid w:val="358A766C"/>
    <w:rsid w:val="35C13FC9"/>
    <w:rsid w:val="362E6D87"/>
    <w:rsid w:val="364257B6"/>
    <w:rsid w:val="364E0A16"/>
    <w:rsid w:val="36926E1C"/>
    <w:rsid w:val="36F834D1"/>
    <w:rsid w:val="374264D3"/>
    <w:rsid w:val="37625508"/>
    <w:rsid w:val="3776777C"/>
    <w:rsid w:val="37A5272C"/>
    <w:rsid w:val="37DB7874"/>
    <w:rsid w:val="37EA5922"/>
    <w:rsid w:val="38032D5E"/>
    <w:rsid w:val="3816241F"/>
    <w:rsid w:val="3823070E"/>
    <w:rsid w:val="38276B93"/>
    <w:rsid w:val="386044BC"/>
    <w:rsid w:val="3875064B"/>
    <w:rsid w:val="387B0309"/>
    <w:rsid w:val="38F924F1"/>
    <w:rsid w:val="3942025E"/>
    <w:rsid w:val="39C91647"/>
    <w:rsid w:val="39EE51C3"/>
    <w:rsid w:val="3A0B64A7"/>
    <w:rsid w:val="3A4463F5"/>
    <w:rsid w:val="3ABF0310"/>
    <w:rsid w:val="3AF74C02"/>
    <w:rsid w:val="3B510D57"/>
    <w:rsid w:val="3BBA2AA9"/>
    <w:rsid w:val="3C0059A5"/>
    <w:rsid w:val="3C134E78"/>
    <w:rsid w:val="3C82547E"/>
    <w:rsid w:val="3C8F3E25"/>
    <w:rsid w:val="3D5E764C"/>
    <w:rsid w:val="3D8B6AEE"/>
    <w:rsid w:val="3DEDC849"/>
    <w:rsid w:val="3DF6345D"/>
    <w:rsid w:val="3DFB6A2A"/>
    <w:rsid w:val="3DFED5DB"/>
    <w:rsid w:val="3E17681D"/>
    <w:rsid w:val="3E481B73"/>
    <w:rsid w:val="3E5A5479"/>
    <w:rsid w:val="3EA72781"/>
    <w:rsid w:val="3EC357A9"/>
    <w:rsid w:val="3EE13701"/>
    <w:rsid w:val="3EFD24C0"/>
    <w:rsid w:val="3F0C191C"/>
    <w:rsid w:val="3F1A4BB3"/>
    <w:rsid w:val="3F32042D"/>
    <w:rsid w:val="3F473DFB"/>
    <w:rsid w:val="3F742409"/>
    <w:rsid w:val="3FDA2718"/>
    <w:rsid w:val="40192BA6"/>
    <w:rsid w:val="409B1052"/>
    <w:rsid w:val="40CA18BF"/>
    <w:rsid w:val="41636FC4"/>
    <w:rsid w:val="417B2A30"/>
    <w:rsid w:val="4182575B"/>
    <w:rsid w:val="41DE2E55"/>
    <w:rsid w:val="422721EC"/>
    <w:rsid w:val="42550A18"/>
    <w:rsid w:val="42587E9B"/>
    <w:rsid w:val="42710E9A"/>
    <w:rsid w:val="42933B54"/>
    <w:rsid w:val="42F473A1"/>
    <w:rsid w:val="43401D9D"/>
    <w:rsid w:val="434075BC"/>
    <w:rsid w:val="43501FD9"/>
    <w:rsid w:val="439E229A"/>
    <w:rsid w:val="43A830DF"/>
    <w:rsid w:val="43E7556D"/>
    <w:rsid w:val="43F47EEC"/>
    <w:rsid w:val="4412628C"/>
    <w:rsid w:val="44134083"/>
    <w:rsid w:val="4413597E"/>
    <w:rsid w:val="441E62C0"/>
    <w:rsid w:val="44222D52"/>
    <w:rsid w:val="44274ACD"/>
    <w:rsid w:val="446D73D2"/>
    <w:rsid w:val="4488337C"/>
    <w:rsid w:val="45176708"/>
    <w:rsid w:val="454249DA"/>
    <w:rsid w:val="4561108D"/>
    <w:rsid w:val="45811C7C"/>
    <w:rsid w:val="46053138"/>
    <w:rsid w:val="46342ECC"/>
    <w:rsid w:val="468B3EFB"/>
    <w:rsid w:val="46983DA2"/>
    <w:rsid w:val="469A023F"/>
    <w:rsid w:val="46D12499"/>
    <w:rsid w:val="46F7426B"/>
    <w:rsid w:val="470A6193"/>
    <w:rsid w:val="474FBBC5"/>
    <w:rsid w:val="47624F89"/>
    <w:rsid w:val="47D470E7"/>
    <w:rsid w:val="47DC4F5C"/>
    <w:rsid w:val="481E5282"/>
    <w:rsid w:val="48B40671"/>
    <w:rsid w:val="493461AC"/>
    <w:rsid w:val="49434789"/>
    <w:rsid w:val="49512D13"/>
    <w:rsid w:val="495A6D8F"/>
    <w:rsid w:val="49900624"/>
    <w:rsid w:val="499B5738"/>
    <w:rsid w:val="499F244D"/>
    <w:rsid w:val="49A1036C"/>
    <w:rsid w:val="49E05655"/>
    <w:rsid w:val="4A847B81"/>
    <w:rsid w:val="4A8F58C2"/>
    <w:rsid w:val="4AA55088"/>
    <w:rsid w:val="4AF96BC7"/>
    <w:rsid w:val="4B281F1F"/>
    <w:rsid w:val="4B3A426B"/>
    <w:rsid w:val="4BCB1C21"/>
    <w:rsid w:val="4BFB4050"/>
    <w:rsid w:val="4C1C4152"/>
    <w:rsid w:val="4C4B035F"/>
    <w:rsid w:val="4CED25F5"/>
    <w:rsid w:val="4CEF36E2"/>
    <w:rsid w:val="4D3B1120"/>
    <w:rsid w:val="4D732CDE"/>
    <w:rsid w:val="4D924EB8"/>
    <w:rsid w:val="4DA26E70"/>
    <w:rsid w:val="4DAA322D"/>
    <w:rsid w:val="4DF273C0"/>
    <w:rsid w:val="4E4B175E"/>
    <w:rsid w:val="4F364C96"/>
    <w:rsid w:val="4F372FFB"/>
    <w:rsid w:val="4F760CEB"/>
    <w:rsid w:val="4FA76FA4"/>
    <w:rsid w:val="4FAC6DE4"/>
    <w:rsid w:val="4FC47104"/>
    <w:rsid w:val="4FC6115D"/>
    <w:rsid w:val="4FE7CA94"/>
    <w:rsid w:val="5003642A"/>
    <w:rsid w:val="5005394E"/>
    <w:rsid w:val="50094601"/>
    <w:rsid w:val="501D4CE8"/>
    <w:rsid w:val="502D7122"/>
    <w:rsid w:val="50570021"/>
    <w:rsid w:val="50BD049E"/>
    <w:rsid w:val="50DB6653"/>
    <w:rsid w:val="50EF4246"/>
    <w:rsid w:val="51135653"/>
    <w:rsid w:val="513F391C"/>
    <w:rsid w:val="51460589"/>
    <w:rsid w:val="51564E44"/>
    <w:rsid w:val="515C1CE4"/>
    <w:rsid w:val="516030CA"/>
    <w:rsid w:val="517B35E0"/>
    <w:rsid w:val="51AA5514"/>
    <w:rsid w:val="51E030FD"/>
    <w:rsid w:val="51F36455"/>
    <w:rsid w:val="52134E60"/>
    <w:rsid w:val="52C10D75"/>
    <w:rsid w:val="52F60935"/>
    <w:rsid w:val="535C18AD"/>
    <w:rsid w:val="53B16E4F"/>
    <w:rsid w:val="53C670E8"/>
    <w:rsid w:val="545B76E2"/>
    <w:rsid w:val="54BA6EF9"/>
    <w:rsid w:val="55050372"/>
    <w:rsid w:val="550C4BD7"/>
    <w:rsid w:val="554B5A00"/>
    <w:rsid w:val="55572986"/>
    <w:rsid w:val="560B7FD4"/>
    <w:rsid w:val="561B4AC6"/>
    <w:rsid w:val="5620304D"/>
    <w:rsid w:val="56537644"/>
    <w:rsid w:val="567C377F"/>
    <w:rsid w:val="56CD50CD"/>
    <w:rsid w:val="56F07A12"/>
    <w:rsid w:val="573E3835"/>
    <w:rsid w:val="57430635"/>
    <w:rsid w:val="57536C94"/>
    <w:rsid w:val="577742CD"/>
    <w:rsid w:val="579E0279"/>
    <w:rsid w:val="57B03239"/>
    <w:rsid w:val="57E474FF"/>
    <w:rsid w:val="57F50297"/>
    <w:rsid w:val="583F5B1B"/>
    <w:rsid w:val="5877593F"/>
    <w:rsid w:val="58926C22"/>
    <w:rsid w:val="58D65FE6"/>
    <w:rsid w:val="593F58E8"/>
    <w:rsid w:val="598B6C60"/>
    <w:rsid w:val="598F614F"/>
    <w:rsid w:val="59E9604F"/>
    <w:rsid w:val="5A4D6B19"/>
    <w:rsid w:val="5A5F5060"/>
    <w:rsid w:val="5A6579D7"/>
    <w:rsid w:val="5A7F748E"/>
    <w:rsid w:val="5A957D93"/>
    <w:rsid w:val="5AD8575B"/>
    <w:rsid w:val="5B0F5A82"/>
    <w:rsid w:val="5B3760D9"/>
    <w:rsid w:val="5B973181"/>
    <w:rsid w:val="5C774339"/>
    <w:rsid w:val="5CE019A8"/>
    <w:rsid w:val="5CF74D38"/>
    <w:rsid w:val="5D2317D1"/>
    <w:rsid w:val="5D303DA6"/>
    <w:rsid w:val="5D6346F5"/>
    <w:rsid w:val="5D7D18C9"/>
    <w:rsid w:val="5E192A8C"/>
    <w:rsid w:val="5E277F5F"/>
    <w:rsid w:val="5EA44201"/>
    <w:rsid w:val="5EB91A2C"/>
    <w:rsid w:val="5ECF75EF"/>
    <w:rsid w:val="5EF326B9"/>
    <w:rsid w:val="5F283D13"/>
    <w:rsid w:val="5F751F44"/>
    <w:rsid w:val="5F80710D"/>
    <w:rsid w:val="60566E27"/>
    <w:rsid w:val="606007BB"/>
    <w:rsid w:val="60745960"/>
    <w:rsid w:val="607B0C60"/>
    <w:rsid w:val="60AC7F66"/>
    <w:rsid w:val="613751C4"/>
    <w:rsid w:val="615F1E5B"/>
    <w:rsid w:val="618835DC"/>
    <w:rsid w:val="61A8587F"/>
    <w:rsid w:val="61BF10D9"/>
    <w:rsid w:val="61CF7AF6"/>
    <w:rsid w:val="628F2C23"/>
    <w:rsid w:val="629F7BDB"/>
    <w:rsid w:val="62A66906"/>
    <w:rsid w:val="62BC4146"/>
    <w:rsid w:val="631869C8"/>
    <w:rsid w:val="63BC20FC"/>
    <w:rsid w:val="63D17BBC"/>
    <w:rsid w:val="63EF5A68"/>
    <w:rsid w:val="640C7C21"/>
    <w:rsid w:val="645C7BFD"/>
    <w:rsid w:val="64891A0F"/>
    <w:rsid w:val="64E45EF7"/>
    <w:rsid w:val="6514204D"/>
    <w:rsid w:val="656404CE"/>
    <w:rsid w:val="666A49FB"/>
    <w:rsid w:val="66A419BB"/>
    <w:rsid w:val="66A57729"/>
    <w:rsid w:val="66F947B1"/>
    <w:rsid w:val="670B339A"/>
    <w:rsid w:val="672A7AB8"/>
    <w:rsid w:val="677435B2"/>
    <w:rsid w:val="67AF051E"/>
    <w:rsid w:val="67C52EF7"/>
    <w:rsid w:val="67CF9726"/>
    <w:rsid w:val="67EF75F1"/>
    <w:rsid w:val="685328C9"/>
    <w:rsid w:val="69124F16"/>
    <w:rsid w:val="691E143B"/>
    <w:rsid w:val="695318F0"/>
    <w:rsid w:val="696DF197"/>
    <w:rsid w:val="69A17196"/>
    <w:rsid w:val="69C64B0E"/>
    <w:rsid w:val="69CD5C14"/>
    <w:rsid w:val="69CF0D33"/>
    <w:rsid w:val="69F036EE"/>
    <w:rsid w:val="69F338D1"/>
    <w:rsid w:val="6A161E20"/>
    <w:rsid w:val="6A2E478C"/>
    <w:rsid w:val="6A64534B"/>
    <w:rsid w:val="6A976CAA"/>
    <w:rsid w:val="6AB24495"/>
    <w:rsid w:val="6ADF4470"/>
    <w:rsid w:val="6B251937"/>
    <w:rsid w:val="6B7F445C"/>
    <w:rsid w:val="6B9946B3"/>
    <w:rsid w:val="6BBF097E"/>
    <w:rsid w:val="6BFB109A"/>
    <w:rsid w:val="6C5E7372"/>
    <w:rsid w:val="6D1837C6"/>
    <w:rsid w:val="6DDB7B09"/>
    <w:rsid w:val="6DE76850"/>
    <w:rsid w:val="6E7B51EE"/>
    <w:rsid w:val="6E9A1018"/>
    <w:rsid w:val="6F0D0399"/>
    <w:rsid w:val="6F5C095C"/>
    <w:rsid w:val="6F7B6C99"/>
    <w:rsid w:val="6FA53F84"/>
    <w:rsid w:val="6FB20BD4"/>
    <w:rsid w:val="6FB72C3A"/>
    <w:rsid w:val="6FBA59BE"/>
    <w:rsid w:val="6FCBEB86"/>
    <w:rsid w:val="6FE6017B"/>
    <w:rsid w:val="6FF414EF"/>
    <w:rsid w:val="6FFB499A"/>
    <w:rsid w:val="70296B3E"/>
    <w:rsid w:val="70611204"/>
    <w:rsid w:val="71395E92"/>
    <w:rsid w:val="716E6CA6"/>
    <w:rsid w:val="716F59BA"/>
    <w:rsid w:val="71CC775E"/>
    <w:rsid w:val="71D81424"/>
    <w:rsid w:val="72052CDF"/>
    <w:rsid w:val="7234593E"/>
    <w:rsid w:val="725F1B7F"/>
    <w:rsid w:val="72B13D23"/>
    <w:rsid w:val="72B45B55"/>
    <w:rsid w:val="72E04991"/>
    <w:rsid w:val="72EF4CB6"/>
    <w:rsid w:val="72F06E78"/>
    <w:rsid w:val="738B2CF1"/>
    <w:rsid w:val="73E74FBE"/>
    <w:rsid w:val="740378EA"/>
    <w:rsid w:val="74156F93"/>
    <w:rsid w:val="745B37DB"/>
    <w:rsid w:val="74CC6652"/>
    <w:rsid w:val="74F53740"/>
    <w:rsid w:val="74FA2C30"/>
    <w:rsid w:val="750006C1"/>
    <w:rsid w:val="75DB058A"/>
    <w:rsid w:val="75FB31CF"/>
    <w:rsid w:val="760065B4"/>
    <w:rsid w:val="761402B1"/>
    <w:rsid w:val="76164DEA"/>
    <w:rsid w:val="76206C56"/>
    <w:rsid w:val="763602F9"/>
    <w:rsid w:val="76674F2A"/>
    <w:rsid w:val="76BC49EB"/>
    <w:rsid w:val="77000DA2"/>
    <w:rsid w:val="77145ED7"/>
    <w:rsid w:val="772F28BE"/>
    <w:rsid w:val="7759063E"/>
    <w:rsid w:val="77A77106"/>
    <w:rsid w:val="77C6752A"/>
    <w:rsid w:val="781E69D1"/>
    <w:rsid w:val="78340059"/>
    <w:rsid w:val="784775B0"/>
    <w:rsid w:val="78AE17AF"/>
    <w:rsid w:val="78AE5AC0"/>
    <w:rsid w:val="78EF4FEB"/>
    <w:rsid w:val="790B7C99"/>
    <w:rsid w:val="79BC6C95"/>
    <w:rsid w:val="79D044EF"/>
    <w:rsid w:val="79DC27FB"/>
    <w:rsid w:val="79ED350F"/>
    <w:rsid w:val="7A3C7DD6"/>
    <w:rsid w:val="7A53293A"/>
    <w:rsid w:val="7A89328F"/>
    <w:rsid w:val="7ADD0453"/>
    <w:rsid w:val="7AF46346"/>
    <w:rsid w:val="7B0F5EBF"/>
    <w:rsid w:val="7B130FB9"/>
    <w:rsid w:val="7B2368A0"/>
    <w:rsid w:val="7B4F683F"/>
    <w:rsid w:val="7B6D2C2E"/>
    <w:rsid w:val="7B9C2CFF"/>
    <w:rsid w:val="7BD950E3"/>
    <w:rsid w:val="7BDE0625"/>
    <w:rsid w:val="7BF64EDE"/>
    <w:rsid w:val="7C400C1E"/>
    <w:rsid w:val="7C423EA4"/>
    <w:rsid w:val="7C8A3680"/>
    <w:rsid w:val="7C9A0DE4"/>
    <w:rsid w:val="7CCD4340"/>
    <w:rsid w:val="7CF06932"/>
    <w:rsid w:val="7D4F2DEB"/>
    <w:rsid w:val="7DD031B8"/>
    <w:rsid w:val="7DD11708"/>
    <w:rsid w:val="7E47099D"/>
    <w:rsid w:val="7EBC46EA"/>
    <w:rsid w:val="7EC167BD"/>
    <w:rsid w:val="7EDE145C"/>
    <w:rsid w:val="7F370E72"/>
    <w:rsid w:val="7F48296E"/>
    <w:rsid w:val="7F4B1439"/>
    <w:rsid w:val="7F4F6B9E"/>
    <w:rsid w:val="7FAD3B2B"/>
    <w:rsid w:val="7FBB3BA1"/>
    <w:rsid w:val="7FF82C26"/>
    <w:rsid w:val="7FFDF807"/>
    <w:rsid w:val="7FFF5959"/>
    <w:rsid w:val="AE2CE3F4"/>
    <w:rsid w:val="BFD60013"/>
    <w:rsid w:val="BFFBA1AD"/>
    <w:rsid w:val="D77595F8"/>
    <w:rsid w:val="DAEE36C5"/>
    <w:rsid w:val="DDBF3D8B"/>
    <w:rsid w:val="DFFA7D3D"/>
    <w:rsid w:val="EF93D044"/>
    <w:rsid w:val="FAF95D48"/>
    <w:rsid w:val="FBEF93E5"/>
    <w:rsid w:val="FDBF3331"/>
    <w:rsid w:val="FF1DC051"/>
    <w:rsid w:val="FFF5BC0D"/>
    <w:rsid w:val="FFF7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15"/>
    <w:autoRedefine/>
    <w:qFormat/>
    <w:uiPriority w:val="9"/>
    <w:pPr>
      <w:keepNext/>
      <w:keepLines/>
      <w:numPr>
        <w:ilvl w:val="2"/>
        <w:numId w:val="1"/>
      </w:numPr>
      <w:tabs>
        <w:tab w:val="left" w:pos="1276"/>
      </w:tabs>
      <w:spacing w:before="260" w:after="260" w:line="416" w:lineRule="auto"/>
      <w:outlineLvl w:val="2"/>
    </w:pPr>
    <w:rPr>
      <w:rFonts w:eastAsia="黑体"/>
      <w:b/>
      <w:bCs/>
      <w:sz w:val="28"/>
      <w:szCs w:val="32"/>
    </w:rPr>
  </w:style>
  <w:style w:type="paragraph" w:styleId="5">
    <w:name w:val="heading 5"/>
    <w:basedOn w:val="1"/>
    <w:next w:val="6"/>
    <w:link w:val="33"/>
    <w:autoRedefine/>
    <w:qFormat/>
    <w:uiPriority w:val="9"/>
    <w:pPr>
      <w:keepNext/>
      <w:keepLines/>
      <w:spacing w:before="280" w:after="290" w:line="376" w:lineRule="auto"/>
      <w:outlineLvl w:val="4"/>
    </w:pPr>
    <w:rPr>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szCs w:val="20"/>
    </w:rPr>
  </w:style>
  <w:style w:type="paragraph" w:styleId="7">
    <w:name w:val="List Number"/>
    <w:basedOn w:val="1"/>
    <w:autoRedefine/>
    <w:qFormat/>
    <w:uiPriority w:val="0"/>
    <w:pPr>
      <w:widowControl/>
      <w:tabs>
        <w:tab w:val="left" w:pos="454"/>
        <w:tab w:val="left" w:pos="720"/>
        <w:tab w:val="left" w:pos="840"/>
      </w:tabs>
      <w:spacing w:afterLines="50"/>
      <w:ind w:left="454" w:hanging="284"/>
      <w:jc w:val="left"/>
    </w:pPr>
    <w:rPr>
      <w:kern w:val="0"/>
      <w:sz w:val="24"/>
      <w:szCs w:val="20"/>
    </w:rPr>
  </w:style>
  <w:style w:type="paragraph" w:styleId="8">
    <w:name w:val="annotation text"/>
    <w:basedOn w:val="1"/>
    <w:link w:val="34"/>
    <w:autoRedefine/>
    <w:qFormat/>
    <w:uiPriority w:val="0"/>
    <w:pPr>
      <w:jc w:val="left"/>
    </w:pPr>
  </w:style>
  <w:style w:type="paragraph" w:styleId="9">
    <w:name w:val="Body Text 3"/>
    <w:basedOn w:val="1"/>
    <w:link w:val="35"/>
    <w:autoRedefine/>
    <w:unhideWhenUsed/>
    <w:qFormat/>
    <w:uiPriority w:val="99"/>
    <w:pPr>
      <w:spacing w:after="120"/>
    </w:pPr>
    <w:rPr>
      <w:sz w:val="16"/>
      <w:szCs w:val="16"/>
    </w:rPr>
  </w:style>
  <w:style w:type="paragraph" w:styleId="10">
    <w:name w:val="Body Text"/>
    <w:basedOn w:val="1"/>
    <w:next w:val="1"/>
    <w:link w:val="36"/>
    <w:autoRedefine/>
    <w:unhideWhenUsed/>
    <w:qFormat/>
    <w:uiPriority w:val="99"/>
    <w:pPr>
      <w:spacing w:after="120"/>
    </w:pPr>
  </w:style>
  <w:style w:type="paragraph" w:styleId="11">
    <w:name w:val="Body Text Indent"/>
    <w:basedOn w:val="1"/>
    <w:link w:val="37"/>
    <w:autoRedefine/>
    <w:qFormat/>
    <w:uiPriority w:val="0"/>
    <w:pPr>
      <w:ind w:firstLine="830" w:firstLineChars="352"/>
    </w:pPr>
    <w:rPr>
      <w:rFonts w:ascii="仿宋_GB2312" w:eastAsia="仿宋_GB2312"/>
      <w:kern w:val="0"/>
      <w:sz w:val="32"/>
      <w:szCs w:val="20"/>
    </w:rPr>
  </w:style>
  <w:style w:type="paragraph" w:styleId="12">
    <w:name w:val="List 2"/>
    <w:basedOn w:val="1"/>
    <w:autoRedefine/>
    <w:unhideWhenUsed/>
    <w:qFormat/>
    <w:uiPriority w:val="99"/>
    <w:pPr>
      <w:ind w:left="100" w:leftChars="200" w:hanging="200" w:hangingChars="200"/>
      <w:contextualSpacing/>
    </w:pPr>
  </w:style>
  <w:style w:type="paragraph" w:styleId="13">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4">
    <w:name w:val="Plain Text"/>
    <w:basedOn w:val="1"/>
    <w:link w:val="38"/>
    <w:autoRedefine/>
    <w:qFormat/>
    <w:uiPriority w:val="99"/>
    <w:rPr>
      <w:rFonts w:ascii="宋体" w:hAnsi="Courier New"/>
      <w:kern w:val="0"/>
      <w:sz w:val="20"/>
      <w:szCs w:val="21"/>
    </w:rPr>
  </w:style>
  <w:style w:type="paragraph" w:styleId="15">
    <w:name w:val="Date"/>
    <w:basedOn w:val="1"/>
    <w:next w:val="1"/>
    <w:link w:val="39"/>
    <w:autoRedefine/>
    <w:unhideWhenUsed/>
    <w:qFormat/>
    <w:uiPriority w:val="99"/>
    <w:pPr>
      <w:ind w:left="100" w:leftChars="2500"/>
    </w:pPr>
  </w:style>
  <w:style w:type="paragraph" w:styleId="16">
    <w:name w:val="Balloon Text"/>
    <w:basedOn w:val="1"/>
    <w:link w:val="114"/>
    <w:autoRedefine/>
    <w:semiHidden/>
    <w:qFormat/>
    <w:uiPriority w:val="99"/>
    <w:rPr>
      <w:sz w:val="18"/>
      <w:szCs w:val="18"/>
    </w:rPr>
  </w:style>
  <w:style w:type="paragraph" w:styleId="17">
    <w:name w:val="footer"/>
    <w:basedOn w:val="1"/>
    <w:link w:val="40"/>
    <w:autoRedefine/>
    <w:unhideWhenUsed/>
    <w:qFormat/>
    <w:uiPriority w:val="99"/>
    <w:pPr>
      <w:tabs>
        <w:tab w:val="center" w:pos="4153"/>
        <w:tab w:val="right" w:pos="8306"/>
      </w:tabs>
      <w:snapToGrid w:val="0"/>
      <w:jc w:val="left"/>
    </w:pPr>
    <w:rPr>
      <w:kern w:val="0"/>
      <w:sz w:val="18"/>
      <w:szCs w:val="18"/>
    </w:rPr>
  </w:style>
  <w:style w:type="paragraph" w:styleId="18">
    <w:name w:val="header"/>
    <w:basedOn w:val="1"/>
    <w:link w:val="4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autoRedefine/>
    <w:unhideWhenUsed/>
    <w:qFormat/>
    <w:uiPriority w:val="39"/>
  </w:style>
  <w:style w:type="paragraph" w:styleId="20">
    <w:name w:val="toc 2"/>
    <w:basedOn w:val="1"/>
    <w:next w:val="1"/>
    <w:autoRedefine/>
    <w:unhideWhenUsed/>
    <w:qFormat/>
    <w:uiPriority w:val="39"/>
    <w:pPr>
      <w:tabs>
        <w:tab w:val="right" w:leader="dot" w:pos="8296"/>
      </w:tabs>
      <w:ind w:left="420" w:leftChars="200"/>
    </w:pPr>
  </w:style>
  <w:style w:type="paragraph" w:styleId="21">
    <w:name w:val="Body Text 2"/>
    <w:basedOn w:val="1"/>
    <w:next w:val="10"/>
    <w:link w:val="116"/>
    <w:autoRedefine/>
    <w:unhideWhenUsed/>
    <w:qFormat/>
    <w:uiPriority w:val="99"/>
    <w:pPr>
      <w:spacing w:after="120" w:line="480" w:lineRule="auto"/>
    </w:pPr>
  </w:style>
  <w:style w:type="paragraph" w:styleId="22">
    <w:name w:val="Normal (Web)"/>
    <w:basedOn w:val="1"/>
    <w:autoRedefine/>
    <w:unhideWhenUsed/>
    <w:qFormat/>
    <w:uiPriority w:val="99"/>
    <w:rPr>
      <w:rFonts w:ascii="Calibri" w:hAnsi="Calibri"/>
      <w:kern w:val="0"/>
      <w:sz w:val="24"/>
    </w:rPr>
  </w:style>
  <w:style w:type="paragraph" w:styleId="23">
    <w:name w:val="annotation subject"/>
    <w:basedOn w:val="8"/>
    <w:next w:val="8"/>
    <w:link w:val="42"/>
    <w:autoRedefine/>
    <w:qFormat/>
    <w:uiPriority w:val="99"/>
    <w:rPr>
      <w:b/>
      <w:bCs/>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7">
    <w:name w:val="FollowedHyperlink"/>
    <w:basedOn w:val="26"/>
    <w:autoRedefine/>
    <w:semiHidden/>
    <w:unhideWhenUsed/>
    <w:qFormat/>
    <w:uiPriority w:val="99"/>
    <w:rPr>
      <w:color w:val="800080"/>
      <w:u w:val="single"/>
    </w:rPr>
  </w:style>
  <w:style w:type="character" w:styleId="28">
    <w:name w:val="Hyperlink"/>
    <w:autoRedefine/>
    <w:unhideWhenUsed/>
    <w:qFormat/>
    <w:uiPriority w:val="99"/>
    <w:rPr>
      <w:color w:val="0000FF"/>
      <w:u w:val="single"/>
    </w:rPr>
  </w:style>
  <w:style w:type="character" w:styleId="29">
    <w:name w:val="annotation reference"/>
    <w:autoRedefine/>
    <w:qFormat/>
    <w:uiPriority w:val="99"/>
    <w:rPr>
      <w:sz w:val="21"/>
      <w:szCs w:val="21"/>
    </w:rPr>
  </w:style>
  <w:style w:type="character" w:styleId="30">
    <w:name w:val="HTML Sample"/>
    <w:basedOn w:val="26"/>
    <w:semiHidden/>
    <w:unhideWhenUsed/>
    <w:qFormat/>
    <w:uiPriority w:val="99"/>
    <w:rPr>
      <w:rFonts w:ascii="Courier New" w:hAnsi="Courier New"/>
    </w:rPr>
  </w:style>
  <w:style w:type="character" w:customStyle="1" w:styleId="31">
    <w:name w:val="标题 1 Char"/>
    <w:link w:val="2"/>
    <w:autoRedefine/>
    <w:qFormat/>
    <w:uiPriority w:val="0"/>
    <w:rPr>
      <w:b/>
      <w:bCs/>
      <w:kern w:val="44"/>
      <w:sz w:val="44"/>
      <w:szCs w:val="44"/>
    </w:rPr>
  </w:style>
  <w:style w:type="character" w:customStyle="1" w:styleId="32">
    <w:name w:val="标题 2 Char"/>
    <w:link w:val="3"/>
    <w:autoRedefine/>
    <w:qFormat/>
    <w:uiPriority w:val="9"/>
    <w:rPr>
      <w:rFonts w:ascii="Cambria" w:hAnsi="Cambria" w:eastAsia="宋体" w:cs="Times New Roman"/>
      <w:b/>
      <w:bCs/>
      <w:kern w:val="2"/>
      <w:sz w:val="32"/>
      <w:szCs w:val="32"/>
    </w:rPr>
  </w:style>
  <w:style w:type="character" w:customStyle="1" w:styleId="33">
    <w:name w:val="标题 5 Char"/>
    <w:link w:val="5"/>
    <w:autoRedefine/>
    <w:qFormat/>
    <w:uiPriority w:val="9"/>
    <w:rPr>
      <w:rFonts w:ascii="Times New Roman" w:hAnsi="Times New Roman"/>
      <w:b/>
      <w:bCs/>
      <w:kern w:val="2"/>
      <w:sz w:val="28"/>
      <w:szCs w:val="28"/>
    </w:rPr>
  </w:style>
  <w:style w:type="character" w:customStyle="1" w:styleId="34">
    <w:name w:val="批注文字 Char"/>
    <w:link w:val="8"/>
    <w:autoRedefine/>
    <w:qFormat/>
    <w:uiPriority w:val="0"/>
    <w:rPr>
      <w:rFonts w:ascii="Times New Roman" w:hAnsi="Times New Roman"/>
      <w:kern w:val="2"/>
      <w:sz w:val="21"/>
      <w:szCs w:val="24"/>
    </w:rPr>
  </w:style>
  <w:style w:type="character" w:customStyle="1" w:styleId="35">
    <w:name w:val="正文文本 3 Char"/>
    <w:link w:val="9"/>
    <w:autoRedefine/>
    <w:qFormat/>
    <w:uiPriority w:val="99"/>
    <w:rPr>
      <w:rFonts w:ascii="Times New Roman" w:hAnsi="Times New Roman"/>
      <w:kern w:val="2"/>
      <w:sz w:val="16"/>
      <w:szCs w:val="16"/>
    </w:rPr>
  </w:style>
  <w:style w:type="character" w:customStyle="1" w:styleId="36">
    <w:name w:val="正文文本 Char"/>
    <w:link w:val="10"/>
    <w:autoRedefine/>
    <w:qFormat/>
    <w:uiPriority w:val="99"/>
    <w:rPr>
      <w:rFonts w:ascii="Times New Roman" w:hAnsi="Times New Roman"/>
      <w:kern w:val="2"/>
      <w:sz w:val="21"/>
      <w:szCs w:val="24"/>
    </w:rPr>
  </w:style>
  <w:style w:type="character" w:customStyle="1" w:styleId="37">
    <w:name w:val="正文文本缩进 Char"/>
    <w:link w:val="11"/>
    <w:autoRedefine/>
    <w:qFormat/>
    <w:uiPriority w:val="0"/>
    <w:rPr>
      <w:rFonts w:ascii="仿宋_GB2312" w:hAnsi="Times New Roman" w:eastAsia="仿宋_GB2312" w:cs="Times New Roman"/>
      <w:sz w:val="32"/>
      <w:szCs w:val="20"/>
    </w:rPr>
  </w:style>
  <w:style w:type="character" w:customStyle="1" w:styleId="38">
    <w:name w:val="纯文本 Char"/>
    <w:link w:val="14"/>
    <w:autoRedefine/>
    <w:qFormat/>
    <w:uiPriority w:val="99"/>
    <w:rPr>
      <w:rFonts w:ascii="宋体" w:hAnsi="Courier New" w:eastAsia="宋体" w:cs="Courier New"/>
      <w:szCs w:val="21"/>
    </w:rPr>
  </w:style>
  <w:style w:type="character" w:customStyle="1" w:styleId="39">
    <w:name w:val="日期 Char"/>
    <w:link w:val="15"/>
    <w:autoRedefine/>
    <w:qFormat/>
    <w:uiPriority w:val="99"/>
    <w:rPr>
      <w:rFonts w:ascii="Times New Roman" w:hAnsi="Times New Roman"/>
      <w:kern w:val="2"/>
      <w:sz w:val="21"/>
      <w:szCs w:val="24"/>
    </w:rPr>
  </w:style>
  <w:style w:type="character" w:customStyle="1" w:styleId="40">
    <w:name w:val="页脚 Char1"/>
    <w:link w:val="17"/>
    <w:autoRedefine/>
    <w:qFormat/>
    <w:uiPriority w:val="99"/>
    <w:rPr>
      <w:sz w:val="18"/>
      <w:szCs w:val="18"/>
    </w:rPr>
  </w:style>
  <w:style w:type="character" w:customStyle="1" w:styleId="41">
    <w:name w:val="页眉 Char"/>
    <w:link w:val="18"/>
    <w:autoRedefine/>
    <w:qFormat/>
    <w:uiPriority w:val="0"/>
    <w:rPr>
      <w:sz w:val="18"/>
      <w:szCs w:val="18"/>
    </w:rPr>
  </w:style>
  <w:style w:type="character" w:customStyle="1" w:styleId="42">
    <w:name w:val="批注主题 Char"/>
    <w:link w:val="23"/>
    <w:autoRedefine/>
    <w:qFormat/>
    <w:uiPriority w:val="99"/>
    <w:rPr>
      <w:rFonts w:ascii="Times New Roman" w:hAnsi="Times New Roman"/>
      <w:b/>
      <w:bCs/>
      <w:kern w:val="2"/>
      <w:sz w:val="21"/>
      <w:szCs w:val="24"/>
    </w:rPr>
  </w:style>
  <w:style w:type="character" w:customStyle="1" w:styleId="43">
    <w:name w:val="正文文本缩进 字符1"/>
    <w:autoRedefine/>
    <w:qFormat/>
    <w:uiPriority w:val="0"/>
    <w:rPr>
      <w:rFonts w:ascii="仿宋_GB2312" w:hAnsi="Times New Roman" w:eastAsia="仿宋_GB2312" w:cs="Times New Roman"/>
      <w:sz w:val="32"/>
      <w:szCs w:val="20"/>
    </w:rPr>
  </w:style>
  <w:style w:type="character" w:customStyle="1" w:styleId="44">
    <w:name w:val="apple-style-span"/>
    <w:basedOn w:val="26"/>
    <w:autoRedefine/>
    <w:qFormat/>
    <w:uiPriority w:val="0"/>
  </w:style>
  <w:style w:type="character" w:customStyle="1" w:styleId="45">
    <w:name w:val="标题 1 字符"/>
    <w:autoRedefine/>
    <w:qFormat/>
    <w:uiPriority w:val="9"/>
    <w:rPr>
      <w:b/>
      <w:bCs/>
      <w:kern w:val="44"/>
      <w:sz w:val="44"/>
      <w:szCs w:val="44"/>
    </w:rPr>
  </w:style>
  <w:style w:type="character" w:customStyle="1" w:styleId="46">
    <w:name w:val="textcontents"/>
    <w:autoRedefine/>
    <w:qFormat/>
    <w:uiPriority w:val="0"/>
  </w:style>
  <w:style w:type="character" w:customStyle="1" w:styleId="47">
    <w:name w:val="纯文本 字符1"/>
    <w:autoRedefine/>
    <w:qFormat/>
    <w:uiPriority w:val="0"/>
    <w:rPr>
      <w:rFonts w:ascii="宋体" w:hAnsi="Courier New"/>
    </w:rPr>
  </w:style>
  <w:style w:type="character" w:customStyle="1" w:styleId="48">
    <w:name w:val="批注文字 字符1"/>
    <w:autoRedefine/>
    <w:qFormat/>
    <w:uiPriority w:val="0"/>
    <w:rPr>
      <w:kern w:val="2"/>
      <w:sz w:val="21"/>
      <w:szCs w:val="24"/>
    </w:rPr>
  </w:style>
  <w:style w:type="character" w:customStyle="1" w:styleId="49">
    <w:name w:val="纯文本 字符2"/>
    <w:autoRedefine/>
    <w:qFormat/>
    <w:uiPriority w:val="0"/>
    <w:rPr>
      <w:rFonts w:ascii="宋体" w:hAnsi="Courier New" w:eastAsia="宋体" w:cs="Courier New"/>
      <w:szCs w:val="21"/>
    </w:rPr>
  </w:style>
  <w:style w:type="character" w:customStyle="1" w:styleId="50">
    <w:name w:val="页脚 Char"/>
    <w:autoRedefine/>
    <w:qFormat/>
    <w:uiPriority w:val="99"/>
    <w:rPr>
      <w:lang w:eastAsia="zh-CN"/>
    </w:rPr>
  </w:style>
  <w:style w:type="paragraph" w:customStyle="1" w:styleId="51">
    <w:name w:val="默认段落字体 Para Char Char Char Char Char Char Char Char Char1 Char Char Char Char"/>
    <w:basedOn w:val="1"/>
    <w:autoRedefine/>
    <w:qFormat/>
    <w:uiPriority w:val="0"/>
    <w:rPr>
      <w:rFonts w:ascii="Tahoma" w:hAnsi="Tahoma"/>
      <w:sz w:val="24"/>
      <w:szCs w:val="20"/>
    </w:rPr>
  </w:style>
  <w:style w:type="paragraph" w:customStyle="1" w:styleId="52">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53">
    <w:name w:val="List Paragraph"/>
    <w:basedOn w:val="1"/>
    <w:autoRedefine/>
    <w:qFormat/>
    <w:uiPriority w:val="34"/>
    <w:pPr>
      <w:ind w:firstLine="420" w:firstLineChars="200"/>
    </w:pPr>
  </w:style>
  <w:style w:type="paragraph" w:customStyle="1" w:styleId="54">
    <w:name w:val="Table Paragraph"/>
    <w:basedOn w:val="1"/>
    <w:qFormat/>
    <w:uiPriority w:val="1"/>
    <w:pPr>
      <w:jc w:val="left"/>
    </w:pPr>
    <w:rPr>
      <w:rFonts w:ascii="Calibri" w:hAnsi="Calibri"/>
      <w:kern w:val="0"/>
      <w:sz w:val="22"/>
      <w:szCs w:val="22"/>
      <w:lang w:eastAsia="en-US"/>
    </w:rPr>
  </w:style>
  <w:style w:type="character" w:customStyle="1" w:styleId="55">
    <w:name w:val="批注文字 Char1"/>
    <w:autoRedefine/>
    <w:qFormat/>
    <w:uiPriority w:val="0"/>
    <w:rPr>
      <w:rFonts w:ascii="Times New Roman" w:hAnsi="Times New Roman"/>
      <w:kern w:val="2"/>
      <w:sz w:val="21"/>
      <w:szCs w:val="24"/>
    </w:rPr>
  </w:style>
  <w:style w:type="character" w:customStyle="1" w:styleId="56">
    <w:name w:val="批注文字 字符2"/>
    <w:autoRedefine/>
    <w:qFormat/>
    <w:uiPriority w:val="0"/>
    <w:rPr>
      <w:rFonts w:ascii="Times New Roman" w:hAnsi="Times New Roman"/>
      <w:kern w:val="2"/>
      <w:sz w:val="21"/>
      <w:szCs w:val="24"/>
    </w:rPr>
  </w:style>
  <w:style w:type="character" w:customStyle="1" w:styleId="57">
    <w:name w:val="正文文本 (26) + 间距 0 pt"/>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58">
    <w:name w:val="纯文本 Char1"/>
    <w:autoRedefine/>
    <w:qFormat/>
    <w:uiPriority w:val="0"/>
    <w:rPr>
      <w:rFonts w:ascii="宋体" w:hAnsi="Courier New" w:eastAsia="宋体" w:cs="Courier New"/>
      <w:szCs w:val="21"/>
    </w:rPr>
  </w:style>
  <w:style w:type="character" w:customStyle="1" w:styleId="59">
    <w:name w:val="批注文字 Char2"/>
    <w:autoRedefine/>
    <w:qFormat/>
    <w:uiPriority w:val="0"/>
    <w:rPr>
      <w:rFonts w:ascii="Times New Roman" w:hAnsi="Times New Roman"/>
      <w:kern w:val="2"/>
      <w:sz w:val="21"/>
      <w:szCs w:val="24"/>
    </w:rPr>
  </w:style>
  <w:style w:type="character" w:customStyle="1" w:styleId="60">
    <w:name w:val="正文2 Char Char"/>
    <w:link w:val="61"/>
    <w:autoRedefine/>
    <w:qFormat/>
    <w:uiPriority w:val="0"/>
    <w:rPr>
      <w:kern w:val="2"/>
      <w:sz w:val="24"/>
    </w:rPr>
  </w:style>
  <w:style w:type="paragraph" w:customStyle="1" w:styleId="61">
    <w:name w:val="正文2"/>
    <w:basedOn w:val="1"/>
    <w:link w:val="60"/>
    <w:autoRedefine/>
    <w:qFormat/>
    <w:uiPriority w:val="0"/>
    <w:pPr>
      <w:adjustRightInd w:val="0"/>
      <w:spacing w:before="156" w:line="360" w:lineRule="auto"/>
      <w:ind w:firstLine="510" w:firstLineChars="200"/>
    </w:pPr>
    <w:rPr>
      <w:sz w:val="24"/>
      <w:szCs w:val="20"/>
    </w:rPr>
  </w:style>
  <w:style w:type="paragraph" w:customStyle="1" w:styleId="62">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63">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
    <w:name w:val="xl95"/>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xl9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6">
    <w:name w:val="xl97"/>
    <w:basedOn w:val="1"/>
    <w:autoRedefine/>
    <w:qFormat/>
    <w:uiPriority w:val="0"/>
    <w:pPr>
      <w:widowControl/>
      <w:spacing w:before="100" w:beforeAutospacing="1" w:after="100" w:afterAutospacing="1"/>
      <w:jc w:val="center"/>
    </w:pPr>
    <w:rPr>
      <w:rFonts w:ascii="宋体" w:hAnsi="宋体" w:cs="宋体"/>
      <w:kern w:val="0"/>
      <w:sz w:val="24"/>
    </w:rPr>
  </w:style>
  <w:style w:type="paragraph" w:customStyle="1" w:styleId="67">
    <w:name w:val="xl9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68">
    <w:name w:val="xl99"/>
    <w:basedOn w:val="1"/>
    <w:qFormat/>
    <w:uiPriority w:val="0"/>
    <w:pPr>
      <w:widowControl/>
      <w:spacing w:before="100" w:beforeAutospacing="1" w:after="100" w:afterAutospacing="1"/>
      <w:jc w:val="left"/>
    </w:pPr>
    <w:rPr>
      <w:rFonts w:ascii="宋体" w:hAnsi="宋体" w:cs="宋体"/>
      <w:kern w:val="0"/>
      <w:sz w:val="24"/>
    </w:rPr>
  </w:style>
  <w:style w:type="paragraph" w:customStyle="1" w:styleId="69">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0">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
    <w:name w:val="xl102"/>
    <w:basedOn w:val="1"/>
    <w:autoRedefine/>
    <w:qFormat/>
    <w:uiPriority w:val="0"/>
    <w:pPr>
      <w:widowControl/>
      <w:pBdr>
        <w:top w:val="single" w:color="000000" w:sz="4" w:space="0"/>
        <w:left w:val="single" w:color="000000" w:sz="4" w:space="0"/>
        <w:right w:val="single" w:color="000000" w:sz="4" w:space="0"/>
      </w:pBdr>
      <w:shd w:val="clear" w:color="000000" w:fill="FFFF00"/>
      <w:spacing w:before="100" w:beforeAutospacing="1" w:after="100" w:afterAutospacing="1"/>
      <w:jc w:val="center"/>
    </w:pPr>
    <w:rPr>
      <w:rFonts w:ascii="宋体" w:hAnsi="宋体" w:cs="宋体"/>
      <w:b/>
      <w:bCs/>
      <w:kern w:val="0"/>
      <w:sz w:val="24"/>
    </w:rPr>
  </w:style>
  <w:style w:type="paragraph" w:customStyle="1" w:styleId="72">
    <w:name w:val="xl103"/>
    <w:basedOn w:val="1"/>
    <w:autoRedefine/>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3">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74">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75">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7">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8">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9">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80">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1">
    <w:name w:val="xl112"/>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2">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3">
    <w:name w:val="xl11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4">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85">
    <w:name w:val="xl11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86">
    <w:name w:val="xl11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87">
    <w:name w:val="xl11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8">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9">
    <w:name w:val="xl120"/>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90">
    <w:name w:val="xl121"/>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1">
    <w:name w:val="xl12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92">
    <w:name w:val="xl123"/>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93">
    <w:name w:val="xl124"/>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94">
    <w:name w:val="xl12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95">
    <w:name w:val="xl126"/>
    <w:basedOn w:val="1"/>
    <w:autoRedefine/>
    <w:qFormat/>
    <w:uiPriority w:val="0"/>
    <w:pPr>
      <w:widowControl/>
      <w:pBdr>
        <w:top w:val="single" w:color="auto" w:sz="4" w:space="0"/>
        <w:left w:val="single" w:color="auto" w:sz="4" w:space="0"/>
        <w:bottom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6">
    <w:name w:val="xl12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宋体" w:hAnsi="宋体" w:cs="宋体"/>
      <w:kern w:val="0"/>
      <w:sz w:val="20"/>
      <w:szCs w:val="20"/>
    </w:rPr>
  </w:style>
  <w:style w:type="paragraph" w:customStyle="1" w:styleId="97">
    <w:name w:val="xl12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宋体" w:hAnsi="宋体" w:cs="宋体"/>
      <w:kern w:val="0"/>
      <w:sz w:val="20"/>
      <w:szCs w:val="20"/>
    </w:rPr>
  </w:style>
  <w:style w:type="paragraph" w:customStyle="1" w:styleId="98">
    <w:name w:val="xl129"/>
    <w:basedOn w:val="1"/>
    <w:autoRedefine/>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0"/>
      <w:szCs w:val="20"/>
    </w:rPr>
  </w:style>
  <w:style w:type="paragraph" w:customStyle="1" w:styleId="99">
    <w:name w:val="xl13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0">
    <w:name w:val="xl13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宋体" w:hAnsi="宋体" w:cs="宋体"/>
      <w:kern w:val="0"/>
      <w:sz w:val="20"/>
      <w:szCs w:val="20"/>
    </w:rPr>
  </w:style>
  <w:style w:type="paragraph" w:customStyle="1" w:styleId="101">
    <w:name w:val="xl13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rFonts w:ascii="宋体" w:hAnsi="宋体" w:cs="宋体"/>
      <w:kern w:val="0"/>
      <w:sz w:val="20"/>
      <w:szCs w:val="20"/>
    </w:rPr>
  </w:style>
  <w:style w:type="paragraph" w:customStyle="1" w:styleId="102">
    <w:name w:val="xl13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color w:val="FF0000"/>
      <w:kern w:val="0"/>
      <w:sz w:val="20"/>
      <w:szCs w:val="20"/>
    </w:rPr>
  </w:style>
  <w:style w:type="paragraph" w:customStyle="1" w:styleId="103">
    <w:name w:val="xl13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bottom"/>
    </w:pPr>
    <w:rPr>
      <w:rFonts w:ascii="宋体" w:hAnsi="宋体" w:cs="宋体"/>
      <w:kern w:val="0"/>
      <w:sz w:val="20"/>
      <w:szCs w:val="20"/>
    </w:rPr>
  </w:style>
  <w:style w:type="paragraph" w:customStyle="1" w:styleId="104">
    <w:name w:val="xl13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left"/>
      <w:textAlignment w:val="bottom"/>
    </w:pPr>
    <w:rPr>
      <w:rFonts w:ascii="宋体" w:hAnsi="宋体" w:cs="宋体"/>
      <w:kern w:val="0"/>
      <w:sz w:val="20"/>
      <w:szCs w:val="20"/>
    </w:rPr>
  </w:style>
  <w:style w:type="paragraph" w:customStyle="1" w:styleId="105">
    <w:name w:val="xl13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06">
    <w:name w:val="xl13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7">
    <w:name w:val="xl13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08">
    <w:name w:val="xl1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
    <w:name w:val="xl1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
    <w:name w:val="xl1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1">
    <w:name w:val="xl1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paragraph" w:customStyle="1" w:styleId="112">
    <w:name w:val="xl14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cs="宋体"/>
      <w:kern w:val="0"/>
      <w:sz w:val="20"/>
      <w:szCs w:val="20"/>
    </w:rPr>
  </w:style>
  <w:style w:type="paragraph" w:customStyle="1" w:styleId="113">
    <w:name w:val="xl14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20"/>
      <w:szCs w:val="20"/>
    </w:rPr>
  </w:style>
  <w:style w:type="character" w:customStyle="1" w:styleId="114">
    <w:name w:val="批注框文本 Char"/>
    <w:basedOn w:val="26"/>
    <w:link w:val="16"/>
    <w:autoRedefine/>
    <w:semiHidden/>
    <w:qFormat/>
    <w:uiPriority w:val="99"/>
    <w:rPr>
      <w:kern w:val="2"/>
      <w:sz w:val="18"/>
      <w:szCs w:val="18"/>
    </w:rPr>
  </w:style>
  <w:style w:type="character" w:customStyle="1" w:styleId="115">
    <w:name w:val="标题 3 Char"/>
    <w:basedOn w:val="26"/>
    <w:link w:val="4"/>
    <w:autoRedefine/>
    <w:qFormat/>
    <w:uiPriority w:val="9"/>
    <w:rPr>
      <w:rFonts w:eastAsia="黑体"/>
      <w:b/>
      <w:bCs/>
      <w:kern w:val="2"/>
      <w:sz w:val="28"/>
      <w:szCs w:val="32"/>
    </w:rPr>
  </w:style>
  <w:style w:type="character" w:customStyle="1" w:styleId="116">
    <w:name w:val="正文文本 2 Char"/>
    <w:basedOn w:val="26"/>
    <w:link w:val="21"/>
    <w:autoRedefine/>
    <w:qFormat/>
    <w:uiPriority w:val="99"/>
    <w:rPr>
      <w:kern w:val="2"/>
      <w:sz w:val="21"/>
      <w:szCs w:val="24"/>
    </w:rPr>
  </w:style>
  <w:style w:type="paragraph" w:customStyle="1" w:styleId="117">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18">
    <w:name w:val="正文首行缩进两字符"/>
    <w:basedOn w:val="1"/>
    <w:autoRedefine/>
    <w:qFormat/>
    <w:uiPriority w:val="0"/>
    <w:pPr>
      <w:spacing w:line="360" w:lineRule="auto"/>
      <w:ind w:firstLine="200" w:firstLineChars="200"/>
    </w:pPr>
  </w:style>
  <w:style w:type="paragraph" w:customStyle="1" w:styleId="119">
    <w:name w:val="p0"/>
    <w:basedOn w:val="1"/>
    <w:autoRedefine/>
    <w:qFormat/>
    <w:uiPriority w:val="0"/>
    <w:pPr>
      <w:widowControl/>
    </w:pPr>
    <w:rPr>
      <w:sz w:val="24"/>
      <w:szCs w:val="21"/>
    </w:rPr>
  </w:style>
  <w:style w:type="paragraph" w:customStyle="1" w:styleId="120">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21">
    <w:name w:val="样式 10 磅31114"/>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2">
    <w:name w:val="font11"/>
    <w:basedOn w:val="26"/>
    <w:autoRedefine/>
    <w:qFormat/>
    <w:uiPriority w:val="0"/>
    <w:rPr>
      <w:rFonts w:hint="eastAsia" w:ascii="宋体" w:hAnsi="宋体" w:eastAsia="宋体" w:cs="宋体"/>
      <w:color w:val="000000"/>
      <w:sz w:val="24"/>
      <w:szCs w:val="24"/>
      <w:u w:val="none"/>
    </w:rPr>
  </w:style>
  <w:style w:type="character" w:customStyle="1" w:styleId="123">
    <w:name w:val="纯文本 Char3"/>
    <w:autoRedefine/>
    <w:qFormat/>
    <w:uiPriority w:val="0"/>
    <w:rPr>
      <w:rFonts w:ascii="宋体" w:hAnsi="Courier New" w:eastAsia="宋体" w:cs="Courier New"/>
      <w:szCs w:val="21"/>
    </w:rPr>
  </w:style>
  <w:style w:type="paragraph" w:customStyle="1" w:styleId="124">
    <w:name w:val="正文 A"/>
    <w:autoRedefine/>
    <w:qFormat/>
    <w:uiPriority w:val="0"/>
    <w:pPr>
      <w:widowControl w:val="0"/>
      <w:jc w:val="both"/>
    </w:pPr>
    <w:rPr>
      <w:rFonts w:ascii="Calibri" w:hAnsi="Calibri" w:eastAsia="Arial Unicode MS" w:cs="Arial Unicode MS"/>
      <w:color w:val="000000"/>
      <w:kern w:val="2"/>
      <w:sz w:val="21"/>
      <w:szCs w:val="21"/>
      <w:u w:val="none" w:color="000000"/>
      <w:lang w:val="en-US" w:eastAsia="zh-CN" w:bidi="ar-SA"/>
    </w:rPr>
  </w:style>
  <w:style w:type="paragraph" w:customStyle="1" w:styleId="1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126">
    <w:name w:val="列出段落1"/>
    <w:basedOn w:val="1"/>
    <w:qFormat/>
    <w:uiPriority w:val="34"/>
    <w:pPr>
      <w:spacing w:before="100" w:beforeAutospacing="1" w:after="100" w:afterAutospacing="1" w:line="36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92</Pages>
  <Words>32313</Words>
  <Characters>35055</Characters>
  <Lines>402</Lines>
  <Paragraphs>113</Paragraphs>
  <TotalTime>12</TotalTime>
  <ScaleCrop>false</ScaleCrop>
  <LinksUpToDate>false</LinksUpToDate>
  <CharactersWithSpaces>35202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2022-04-26T02:05:00Z</dcterms:created>
  <dc:creator>周振新</dc:creator>
  <cp:lastModifiedBy>Administr</cp:lastModifiedBy>
  <cp:lastPrinted>2020-04-04T00:20:00Z</cp:lastPrinted>
  <dcterms:modified xsi:type="dcterms:W3CDTF">2025-04-08T07:24:46Z</dcterms:modified>
  <dc:title>竞争性谈判文件规范</dc:title>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B932E5FCDC7E4D17AA5263B2F5A0E830_13</vt:lpwstr>
  </property>
  <property fmtid="{D5CDD505-2E9C-101B-9397-08002B2CF9AE}" pid="4" name="KSOTemplateDocerSaveRecord">
    <vt:lpwstr>eyJoZGlkIjoiOGY3N2Y4MTAxNzFmZWMyMzgyNzA3ZDg2N2UzYTUwMGEiLCJ1c2VySWQiOiIxMDQ0Njg5MTAyIn0=</vt:lpwstr>
  </property>
</Properties>
</file>