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8394">
      <w:pPr>
        <w:spacing w:before="165" w:beforeLines="50"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南宁市政府采购</w:t>
      </w:r>
    </w:p>
    <w:p w14:paraId="2546E392">
      <w:pPr>
        <w:spacing w:before="165" w:beforeLines="50" w:line="360" w:lineRule="auto"/>
        <w:jc w:val="center"/>
        <w:rPr>
          <w:rFonts w:ascii="宋体" w:hAnsi="宋体" w:cs="宋体"/>
          <w:color w:val="auto"/>
          <w:sz w:val="52"/>
          <w:szCs w:val="52"/>
          <w:highlight w:val="none"/>
        </w:rPr>
      </w:pPr>
    </w:p>
    <w:p w14:paraId="5FE0C474">
      <w:pPr>
        <w:spacing w:before="165" w:beforeLines="50" w:line="360" w:lineRule="auto"/>
        <w:jc w:val="center"/>
        <w:rPr>
          <w:rFonts w:ascii="宋体" w:hAnsi="宋体" w:cs="宋体"/>
          <w:color w:val="auto"/>
          <w:sz w:val="36"/>
          <w:szCs w:val="36"/>
          <w:highlight w:val="none"/>
        </w:rPr>
      </w:pPr>
    </w:p>
    <w:p w14:paraId="39624F73">
      <w:pPr>
        <w:snapToGrid w:val="0"/>
        <w:spacing w:before="165" w:beforeLines="50" w:line="360" w:lineRule="auto"/>
        <w:jc w:val="center"/>
        <w:rPr>
          <w:rFonts w:ascii="宋体" w:hAnsi="宋体" w:cs="宋体"/>
          <w:color w:val="auto"/>
          <w:sz w:val="44"/>
          <w:szCs w:val="44"/>
          <w:highlight w:val="none"/>
        </w:rPr>
      </w:pPr>
      <w:r>
        <w:rPr>
          <w:rFonts w:hint="eastAsia" w:ascii="宋体" w:hAnsi="宋体" w:cs="宋体"/>
          <w:color w:val="auto"/>
          <w:sz w:val="72"/>
          <w:szCs w:val="72"/>
          <w:highlight w:val="none"/>
        </w:rPr>
        <w:t>竞争性磋商文件</w:t>
      </w:r>
    </w:p>
    <w:p w14:paraId="748AE8EE">
      <w:pPr>
        <w:spacing w:before="331" w:beforeLines="100" w:after="165" w:afterLines="50" w:line="360" w:lineRule="auto"/>
        <w:jc w:val="center"/>
        <w:rPr>
          <w:rFonts w:ascii="宋体" w:hAnsi="宋体" w:cs="宋体"/>
          <w:color w:val="auto"/>
          <w:szCs w:val="21"/>
          <w:highlight w:val="none"/>
        </w:rPr>
      </w:pPr>
      <w:r>
        <w:rPr>
          <w:rFonts w:hint="eastAsia" w:ascii="宋体" w:hAnsi="宋体" w:cs="宋体"/>
          <w:color w:val="auto"/>
          <w:szCs w:val="21"/>
          <w:highlight w:val="none"/>
        </w:rPr>
        <w:t>（全流程电子化评标）</w:t>
      </w:r>
    </w:p>
    <w:p w14:paraId="0D648846">
      <w:pPr>
        <w:spacing w:line="360" w:lineRule="auto"/>
        <w:rPr>
          <w:rFonts w:ascii="宋体" w:hAnsi="宋体" w:cs="宋体"/>
          <w:b/>
          <w:color w:val="auto"/>
          <w:sz w:val="32"/>
          <w:szCs w:val="32"/>
          <w:highlight w:val="none"/>
        </w:rPr>
      </w:pPr>
    </w:p>
    <w:p w14:paraId="153CC4C1">
      <w:pPr>
        <w:spacing w:line="360" w:lineRule="auto"/>
        <w:jc w:val="center"/>
        <w:rPr>
          <w:rFonts w:ascii="宋体" w:hAnsi="宋体" w:cs="宋体"/>
          <w:b/>
          <w:color w:val="auto"/>
          <w:sz w:val="32"/>
          <w:szCs w:val="32"/>
          <w:highlight w:val="none"/>
        </w:rPr>
      </w:pPr>
    </w:p>
    <w:p w14:paraId="7B54232B">
      <w:pPr>
        <w:pStyle w:val="16"/>
        <w:keepNext w:val="0"/>
        <w:keepLines w:val="0"/>
        <w:pageBreakBefore w:val="0"/>
        <w:widowControl w:val="0"/>
        <w:kinsoku/>
        <w:wordWrap/>
        <w:overflowPunct/>
        <w:topLinePunct w:val="0"/>
        <w:autoSpaceDE/>
        <w:autoSpaceDN/>
        <w:bidi w:val="0"/>
        <w:adjustRightInd/>
        <w:snapToGrid w:val="0"/>
        <w:spacing w:before="50" w:after="120" w:line="360" w:lineRule="auto"/>
        <w:ind w:left="840" w:leftChars="400"/>
        <w:textAlignment w:val="auto"/>
        <w:outlineLvl w:val="9"/>
        <w:rPr>
          <w:rFonts w:hint="eastAsia" w:hAnsi="宋体" w:cs="宋体"/>
          <w:b/>
          <w:bCs/>
          <w:color w:val="auto"/>
          <w:sz w:val="30"/>
          <w:szCs w:val="30"/>
          <w:highlight w:val="none"/>
          <w:lang w:eastAsia="zh-CN"/>
        </w:rPr>
      </w:pPr>
      <w:r>
        <w:rPr>
          <w:rFonts w:hint="eastAsia" w:hAnsi="宋体" w:cs="宋体"/>
          <w:b/>
          <w:bCs/>
          <w:color w:val="auto"/>
          <w:sz w:val="30"/>
          <w:szCs w:val="30"/>
          <w:highlight w:val="none"/>
        </w:rPr>
        <w:t>项目名称：</w:t>
      </w:r>
      <w:r>
        <w:rPr>
          <w:rFonts w:hint="eastAsia" w:hAnsi="宋体" w:cs="宋体"/>
          <w:b/>
          <w:bCs/>
          <w:color w:val="auto"/>
          <w:sz w:val="30"/>
          <w:szCs w:val="30"/>
          <w:highlight w:val="none"/>
          <w:lang w:eastAsia="zh-CN"/>
        </w:rPr>
        <w:t>南玉铁路外部环境安全隐患整治（伶俐段）人饮工程</w:t>
      </w:r>
    </w:p>
    <w:p w14:paraId="77C9E70F">
      <w:pPr>
        <w:pStyle w:val="16"/>
        <w:keepNext w:val="0"/>
        <w:keepLines w:val="0"/>
        <w:pageBreakBefore w:val="0"/>
        <w:widowControl w:val="0"/>
        <w:kinsoku/>
        <w:wordWrap/>
        <w:overflowPunct/>
        <w:topLinePunct w:val="0"/>
        <w:autoSpaceDE/>
        <w:autoSpaceDN/>
        <w:bidi w:val="0"/>
        <w:adjustRightInd/>
        <w:snapToGrid w:val="0"/>
        <w:spacing w:before="50" w:after="120" w:line="360" w:lineRule="auto"/>
        <w:ind w:left="840" w:leftChars="400" w:firstLine="0" w:firstLineChars="0"/>
        <w:textAlignment w:val="auto"/>
        <w:outlineLvl w:val="9"/>
        <w:rPr>
          <w:rFonts w:hint="eastAsia" w:hAnsi="宋体" w:cs="宋体"/>
          <w:b/>
          <w:bCs/>
          <w:color w:val="auto"/>
          <w:sz w:val="30"/>
          <w:szCs w:val="30"/>
          <w:highlight w:val="none"/>
          <w:lang w:eastAsia="zh-CN"/>
        </w:rPr>
      </w:pPr>
      <w:bookmarkStart w:id="0" w:name="_Toc7308"/>
      <w:bookmarkStart w:id="1" w:name="_Toc681"/>
      <w:r>
        <w:rPr>
          <w:rFonts w:hint="eastAsia" w:hAnsi="宋体" w:cs="宋体"/>
          <w:b/>
          <w:bCs/>
          <w:color w:val="auto"/>
          <w:sz w:val="30"/>
          <w:szCs w:val="30"/>
          <w:highlight w:val="none"/>
        </w:rPr>
        <w:t>项目编号：</w:t>
      </w:r>
      <w:bookmarkEnd w:id="0"/>
      <w:bookmarkEnd w:id="1"/>
      <w:bookmarkStart w:id="2" w:name="_Toc23882"/>
      <w:bookmarkStart w:id="3" w:name="_Toc31224"/>
      <w:r>
        <w:rPr>
          <w:rFonts w:hint="eastAsia" w:hAnsi="宋体" w:cs="宋体"/>
          <w:b/>
          <w:bCs/>
          <w:color w:val="auto"/>
          <w:sz w:val="30"/>
          <w:szCs w:val="30"/>
          <w:highlight w:val="none"/>
          <w:lang w:eastAsia="zh-CN"/>
        </w:rPr>
        <w:t>NNZC2024-C2-030291-GXHM</w:t>
      </w:r>
    </w:p>
    <w:p w14:paraId="060303A9">
      <w:pPr>
        <w:pStyle w:val="16"/>
        <w:keepNext w:val="0"/>
        <w:keepLines w:val="0"/>
        <w:pageBreakBefore w:val="0"/>
        <w:widowControl w:val="0"/>
        <w:kinsoku/>
        <w:wordWrap/>
        <w:overflowPunct/>
        <w:topLinePunct w:val="0"/>
        <w:autoSpaceDE/>
        <w:autoSpaceDN/>
        <w:bidi w:val="0"/>
        <w:adjustRightInd/>
        <w:snapToGrid w:val="0"/>
        <w:spacing w:before="50" w:after="120" w:line="360" w:lineRule="auto"/>
        <w:ind w:left="840" w:leftChars="400" w:firstLine="0" w:firstLineChars="0"/>
        <w:textAlignment w:val="auto"/>
        <w:outlineLvl w:val="9"/>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采购文号：</w:t>
      </w:r>
      <w:bookmarkEnd w:id="2"/>
      <w:bookmarkEnd w:id="3"/>
      <w:r>
        <w:rPr>
          <w:rFonts w:hint="eastAsia" w:hAnsi="宋体" w:cs="宋体"/>
          <w:b/>
          <w:bCs/>
          <w:color w:val="auto"/>
          <w:sz w:val="30"/>
          <w:szCs w:val="30"/>
          <w:highlight w:val="none"/>
        </w:rPr>
        <w:t>QXZC2024-C2-00660</w:t>
      </w:r>
    </w:p>
    <w:p w14:paraId="577AE3C1">
      <w:pPr>
        <w:pStyle w:val="16"/>
        <w:keepNext w:val="0"/>
        <w:keepLines w:val="0"/>
        <w:pageBreakBefore w:val="0"/>
        <w:widowControl w:val="0"/>
        <w:kinsoku/>
        <w:wordWrap/>
        <w:overflowPunct/>
        <w:topLinePunct w:val="0"/>
        <w:autoSpaceDE/>
        <w:autoSpaceDN/>
        <w:bidi w:val="0"/>
        <w:adjustRightInd/>
        <w:snapToGrid w:val="0"/>
        <w:spacing w:before="50" w:after="120" w:line="360" w:lineRule="auto"/>
        <w:ind w:left="840" w:leftChars="400" w:firstLine="0" w:firstLineChars="0"/>
        <w:textAlignment w:val="auto"/>
        <w:outlineLvl w:val="9"/>
        <w:rPr>
          <w:rFonts w:hAnsi="宋体" w:cs="宋体"/>
          <w:b/>
          <w:bCs/>
          <w:color w:val="auto"/>
          <w:sz w:val="30"/>
          <w:szCs w:val="30"/>
          <w:highlight w:val="none"/>
        </w:rPr>
      </w:pPr>
      <w:r>
        <w:rPr>
          <w:rFonts w:hint="eastAsia" w:hAnsi="宋体" w:cs="宋体"/>
          <w:b/>
          <w:bCs/>
          <w:color w:val="auto"/>
          <w:sz w:val="30"/>
          <w:szCs w:val="30"/>
          <w:highlight w:val="none"/>
        </w:rPr>
        <w:t xml:space="preserve">项目所属区划：南宁市青秀区项目   </w:t>
      </w:r>
    </w:p>
    <w:p w14:paraId="627CD8AF">
      <w:pPr>
        <w:pStyle w:val="16"/>
        <w:keepNext w:val="0"/>
        <w:keepLines w:val="0"/>
        <w:pageBreakBefore w:val="0"/>
        <w:widowControl w:val="0"/>
        <w:kinsoku/>
        <w:wordWrap/>
        <w:overflowPunct/>
        <w:topLinePunct w:val="0"/>
        <w:autoSpaceDE/>
        <w:autoSpaceDN/>
        <w:bidi w:val="0"/>
        <w:adjustRightInd/>
        <w:snapToGrid w:val="0"/>
        <w:spacing w:before="50" w:after="120" w:line="360" w:lineRule="auto"/>
        <w:ind w:left="2361" w:leftChars="400" w:hanging="1521" w:hangingChars="505"/>
        <w:textAlignment w:val="auto"/>
        <w:outlineLvl w:val="9"/>
        <w:rPr>
          <w:rFonts w:hint="eastAsia" w:hAnsi="宋体" w:cs="宋体"/>
          <w:b/>
          <w:bCs/>
          <w:color w:val="auto"/>
          <w:sz w:val="30"/>
          <w:szCs w:val="30"/>
          <w:highlight w:val="none"/>
        </w:rPr>
      </w:pPr>
      <w:bookmarkStart w:id="4" w:name="_Toc26813"/>
      <w:bookmarkStart w:id="5" w:name="_Toc19676"/>
    </w:p>
    <w:p w14:paraId="7DB15045">
      <w:pPr>
        <w:pStyle w:val="16"/>
        <w:keepNext w:val="0"/>
        <w:keepLines w:val="0"/>
        <w:pageBreakBefore w:val="0"/>
        <w:widowControl w:val="0"/>
        <w:kinsoku/>
        <w:wordWrap/>
        <w:overflowPunct/>
        <w:topLinePunct w:val="0"/>
        <w:autoSpaceDE/>
        <w:autoSpaceDN/>
        <w:bidi w:val="0"/>
        <w:adjustRightInd/>
        <w:snapToGrid w:val="0"/>
        <w:spacing w:before="50" w:after="120" w:line="360" w:lineRule="auto"/>
        <w:ind w:left="2361" w:leftChars="400" w:hanging="1521" w:hangingChars="505"/>
        <w:textAlignment w:val="auto"/>
        <w:outlineLvl w:val="9"/>
        <w:rPr>
          <w:rFonts w:hint="default" w:ascii="宋体" w:hAnsi="宋体" w:eastAsia="宋体" w:cs="宋体"/>
          <w:b/>
          <w:bCs/>
          <w:color w:val="auto"/>
          <w:kern w:val="0"/>
          <w:sz w:val="30"/>
          <w:szCs w:val="30"/>
          <w:highlight w:val="none"/>
          <w:lang w:val="en-US" w:eastAsia="zh-CN" w:bidi="ar-SA"/>
        </w:rPr>
      </w:pPr>
      <w:r>
        <w:rPr>
          <w:rFonts w:hint="eastAsia" w:hAnsi="宋体" w:cs="宋体"/>
          <w:b/>
          <w:bCs/>
          <w:color w:val="auto"/>
          <w:sz w:val="30"/>
          <w:szCs w:val="30"/>
          <w:highlight w:val="none"/>
        </w:rPr>
        <w:t>采 购 人：</w:t>
      </w:r>
      <w:bookmarkEnd w:id="4"/>
      <w:bookmarkEnd w:id="5"/>
      <w:bookmarkStart w:id="6" w:name="_Toc6082"/>
      <w:r>
        <w:rPr>
          <w:rFonts w:hint="eastAsia" w:hAnsi="宋体" w:cs="宋体"/>
          <w:b/>
          <w:bCs/>
          <w:color w:val="auto"/>
          <w:sz w:val="30"/>
          <w:szCs w:val="30"/>
          <w:highlight w:val="none"/>
          <w:lang w:eastAsia="zh-CN"/>
        </w:rPr>
        <w:t>南宁市青秀区伶俐镇人民政府</w:t>
      </w:r>
    </w:p>
    <w:p w14:paraId="0A1FA34D">
      <w:pPr>
        <w:pStyle w:val="16"/>
        <w:keepNext w:val="0"/>
        <w:keepLines w:val="0"/>
        <w:pageBreakBefore w:val="0"/>
        <w:widowControl w:val="0"/>
        <w:kinsoku/>
        <w:wordWrap/>
        <w:overflowPunct/>
        <w:topLinePunct w:val="0"/>
        <w:autoSpaceDE/>
        <w:autoSpaceDN/>
        <w:bidi w:val="0"/>
        <w:adjustRightInd/>
        <w:snapToGrid w:val="0"/>
        <w:spacing w:before="50" w:after="120" w:line="360" w:lineRule="auto"/>
        <w:ind w:left="840" w:leftChars="400" w:firstLine="0" w:firstLineChars="0"/>
        <w:textAlignment w:val="auto"/>
        <w:outlineLvl w:val="9"/>
        <w:rPr>
          <w:rFonts w:hAnsi="宋体" w:cs="宋体"/>
          <w:b/>
          <w:bCs/>
          <w:color w:val="auto"/>
          <w:w w:val="95"/>
          <w:sz w:val="30"/>
          <w:szCs w:val="30"/>
          <w:highlight w:val="none"/>
        </w:rPr>
      </w:pPr>
      <w:bookmarkStart w:id="7" w:name="_Toc5106"/>
      <w:r>
        <w:rPr>
          <w:rFonts w:hint="eastAsia" w:hAnsi="宋体" w:cs="宋体"/>
          <w:b/>
          <w:bCs/>
          <w:color w:val="auto"/>
          <w:sz w:val="30"/>
          <w:szCs w:val="30"/>
          <w:highlight w:val="none"/>
        </w:rPr>
        <w:t>采购代理机构：</w:t>
      </w:r>
      <w:bookmarkEnd w:id="6"/>
      <w:bookmarkEnd w:id="7"/>
      <w:r>
        <w:rPr>
          <w:rFonts w:hint="eastAsia" w:hAnsi="宋体" w:cs="宋体"/>
          <w:b/>
          <w:bCs/>
          <w:color w:val="auto"/>
          <w:sz w:val="30"/>
          <w:szCs w:val="30"/>
          <w:highlight w:val="none"/>
        </w:rPr>
        <w:t>广西合美工程咨询有限公司</w:t>
      </w:r>
    </w:p>
    <w:p w14:paraId="27C5CF73">
      <w:pPr>
        <w:pStyle w:val="16"/>
        <w:keepNext w:val="0"/>
        <w:keepLines w:val="0"/>
        <w:pageBreakBefore w:val="0"/>
        <w:kinsoku/>
        <w:wordWrap/>
        <w:overflowPunct/>
        <w:topLinePunct w:val="0"/>
        <w:autoSpaceDE/>
        <w:autoSpaceDN/>
        <w:bidi w:val="0"/>
        <w:adjustRightInd/>
        <w:snapToGrid w:val="0"/>
        <w:spacing w:before="50" w:after="120" w:line="360" w:lineRule="auto"/>
        <w:jc w:val="center"/>
        <w:textAlignment w:val="auto"/>
        <w:outlineLvl w:val="9"/>
        <w:rPr>
          <w:rFonts w:hAnsi="宋体" w:cs="宋体"/>
          <w:b/>
          <w:bCs/>
          <w:color w:val="auto"/>
          <w:w w:val="95"/>
          <w:sz w:val="30"/>
          <w:szCs w:val="30"/>
          <w:highlight w:val="none"/>
        </w:rPr>
      </w:pPr>
      <w:r>
        <w:rPr>
          <w:rFonts w:hint="eastAsia" w:hAnsi="宋体" w:cs="宋体"/>
          <w:b/>
          <w:bCs/>
          <w:color w:val="auto"/>
          <w:w w:val="95"/>
          <w:sz w:val="30"/>
          <w:szCs w:val="30"/>
          <w:highlight w:val="none"/>
        </w:rPr>
        <w:t>202</w:t>
      </w:r>
      <w:r>
        <w:rPr>
          <w:rFonts w:hAnsi="宋体" w:cs="宋体"/>
          <w:b/>
          <w:bCs/>
          <w:color w:val="auto"/>
          <w:w w:val="95"/>
          <w:sz w:val="30"/>
          <w:szCs w:val="30"/>
          <w:highlight w:val="none"/>
        </w:rPr>
        <w:t>4</w:t>
      </w:r>
      <w:r>
        <w:rPr>
          <w:rFonts w:hint="eastAsia" w:hAnsi="宋体" w:cs="宋体"/>
          <w:b/>
          <w:bCs/>
          <w:color w:val="auto"/>
          <w:w w:val="95"/>
          <w:sz w:val="30"/>
          <w:szCs w:val="30"/>
          <w:highlight w:val="none"/>
        </w:rPr>
        <w:t>年</w:t>
      </w:r>
      <w:r>
        <w:rPr>
          <w:rFonts w:hint="eastAsia" w:hAnsi="宋体" w:cs="宋体"/>
          <w:b/>
          <w:bCs/>
          <w:color w:val="auto"/>
          <w:w w:val="95"/>
          <w:sz w:val="30"/>
          <w:szCs w:val="30"/>
          <w:highlight w:val="none"/>
          <w:lang w:val="en-US" w:eastAsia="zh-CN"/>
        </w:rPr>
        <w:t>9</w:t>
      </w:r>
      <w:r>
        <w:rPr>
          <w:rFonts w:hint="eastAsia" w:hAnsi="宋体" w:cs="宋体"/>
          <w:b/>
          <w:bCs/>
          <w:color w:val="auto"/>
          <w:w w:val="95"/>
          <w:sz w:val="30"/>
          <w:szCs w:val="30"/>
          <w:highlight w:val="none"/>
        </w:rPr>
        <w:t>月</w:t>
      </w:r>
      <w:r>
        <w:rPr>
          <w:rFonts w:hint="eastAsia" w:hAnsi="宋体" w:cs="宋体"/>
          <w:b/>
          <w:bCs/>
          <w:color w:val="auto"/>
          <w:w w:val="95"/>
          <w:sz w:val="30"/>
          <w:szCs w:val="30"/>
          <w:highlight w:val="none"/>
          <w:lang w:val="en-US" w:eastAsia="zh-CN"/>
        </w:rPr>
        <w:t>30</w:t>
      </w:r>
      <w:r>
        <w:rPr>
          <w:rFonts w:hint="eastAsia" w:hAnsi="宋体" w:cs="宋体"/>
          <w:b/>
          <w:bCs/>
          <w:color w:val="auto"/>
          <w:w w:val="95"/>
          <w:sz w:val="30"/>
          <w:szCs w:val="30"/>
          <w:highlight w:val="none"/>
        </w:rPr>
        <w:t>日</w:t>
      </w:r>
    </w:p>
    <w:p w14:paraId="68B600D5">
      <w:pPr>
        <w:keepNext w:val="0"/>
        <w:keepLines w:val="0"/>
        <w:pageBreakBefore w:val="0"/>
        <w:widowControl/>
        <w:kinsoku/>
        <w:wordWrap/>
        <w:overflowPunct/>
        <w:topLinePunct w:val="0"/>
        <w:autoSpaceDE/>
        <w:autoSpaceDN/>
        <w:bidi w:val="0"/>
        <w:adjustRightInd/>
        <w:spacing w:line="360" w:lineRule="auto"/>
        <w:jc w:val="left"/>
        <w:textAlignment w:val="auto"/>
        <w:outlineLvl w:val="9"/>
        <w:rPr>
          <w:rFonts w:ascii="宋体" w:hAnsi="宋体" w:cs="宋体"/>
          <w:b/>
          <w:bCs/>
          <w:color w:val="auto"/>
          <w:w w:val="95"/>
          <w:kern w:val="0"/>
          <w:sz w:val="30"/>
          <w:szCs w:val="30"/>
          <w:highlight w:val="none"/>
        </w:rPr>
        <w:sectPr>
          <w:headerReference r:id="rId3" w:type="default"/>
          <w:pgSz w:w="11906" w:h="16838"/>
          <w:pgMar w:top="1134" w:right="1134" w:bottom="1134" w:left="1134" w:header="720" w:footer="720" w:gutter="0"/>
          <w:pgNumType w:start="1"/>
          <w:cols w:space="720" w:num="1"/>
          <w:docGrid w:type="lines" w:linePitch="331" w:charSpace="0"/>
        </w:sectPr>
      </w:pPr>
    </w:p>
    <w:p w14:paraId="06DCB1CD">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目   录</w:t>
      </w:r>
    </w:p>
    <w:p w14:paraId="4BDB0A89">
      <w:pPr>
        <w:spacing w:line="400" w:lineRule="exact"/>
        <w:jc w:val="center"/>
        <w:rPr>
          <w:rFonts w:ascii="宋体" w:hAnsi="宋体" w:cs="宋体"/>
          <w:b/>
          <w:color w:val="auto"/>
          <w:sz w:val="44"/>
          <w:szCs w:val="44"/>
          <w:highlight w:val="none"/>
        </w:rPr>
      </w:pPr>
    </w:p>
    <w:p w14:paraId="48227119">
      <w:pPr>
        <w:pStyle w:val="20"/>
        <w:tabs>
          <w:tab w:val="right" w:leader="dot" w:pos="8879"/>
        </w:tabs>
        <w:rPr>
          <w:rFonts w:ascii="宋体" w:hAnsi="宋体" w:cs="宋体"/>
          <w:color w:val="auto"/>
          <w:highlight w:val="none"/>
        </w:rPr>
      </w:pPr>
      <w:r>
        <w:rPr>
          <w:rFonts w:hint="eastAsia" w:ascii="宋体" w:hAnsi="宋体" w:cs="宋体"/>
          <w:b/>
          <w:color w:val="auto"/>
          <w:sz w:val="30"/>
          <w:szCs w:val="30"/>
          <w:highlight w:val="none"/>
        </w:rPr>
        <w:fldChar w:fldCharType="begin"/>
      </w:r>
      <w:r>
        <w:rPr>
          <w:rFonts w:hint="eastAsia" w:ascii="宋体" w:hAnsi="宋体" w:cs="宋体"/>
          <w:b/>
          <w:color w:val="auto"/>
          <w:sz w:val="30"/>
          <w:szCs w:val="30"/>
          <w:highlight w:val="none"/>
        </w:rPr>
        <w:instrText xml:space="preserve"> TOC \o "1-3" \h \z \u </w:instrText>
      </w:r>
      <w:r>
        <w:rPr>
          <w:rFonts w:hint="eastAsia" w:ascii="宋体" w:hAnsi="宋体" w:cs="宋体"/>
          <w:b/>
          <w:color w:val="auto"/>
          <w:sz w:val="30"/>
          <w:szCs w:val="30"/>
          <w:highlight w:val="none"/>
        </w:rPr>
        <w:fldChar w:fldCharType="separate"/>
      </w:r>
    </w:p>
    <w:p w14:paraId="332B92DE">
      <w:pPr>
        <w:pStyle w:val="20"/>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"_Toc193" </w:instrText>
      </w:r>
      <w:r>
        <w:rPr>
          <w:color w:val="auto"/>
          <w:highlight w:val="none"/>
        </w:rPr>
        <w:fldChar w:fldCharType="separate"/>
      </w:r>
      <w:r>
        <w:rPr>
          <w:rFonts w:hint="eastAsia" w:ascii="宋体" w:hAnsi="宋体" w:cs="宋体"/>
          <w:color w:val="auto"/>
          <w:highlight w:val="none"/>
        </w:rPr>
        <w:t>第一章 竞争性磋商公告</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_Toc193 \h </w:instrText>
      </w:r>
      <w:r>
        <w:rPr>
          <w:rFonts w:hint="eastAsia" w:ascii="宋体" w:hAnsi="宋体" w:cs="宋体"/>
          <w:color w:val="auto"/>
          <w:highlight w:val="none"/>
        </w:rPr>
        <w:fldChar w:fldCharType="separate"/>
      </w:r>
      <w:r>
        <w:rPr>
          <w:rFonts w:hint="eastAsia" w:ascii="宋体" w:hAnsi="宋体" w:cs="宋体"/>
          <w:color w:val="auto"/>
          <w:highlight w:val="none"/>
        </w:rPr>
        <w:t>2</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243FFC54">
      <w:pPr>
        <w:pStyle w:val="20"/>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"_Toc10702" </w:instrText>
      </w:r>
      <w:r>
        <w:rPr>
          <w:color w:val="auto"/>
          <w:highlight w:val="none"/>
        </w:rPr>
        <w:fldChar w:fldCharType="separate"/>
      </w:r>
      <w:r>
        <w:rPr>
          <w:rFonts w:hint="eastAsia" w:ascii="宋体" w:hAnsi="宋体" w:cs="宋体"/>
          <w:color w:val="auto"/>
          <w:szCs w:val="32"/>
          <w:highlight w:val="none"/>
        </w:rPr>
        <w:t>第二章 采购需求</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_Toc10702 \h </w:instrText>
      </w:r>
      <w:r>
        <w:rPr>
          <w:rFonts w:hint="eastAsia" w:ascii="宋体" w:hAnsi="宋体" w:cs="宋体"/>
          <w:color w:val="auto"/>
          <w:highlight w:val="none"/>
        </w:rPr>
        <w:fldChar w:fldCharType="separate"/>
      </w:r>
      <w:r>
        <w:rPr>
          <w:rFonts w:hint="eastAsia" w:ascii="宋体" w:hAnsi="宋体" w:cs="宋体"/>
          <w:color w:val="auto"/>
          <w:highlight w:val="none"/>
        </w:rPr>
        <w:t>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562576DD">
      <w:pPr>
        <w:pStyle w:val="20"/>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"_Toc32550" </w:instrText>
      </w:r>
      <w:r>
        <w:rPr>
          <w:color w:val="auto"/>
          <w:highlight w:val="none"/>
        </w:rPr>
        <w:fldChar w:fldCharType="separate"/>
      </w:r>
      <w:r>
        <w:rPr>
          <w:rFonts w:hint="eastAsia" w:ascii="宋体" w:hAnsi="宋体" w:cs="宋体"/>
          <w:color w:val="auto"/>
          <w:szCs w:val="32"/>
          <w:highlight w:val="none"/>
        </w:rPr>
        <w:t>第三章 供应商须知</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_Toc32550 \h </w:instrText>
      </w:r>
      <w:r>
        <w:rPr>
          <w:rFonts w:hint="eastAsia" w:ascii="宋体" w:hAnsi="宋体" w:cs="宋体"/>
          <w:color w:val="auto"/>
          <w:highlight w:val="none"/>
        </w:rPr>
        <w:fldChar w:fldCharType="separate"/>
      </w:r>
      <w:r>
        <w:rPr>
          <w:rFonts w:hint="eastAsia" w:ascii="宋体" w:hAnsi="宋体" w:cs="宋体"/>
          <w:color w:val="auto"/>
          <w:highlight w:val="none"/>
        </w:rPr>
        <w:t>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0A63CADF">
      <w:pPr>
        <w:pStyle w:val="22"/>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"_Toc28882" </w:instrText>
      </w:r>
      <w:r>
        <w:rPr>
          <w:color w:val="auto"/>
          <w:highlight w:val="none"/>
        </w:rPr>
        <w:fldChar w:fldCharType="separate"/>
      </w:r>
      <w:r>
        <w:rPr>
          <w:rFonts w:hint="eastAsia" w:ascii="宋体" w:hAnsi="宋体" w:cs="宋体"/>
          <w:color w:val="auto"/>
          <w:highlight w:val="none"/>
        </w:rPr>
        <w:t>第一节 供应商须知前附表</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_Toc28882 \h </w:instrText>
      </w:r>
      <w:r>
        <w:rPr>
          <w:rFonts w:hint="eastAsia" w:ascii="宋体" w:hAnsi="宋体" w:cs="宋体"/>
          <w:color w:val="auto"/>
          <w:highlight w:val="none"/>
        </w:rPr>
        <w:fldChar w:fldCharType="separate"/>
      </w:r>
      <w:r>
        <w:rPr>
          <w:rFonts w:hint="eastAsia" w:ascii="宋体" w:hAnsi="宋体" w:cs="宋体"/>
          <w:color w:val="auto"/>
          <w:highlight w:val="none"/>
        </w:rPr>
        <w:t>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3D20A36B">
      <w:pPr>
        <w:pStyle w:val="22"/>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"_Toc23846" </w:instrText>
      </w:r>
      <w:r>
        <w:rPr>
          <w:color w:val="auto"/>
          <w:highlight w:val="none"/>
        </w:rPr>
        <w:fldChar w:fldCharType="separate"/>
      </w:r>
      <w:r>
        <w:rPr>
          <w:rFonts w:hint="eastAsia" w:ascii="宋体" w:hAnsi="宋体" w:cs="宋体"/>
          <w:color w:val="auto"/>
          <w:highlight w:val="none"/>
        </w:rPr>
        <w:t>第二节 供应商须知正文</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_Toc23846 \h </w:instrText>
      </w:r>
      <w:r>
        <w:rPr>
          <w:rFonts w:hint="eastAsia" w:ascii="宋体" w:hAnsi="宋体" w:cs="宋体"/>
          <w:color w:val="auto"/>
          <w:highlight w:val="none"/>
        </w:rPr>
        <w:fldChar w:fldCharType="separate"/>
      </w:r>
      <w:r>
        <w:rPr>
          <w:rFonts w:hint="eastAsia" w:ascii="宋体" w:hAnsi="宋体" w:cs="宋体"/>
          <w:color w:val="auto"/>
          <w:highlight w:val="none"/>
        </w:rPr>
        <w:t>15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38581E7D">
      <w:pPr>
        <w:pStyle w:val="15"/>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"_Toc20691" </w:instrText>
      </w:r>
      <w:r>
        <w:rPr>
          <w:color w:val="auto"/>
          <w:highlight w:val="none"/>
        </w:rPr>
        <w:fldChar w:fldCharType="separate"/>
      </w:r>
      <w:r>
        <w:rPr>
          <w:rFonts w:hint="eastAsia" w:ascii="宋体" w:hAnsi="宋体" w:cs="宋体"/>
          <w:color w:val="auto"/>
          <w:highlight w:val="none"/>
        </w:rPr>
        <w:t>一、总则</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_Toc20691 \h </w:instrText>
      </w:r>
      <w:r>
        <w:rPr>
          <w:rFonts w:hint="eastAsia" w:ascii="宋体" w:hAnsi="宋体" w:cs="宋体"/>
          <w:color w:val="auto"/>
          <w:highlight w:val="none"/>
        </w:rPr>
        <w:fldChar w:fldCharType="separate"/>
      </w:r>
      <w:r>
        <w:rPr>
          <w:rFonts w:hint="eastAsia" w:ascii="宋体" w:hAnsi="宋体" w:cs="宋体"/>
          <w:color w:val="auto"/>
          <w:highlight w:val="none"/>
        </w:rPr>
        <w:t>15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345FC4BA">
      <w:pPr>
        <w:pStyle w:val="15"/>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"_Toc5567" </w:instrText>
      </w:r>
      <w:r>
        <w:rPr>
          <w:color w:val="auto"/>
          <w:highlight w:val="none"/>
        </w:rPr>
        <w:fldChar w:fldCharType="separate"/>
      </w:r>
      <w:r>
        <w:rPr>
          <w:rFonts w:hint="eastAsia" w:ascii="宋体" w:hAnsi="宋体" w:cs="宋体"/>
          <w:color w:val="auto"/>
          <w:highlight w:val="none"/>
        </w:rPr>
        <w:t>二、磋商文件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_Toc5567 \h </w:instrText>
      </w:r>
      <w:r>
        <w:rPr>
          <w:rFonts w:hint="eastAsia" w:ascii="宋体" w:hAnsi="宋体" w:cs="宋体"/>
          <w:color w:val="auto"/>
          <w:highlight w:val="none"/>
        </w:rPr>
        <w:fldChar w:fldCharType="separate"/>
      </w:r>
      <w:r>
        <w:rPr>
          <w:rFonts w:hint="eastAsia" w:ascii="宋体" w:hAnsi="宋体" w:cs="宋体"/>
          <w:color w:val="auto"/>
          <w:highlight w:val="none"/>
        </w:rPr>
        <w:t>17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1FD08358">
      <w:pPr>
        <w:pStyle w:val="15"/>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"_Toc18770" </w:instrText>
      </w:r>
      <w:r>
        <w:rPr>
          <w:color w:val="auto"/>
          <w:highlight w:val="none"/>
        </w:rPr>
        <w:fldChar w:fldCharType="separate"/>
      </w:r>
      <w:r>
        <w:rPr>
          <w:rFonts w:hint="eastAsia" w:ascii="宋体" w:hAnsi="宋体" w:cs="宋体"/>
          <w:color w:val="auto"/>
          <w:highlight w:val="none"/>
        </w:rPr>
        <w:t>三、响应文件的编制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_Toc18770 \h </w:instrText>
      </w:r>
      <w:r>
        <w:rPr>
          <w:rFonts w:hint="eastAsia" w:ascii="宋体" w:hAnsi="宋体" w:cs="宋体"/>
          <w:color w:val="auto"/>
          <w:highlight w:val="none"/>
        </w:rPr>
        <w:fldChar w:fldCharType="separate"/>
      </w:r>
      <w:r>
        <w:rPr>
          <w:rFonts w:hint="eastAsia" w:ascii="宋体" w:hAnsi="宋体" w:cs="宋体"/>
          <w:color w:val="auto"/>
          <w:highlight w:val="none"/>
        </w:rPr>
        <w:t>18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1CA22166">
      <w:pPr>
        <w:pStyle w:val="15"/>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"_Toc16642" </w:instrText>
      </w:r>
      <w:r>
        <w:rPr>
          <w:color w:val="auto"/>
          <w:highlight w:val="none"/>
        </w:rPr>
        <w:fldChar w:fldCharType="separate"/>
      </w:r>
      <w:r>
        <w:rPr>
          <w:rFonts w:hint="eastAsia" w:ascii="宋体" w:hAnsi="宋体" w:cs="宋体"/>
          <w:color w:val="auto"/>
          <w:highlight w:val="none"/>
        </w:rPr>
        <w:t>四、评审及磋商</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_Toc16642 \h </w:instrText>
      </w:r>
      <w:r>
        <w:rPr>
          <w:rFonts w:hint="eastAsia" w:ascii="宋体" w:hAnsi="宋体" w:cs="宋体"/>
          <w:color w:val="auto"/>
          <w:highlight w:val="none"/>
        </w:rPr>
        <w:fldChar w:fldCharType="separate"/>
      </w:r>
      <w:r>
        <w:rPr>
          <w:rFonts w:hint="eastAsia" w:ascii="宋体" w:hAnsi="宋体" w:cs="宋体"/>
          <w:color w:val="auto"/>
          <w:highlight w:val="none"/>
        </w:rPr>
        <w:t>20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3B067870">
      <w:pPr>
        <w:pStyle w:val="15"/>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"_Toc5736" </w:instrText>
      </w:r>
      <w:r>
        <w:rPr>
          <w:color w:val="auto"/>
          <w:highlight w:val="none"/>
        </w:rPr>
        <w:fldChar w:fldCharType="separate"/>
      </w:r>
      <w:r>
        <w:rPr>
          <w:rFonts w:hint="eastAsia" w:ascii="宋体" w:hAnsi="宋体" w:cs="宋体"/>
          <w:color w:val="auto"/>
          <w:highlight w:val="none"/>
        </w:rPr>
        <w:t>五、成交及合同</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_Toc5736 \h </w:instrText>
      </w:r>
      <w:r>
        <w:rPr>
          <w:rFonts w:hint="eastAsia" w:ascii="宋体" w:hAnsi="宋体" w:cs="宋体"/>
          <w:color w:val="auto"/>
          <w:highlight w:val="none"/>
        </w:rPr>
        <w:fldChar w:fldCharType="separate"/>
      </w:r>
      <w:r>
        <w:rPr>
          <w:rFonts w:hint="eastAsia" w:ascii="宋体" w:hAnsi="宋体" w:cs="宋体"/>
          <w:color w:val="auto"/>
          <w:highlight w:val="none"/>
        </w:rPr>
        <w:t>21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5F302C9A">
      <w:pPr>
        <w:pStyle w:val="15"/>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"_Toc17863" </w:instrText>
      </w:r>
      <w:r>
        <w:rPr>
          <w:color w:val="auto"/>
          <w:highlight w:val="none"/>
        </w:rPr>
        <w:fldChar w:fldCharType="separate"/>
      </w:r>
      <w:r>
        <w:rPr>
          <w:rFonts w:hint="eastAsia" w:ascii="宋体" w:hAnsi="宋体" w:cs="宋体"/>
          <w:color w:val="auto"/>
          <w:highlight w:val="none"/>
        </w:rPr>
        <w:t>六、验收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_Toc17863 \h </w:instrText>
      </w:r>
      <w:r>
        <w:rPr>
          <w:rFonts w:hint="eastAsia" w:ascii="宋体" w:hAnsi="宋体" w:cs="宋体"/>
          <w:color w:val="auto"/>
          <w:highlight w:val="none"/>
        </w:rPr>
        <w:fldChar w:fldCharType="separate"/>
      </w:r>
      <w:r>
        <w:rPr>
          <w:rFonts w:hint="eastAsia" w:ascii="宋体" w:hAnsi="宋体" w:cs="宋体"/>
          <w:color w:val="auto"/>
          <w:highlight w:val="none"/>
        </w:rPr>
        <w:t>24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5685B73B">
      <w:pPr>
        <w:pStyle w:val="15"/>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"_Toc14884" </w:instrText>
      </w:r>
      <w:r>
        <w:rPr>
          <w:color w:val="auto"/>
          <w:highlight w:val="none"/>
        </w:rPr>
        <w:fldChar w:fldCharType="separate"/>
      </w:r>
      <w:r>
        <w:rPr>
          <w:rFonts w:hint="eastAsia" w:ascii="宋体" w:hAnsi="宋体" w:cs="宋体"/>
          <w:color w:val="auto"/>
          <w:highlight w:val="none"/>
        </w:rPr>
        <w:t>七、其他事项</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_Toc14884 \h </w:instrText>
      </w:r>
      <w:r>
        <w:rPr>
          <w:rFonts w:hint="eastAsia" w:ascii="宋体" w:hAnsi="宋体" w:cs="宋体"/>
          <w:color w:val="auto"/>
          <w:highlight w:val="none"/>
        </w:rPr>
        <w:fldChar w:fldCharType="separate"/>
      </w:r>
      <w:r>
        <w:rPr>
          <w:rFonts w:hint="eastAsia" w:ascii="宋体" w:hAnsi="宋体" w:cs="宋体"/>
          <w:color w:val="auto"/>
          <w:highlight w:val="none"/>
        </w:rPr>
        <w:t>24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3DC5D123">
      <w:pPr>
        <w:pStyle w:val="20"/>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"_Toc25106" </w:instrText>
      </w:r>
      <w:r>
        <w:rPr>
          <w:color w:val="auto"/>
          <w:highlight w:val="none"/>
        </w:rPr>
        <w:fldChar w:fldCharType="separate"/>
      </w:r>
      <w:r>
        <w:rPr>
          <w:rFonts w:hint="eastAsia" w:ascii="宋体" w:hAnsi="宋体" w:cs="宋体"/>
          <w:color w:val="auto"/>
          <w:highlight w:val="none"/>
        </w:rPr>
        <w:t>第四章  评审程序、评审方法和评审标准</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_Toc25106 \h </w:instrText>
      </w:r>
      <w:r>
        <w:rPr>
          <w:rFonts w:hint="eastAsia" w:ascii="宋体" w:hAnsi="宋体" w:cs="宋体"/>
          <w:color w:val="auto"/>
          <w:highlight w:val="none"/>
        </w:rPr>
        <w:fldChar w:fldCharType="separate"/>
      </w:r>
      <w:r>
        <w:rPr>
          <w:rFonts w:hint="eastAsia" w:ascii="宋体" w:hAnsi="宋体" w:cs="宋体"/>
          <w:color w:val="auto"/>
          <w:highlight w:val="none"/>
        </w:rPr>
        <w:t>26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5D0F0147">
      <w:pPr>
        <w:pStyle w:val="22"/>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"_Toc30181" </w:instrText>
      </w:r>
      <w:r>
        <w:rPr>
          <w:color w:val="auto"/>
          <w:highlight w:val="none"/>
        </w:rPr>
        <w:fldChar w:fldCharType="separate"/>
      </w:r>
      <w:r>
        <w:rPr>
          <w:rFonts w:hint="eastAsia" w:ascii="宋体" w:hAnsi="宋体" w:cs="宋体"/>
          <w:color w:val="auto"/>
          <w:highlight w:val="none"/>
        </w:rPr>
        <w:t>第一节 评审程序和评审方法</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_Toc30181 \h </w:instrText>
      </w:r>
      <w:r>
        <w:rPr>
          <w:rFonts w:hint="eastAsia" w:ascii="宋体" w:hAnsi="宋体" w:cs="宋体"/>
          <w:color w:val="auto"/>
          <w:highlight w:val="none"/>
        </w:rPr>
        <w:fldChar w:fldCharType="separate"/>
      </w:r>
      <w:r>
        <w:rPr>
          <w:rFonts w:hint="eastAsia" w:ascii="宋体" w:hAnsi="宋体" w:cs="宋体"/>
          <w:color w:val="auto"/>
          <w:highlight w:val="none"/>
        </w:rPr>
        <w:t>26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55DFDAA6">
      <w:pPr>
        <w:pStyle w:val="22"/>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"_Toc1930" </w:instrText>
      </w:r>
      <w:r>
        <w:rPr>
          <w:color w:val="auto"/>
          <w:highlight w:val="none"/>
        </w:rPr>
        <w:fldChar w:fldCharType="separate"/>
      </w:r>
      <w:r>
        <w:rPr>
          <w:rFonts w:hint="eastAsia" w:ascii="宋体" w:hAnsi="宋体" w:cs="宋体"/>
          <w:color w:val="auto"/>
          <w:highlight w:val="none"/>
        </w:rPr>
        <w:t>第二节 评标报告</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_Toc1930 \h </w:instrText>
      </w:r>
      <w:r>
        <w:rPr>
          <w:rFonts w:hint="eastAsia" w:ascii="宋体" w:hAnsi="宋体" w:cs="宋体"/>
          <w:color w:val="auto"/>
          <w:highlight w:val="none"/>
        </w:rPr>
        <w:fldChar w:fldCharType="separate"/>
      </w:r>
      <w:r>
        <w:rPr>
          <w:rFonts w:hint="eastAsia" w:ascii="宋体" w:hAnsi="宋体" w:cs="宋体"/>
          <w:color w:val="auto"/>
          <w:highlight w:val="none"/>
        </w:rPr>
        <w:t>35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3B0E38E7">
      <w:pPr>
        <w:pStyle w:val="22"/>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"_Toc23409" </w:instrText>
      </w:r>
      <w:r>
        <w:rPr>
          <w:color w:val="auto"/>
          <w:highlight w:val="none"/>
        </w:rPr>
        <w:fldChar w:fldCharType="separate"/>
      </w:r>
      <w:r>
        <w:rPr>
          <w:rFonts w:hint="eastAsia" w:ascii="宋体" w:hAnsi="宋体" w:cs="宋体"/>
          <w:color w:val="auto"/>
          <w:highlight w:val="none"/>
        </w:rPr>
        <w:t>第三节 评审过程的保密与录像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_Toc23409 \h </w:instrText>
      </w:r>
      <w:r>
        <w:rPr>
          <w:rFonts w:hint="eastAsia" w:ascii="宋体" w:hAnsi="宋体" w:cs="宋体"/>
          <w:color w:val="auto"/>
          <w:highlight w:val="none"/>
        </w:rPr>
        <w:fldChar w:fldCharType="separate"/>
      </w:r>
      <w:r>
        <w:rPr>
          <w:rFonts w:hint="eastAsia" w:ascii="宋体" w:hAnsi="宋体" w:cs="宋体"/>
          <w:color w:val="auto"/>
          <w:highlight w:val="none"/>
        </w:rPr>
        <w:t>35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5BB75C77">
      <w:pPr>
        <w:pStyle w:val="20"/>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"_Toc13484" </w:instrText>
      </w:r>
      <w:r>
        <w:rPr>
          <w:color w:val="auto"/>
          <w:highlight w:val="none"/>
        </w:rPr>
        <w:fldChar w:fldCharType="separate"/>
      </w:r>
      <w:r>
        <w:rPr>
          <w:rFonts w:hint="eastAsia" w:ascii="宋体" w:hAnsi="宋体" w:cs="宋体"/>
          <w:color w:val="auto"/>
          <w:highlight w:val="none"/>
        </w:rPr>
        <w:t>第五章 响应文件格式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_Toc13484 \h </w:instrText>
      </w:r>
      <w:r>
        <w:rPr>
          <w:rFonts w:hint="eastAsia" w:ascii="宋体" w:hAnsi="宋体" w:cs="宋体"/>
          <w:color w:val="auto"/>
          <w:highlight w:val="none"/>
        </w:rPr>
        <w:fldChar w:fldCharType="separate"/>
      </w:r>
      <w:r>
        <w:rPr>
          <w:rFonts w:hint="eastAsia" w:ascii="宋体" w:hAnsi="宋体" w:cs="宋体"/>
          <w:color w:val="auto"/>
          <w:highlight w:val="none"/>
        </w:rPr>
        <w:t>36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4653EDD7">
      <w:pPr>
        <w:pStyle w:val="22"/>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"_Toc7129" </w:instrText>
      </w:r>
      <w:r>
        <w:rPr>
          <w:color w:val="auto"/>
          <w:highlight w:val="none"/>
        </w:rPr>
        <w:fldChar w:fldCharType="separate"/>
      </w:r>
      <w:r>
        <w:rPr>
          <w:rFonts w:hint="eastAsia" w:ascii="宋体" w:hAnsi="宋体" w:cs="宋体"/>
          <w:color w:val="auto"/>
          <w:highlight w:val="none"/>
        </w:rPr>
        <w:t>第一节 封面格式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_Toc7129 \h </w:instrText>
      </w:r>
      <w:r>
        <w:rPr>
          <w:rFonts w:hint="eastAsia" w:ascii="宋体" w:hAnsi="宋体" w:cs="宋体"/>
          <w:color w:val="auto"/>
          <w:highlight w:val="none"/>
        </w:rPr>
        <w:fldChar w:fldCharType="separate"/>
      </w:r>
      <w:r>
        <w:rPr>
          <w:rFonts w:hint="eastAsia" w:ascii="宋体" w:hAnsi="宋体" w:cs="宋体"/>
          <w:color w:val="auto"/>
          <w:highlight w:val="none"/>
        </w:rPr>
        <w:t>37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24EF73A4">
      <w:pPr>
        <w:pStyle w:val="22"/>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"_Toc30886" </w:instrText>
      </w:r>
      <w:r>
        <w:rPr>
          <w:color w:val="auto"/>
          <w:highlight w:val="none"/>
        </w:rPr>
        <w:fldChar w:fldCharType="separate"/>
      </w:r>
      <w:r>
        <w:rPr>
          <w:rFonts w:hint="eastAsia" w:ascii="宋体" w:hAnsi="宋体" w:cs="宋体"/>
          <w:color w:val="auto"/>
          <w:highlight w:val="none"/>
        </w:rPr>
        <w:t>第二节 资格证明文件格式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_Toc30886 \h </w:instrText>
      </w:r>
      <w:r>
        <w:rPr>
          <w:rFonts w:hint="eastAsia" w:ascii="宋体" w:hAnsi="宋体" w:cs="宋体"/>
          <w:color w:val="auto"/>
          <w:highlight w:val="none"/>
        </w:rPr>
        <w:fldChar w:fldCharType="separate"/>
      </w:r>
      <w:r>
        <w:rPr>
          <w:rFonts w:hint="eastAsia" w:ascii="宋体" w:hAnsi="宋体" w:cs="宋体"/>
          <w:color w:val="auto"/>
          <w:highlight w:val="none"/>
        </w:rPr>
        <w:t>38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6E98EB4D">
      <w:pPr>
        <w:pStyle w:val="22"/>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"_Toc10861" </w:instrText>
      </w:r>
      <w:r>
        <w:rPr>
          <w:color w:val="auto"/>
          <w:highlight w:val="none"/>
        </w:rPr>
        <w:fldChar w:fldCharType="separate"/>
      </w:r>
      <w:r>
        <w:rPr>
          <w:rFonts w:hint="eastAsia" w:ascii="宋体" w:hAnsi="宋体" w:cs="宋体"/>
          <w:color w:val="auto"/>
          <w:highlight w:val="none"/>
        </w:rPr>
        <w:t>第三节 商务技术文件格式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_Toc10861 \h </w:instrText>
      </w:r>
      <w:r>
        <w:rPr>
          <w:rFonts w:hint="eastAsia" w:ascii="宋体" w:hAnsi="宋体" w:cs="宋体"/>
          <w:color w:val="auto"/>
          <w:highlight w:val="none"/>
        </w:rPr>
        <w:fldChar w:fldCharType="separate"/>
      </w:r>
      <w:r>
        <w:rPr>
          <w:rFonts w:hint="eastAsia" w:ascii="宋体" w:hAnsi="宋体" w:cs="宋体"/>
          <w:color w:val="auto"/>
          <w:highlight w:val="none"/>
        </w:rPr>
        <w:t>48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5AE23CAB">
      <w:pPr>
        <w:pStyle w:val="22"/>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"_Toc32512" </w:instrText>
      </w:r>
      <w:r>
        <w:rPr>
          <w:color w:val="auto"/>
          <w:highlight w:val="none"/>
        </w:rPr>
        <w:fldChar w:fldCharType="separate"/>
      </w:r>
      <w:r>
        <w:rPr>
          <w:rFonts w:hint="eastAsia" w:ascii="宋体" w:hAnsi="宋体" w:cs="宋体"/>
          <w:color w:val="auto"/>
          <w:highlight w:val="none"/>
        </w:rPr>
        <w:t>第四节 报价文件格式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_Toc32512 \h </w:instrText>
      </w:r>
      <w:r>
        <w:rPr>
          <w:rFonts w:hint="eastAsia" w:ascii="宋体" w:hAnsi="宋体" w:cs="宋体"/>
          <w:color w:val="auto"/>
          <w:highlight w:val="none"/>
        </w:rPr>
        <w:fldChar w:fldCharType="separate"/>
      </w:r>
      <w:r>
        <w:rPr>
          <w:rFonts w:hint="eastAsia" w:ascii="宋体" w:hAnsi="宋体" w:cs="宋体"/>
          <w:color w:val="auto"/>
          <w:highlight w:val="none"/>
        </w:rPr>
        <w:t>61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04E9F2AD">
      <w:pPr>
        <w:pStyle w:val="22"/>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"_Toc15428" </w:instrText>
      </w:r>
      <w:r>
        <w:rPr>
          <w:color w:val="auto"/>
          <w:highlight w:val="none"/>
        </w:rPr>
        <w:fldChar w:fldCharType="separate"/>
      </w:r>
      <w:r>
        <w:rPr>
          <w:rFonts w:hint="eastAsia" w:ascii="宋体" w:hAnsi="宋体" w:cs="宋体"/>
          <w:color w:val="auto"/>
          <w:highlight w:val="none"/>
        </w:rPr>
        <w:t>第五节 其他文书、文件格式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_Toc15428 \h </w:instrText>
      </w:r>
      <w:r>
        <w:rPr>
          <w:rFonts w:hint="eastAsia" w:ascii="宋体" w:hAnsi="宋体" w:cs="宋体"/>
          <w:color w:val="auto"/>
          <w:highlight w:val="none"/>
        </w:rPr>
        <w:fldChar w:fldCharType="separate"/>
      </w:r>
      <w:r>
        <w:rPr>
          <w:rFonts w:hint="eastAsia" w:ascii="宋体" w:hAnsi="宋体" w:cs="宋体"/>
          <w:color w:val="auto"/>
          <w:highlight w:val="none"/>
        </w:rPr>
        <w:t>66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427F830B">
      <w:pPr>
        <w:pStyle w:val="20"/>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"_Toc10609" </w:instrText>
      </w:r>
      <w:r>
        <w:rPr>
          <w:color w:val="auto"/>
          <w:highlight w:val="none"/>
        </w:rPr>
        <w:fldChar w:fldCharType="separate"/>
      </w:r>
      <w:r>
        <w:rPr>
          <w:rFonts w:hint="eastAsia" w:ascii="宋体" w:hAnsi="宋体" w:cs="宋体"/>
          <w:color w:val="auto"/>
          <w:highlight w:val="none"/>
        </w:rPr>
        <w:t>第六章  合同文本</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_Toc10609 \h </w:instrText>
      </w:r>
      <w:r>
        <w:rPr>
          <w:rFonts w:hint="eastAsia" w:ascii="宋体" w:hAnsi="宋体" w:cs="宋体"/>
          <w:color w:val="auto"/>
          <w:highlight w:val="none"/>
        </w:rPr>
        <w:fldChar w:fldCharType="separate"/>
      </w:r>
      <w:r>
        <w:rPr>
          <w:rFonts w:hint="eastAsia" w:ascii="宋体" w:hAnsi="宋体" w:cs="宋体"/>
          <w:color w:val="auto"/>
          <w:highlight w:val="none"/>
        </w:rPr>
        <w:t>67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3A967670">
      <w:pPr>
        <w:pStyle w:val="22"/>
        <w:tabs>
          <w:tab w:val="right" w:leader="dot" w:pos="8879"/>
          <w:tab w:val="clear" w:pos="8296"/>
        </w:tabs>
        <w:rPr>
          <w:rFonts w:hint="default" w:eastAsia="宋体"/>
          <w:color w:val="auto"/>
          <w:highlight w:val="none"/>
          <w:lang w:val="en-US" w:eastAsia="zh-CN"/>
        </w:rPr>
      </w:pPr>
      <w:r>
        <w:rPr>
          <w:rFonts w:hint="eastAsia" w:ascii="宋体" w:hAnsi="宋体" w:cs="宋体"/>
          <w:color w:val="auto"/>
          <w:szCs w:val="28"/>
          <w:highlight w:val="none"/>
          <w:lang w:val="en-US" w:eastAsia="zh-CN"/>
        </w:rPr>
        <w:t>第一部分</w:t>
      </w:r>
      <w:r>
        <w:rPr>
          <w:rFonts w:hint="eastAsia" w:ascii="宋体" w:hAnsi="宋体" w:cs="宋体"/>
          <w:color w:val="auto"/>
          <w:szCs w:val="28"/>
          <w:highlight w:val="none"/>
        </w:rPr>
        <w:t>合同</w:t>
      </w:r>
      <w:r>
        <w:rPr>
          <w:rFonts w:hint="eastAsia" w:ascii="宋体" w:hAnsi="宋体" w:cs="宋体"/>
          <w:color w:val="auto"/>
          <w:szCs w:val="28"/>
          <w:highlight w:val="none"/>
          <w:lang w:val="en-US" w:eastAsia="zh-CN"/>
        </w:rPr>
        <w:t>协议书.</w:t>
      </w:r>
      <w:r>
        <w:rPr>
          <w:rFonts w:hint="eastAsia" w:ascii="宋体" w:hAnsi="宋体" w:cs="宋体"/>
          <w:color w:val="auto"/>
          <w:highlight w:val="none"/>
        </w:rPr>
        <w:tab/>
      </w:r>
      <w:r>
        <w:rPr>
          <w:rFonts w:hint="eastAsia" w:ascii="宋体" w:hAnsi="宋体" w:cs="宋体"/>
          <w:color w:val="auto"/>
          <w:highlight w:val="none"/>
          <w:lang w:val="en-US" w:eastAsia="zh-CN"/>
        </w:rPr>
        <w:t>70</w:t>
      </w:r>
    </w:p>
    <w:p w14:paraId="7DC1EE3F">
      <w:pPr>
        <w:pStyle w:val="22"/>
        <w:tabs>
          <w:tab w:val="right" w:leader="dot" w:pos="8879"/>
          <w:tab w:val="clear" w:pos="8296"/>
        </w:tabs>
        <w:rPr>
          <w:rFonts w:hint="eastAsia" w:ascii="宋体" w:hAnsi="宋体" w:eastAsia="宋体" w:cs="宋体"/>
          <w:color w:val="auto"/>
          <w:highlight w:val="none"/>
          <w:lang w:val="en-US" w:eastAsia="zh-CN"/>
        </w:rPr>
      </w:pPr>
      <w:r>
        <w:rPr>
          <w:color w:val="auto"/>
          <w:highlight w:val="none"/>
        </w:rPr>
        <w:fldChar w:fldCharType="begin"/>
      </w:r>
      <w:r>
        <w:rPr>
          <w:color w:val="auto"/>
          <w:highlight w:val="none"/>
        </w:rPr>
        <w:instrText xml:space="preserve"> HYPERLINK \l "_Toc12590" </w:instrText>
      </w:r>
      <w:r>
        <w:rPr>
          <w:color w:val="auto"/>
          <w:highlight w:val="none"/>
        </w:rPr>
        <w:fldChar w:fldCharType="separate"/>
      </w:r>
      <w:r>
        <w:rPr>
          <w:rFonts w:hint="eastAsia" w:ascii="宋体" w:hAnsi="宋体" w:cs="宋体"/>
          <w:color w:val="auto"/>
          <w:szCs w:val="28"/>
          <w:highlight w:val="none"/>
        </w:rPr>
        <w:t>第</w:t>
      </w:r>
      <w:r>
        <w:rPr>
          <w:rFonts w:hint="eastAsia" w:ascii="宋体" w:hAnsi="宋体" w:cs="宋体"/>
          <w:color w:val="auto"/>
          <w:szCs w:val="28"/>
          <w:highlight w:val="none"/>
          <w:lang w:val="en-US" w:eastAsia="zh-CN"/>
        </w:rPr>
        <w:t>二</w:t>
      </w:r>
      <w:r>
        <w:rPr>
          <w:rFonts w:hint="eastAsia" w:ascii="宋体" w:hAnsi="宋体" w:cs="宋体"/>
          <w:color w:val="auto"/>
          <w:szCs w:val="28"/>
          <w:highlight w:val="none"/>
        </w:rPr>
        <w:t xml:space="preserve">部分 </w:t>
      </w:r>
      <w:r>
        <w:rPr>
          <w:rFonts w:hint="eastAsia" w:ascii="宋体" w:hAnsi="宋体" w:cs="宋体"/>
          <w:color w:val="auto"/>
          <w:szCs w:val="28"/>
          <w:highlight w:val="none"/>
          <w:lang w:eastAsia="zh-CN"/>
        </w:rPr>
        <w:t>通用合同条款</w:t>
      </w:r>
      <w:r>
        <w:rPr>
          <w:rFonts w:hint="eastAsia" w:ascii="宋体" w:hAnsi="宋体" w:cs="宋体"/>
          <w:color w:val="auto"/>
          <w:highlight w:val="none"/>
        </w:rPr>
        <w:tab/>
      </w:r>
      <w:r>
        <w:rPr>
          <w:rFonts w:hint="eastAsia" w:ascii="宋体" w:hAnsi="宋体" w:cs="宋体"/>
          <w:color w:val="auto"/>
          <w:highlight w:val="none"/>
          <w:lang w:val="en-US" w:eastAsia="zh-CN"/>
        </w:rPr>
        <w:t>7</w:t>
      </w:r>
      <w:r>
        <w:rPr>
          <w:rFonts w:hint="eastAsia" w:ascii="宋体" w:hAnsi="宋体" w:cs="宋体"/>
          <w:color w:val="auto"/>
          <w:highlight w:val="none"/>
        </w:rPr>
        <w:fldChar w:fldCharType="end"/>
      </w:r>
      <w:r>
        <w:rPr>
          <w:rFonts w:hint="eastAsia" w:ascii="宋体" w:hAnsi="宋体" w:cs="宋体"/>
          <w:color w:val="auto"/>
          <w:highlight w:val="none"/>
          <w:lang w:val="en-US" w:eastAsia="zh-CN"/>
        </w:rPr>
        <w:t>1</w:t>
      </w:r>
    </w:p>
    <w:p w14:paraId="5B8D10B7">
      <w:pPr>
        <w:pStyle w:val="22"/>
        <w:tabs>
          <w:tab w:val="right" w:leader="dot" w:pos="8879"/>
          <w:tab w:val="clear" w:pos="8296"/>
        </w:tabs>
        <w:rPr>
          <w:rFonts w:hint="eastAsia" w:ascii="宋体" w:hAnsi="宋体" w:eastAsia="宋体" w:cs="宋体"/>
          <w:color w:val="auto"/>
          <w:highlight w:val="none"/>
          <w:lang w:val="en-US" w:eastAsia="zh-CN"/>
        </w:rPr>
      </w:pPr>
      <w:r>
        <w:rPr>
          <w:color w:val="auto"/>
          <w:highlight w:val="none"/>
        </w:rPr>
        <w:fldChar w:fldCharType="begin"/>
      </w:r>
      <w:r>
        <w:rPr>
          <w:color w:val="auto"/>
          <w:highlight w:val="none"/>
        </w:rPr>
        <w:instrText xml:space="preserve"> HYPERLINK \l "_Toc12702" </w:instrText>
      </w:r>
      <w:r>
        <w:rPr>
          <w:color w:val="auto"/>
          <w:highlight w:val="none"/>
        </w:rPr>
        <w:fldChar w:fldCharType="separate"/>
      </w:r>
      <w:r>
        <w:rPr>
          <w:rFonts w:hint="eastAsia" w:ascii="宋体" w:hAnsi="宋体" w:cs="宋体"/>
          <w:color w:val="auto"/>
          <w:szCs w:val="28"/>
          <w:highlight w:val="none"/>
        </w:rPr>
        <w:t>第</w:t>
      </w:r>
      <w:r>
        <w:rPr>
          <w:rFonts w:hint="eastAsia" w:ascii="宋体" w:hAnsi="宋体" w:cs="宋体"/>
          <w:color w:val="auto"/>
          <w:szCs w:val="28"/>
          <w:highlight w:val="none"/>
          <w:lang w:val="en-US" w:eastAsia="zh-CN"/>
        </w:rPr>
        <w:t>三</w:t>
      </w:r>
      <w:r>
        <w:rPr>
          <w:rFonts w:hint="eastAsia" w:ascii="宋体" w:hAnsi="宋体" w:cs="宋体"/>
          <w:color w:val="auto"/>
          <w:szCs w:val="28"/>
          <w:highlight w:val="none"/>
        </w:rPr>
        <w:t xml:space="preserve">部分 </w:t>
      </w:r>
      <w:r>
        <w:rPr>
          <w:rFonts w:hint="eastAsia" w:ascii="宋体" w:hAnsi="宋体" w:cs="宋体"/>
          <w:color w:val="auto"/>
          <w:szCs w:val="28"/>
          <w:highlight w:val="none"/>
          <w:lang w:val="en-US" w:eastAsia="zh-CN"/>
        </w:rPr>
        <w:t>专用合同条款</w:t>
      </w:r>
      <w:r>
        <w:rPr>
          <w:rFonts w:hint="eastAsia" w:ascii="宋体" w:hAnsi="宋体" w:cs="宋体"/>
          <w:color w:val="auto"/>
          <w:highlight w:val="none"/>
        </w:rPr>
        <w:tab/>
      </w:r>
      <w:r>
        <w:rPr>
          <w:rFonts w:hint="eastAsia" w:ascii="宋体" w:hAnsi="宋体" w:cs="宋体"/>
          <w:color w:val="auto"/>
          <w:highlight w:val="none"/>
          <w:lang w:val="en-US" w:eastAsia="zh-CN"/>
        </w:rPr>
        <w:t>1</w:t>
      </w:r>
      <w:r>
        <w:rPr>
          <w:rFonts w:hint="eastAsia" w:ascii="宋体" w:hAnsi="宋体" w:cs="宋体"/>
          <w:color w:val="auto"/>
          <w:highlight w:val="none"/>
        </w:rPr>
        <w:fldChar w:fldCharType="end"/>
      </w:r>
      <w:r>
        <w:rPr>
          <w:rFonts w:hint="eastAsia" w:ascii="宋体" w:hAnsi="宋体" w:cs="宋体"/>
          <w:color w:val="auto"/>
          <w:highlight w:val="none"/>
          <w:lang w:val="en-US" w:eastAsia="zh-CN"/>
        </w:rPr>
        <w:t>12</w:t>
      </w:r>
    </w:p>
    <w:p w14:paraId="66DAF5FC">
      <w:pPr>
        <w:rPr>
          <w:rFonts w:hint="default" w:eastAsia="宋体"/>
          <w:color w:val="auto"/>
          <w:highlight w:val="none"/>
          <w:lang w:val="en-US" w:eastAsia="zh-CN"/>
        </w:rPr>
      </w:pPr>
      <w:r>
        <w:rPr>
          <w:rFonts w:hint="eastAsia"/>
          <w:color w:val="auto"/>
          <w:highlight w:val="none"/>
          <w:lang w:val="en-US" w:eastAsia="zh-CN"/>
        </w:rPr>
        <w:t>第七章 工程量清单</w:t>
      </w:r>
      <w:r>
        <w:rPr>
          <w:rFonts w:hint="eastAsia" w:ascii="宋体" w:hAnsi="宋体" w:cs="宋体"/>
          <w:color w:val="auto"/>
          <w:highlight w:val="none"/>
          <w:lang w:val="en-US" w:eastAsia="zh-CN"/>
        </w:rPr>
        <w:t>................................................................128</w:t>
      </w:r>
    </w:p>
    <w:p w14:paraId="0F54DCFF">
      <w:pPr>
        <w:pStyle w:val="20"/>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"_Toc22933" </w:instrText>
      </w:r>
      <w:r>
        <w:rPr>
          <w:color w:val="auto"/>
          <w:highlight w:val="none"/>
        </w:rPr>
        <w:fldChar w:fldCharType="separate"/>
      </w:r>
      <w:r>
        <w:rPr>
          <w:rFonts w:hint="eastAsia" w:ascii="宋体" w:hAnsi="宋体" w:cs="宋体"/>
          <w:color w:val="auto"/>
          <w:highlight w:val="none"/>
        </w:rPr>
        <w:t>第</w:t>
      </w:r>
      <w:r>
        <w:rPr>
          <w:rFonts w:hint="eastAsia" w:ascii="宋体" w:hAnsi="宋体" w:cs="宋体"/>
          <w:color w:val="auto"/>
          <w:highlight w:val="none"/>
          <w:lang w:val="en-US" w:eastAsia="zh-CN"/>
        </w:rPr>
        <w:t>八</w:t>
      </w:r>
      <w:r>
        <w:rPr>
          <w:rFonts w:hint="eastAsia" w:ascii="宋体" w:hAnsi="宋体" w:cs="宋体"/>
          <w:color w:val="auto"/>
          <w:highlight w:val="none"/>
        </w:rPr>
        <w:t>章 质疑、投诉材料格式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_Toc22933 \h </w:instrText>
      </w:r>
      <w:r>
        <w:rPr>
          <w:rFonts w:hint="eastAsia" w:ascii="宋体" w:hAnsi="宋体" w:cs="宋体"/>
          <w:color w:val="auto"/>
          <w:highlight w:val="none"/>
        </w:rPr>
        <w:fldChar w:fldCharType="separate"/>
      </w:r>
      <w:r>
        <w:rPr>
          <w:rFonts w:hint="eastAsia" w:ascii="宋体" w:hAnsi="宋体" w:cs="宋体"/>
          <w:color w:val="auto"/>
          <w:highlight w:val="none"/>
        </w:rPr>
        <w:t>130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50E71534">
      <w:pPr>
        <w:pStyle w:val="22"/>
        <w:rPr>
          <w:rFonts w:ascii="宋体" w:hAnsi="宋体" w:cs="宋体"/>
          <w:color w:val="auto"/>
          <w:sz w:val="28"/>
          <w:szCs w:val="28"/>
          <w:highlight w:val="none"/>
        </w:rPr>
      </w:pPr>
      <w:r>
        <w:rPr>
          <w:rFonts w:hint="eastAsia" w:ascii="宋体" w:hAnsi="宋体" w:cs="宋体"/>
          <w:color w:val="auto"/>
          <w:szCs w:val="30"/>
          <w:highlight w:val="none"/>
        </w:rPr>
        <w:fldChar w:fldCharType="end"/>
      </w:r>
    </w:p>
    <w:p w14:paraId="1AD71AF4">
      <w:pPr>
        <w:tabs>
          <w:tab w:val="left" w:pos="7470"/>
        </w:tabs>
        <w:spacing w:line="400" w:lineRule="exact"/>
        <w:jc w:val="left"/>
        <w:rPr>
          <w:rFonts w:ascii="宋体" w:hAnsi="宋体" w:cs="宋体"/>
          <w:b/>
          <w:color w:val="auto"/>
          <w:sz w:val="32"/>
          <w:szCs w:val="32"/>
          <w:highlight w:val="none"/>
        </w:rPr>
      </w:pPr>
      <w:r>
        <w:rPr>
          <w:rFonts w:hint="eastAsia" w:ascii="宋体" w:hAnsi="宋体" w:cs="宋体"/>
          <w:b/>
          <w:color w:val="auto"/>
          <w:sz w:val="32"/>
          <w:szCs w:val="32"/>
          <w:highlight w:val="none"/>
        </w:rPr>
        <w:tab/>
      </w:r>
    </w:p>
    <w:p w14:paraId="757E043B">
      <w:pPr>
        <w:spacing w:line="400" w:lineRule="exact"/>
        <w:jc w:val="center"/>
        <w:rPr>
          <w:rFonts w:ascii="宋体" w:hAnsi="宋体" w:cs="宋体"/>
          <w:b/>
          <w:color w:val="auto"/>
          <w:sz w:val="32"/>
          <w:szCs w:val="32"/>
          <w:highlight w:val="none"/>
        </w:rPr>
      </w:pPr>
    </w:p>
    <w:p w14:paraId="60AA2D87">
      <w:pPr>
        <w:spacing w:line="400" w:lineRule="exact"/>
        <w:jc w:val="center"/>
        <w:rPr>
          <w:rFonts w:ascii="宋体" w:hAnsi="宋体" w:cs="宋体"/>
          <w:b/>
          <w:color w:val="auto"/>
          <w:sz w:val="32"/>
          <w:szCs w:val="32"/>
          <w:highlight w:val="none"/>
        </w:rPr>
      </w:pPr>
    </w:p>
    <w:p w14:paraId="2E3A152C">
      <w:pPr>
        <w:spacing w:line="400" w:lineRule="exact"/>
        <w:jc w:val="center"/>
        <w:rPr>
          <w:rFonts w:ascii="宋体" w:hAnsi="宋体" w:cs="宋体"/>
          <w:b/>
          <w:color w:val="auto"/>
          <w:sz w:val="32"/>
          <w:szCs w:val="32"/>
          <w:highlight w:val="none"/>
        </w:rPr>
      </w:pPr>
    </w:p>
    <w:p w14:paraId="2FDE34D3">
      <w:pPr>
        <w:spacing w:line="400" w:lineRule="exact"/>
        <w:jc w:val="center"/>
        <w:rPr>
          <w:rFonts w:ascii="宋体" w:hAnsi="宋体" w:cs="宋体"/>
          <w:b/>
          <w:color w:val="auto"/>
          <w:sz w:val="32"/>
          <w:szCs w:val="32"/>
          <w:highlight w:val="none"/>
        </w:rPr>
      </w:pPr>
    </w:p>
    <w:p w14:paraId="34825358">
      <w:pPr>
        <w:widowControl/>
        <w:jc w:val="left"/>
        <w:rPr>
          <w:rFonts w:ascii="宋体" w:hAnsi="宋体" w:cs="宋体"/>
          <w:b/>
          <w:color w:val="auto"/>
          <w:sz w:val="32"/>
          <w:szCs w:val="32"/>
          <w:highlight w:val="none"/>
        </w:rPr>
        <w:sectPr>
          <w:footerReference r:id="rId4" w:type="default"/>
          <w:pgSz w:w="11906" w:h="16838"/>
          <w:pgMar w:top="1440" w:right="1440" w:bottom="1440" w:left="1587" w:header="851" w:footer="992" w:gutter="0"/>
          <w:pgNumType w:start="1"/>
          <w:cols w:space="720" w:num="1"/>
          <w:docGrid w:type="lines" w:linePitch="312" w:charSpace="0"/>
        </w:sectPr>
      </w:pPr>
    </w:p>
    <w:p w14:paraId="3C415EAF">
      <w:pPr>
        <w:pStyle w:val="2"/>
        <w:spacing w:before="0" w:after="0" w:line="360" w:lineRule="auto"/>
        <w:jc w:val="center"/>
        <w:rPr>
          <w:rFonts w:ascii="宋体" w:hAnsi="宋体" w:cs="宋体"/>
          <w:color w:val="auto"/>
          <w:highlight w:val="none"/>
        </w:rPr>
      </w:pPr>
      <w:bookmarkStart w:id="8" w:name="_Toc193"/>
      <w:r>
        <w:rPr>
          <w:rFonts w:hint="eastAsia" w:ascii="宋体" w:hAnsi="宋体" w:cs="宋体"/>
          <w:color w:val="auto"/>
          <w:highlight w:val="none"/>
        </w:rPr>
        <w:t>第一章 竞争性磋商公告</w:t>
      </w:r>
      <w:bookmarkEnd w:id="8"/>
      <w:bookmarkStart w:id="9" w:name="_Toc35393798"/>
      <w:bookmarkStart w:id="10" w:name="_Toc28359089"/>
      <w:bookmarkStart w:id="11" w:name="_Toc44229878"/>
      <w:bookmarkStart w:id="12" w:name="_Toc28359012"/>
      <w:bookmarkStart w:id="13" w:name="_Toc35393629"/>
      <w:bookmarkStart w:id="14" w:name="_Toc28359081"/>
      <w:bookmarkStart w:id="15" w:name="_Toc35393623"/>
      <w:bookmarkStart w:id="16" w:name="_Toc28359004"/>
      <w:bookmarkStart w:id="17" w:name="_Toc35393792"/>
    </w:p>
    <w:p w14:paraId="230128B8">
      <w:pPr>
        <w:rPr>
          <w:rFonts w:ascii="宋体" w:hAnsi="宋体" w:cs="宋体"/>
          <w:color w:val="auto"/>
          <w:highlight w:val="none"/>
        </w:rPr>
      </w:pPr>
    </w:p>
    <w:tbl>
      <w:tblPr>
        <w:tblStyle w:val="26"/>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7"/>
      </w:tblGrid>
      <w:tr w14:paraId="703C2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7" w:type="dxa"/>
          </w:tcPr>
          <w:p w14:paraId="7A872041">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项目概况</w:t>
            </w:r>
          </w:p>
          <w:p w14:paraId="2BF629B0">
            <w:pPr>
              <w:spacing w:line="400" w:lineRule="exact"/>
              <w:ind w:firstLine="420" w:firstLineChars="200"/>
              <w:rPr>
                <w:rFonts w:ascii="宋体" w:hAnsi="宋体" w:cs="宋体"/>
                <w:b/>
                <w:bCs/>
                <w:color w:val="auto"/>
                <w:sz w:val="24"/>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南玉铁路外部环境安全隐患整治（伶俐段）人饮工程</w:t>
            </w:r>
            <w:r>
              <w:rPr>
                <w:rFonts w:hint="eastAsia" w:ascii="宋体" w:hAnsi="宋体" w:cs="宋体"/>
                <w:color w:val="auto"/>
                <w:szCs w:val="21"/>
                <w:highlight w:val="none"/>
              </w:rPr>
              <w:t>采购项目的潜在供应商应在广西政府采购云平台</w:t>
            </w:r>
            <w:r>
              <w:rPr>
                <w:rFonts w:hint="eastAsia" w:ascii="宋体" w:hAnsi="宋体" w:cs="宋体"/>
                <w:color w:val="auto"/>
                <w:szCs w:val="21"/>
                <w:highlight w:val="none"/>
                <w:lang w:eastAsia="zh-CN"/>
              </w:rPr>
              <w:t>（</w:t>
            </w:r>
            <w:r>
              <w:rPr>
                <w:rFonts w:hint="eastAsia" w:ascii="宋体" w:hAnsi="宋体" w:cs="宋体"/>
                <w:color w:val="auto"/>
                <w:szCs w:val="21"/>
                <w:highlight w:val="none"/>
              </w:rPr>
              <w:t>https://www.gcy.zfcg.gxzf.gov.cn）获取（下载）获取竞争性磋商文件，并于</w:t>
            </w:r>
            <w:r>
              <w:rPr>
                <w:rFonts w:hint="eastAsia" w:ascii="宋体" w:hAnsi="宋体" w:cs="宋体"/>
                <w:color w:val="auto"/>
                <w:szCs w:val="21"/>
                <w:highlight w:val="none"/>
                <w:u w:val="single"/>
              </w:rPr>
              <w:t>202</w:t>
            </w:r>
            <w:r>
              <w:rPr>
                <w:rFonts w:ascii="宋体" w:hAnsi="宋体" w:cs="宋体"/>
                <w:color w:val="auto"/>
                <w:szCs w:val="21"/>
                <w:highlight w:val="none"/>
                <w:u w:val="single"/>
              </w:rPr>
              <w:t>4</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u w:val="single"/>
              </w:rPr>
              <w:t>日09点30分</w:t>
            </w:r>
            <w:r>
              <w:rPr>
                <w:rFonts w:hint="eastAsia" w:ascii="宋体" w:hAnsi="宋体" w:cs="宋体"/>
                <w:color w:val="auto"/>
                <w:szCs w:val="21"/>
                <w:highlight w:val="none"/>
              </w:rPr>
              <w:t>（北京时间）</w:t>
            </w:r>
            <w:r>
              <w:rPr>
                <w:rFonts w:hint="eastAsia" w:ascii="宋体" w:hAnsi="宋体" w:cs="宋体"/>
                <w:bCs/>
                <w:color w:val="auto"/>
                <w:szCs w:val="21"/>
                <w:highlight w:val="none"/>
              </w:rPr>
              <w:t>前提交响应文件</w:t>
            </w:r>
            <w:r>
              <w:rPr>
                <w:rFonts w:hint="eastAsia" w:ascii="宋体" w:hAnsi="宋体" w:cs="宋体"/>
                <w:color w:val="auto"/>
                <w:szCs w:val="21"/>
                <w:highlight w:val="none"/>
              </w:rPr>
              <w:t>。</w:t>
            </w:r>
          </w:p>
        </w:tc>
      </w:tr>
    </w:tbl>
    <w:p w14:paraId="7DFE5A8E">
      <w:pPr>
        <w:spacing w:line="360" w:lineRule="auto"/>
        <w:ind w:firstLine="482" w:firstLineChars="200"/>
        <w:rPr>
          <w:rFonts w:ascii="宋体" w:hAnsi="宋体" w:cs="宋体"/>
          <w:b/>
          <w:color w:val="auto"/>
          <w:highlight w:val="none"/>
        </w:rPr>
      </w:pPr>
      <w:r>
        <w:rPr>
          <w:rFonts w:hint="eastAsia" w:ascii="宋体" w:hAnsi="宋体" w:cs="宋体"/>
          <w:b/>
          <w:color w:val="auto"/>
          <w:sz w:val="24"/>
          <w:highlight w:val="none"/>
        </w:rPr>
        <w:t>一、项目基本情况</w:t>
      </w:r>
      <w:bookmarkEnd w:id="9"/>
      <w:bookmarkEnd w:id="10"/>
      <w:bookmarkEnd w:id="11"/>
      <w:bookmarkEnd w:id="12"/>
      <w:bookmarkEnd w:id="13"/>
    </w:p>
    <w:p w14:paraId="3B349C53">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1.项目编号：</w:t>
      </w:r>
      <w:r>
        <w:rPr>
          <w:rFonts w:hint="eastAsia" w:ascii="宋体" w:hAnsi="宋体" w:cs="宋体"/>
          <w:color w:val="auto"/>
          <w:szCs w:val="21"/>
          <w:highlight w:val="none"/>
          <w:lang w:eastAsia="zh-CN"/>
        </w:rPr>
        <w:t xml:space="preserve"> NNZC2024-C2-030291-GXHM</w:t>
      </w:r>
    </w:p>
    <w:p w14:paraId="6C99ADCC">
      <w:pPr>
        <w:spacing w:line="360" w:lineRule="auto"/>
        <w:ind w:firstLine="420" w:firstLineChars="20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2.项目名称：</w:t>
      </w:r>
      <w:r>
        <w:rPr>
          <w:rFonts w:hint="eastAsia" w:ascii="宋体" w:hAnsi="宋体" w:cs="宋体"/>
          <w:color w:val="auto"/>
          <w:szCs w:val="21"/>
          <w:highlight w:val="none"/>
          <w:lang w:eastAsia="zh-CN"/>
        </w:rPr>
        <w:t>南玉铁路外部环境安全隐患整治（伶俐段）人饮工程</w:t>
      </w:r>
    </w:p>
    <w:p w14:paraId="43B20BB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3.采购方式：竞争性磋商</w:t>
      </w:r>
    </w:p>
    <w:p w14:paraId="6C4CCD7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4.预算金额：</w:t>
      </w:r>
      <w:r>
        <w:rPr>
          <w:rFonts w:hint="eastAsia" w:ascii="宋体" w:hAnsi="宋体" w:cs="宋体"/>
          <w:color w:val="auto"/>
          <w:szCs w:val="21"/>
          <w:highlight w:val="none"/>
          <w:lang w:eastAsia="zh-CN"/>
        </w:rPr>
        <w:t>1196908.49</w:t>
      </w:r>
      <w:r>
        <w:rPr>
          <w:rFonts w:hint="eastAsia" w:ascii="宋体" w:hAnsi="宋体" w:cs="宋体"/>
          <w:color w:val="auto"/>
          <w:szCs w:val="21"/>
          <w:highlight w:val="none"/>
        </w:rPr>
        <w:t>元</w:t>
      </w:r>
    </w:p>
    <w:p w14:paraId="7E17D9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5.最高限价</w:t>
      </w:r>
      <w:bookmarkStart w:id="18" w:name="_Hlk66782034"/>
      <w:r>
        <w:rPr>
          <w:rFonts w:hint="eastAsia" w:ascii="宋体" w:hAnsi="宋体" w:cs="宋体"/>
          <w:color w:val="auto"/>
          <w:szCs w:val="21"/>
          <w:highlight w:val="none"/>
        </w:rPr>
        <w:t>（如有）</w:t>
      </w:r>
      <w:bookmarkEnd w:id="18"/>
      <w:r>
        <w:rPr>
          <w:rFonts w:hint="eastAsia" w:ascii="宋体" w:hAnsi="宋体" w:cs="宋体"/>
          <w:color w:val="auto"/>
          <w:szCs w:val="21"/>
          <w:highlight w:val="none"/>
        </w:rPr>
        <w:t>：同预算金额</w:t>
      </w:r>
    </w:p>
    <w:p w14:paraId="760DF58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6.采购需求：</w:t>
      </w:r>
    </w:p>
    <w:tbl>
      <w:tblPr>
        <w:tblStyle w:val="25"/>
        <w:tblW w:w="96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9"/>
        <w:gridCol w:w="1727"/>
        <w:gridCol w:w="819"/>
        <w:gridCol w:w="763"/>
        <w:gridCol w:w="5601"/>
      </w:tblGrid>
      <w:tr w14:paraId="4BAE4A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vAlign w:val="center"/>
          </w:tcPr>
          <w:p w14:paraId="4BAC57E9">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727" w:type="dxa"/>
            <w:tcBorders>
              <w:top w:val="single" w:color="auto" w:sz="4" w:space="0"/>
              <w:left w:val="single" w:color="auto" w:sz="4" w:space="0"/>
              <w:bottom w:val="single" w:color="auto" w:sz="4" w:space="0"/>
              <w:right w:val="single" w:color="auto" w:sz="4" w:space="0"/>
            </w:tcBorders>
            <w:vAlign w:val="center"/>
          </w:tcPr>
          <w:p w14:paraId="14220FDC">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标的的名称</w:t>
            </w:r>
          </w:p>
        </w:tc>
        <w:tc>
          <w:tcPr>
            <w:tcW w:w="819" w:type="dxa"/>
            <w:tcBorders>
              <w:top w:val="single" w:color="auto" w:sz="4" w:space="0"/>
              <w:left w:val="single" w:color="auto" w:sz="4" w:space="0"/>
              <w:bottom w:val="single" w:color="auto" w:sz="4" w:space="0"/>
              <w:right w:val="single" w:color="auto" w:sz="4" w:space="0"/>
            </w:tcBorders>
            <w:vAlign w:val="center"/>
          </w:tcPr>
          <w:p w14:paraId="257AE584">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763" w:type="dxa"/>
            <w:tcBorders>
              <w:top w:val="single" w:color="auto" w:sz="4" w:space="0"/>
              <w:left w:val="single" w:color="auto" w:sz="4" w:space="0"/>
              <w:bottom w:val="single" w:color="auto" w:sz="4" w:space="0"/>
              <w:right w:val="single" w:color="auto" w:sz="4" w:space="0"/>
            </w:tcBorders>
            <w:vAlign w:val="center"/>
          </w:tcPr>
          <w:p w14:paraId="36656094">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5601" w:type="dxa"/>
            <w:tcBorders>
              <w:top w:val="single" w:color="auto" w:sz="4" w:space="0"/>
              <w:left w:val="single" w:color="auto" w:sz="4" w:space="0"/>
              <w:bottom w:val="single" w:color="auto" w:sz="4" w:space="0"/>
              <w:right w:val="single" w:color="auto" w:sz="4" w:space="0"/>
            </w:tcBorders>
            <w:vAlign w:val="center"/>
          </w:tcPr>
          <w:p w14:paraId="510948A8">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简要服务要求或者技术需求</w:t>
            </w:r>
          </w:p>
        </w:tc>
      </w:tr>
      <w:tr w14:paraId="648BB9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vAlign w:val="center"/>
          </w:tcPr>
          <w:p w14:paraId="0CA14B3A">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727" w:type="dxa"/>
            <w:tcBorders>
              <w:top w:val="single" w:color="auto" w:sz="4" w:space="0"/>
              <w:left w:val="single" w:color="auto" w:sz="4" w:space="0"/>
              <w:bottom w:val="single" w:color="auto" w:sz="4" w:space="0"/>
              <w:right w:val="single" w:color="auto" w:sz="4" w:space="0"/>
            </w:tcBorders>
            <w:vAlign w:val="center"/>
          </w:tcPr>
          <w:p w14:paraId="47F19B31">
            <w:pPr>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南玉铁路外部环境安全隐患整治（伶俐段）人饮工程</w:t>
            </w:r>
          </w:p>
        </w:tc>
        <w:tc>
          <w:tcPr>
            <w:tcW w:w="819" w:type="dxa"/>
            <w:tcBorders>
              <w:top w:val="single" w:color="auto" w:sz="4" w:space="0"/>
              <w:left w:val="single" w:color="auto" w:sz="4" w:space="0"/>
              <w:bottom w:val="single" w:color="auto" w:sz="4" w:space="0"/>
              <w:right w:val="single" w:color="auto" w:sz="4" w:space="0"/>
            </w:tcBorders>
            <w:vAlign w:val="center"/>
          </w:tcPr>
          <w:p w14:paraId="4C80CC28">
            <w:pPr>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项</w:t>
            </w:r>
          </w:p>
        </w:tc>
        <w:tc>
          <w:tcPr>
            <w:tcW w:w="763" w:type="dxa"/>
            <w:tcBorders>
              <w:top w:val="single" w:color="auto" w:sz="4" w:space="0"/>
              <w:left w:val="single" w:color="auto" w:sz="4" w:space="0"/>
              <w:bottom w:val="single" w:color="auto" w:sz="4" w:space="0"/>
              <w:right w:val="single" w:color="auto" w:sz="4" w:space="0"/>
            </w:tcBorders>
            <w:vAlign w:val="center"/>
          </w:tcPr>
          <w:p w14:paraId="70FD3A0F">
            <w:pPr>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p>
        </w:tc>
        <w:tc>
          <w:tcPr>
            <w:tcW w:w="5601" w:type="dxa"/>
            <w:tcBorders>
              <w:top w:val="single" w:color="auto" w:sz="4" w:space="0"/>
              <w:left w:val="single" w:color="auto" w:sz="4" w:space="0"/>
              <w:bottom w:val="single" w:color="auto" w:sz="4" w:space="0"/>
              <w:right w:val="single" w:color="auto" w:sz="4" w:space="0"/>
            </w:tcBorders>
            <w:vAlign w:val="center"/>
          </w:tcPr>
          <w:p w14:paraId="7453F826">
            <w:pPr>
              <w:spacing w:line="340" w:lineRule="exact"/>
              <w:jc w:val="lef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建设南玉铁路外部环境安全隐患整治（伶俐段）人饮工程，详见工程量清单</w:t>
            </w:r>
            <w:r>
              <w:rPr>
                <w:rFonts w:hint="eastAsia" w:ascii="宋体" w:hAnsi="宋体" w:cs="宋体"/>
                <w:color w:val="auto"/>
                <w:szCs w:val="21"/>
                <w:highlight w:val="none"/>
                <w:lang w:val="en-US" w:eastAsia="zh-CN"/>
              </w:rPr>
              <w:t>。</w:t>
            </w:r>
          </w:p>
        </w:tc>
      </w:tr>
    </w:tbl>
    <w:p w14:paraId="618FD884">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7.合同履行期限：详见采购文件“第二章采购需求”商务条款。</w:t>
      </w:r>
    </w:p>
    <w:p w14:paraId="6923366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8.本项目是否接受联合体：□是，☑否</w:t>
      </w:r>
    </w:p>
    <w:p w14:paraId="03E147B7">
      <w:pPr>
        <w:spacing w:line="360" w:lineRule="auto"/>
        <w:ind w:firstLine="482" w:firstLineChars="200"/>
        <w:rPr>
          <w:rFonts w:ascii="宋体" w:hAnsi="宋体" w:cs="宋体"/>
          <w:bCs/>
          <w:color w:val="auto"/>
          <w:sz w:val="24"/>
          <w:highlight w:val="none"/>
        </w:rPr>
      </w:pPr>
      <w:bookmarkStart w:id="19" w:name="_Toc35393630"/>
      <w:bookmarkStart w:id="20" w:name="_Toc28359013"/>
      <w:bookmarkStart w:id="21" w:name="_Toc28359090"/>
      <w:bookmarkStart w:id="22" w:name="_Toc35393799"/>
      <w:bookmarkStart w:id="23" w:name="_Toc44229879"/>
      <w:r>
        <w:rPr>
          <w:rFonts w:hint="eastAsia" w:ascii="宋体" w:hAnsi="宋体" w:cs="宋体"/>
          <w:b/>
          <w:color w:val="auto"/>
          <w:kern w:val="44"/>
          <w:sz w:val="24"/>
          <w:highlight w:val="none"/>
        </w:rPr>
        <w:t>二、供应商的资格条件</w:t>
      </w:r>
      <w:bookmarkEnd w:id="19"/>
      <w:bookmarkEnd w:id="20"/>
      <w:bookmarkEnd w:id="21"/>
      <w:bookmarkEnd w:id="22"/>
      <w:bookmarkEnd w:id="23"/>
    </w:p>
    <w:p w14:paraId="401C45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14:paraId="6A9B7E1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2.落实政府采购政策需满足的资格要求：专门面向中小企业采购的项目（供应商应为中小微企业或监狱企业或残疾人福利性单位)；</w:t>
      </w:r>
    </w:p>
    <w:p w14:paraId="5DC3CB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3.本项目的特定资格要求：</w:t>
      </w:r>
      <w:r>
        <w:rPr>
          <w:rFonts w:hint="eastAsia" w:ascii="宋体" w:hAnsi="宋体" w:cs="宋体"/>
          <w:color w:val="auto"/>
          <w:szCs w:val="21"/>
          <w:highlight w:val="none"/>
          <w:lang w:val="en-US" w:eastAsia="zh-CN"/>
        </w:rPr>
        <w:t>具备有效的市政公用工程总承包三级(含)或水利水电工程施工总承包三级(含)以上资质，同时具有省级及以上建设行政主管部门颁发的安全生产许可证。在人员、设备、资金等方面具备相应的施工能力。</w:t>
      </w:r>
    </w:p>
    <w:p w14:paraId="6332ED4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4.本项目的特定条件：</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拟投入本工程</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项目经理须持有二级或二级以上建造师注册证书，专业是</w:t>
      </w:r>
      <w:r>
        <w:rPr>
          <w:rFonts w:hint="eastAsia" w:ascii="宋体" w:hAnsi="宋体" w:cs="宋体"/>
          <w:color w:val="auto"/>
          <w:szCs w:val="21"/>
          <w:highlight w:val="none"/>
          <w:lang w:val="en-US" w:eastAsia="zh-CN"/>
        </w:rPr>
        <w:t>市政工程或</w:t>
      </w:r>
      <w:r>
        <w:rPr>
          <w:rFonts w:hint="eastAsia" w:ascii="宋体" w:hAnsi="宋体" w:cs="宋体"/>
          <w:color w:val="auto"/>
          <w:szCs w:val="21"/>
          <w:highlight w:val="none"/>
        </w:rPr>
        <w:t>水利水电工程类专业（以建造师注册证书中“专业 类别”栏所填写的专业为准）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同时持有</w:t>
      </w:r>
      <w:r>
        <w:rPr>
          <w:rFonts w:hint="eastAsia" w:ascii="宋体" w:hAnsi="宋体" w:cs="宋体"/>
          <w:color w:val="auto"/>
          <w:szCs w:val="21"/>
          <w:highlight w:val="none"/>
        </w:rPr>
        <w:t>省级或省级以上建设行政主管部门颁发的安全生产考核合格证书（B类）</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2）拟投入本工程的安全员应持有省级或省级以上建设行政主管部门颁发的安全生产考核合格证书（C类）。</w:t>
      </w:r>
    </w:p>
    <w:p w14:paraId="5867F10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7B4639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6.对在“信用中国”网站(www.creditchina.gov.cn) 、中国政府采购网(www.ccgp.gov.cn)被列入失信被执行人、</w:t>
      </w:r>
      <w:r>
        <w:rPr>
          <w:rFonts w:hint="eastAsia" w:ascii="宋体" w:hAnsi="宋体" w:cs="宋体"/>
          <w:color w:val="auto"/>
          <w:szCs w:val="21"/>
          <w:highlight w:val="none"/>
          <w:lang w:eastAsia="zh-CN"/>
        </w:rPr>
        <w:t>重大税收违法失信主体</w:t>
      </w:r>
      <w:r>
        <w:rPr>
          <w:rFonts w:hint="eastAsia" w:ascii="宋体" w:hAnsi="宋体" w:cs="宋体"/>
          <w:color w:val="auto"/>
          <w:szCs w:val="21"/>
          <w:highlight w:val="none"/>
        </w:rPr>
        <w:t>、政府采购严重违法失信行为记录名单及其他不符合《中华人民共和国政府采购法》第二十二条规定条件的供应商，不得参与政府采购活动。</w:t>
      </w:r>
    </w:p>
    <w:p w14:paraId="1DACC56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三、获取竞争性磋商文件</w:t>
      </w:r>
      <w:bookmarkEnd w:id="14"/>
      <w:bookmarkEnd w:id="15"/>
      <w:bookmarkEnd w:id="16"/>
      <w:bookmarkEnd w:id="17"/>
    </w:p>
    <w:p w14:paraId="124017BF">
      <w:pPr>
        <w:spacing w:line="360" w:lineRule="auto"/>
        <w:ind w:firstLine="420" w:firstLineChars="200"/>
        <w:rPr>
          <w:rFonts w:ascii="宋体" w:hAnsi="宋体" w:cs="宋体"/>
          <w:color w:val="auto"/>
          <w:szCs w:val="21"/>
          <w:highlight w:val="none"/>
        </w:rPr>
      </w:pPr>
      <w:bookmarkStart w:id="24" w:name="_Toc28359005"/>
      <w:bookmarkStart w:id="25" w:name="_Toc28359082"/>
      <w:bookmarkStart w:id="26" w:name="_Toc35393624"/>
      <w:bookmarkStart w:id="27" w:name="_Toc35393793"/>
      <w:r>
        <w:rPr>
          <w:rFonts w:hint="eastAsia" w:ascii="宋体" w:hAnsi="宋体" w:cs="宋体"/>
          <w:color w:val="auto"/>
          <w:szCs w:val="21"/>
          <w:highlight w:val="none"/>
        </w:rPr>
        <w:t>时间：自公告发布之日起</w:t>
      </w:r>
      <w:r>
        <w:rPr>
          <w:rFonts w:hint="eastAsia" w:ascii="宋体" w:hAnsi="宋体" w:cs="宋体"/>
          <w:color w:val="auto"/>
          <w:highlight w:val="none"/>
        </w:rPr>
        <w:t>至</w:t>
      </w:r>
      <w:r>
        <w:rPr>
          <w:rFonts w:hint="eastAsia" w:ascii="宋体" w:hAnsi="宋体" w:cs="宋体"/>
          <w:color w:val="auto"/>
          <w:szCs w:val="21"/>
          <w:highlight w:val="none"/>
          <w:u w:val="single"/>
        </w:rPr>
        <w:t>202</w:t>
      </w:r>
      <w:r>
        <w:rPr>
          <w:rFonts w:ascii="宋体" w:hAnsi="宋体" w:cs="宋体"/>
          <w:color w:val="auto"/>
          <w:szCs w:val="21"/>
          <w:highlight w:val="none"/>
          <w:u w:val="single"/>
        </w:rPr>
        <w:t>4</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u w:val="single"/>
        </w:rPr>
        <w:t>日09点30分</w:t>
      </w:r>
      <w:r>
        <w:rPr>
          <w:rFonts w:hint="eastAsia" w:ascii="宋体" w:hAnsi="宋体" w:cs="宋体"/>
          <w:bCs/>
          <w:color w:val="auto"/>
          <w:szCs w:val="21"/>
          <w:highlight w:val="none"/>
        </w:rPr>
        <w:t>（北京时间）</w:t>
      </w:r>
      <w:r>
        <w:rPr>
          <w:rFonts w:hint="eastAsia" w:ascii="宋体" w:hAnsi="宋体" w:cs="宋体"/>
          <w:color w:val="auto"/>
          <w:szCs w:val="21"/>
          <w:highlight w:val="none"/>
        </w:rPr>
        <w:t>。</w:t>
      </w:r>
    </w:p>
    <w:p w14:paraId="20C31715">
      <w:pPr>
        <w:spacing w:line="360" w:lineRule="auto"/>
        <w:ind w:firstLine="420" w:firstLineChars="200"/>
        <w:rPr>
          <w:rFonts w:ascii="宋体" w:hAnsi="宋体" w:cs="宋体"/>
          <w:b/>
          <w:bCs/>
          <w:color w:val="auto"/>
          <w:sz w:val="24"/>
          <w:highlight w:val="none"/>
        </w:rPr>
      </w:pPr>
      <w:r>
        <w:rPr>
          <w:rFonts w:hint="eastAsia" w:ascii="宋体" w:hAnsi="宋体" w:cs="宋体"/>
          <w:color w:val="auto"/>
          <w:szCs w:val="21"/>
          <w:highlight w:val="none"/>
        </w:rPr>
        <w:t>获取方式:网上下载。本项目不发放纸质采购文件，供应商可自行在“广西政府采购云平台”（https://www.gcy.zfcg.gxzf.gov.cn）下载采购文件（操作路径：登录“广西政府采购云平台”-项目采购-获取采购文件-找到本项目-点击“申请获取采购文件”），电子响应文件制作需要基于“广西政府采购云平台”（https://www.gcy.zfcg.gxzf.gov.cn）获取的采购文件编制。</w:t>
      </w:r>
    </w:p>
    <w:p w14:paraId="5B90B5B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售价：0元。</w:t>
      </w:r>
    </w:p>
    <w:p w14:paraId="75884EE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四、</w:t>
      </w:r>
      <w:bookmarkEnd w:id="24"/>
      <w:bookmarkEnd w:id="25"/>
      <w:bookmarkEnd w:id="26"/>
      <w:bookmarkEnd w:id="27"/>
      <w:r>
        <w:rPr>
          <w:rFonts w:hint="eastAsia" w:ascii="宋体" w:hAnsi="宋体" w:cs="宋体"/>
          <w:b/>
          <w:bCs/>
          <w:color w:val="auto"/>
          <w:sz w:val="24"/>
          <w:highlight w:val="none"/>
        </w:rPr>
        <w:t>响应文件提交</w:t>
      </w:r>
    </w:p>
    <w:p w14:paraId="09E492E6">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1、首次响应文件提交截止时间</w:t>
      </w:r>
      <w:r>
        <w:rPr>
          <w:rFonts w:hint="eastAsia" w:ascii="宋体" w:hAnsi="宋体" w:cs="宋体"/>
          <w:bCs/>
          <w:color w:val="auto"/>
          <w:szCs w:val="21"/>
          <w:highlight w:val="none"/>
        </w:rPr>
        <w:t>（北京时间）：</w:t>
      </w:r>
      <w:r>
        <w:rPr>
          <w:rFonts w:hint="eastAsia" w:ascii="宋体" w:hAnsi="宋体" w:cs="宋体"/>
          <w:color w:val="auto"/>
          <w:szCs w:val="21"/>
          <w:highlight w:val="none"/>
          <w:u w:val="single"/>
        </w:rPr>
        <w:t>202</w:t>
      </w:r>
      <w:r>
        <w:rPr>
          <w:rFonts w:ascii="宋体" w:hAnsi="宋体" w:cs="宋体"/>
          <w:color w:val="auto"/>
          <w:szCs w:val="21"/>
          <w:highlight w:val="none"/>
          <w:u w:val="single"/>
        </w:rPr>
        <w:t>4</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u w:val="single"/>
        </w:rPr>
        <w:t>日09点30分</w:t>
      </w:r>
    </w:p>
    <w:p w14:paraId="2377135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2、首次响应文件提交地点：</w:t>
      </w:r>
    </w:p>
    <w:p w14:paraId="00C1291F">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响应文件提交方式：本项目为南宁市全流程电子化项目，通过“广西政府采购云平台”（https://www.gcy.zfcg.gxzf.gov.cn）实行在线电子响应，供应商应先安装“广西政府采购云平台新版客户端”（新版客户端下载路径：广西政府采购网（访问地址http://zfcg.gxzf.gov.cn/）—办事服务—下载专区），并按照本项目采购文件和“广西政府采购云平台”的要求编制、加密后在投标截止时间前通过网络上传至“广西政府采购云平台”，供应商在“广西政府采购云平台”提交电子版响应文件时，请填写参加远程采购活动经办人联系方式，电子响应文件具体操作流程详见本公告附件2。</w:t>
      </w:r>
    </w:p>
    <w:p w14:paraId="1E303CF1">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未进行网上注册并办理数字证书（CA认证）的供应商将无法参与本项目政府采购活动，潜在供应商应当在投标截止时间前，完成电子交易平台上的CA数字证书办理（申领流程见本公告附件2）及响应文件的提交。完成CA数字证书办理预计7日左右，供应商只需办理其中一家CA数字证书及签章。</w:t>
      </w:r>
    </w:p>
    <w:p w14:paraId="0E603D55">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14:paraId="0A116B26">
      <w:pPr>
        <w:widowControl/>
        <w:spacing w:line="360" w:lineRule="auto"/>
        <w:ind w:firstLine="420" w:firstLineChars="200"/>
        <w:jc w:val="left"/>
        <w:rPr>
          <w:rFonts w:ascii="宋体" w:hAnsi="宋体" w:cs="宋体"/>
          <w:bCs/>
          <w:color w:val="auto"/>
          <w:szCs w:val="21"/>
          <w:highlight w:val="none"/>
          <w:u w:val="single"/>
        </w:rPr>
      </w:pPr>
      <w:r>
        <w:rPr>
          <w:rFonts w:hint="eastAsia" w:ascii="宋体" w:hAnsi="宋体" w:cs="宋体"/>
          <w:color w:val="auto"/>
          <w:szCs w:val="21"/>
          <w:highlight w:val="non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将予以拒收。</w:t>
      </w:r>
    </w:p>
    <w:p w14:paraId="06F638B0">
      <w:pPr>
        <w:snapToGrid w:val="0"/>
        <w:spacing w:line="440" w:lineRule="exact"/>
        <w:ind w:firstLine="420" w:firstLineChars="200"/>
        <w:rPr>
          <w:rFonts w:ascii="宋体" w:hAnsi="宋体" w:eastAsia="宋体" w:cs="宋体"/>
          <w:b/>
          <w:bCs/>
          <w:color w:val="auto"/>
          <w:kern w:val="0"/>
          <w:szCs w:val="21"/>
          <w:highlight w:val="none"/>
        </w:rPr>
      </w:pPr>
      <w:r>
        <w:rPr>
          <w:rFonts w:hint="eastAsia" w:ascii="宋体" w:hAnsi="宋体" w:eastAsia="宋体" w:cs="宋体"/>
          <w:color w:val="auto"/>
          <w:kern w:val="0"/>
          <w:szCs w:val="21"/>
          <w:highlight w:val="none"/>
        </w:rPr>
        <w:t>3、CA证书在线解密：</w:t>
      </w:r>
      <w:r>
        <w:rPr>
          <w:rFonts w:hint="eastAsia" w:ascii="宋体" w:hAnsi="宋体" w:eastAsia="宋体" w:cs="宋体"/>
          <w:b/>
          <w:bCs/>
          <w:color w:val="auto"/>
          <w:kern w:val="0"/>
          <w:szCs w:val="21"/>
          <w:highlight w:val="none"/>
        </w:rPr>
        <w:t>首次响应文件开启时，须要供应商携带制作响应文件时用来加密的有效数字证书（CA认证）登录“广西政府采购云平台”电子开标大厅现场按规定时间对加密的响应文件进行解密，未能按要求进行解密的，由此产生的后果由投标人自行承担。</w:t>
      </w:r>
    </w:p>
    <w:p w14:paraId="68FFFAFA">
      <w:pPr>
        <w:snapToGrid w:val="0"/>
        <w:spacing w:line="440" w:lineRule="exact"/>
        <w:ind w:firstLine="420" w:firstLineChars="200"/>
        <w:rPr>
          <w:rFonts w:ascii="宋体" w:hAnsi="宋体" w:cs="宋体"/>
          <w:color w:val="auto"/>
          <w:kern w:val="0"/>
          <w:szCs w:val="21"/>
          <w:highlight w:val="none"/>
        </w:rPr>
      </w:pPr>
      <w:r>
        <w:rPr>
          <w:rFonts w:hint="eastAsia" w:ascii="宋体" w:hAnsi="宋体" w:eastAsia="宋体" w:cs="宋体"/>
          <w:color w:val="auto"/>
          <w:kern w:val="0"/>
          <w:szCs w:val="21"/>
          <w:highlight w:val="none"/>
        </w:rPr>
        <w:t>4、供应商需要在具备有摄像头及语音功能且互联网网络状况良好的电脑登录“广西政府采购云平台”远程开标大厅参与本次磋商，否则后果自负</w:t>
      </w:r>
      <w:r>
        <w:rPr>
          <w:rFonts w:hint="eastAsia" w:ascii="宋体" w:hAnsi="宋体" w:cs="宋体"/>
          <w:color w:val="auto"/>
          <w:kern w:val="0"/>
          <w:szCs w:val="21"/>
          <w:highlight w:val="none"/>
        </w:rPr>
        <w:t>。</w:t>
      </w:r>
    </w:p>
    <w:p w14:paraId="395231A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五、开启（首次响应文件开启时间）</w:t>
      </w:r>
    </w:p>
    <w:p w14:paraId="4EB37FA4">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1.时间</w:t>
      </w:r>
      <w:r>
        <w:rPr>
          <w:rFonts w:hint="eastAsia" w:ascii="宋体" w:hAnsi="宋体" w:cs="宋体"/>
          <w:bCs/>
          <w:color w:val="auto"/>
          <w:szCs w:val="21"/>
          <w:highlight w:val="none"/>
        </w:rPr>
        <w:t>（北京时间）</w:t>
      </w:r>
      <w:r>
        <w:rPr>
          <w:rFonts w:hint="eastAsia" w:ascii="宋体" w:hAnsi="宋体" w:cs="宋体"/>
          <w:color w:val="auto"/>
          <w:szCs w:val="21"/>
          <w:highlight w:val="none"/>
        </w:rPr>
        <w:t>：</w:t>
      </w:r>
      <w:r>
        <w:rPr>
          <w:rFonts w:hint="eastAsia" w:ascii="宋体" w:hAnsi="宋体" w:cs="宋体"/>
          <w:color w:val="auto"/>
          <w:szCs w:val="21"/>
          <w:highlight w:val="none"/>
          <w:u w:val="single"/>
        </w:rPr>
        <w:t>202</w:t>
      </w:r>
      <w:r>
        <w:rPr>
          <w:rFonts w:ascii="宋体" w:hAnsi="宋体" w:cs="宋体"/>
          <w:color w:val="auto"/>
          <w:szCs w:val="21"/>
          <w:highlight w:val="none"/>
          <w:u w:val="single"/>
        </w:rPr>
        <w:t>4</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u w:val="single"/>
        </w:rPr>
        <w:t>日09点30分</w:t>
      </w:r>
      <w:r>
        <w:rPr>
          <w:rFonts w:hint="eastAsia" w:ascii="宋体" w:hAnsi="宋体" w:cs="宋体"/>
          <w:color w:val="auto"/>
          <w:szCs w:val="21"/>
          <w:highlight w:val="none"/>
        </w:rPr>
        <w:t>后</w:t>
      </w:r>
    </w:p>
    <w:p w14:paraId="46C33BF8">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2.地点：</w:t>
      </w:r>
      <w:r>
        <w:rPr>
          <w:rFonts w:hint="eastAsia" w:ascii="宋体" w:hAnsi="宋体" w:eastAsia="宋体" w:cs="Times New Roman"/>
          <w:color w:val="auto"/>
          <w:szCs w:val="21"/>
          <w:highlight w:val="none"/>
          <w:u w:val="single"/>
          <w:lang w:eastAsia="zh-CN"/>
        </w:rPr>
        <w:t>广西政</w:t>
      </w:r>
      <w:r>
        <w:rPr>
          <w:rFonts w:hint="eastAsia" w:ascii="宋体" w:hAnsi="宋体" w:eastAsia="宋体" w:cs="Times New Roman"/>
          <w:color w:val="auto"/>
          <w:szCs w:val="21"/>
          <w:highlight w:val="none"/>
          <w:u w:val="single"/>
        </w:rPr>
        <w:t>府采购云平台开标大厅</w:t>
      </w:r>
      <w:r>
        <w:rPr>
          <w:rFonts w:hint="eastAsia" w:ascii="宋体" w:hAnsi="宋体" w:cs="宋体"/>
          <w:color w:val="auto"/>
          <w:szCs w:val="21"/>
          <w:highlight w:val="none"/>
          <w:u w:val="single"/>
        </w:rPr>
        <w:t xml:space="preserve"> </w:t>
      </w:r>
    </w:p>
    <w:p w14:paraId="4798FA5D">
      <w:pPr>
        <w:spacing w:line="360" w:lineRule="auto"/>
        <w:ind w:firstLine="482" w:firstLineChars="200"/>
        <w:rPr>
          <w:rFonts w:ascii="宋体" w:hAnsi="宋体" w:cs="宋体"/>
          <w:b/>
          <w:bCs/>
          <w:color w:val="auto"/>
          <w:sz w:val="24"/>
          <w:highlight w:val="none"/>
        </w:rPr>
      </w:pPr>
      <w:bookmarkStart w:id="28" w:name="_Toc35393794"/>
      <w:bookmarkStart w:id="29" w:name="_Toc28359084"/>
      <w:bookmarkStart w:id="30" w:name="_Toc28359007"/>
      <w:bookmarkStart w:id="31" w:name="_Toc35393625"/>
      <w:r>
        <w:rPr>
          <w:rFonts w:hint="eastAsia" w:ascii="宋体" w:hAnsi="宋体" w:cs="宋体"/>
          <w:b/>
          <w:bCs/>
          <w:color w:val="auto"/>
          <w:sz w:val="24"/>
          <w:highlight w:val="none"/>
        </w:rPr>
        <w:t>六、公告期限</w:t>
      </w:r>
      <w:bookmarkEnd w:id="28"/>
      <w:bookmarkEnd w:id="29"/>
      <w:bookmarkEnd w:id="30"/>
      <w:bookmarkEnd w:id="31"/>
    </w:p>
    <w:p w14:paraId="22116CD6">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自本公告发布之日起3个工作日。</w:t>
      </w:r>
    </w:p>
    <w:p w14:paraId="09D0ACA5">
      <w:pPr>
        <w:spacing w:line="360" w:lineRule="auto"/>
        <w:ind w:firstLine="482" w:firstLineChars="200"/>
        <w:rPr>
          <w:rFonts w:ascii="宋体" w:hAnsi="宋体" w:cs="宋体"/>
          <w:b/>
          <w:bCs/>
          <w:color w:val="auto"/>
          <w:sz w:val="24"/>
          <w:highlight w:val="none"/>
        </w:rPr>
      </w:pPr>
      <w:bookmarkStart w:id="32" w:name="_Toc35393795"/>
      <w:bookmarkStart w:id="33" w:name="_Toc35393626"/>
      <w:r>
        <w:rPr>
          <w:rFonts w:hint="eastAsia" w:ascii="宋体" w:hAnsi="宋体" w:cs="宋体"/>
          <w:b/>
          <w:bCs/>
          <w:color w:val="auto"/>
          <w:sz w:val="24"/>
          <w:highlight w:val="none"/>
        </w:rPr>
        <w:t>七、其他补充事宜</w:t>
      </w:r>
      <w:bookmarkEnd w:id="32"/>
      <w:bookmarkEnd w:id="33"/>
    </w:p>
    <w:p w14:paraId="2F6BBF54">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1.磋商保证金：本项目不收取磋商保证金</w:t>
      </w:r>
    </w:p>
    <w:p w14:paraId="7BEDEF8B">
      <w:pPr>
        <w:spacing w:line="360" w:lineRule="auto"/>
        <w:ind w:firstLine="420" w:firstLineChars="20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2.采购意向公开链接：http://www.ccgp-guangxi.gov.cn/site/detail?categoryCode=reformColumn&amp;parentId=66601&amp;articleId=pQflYisv8qHojslUMLKJGA==</w:t>
      </w:r>
    </w:p>
    <w:p w14:paraId="18C7FCDA">
      <w:pPr>
        <w:spacing w:line="360" w:lineRule="auto"/>
        <w:ind w:firstLine="420" w:firstLineChars="200"/>
        <w:rPr>
          <w:rFonts w:ascii="宋体" w:hAnsi="宋体" w:cs="宋体"/>
          <w:color w:val="auto"/>
          <w:kern w:val="0"/>
          <w:szCs w:val="21"/>
          <w:highlight w:val="none"/>
        </w:rPr>
      </w:pPr>
      <w:bookmarkStart w:id="34" w:name="_Hlk37429585"/>
      <w:r>
        <w:rPr>
          <w:rFonts w:hint="eastAsia" w:ascii="宋体" w:hAnsi="宋体" w:cs="宋体"/>
          <w:color w:val="auto"/>
          <w:kern w:val="0"/>
          <w:szCs w:val="21"/>
          <w:highlight w:val="none"/>
        </w:rPr>
        <w:t>3.</w:t>
      </w:r>
      <w:bookmarkStart w:id="35" w:name="_Hlk37429595"/>
      <w:r>
        <w:rPr>
          <w:rFonts w:hint="eastAsia" w:ascii="宋体" w:hAnsi="宋体" w:cs="宋体"/>
          <w:color w:val="auto"/>
          <w:kern w:val="0"/>
          <w:szCs w:val="21"/>
          <w:highlight w:val="none"/>
        </w:rPr>
        <w:t>网上查询地址</w:t>
      </w:r>
    </w:p>
    <w:bookmarkEnd w:id="34"/>
    <w:bookmarkEnd w:id="35"/>
    <w:p w14:paraId="25FFCF6A">
      <w:pPr>
        <w:spacing w:line="360" w:lineRule="auto"/>
        <w:ind w:firstLine="420" w:firstLineChars="200"/>
        <w:rPr>
          <w:rFonts w:ascii="宋体" w:hAnsi="宋体" w:cs="宋体"/>
          <w:color w:val="auto"/>
          <w:kern w:val="0"/>
          <w:szCs w:val="21"/>
          <w:highlight w:val="none"/>
        </w:rPr>
      </w:pPr>
      <w:bookmarkStart w:id="36" w:name="_Hlk37429674"/>
      <w:r>
        <w:rPr>
          <w:rFonts w:hint="eastAsia" w:ascii="宋体" w:hAnsi="宋体" w:cs="宋体"/>
          <w:color w:val="auto"/>
          <w:kern w:val="0"/>
          <w:szCs w:val="21"/>
          <w:highlight w:val="none"/>
        </w:rPr>
        <w:t>中国政府采购网（www.ccgp.gov.cn）、广西壮族自治区政府采购网（http://zfcg.gxzf.gov.cn/）、全国公共资源交易平台(广西·南宁)（http://ggzy.jgswj.gxzf.gov.cn/nnggzy/）</w:t>
      </w:r>
    </w:p>
    <w:p w14:paraId="335B09AA">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本项目需要落实的政府采购政策</w:t>
      </w:r>
    </w:p>
    <w:bookmarkEnd w:id="36"/>
    <w:p w14:paraId="55305DB8">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4609B964">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45D9388F">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（3）政府采购促进残疾人就业政策。</w:t>
      </w:r>
    </w:p>
    <w:p w14:paraId="60BEE20D">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（4）政府采购支持监狱企业发展。</w:t>
      </w:r>
    </w:p>
    <w:p w14:paraId="784BE148">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0093A288">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6.若对项目采购电子交易系统操作有疑问，可登录“广西政府采购云平台”https://www.gcy.zfcg.gxzf.gov.cn），点击右侧咨询小采，获取采小蜜智能服务管家帮助，或拨打广西政府采购云平台服务热线95763获取热线服务帮助。 </w:t>
      </w:r>
    </w:p>
    <w:p w14:paraId="066FF53F">
      <w:pPr>
        <w:spacing w:line="360" w:lineRule="auto"/>
        <w:ind w:firstLine="482" w:firstLineChars="200"/>
        <w:rPr>
          <w:rFonts w:ascii="宋体" w:hAnsi="宋体" w:cs="宋体"/>
          <w:bCs/>
          <w:color w:val="auto"/>
          <w:sz w:val="24"/>
          <w:highlight w:val="none"/>
        </w:rPr>
      </w:pPr>
      <w:r>
        <w:rPr>
          <w:rFonts w:hint="eastAsia" w:ascii="宋体" w:hAnsi="宋体" w:cs="宋体"/>
          <w:b/>
          <w:color w:val="auto"/>
          <w:kern w:val="44"/>
          <w:sz w:val="24"/>
          <w:highlight w:val="none"/>
        </w:rPr>
        <w:t>八、凡对本次采购提出询问，请按以下方式联系</w:t>
      </w:r>
    </w:p>
    <w:p w14:paraId="36E4A06A">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　　　1.采购人信息</w:t>
      </w:r>
    </w:p>
    <w:p w14:paraId="3DB9BB13">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名称：</w:t>
      </w:r>
      <w:r>
        <w:rPr>
          <w:rFonts w:hint="eastAsia" w:ascii="宋体" w:hAnsi="宋体" w:cs="宋体"/>
          <w:color w:val="auto"/>
          <w:szCs w:val="21"/>
          <w:highlight w:val="none"/>
          <w:lang w:eastAsia="zh-CN"/>
        </w:rPr>
        <w:t>南宁市青秀区伶俐镇人民政府</w:t>
      </w:r>
    </w:p>
    <w:p w14:paraId="6C6853D6">
      <w:pPr>
        <w:spacing w:line="360" w:lineRule="auto"/>
        <w:ind w:firstLine="735" w:firstLineChars="350"/>
        <w:rPr>
          <w:rFonts w:ascii="宋体" w:hAnsi="宋体" w:cs="宋体"/>
          <w:color w:val="auto"/>
          <w:szCs w:val="21"/>
          <w:highlight w:val="none"/>
        </w:rPr>
      </w:pPr>
      <w:r>
        <w:rPr>
          <w:rFonts w:hint="eastAsia" w:ascii="宋体" w:hAnsi="宋体" w:cs="宋体"/>
          <w:color w:val="auto"/>
          <w:szCs w:val="21"/>
          <w:highlight w:val="none"/>
        </w:rPr>
        <w:t>地址：南宁市青秀区伶俐镇振伶路1号</w:t>
      </w:r>
    </w:p>
    <w:p w14:paraId="267BB254">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项目联系人：</w:t>
      </w:r>
      <w:r>
        <w:rPr>
          <w:rFonts w:hint="eastAsia" w:ascii="宋体" w:hAnsi="宋体" w:cs="宋体"/>
          <w:color w:val="auto"/>
          <w:szCs w:val="21"/>
          <w:highlight w:val="none"/>
          <w:lang w:eastAsia="zh-CN"/>
        </w:rPr>
        <w:t>郑云英</w:t>
      </w:r>
    </w:p>
    <w:p w14:paraId="0BED1B99">
      <w:pPr>
        <w:spacing w:line="360" w:lineRule="auto"/>
        <w:ind w:firstLine="735" w:firstLineChars="350"/>
        <w:rPr>
          <w:rFonts w:ascii="宋体" w:hAnsi="宋体" w:cs="宋体"/>
          <w:color w:val="auto"/>
          <w:szCs w:val="21"/>
          <w:highlight w:val="none"/>
        </w:rPr>
      </w:pPr>
      <w:r>
        <w:rPr>
          <w:rFonts w:hint="eastAsia" w:ascii="宋体" w:hAnsi="宋体" w:cs="宋体"/>
          <w:color w:val="auto"/>
          <w:szCs w:val="21"/>
          <w:highlight w:val="none"/>
        </w:rPr>
        <w:t>联系电话：0771-4267024</w:t>
      </w:r>
    </w:p>
    <w:p w14:paraId="4A9F10F7">
      <w:pPr>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2.采购代理机构信息</w:t>
      </w:r>
    </w:p>
    <w:p w14:paraId="384177C0">
      <w:pPr>
        <w:spacing w:line="360" w:lineRule="auto"/>
        <w:ind w:firstLine="735" w:firstLineChars="350"/>
        <w:rPr>
          <w:rFonts w:ascii="宋体" w:hAnsi="宋体" w:cs="宋体"/>
          <w:color w:val="auto"/>
          <w:szCs w:val="21"/>
          <w:highlight w:val="none"/>
        </w:rPr>
      </w:pPr>
      <w:r>
        <w:rPr>
          <w:rFonts w:hint="eastAsia" w:ascii="宋体" w:hAnsi="宋体" w:cs="宋体"/>
          <w:color w:val="auto"/>
          <w:szCs w:val="21"/>
          <w:highlight w:val="none"/>
        </w:rPr>
        <w:t>名称：广西合美工程咨询有限公司</w:t>
      </w:r>
    </w:p>
    <w:p w14:paraId="23AE7353">
      <w:pPr>
        <w:spacing w:line="360" w:lineRule="auto"/>
        <w:ind w:firstLine="735" w:firstLineChars="350"/>
        <w:rPr>
          <w:rFonts w:ascii="宋体" w:hAnsi="宋体" w:cs="宋体"/>
          <w:color w:val="auto"/>
          <w:szCs w:val="21"/>
          <w:highlight w:val="none"/>
        </w:rPr>
      </w:pPr>
      <w:r>
        <w:rPr>
          <w:rFonts w:hint="eastAsia" w:ascii="宋体" w:hAnsi="宋体" w:cs="宋体"/>
          <w:color w:val="auto"/>
          <w:szCs w:val="21"/>
          <w:highlight w:val="none"/>
        </w:rPr>
        <w:t>地址：南宁市青秀区金湖路61号佳得鑫水晶城D座1402号房</w:t>
      </w:r>
    </w:p>
    <w:p w14:paraId="193AD0AF">
      <w:pPr>
        <w:spacing w:line="360" w:lineRule="auto"/>
        <w:ind w:firstLine="735" w:firstLineChars="35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项目联系人：雷芳莉</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唐宇</w:t>
      </w:r>
    </w:p>
    <w:p w14:paraId="71449546">
      <w:pPr>
        <w:spacing w:line="360" w:lineRule="auto"/>
        <w:ind w:firstLine="735" w:firstLineChars="350"/>
        <w:rPr>
          <w:rFonts w:ascii="宋体" w:hAnsi="宋体" w:cs="宋体"/>
          <w:color w:val="auto"/>
          <w:szCs w:val="21"/>
          <w:highlight w:val="none"/>
        </w:rPr>
      </w:pPr>
      <w:r>
        <w:rPr>
          <w:rFonts w:hint="eastAsia" w:ascii="宋体" w:hAnsi="宋体" w:cs="宋体"/>
          <w:color w:val="auto"/>
          <w:szCs w:val="21"/>
          <w:highlight w:val="none"/>
        </w:rPr>
        <w:t>联系电话：0771-4811887</w:t>
      </w:r>
    </w:p>
    <w:p w14:paraId="690D3C0D">
      <w:pPr>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3.项目联系方式</w:t>
      </w:r>
    </w:p>
    <w:p w14:paraId="5A19A085">
      <w:pPr>
        <w:spacing w:line="360" w:lineRule="auto"/>
        <w:ind w:firstLine="735" w:firstLineChars="35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项目联系人：雷芳莉</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唐宇</w:t>
      </w:r>
    </w:p>
    <w:p w14:paraId="2AD4921F">
      <w:pPr>
        <w:spacing w:line="360" w:lineRule="auto"/>
        <w:ind w:firstLine="735" w:firstLineChars="350"/>
        <w:rPr>
          <w:rFonts w:ascii="宋体" w:hAnsi="宋体" w:cs="宋体"/>
          <w:color w:val="auto"/>
          <w:szCs w:val="21"/>
          <w:highlight w:val="none"/>
        </w:rPr>
      </w:pPr>
      <w:r>
        <w:rPr>
          <w:rFonts w:hint="eastAsia" w:ascii="宋体" w:hAnsi="宋体" w:cs="宋体"/>
          <w:color w:val="auto"/>
          <w:szCs w:val="21"/>
          <w:highlight w:val="none"/>
        </w:rPr>
        <w:t>电话：0771-4811887</w:t>
      </w:r>
    </w:p>
    <w:p w14:paraId="07F5D641">
      <w:pPr>
        <w:spacing w:line="360" w:lineRule="auto"/>
        <w:rPr>
          <w:rFonts w:ascii="宋体" w:hAnsi="宋体" w:cs="宋体"/>
          <w:color w:val="auto"/>
          <w:szCs w:val="21"/>
          <w:highlight w:val="none"/>
        </w:rPr>
      </w:pPr>
    </w:p>
    <w:p w14:paraId="6BAADE0B">
      <w:pPr>
        <w:pStyle w:val="10"/>
        <w:spacing w:line="360" w:lineRule="auto"/>
        <w:ind w:firstLine="420" w:firstLineChars="200"/>
        <w:rPr>
          <w:rFonts w:ascii="宋体" w:hAnsi="宋体" w:eastAsia="宋体" w:cs="Times New Roman"/>
          <w:color w:val="auto"/>
          <w:szCs w:val="21"/>
          <w:highlight w:val="none"/>
        </w:rPr>
      </w:pPr>
      <w:bookmarkStart w:id="37" w:name="_Toc10702"/>
      <w:r>
        <w:rPr>
          <w:rFonts w:hint="eastAsia" w:ascii="宋体" w:hAnsi="宋体" w:eastAsia="宋体" w:cs="Times New Roman"/>
          <w:color w:val="auto"/>
          <w:highlight w:val="none"/>
        </w:rPr>
        <w:t>附件： 1.CA证书申请方式及操作指南下载地址（登陆</w:t>
      </w:r>
      <w:r>
        <w:rPr>
          <w:rFonts w:ascii="宋体" w:hAnsi="宋体" w:eastAsia="宋体" w:cs="Times New Roman"/>
          <w:color w:val="auto"/>
          <w:highlight w:val="none"/>
        </w:rPr>
        <w:fldChar w:fldCharType="begin"/>
      </w:r>
      <w:r>
        <w:rPr>
          <w:rFonts w:ascii="宋体" w:hAnsi="宋体" w:eastAsia="宋体" w:cs="Times New Roman"/>
          <w:color w:val="auto"/>
          <w:highlight w:val="none"/>
        </w:rPr>
        <w:instrText xml:space="preserve"> HYPERLINK "http://nncz.nanning.gov.cn/" </w:instrText>
      </w:r>
      <w:r>
        <w:rPr>
          <w:rFonts w:ascii="宋体" w:hAnsi="宋体" w:eastAsia="宋体" w:cs="Times New Roman"/>
          <w:color w:val="auto"/>
          <w:highlight w:val="none"/>
        </w:rPr>
        <w:fldChar w:fldCharType="separate"/>
      </w:r>
      <w:r>
        <w:rPr>
          <w:rStyle w:val="28"/>
          <w:rFonts w:ascii="宋体" w:hAnsi="宋体" w:eastAsia="宋体" w:cs="Times New Roman"/>
          <w:color w:val="auto"/>
          <w:highlight w:val="none"/>
        </w:rPr>
        <w:t>http://nncz.nanning.gov.cn/</w:t>
      </w:r>
      <w:r>
        <w:rPr>
          <w:rStyle w:val="28"/>
          <w:rFonts w:ascii="宋体" w:hAnsi="宋体" w:eastAsia="宋体" w:cs="Times New Roman"/>
          <w:color w:val="auto"/>
          <w:highlight w:val="none"/>
        </w:rPr>
        <w:fldChar w:fldCharType="end"/>
      </w:r>
      <w:r>
        <w:rPr>
          <w:rFonts w:hint="eastAsia" w:ascii="宋体" w:hAnsi="宋体" w:eastAsia="宋体" w:cs="Times New Roman"/>
          <w:color w:val="auto"/>
          <w:highlight w:val="none"/>
        </w:rPr>
        <w:t>（南宁市财政局官网）</w:t>
      </w:r>
      <w:r>
        <w:rPr>
          <w:rFonts w:ascii="宋体" w:hAnsi="宋体" w:eastAsia="宋体" w:cs="Times New Roman"/>
          <w:color w:val="auto"/>
          <w:highlight w:val="none"/>
        </w:rPr>
        <w:t>-</w:t>
      </w:r>
      <w:r>
        <w:rPr>
          <w:rFonts w:hint="eastAsia" w:ascii="宋体" w:hAnsi="宋体" w:eastAsia="宋体" w:cs="Times New Roman"/>
          <w:color w:val="auto"/>
          <w:highlight w:val="none"/>
        </w:rPr>
        <w:t>业务专题-政府采购监督管理-资料下载</w:t>
      </w:r>
      <w:r>
        <w:rPr>
          <w:rFonts w:ascii="宋体" w:hAnsi="宋体" w:eastAsia="宋体" w:cs="Times New Roman"/>
          <w:color w:val="auto"/>
          <w:highlight w:val="none"/>
        </w:rPr>
        <w:t>-</w:t>
      </w:r>
      <w:r>
        <w:rPr>
          <w:rFonts w:hint="eastAsia" w:ascii="宋体" w:hAnsi="宋体" w:eastAsia="宋体" w:cs="Times New Roman"/>
          <w:color w:val="auto"/>
          <w:highlight w:val="none"/>
        </w:rPr>
        <w:t>“广西政采云西部</w:t>
      </w:r>
      <w:r>
        <w:rPr>
          <w:rFonts w:ascii="宋体" w:hAnsi="宋体" w:eastAsia="宋体" w:cs="Times New Roman"/>
          <w:color w:val="auto"/>
          <w:highlight w:val="none"/>
        </w:rPr>
        <w:t>CA</w:t>
      </w:r>
      <w:r>
        <w:rPr>
          <w:rFonts w:hint="eastAsia" w:ascii="宋体" w:hAnsi="宋体" w:eastAsia="宋体" w:cs="Times New Roman"/>
          <w:color w:val="auto"/>
          <w:highlight w:val="none"/>
        </w:rPr>
        <w:t>办理方式”或“南宁市政采云</w:t>
      </w:r>
      <w:r>
        <w:rPr>
          <w:rFonts w:ascii="宋体" w:hAnsi="宋体" w:eastAsia="宋体" w:cs="Times New Roman"/>
          <w:color w:val="auto"/>
          <w:highlight w:val="none"/>
        </w:rPr>
        <w:t>CA</w:t>
      </w:r>
      <w:r>
        <w:rPr>
          <w:rFonts w:hint="eastAsia" w:ascii="宋体" w:hAnsi="宋体" w:eastAsia="宋体" w:cs="Times New Roman"/>
          <w:color w:val="auto"/>
          <w:highlight w:val="none"/>
        </w:rPr>
        <w:t>证书办理操作指南”）</w:t>
      </w:r>
    </w:p>
    <w:p w14:paraId="5E4DCA45">
      <w:pPr>
        <w:pStyle w:val="10"/>
        <w:spacing w:line="360" w:lineRule="auto"/>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2.电子投标文件制作与投送教程（在此网址下载：</w:t>
      </w:r>
      <w:r>
        <w:rPr>
          <w:rFonts w:ascii="宋体" w:hAnsi="宋体" w:eastAsia="宋体" w:cs="Times New Roman"/>
          <w:color w:val="auto"/>
          <w:highlight w:val="none"/>
        </w:rPr>
        <w:fldChar w:fldCharType="begin"/>
      </w:r>
      <w:r>
        <w:rPr>
          <w:rFonts w:ascii="宋体" w:hAnsi="宋体" w:eastAsia="宋体" w:cs="Times New Roman"/>
          <w:color w:val="auto"/>
          <w:highlight w:val="none"/>
        </w:rPr>
        <w:instrText xml:space="preserve"> HYPERLINK "http://nncz.nanning.gov.cn/" </w:instrText>
      </w:r>
      <w:r>
        <w:rPr>
          <w:rFonts w:ascii="宋体" w:hAnsi="宋体" w:eastAsia="宋体" w:cs="Times New Roman"/>
          <w:color w:val="auto"/>
          <w:highlight w:val="none"/>
        </w:rPr>
        <w:fldChar w:fldCharType="separate"/>
      </w:r>
      <w:r>
        <w:rPr>
          <w:rFonts w:hint="default" w:ascii="宋体" w:hAnsi="宋体" w:eastAsia="宋体" w:cs="Times New Roman"/>
          <w:color w:val="auto"/>
          <w:highlight w:val="none"/>
          <w:u w:val="single"/>
        </w:rPr>
        <w:t>http://nncz.nanning.gov.cn/</w:t>
      </w:r>
      <w:r>
        <w:rPr>
          <w:rFonts w:hint="default" w:ascii="宋体" w:hAnsi="宋体" w:eastAsia="宋体" w:cs="Times New Roman"/>
          <w:color w:val="auto"/>
          <w:highlight w:val="none"/>
          <w:u w:val="single"/>
        </w:rPr>
        <w:fldChar w:fldCharType="end"/>
      </w:r>
      <w:r>
        <w:rPr>
          <w:rFonts w:hint="eastAsia" w:ascii="宋体" w:hAnsi="宋体" w:eastAsia="宋体" w:cs="Times New Roman"/>
          <w:color w:val="auto"/>
          <w:highlight w:val="none"/>
        </w:rPr>
        <w:t>（南宁市财政局官网）</w:t>
      </w:r>
      <w:r>
        <w:rPr>
          <w:rFonts w:ascii="宋体" w:hAnsi="宋体" w:eastAsia="宋体" w:cs="Times New Roman"/>
          <w:color w:val="auto"/>
          <w:highlight w:val="none"/>
        </w:rPr>
        <w:t>-</w:t>
      </w:r>
      <w:r>
        <w:rPr>
          <w:rFonts w:hint="eastAsia" w:ascii="宋体" w:hAnsi="宋体" w:eastAsia="宋体" w:cs="Times New Roman"/>
          <w:color w:val="auto"/>
          <w:highlight w:val="none"/>
        </w:rPr>
        <w:t>业务专题-政府采购监督管理-资料下载-南宁市政府采购项目全流程电子化交易操作指南）</w:t>
      </w:r>
    </w:p>
    <w:p w14:paraId="5B567C7D">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广西合美工程咨询有限公司</w:t>
      </w:r>
    </w:p>
    <w:p w14:paraId="3487CCA8">
      <w:pPr>
        <w:spacing w:line="360" w:lineRule="auto"/>
        <w:ind w:firstLine="210" w:firstLineChars="100"/>
        <w:jc w:val="right"/>
        <w:rPr>
          <w:rFonts w:ascii="宋体" w:hAnsi="宋体" w:cs="宋体"/>
          <w:color w:val="auto"/>
          <w:highlight w:val="none"/>
        </w:rPr>
      </w:pPr>
      <w:r>
        <w:rPr>
          <w:rFonts w:hint="eastAsia" w:ascii="宋体" w:hAnsi="宋体" w:cs="宋体"/>
          <w:color w:val="auto"/>
          <w:szCs w:val="21"/>
          <w:highlight w:val="none"/>
        </w:rPr>
        <w:t>202</w:t>
      </w:r>
      <w:r>
        <w:rPr>
          <w:rFonts w:ascii="宋体" w:hAnsi="宋体" w:cs="宋体"/>
          <w:color w:val="auto"/>
          <w:szCs w:val="21"/>
          <w:highlight w:val="none"/>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日</w:t>
      </w:r>
    </w:p>
    <w:p w14:paraId="57778964">
      <w:pPr>
        <w:widowControl/>
        <w:spacing w:line="360" w:lineRule="auto"/>
        <w:jc w:val="left"/>
        <w:rPr>
          <w:rFonts w:ascii="宋体" w:hAnsi="宋体" w:cs="宋体"/>
          <w:color w:val="auto"/>
          <w:sz w:val="24"/>
          <w:highlight w:val="none"/>
          <w:lang w:val="zh-CN"/>
        </w:rPr>
        <w:sectPr>
          <w:footerReference r:id="rId5" w:type="default"/>
          <w:pgSz w:w="11906" w:h="16838"/>
          <w:pgMar w:top="1134" w:right="1134" w:bottom="1134" w:left="1134" w:header="720" w:footer="720" w:gutter="0"/>
          <w:cols w:space="720" w:num="1"/>
          <w:docGrid w:type="lines" w:linePitch="331" w:charSpace="0"/>
        </w:sectPr>
      </w:pPr>
    </w:p>
    <w:p w14:paraId="1384D755">
      <w:pPr>
        <w:pStyle w:val="2"/>
        <w:jc w:val="center"/>
        <w:rPr>
          <w:rFonts w:ascii="宋体" w:hAnsi="宋体" w:cs="宋体"/>
          <w:color w:val="auto"/>
          <w:highlight w:val="none"/>
        </w:rPr>
      </w:pPr>
      <w:r>
        <w:rPr>
          <w:rFonts w:hint="eastAsia" w:ascii="宋体" w:hAnsi="宋体" w:cs="宋体"/>
          <w:bCs w:val="0"/>
          <w:color w:val="auto"/>
          <w:sz w:val="32"/>
          <w:szCs w:val="32"/>
          <w:highlight w:val="none"/>
        </w:rPr>
        <w:t>第二章 采购需求</w:t>
      </w:r>
      <w:bookmarkEnd w:id="37"/>
    </w:p>
    <w:p w14:paraId="643B2481">
      <w:pPr>
        <w:spacing w:line="420" w:lineRule="exact"/>
        <w:jc w:val="left"/>
        <w:rPr>
          <w:rFonts w:ascii="宋体" w:hAnsi="宋体" w:cs="宋体"/>
          <w:color w:val="auto"/>
          <w:szCs w:val="21"/>
          <w:highlight w:val="none"/>
        </w:rPr>
      </w:pPr>
      <w:r>
        <w:rPr>
          <w:rFonts w:hint="eastAsia" w:ascii="宋体" w:hAnsi="宋体" w:cs="宋体"/>
          <w:color w:val="auto"/>
          <w:szCs w:val="21"/>
          <w:highlight w:val="none"/>
        </w:rPr>
        <w:t>说明：</w:t>
      </w:r>
    </w:p>
    <w:p w14:paraId="20CEC037">
      <w:pPr>
        <w:spacing w:line="420" w:lineRule="exact"/>
        <w:ind w:firstLine="420" w:firstLineChars="200"/>
        <w:jc w:val="left"/>
        <w:rPr>
          <w:rFonts w:ascii="宋体" w:hAnsi="宋体" w:cs="宋体"/>
          <w:color w:val="auto"/>
          <w:szCs w:val="21"/>
          <w:highlight w:val="none"/>
        </w:rPr>
      </w:pPr>
      <w:r>
        <w:rPr>
          <w:rFonts w:hint="eastAsia" w:ascii="宋体" w:hAnsi="宋体" w:cs="宋体"/>
          <w:color w:val="auto"/>
          <w:highlight w:val="none"/>
        </w:rPr>
        <w:t>1. 为落实政府采购政策需满足的要求（根据项目实际情况填写内容）</w:t>
      </w:r>
    </w:p>
    <w:p w14:paraId="5FC55C21">
      <w:pPr>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（1）本竞争性磋商采购文件所称中小企业必须符合《政府采购促进中小企业发展管理办法》（财库〔2020〕46号）的规定。</w:t>
      </w:r>
    </w:p>
    <w:p w14:paraId="1593649D">
      <w:pPr>
        <w:tabs>
          <w:tab w:val="left" w:pos="180"/>
          <w:tab w:val="left" w:pos="1620"/>
        </w:tabs>
        <w:spacing w:line="42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34809707">
      <w:pPr>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服务项目中包含货物的，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信息安全认证中心授予的有效的信息安全产品认证证书（加盖供应商公章），否则响应文件作无效处理。</w:t>
      </w:r>
    </w:p>
    <w:p w14:paraId="6871DAE3">
      <w:pPr>
        <w:spacing w:line="420" w:lineRule="exact"/>
        <w:ind w:firstLine="413" w:firstLineChars="196"/>
        <w:rPr>
          <w:rFonts w:ascii="宋体" w:hAnsi="宋体" w:cs="宋体"/>
          <w:b/>
          <w:bCs/>
          <w:color w:val="auto"/>
          <w:szCs w:val="21"/>
          <w:highlight w:val="none"/>
        </w:rPr>
      </w:pPr>
      <w:r>
        <w:rPr>
          <w:rFonts w:hint="eastAsia" w:ascii="宋体" w:hAnsi="宋体" w:cs="宋体"/>
          <w:b/>
          <w:bCs/>
          <w:color w:val="auto"/>
          <w:szCs w:val="21"/>
          <w:highlight w:val="none"/>
        </w:rPr>
        <w:t>2.“实质性要求”是指采购需求中带“▲”的条款或者不能负偏离的条款或者已经指明不满足按响应文件作无效处理的条款。</w:t>
      </w:r>
    </w:p>
    <w:p w14:paraId="5844A1C8">
      <w:pPr>
        <w:pStyle w:val="1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 不需要供应商对采购需求响应为具体数值的，此采购需求的数值后将以◆号标注。</w:t>
      </w:r>
    </w:p>
    <w:p w14:paraId="2E786C84">
      <w:pPr>
        <w:pStyle w:val="1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 如竞标人竞标产品存在侵犯他人的知识产权或者专利成果行为的，应承担相应法律责任。</w:t>
      </w:r>
    </w:p>
    <w:tbl>
      <w:tblPr>
        <w:tblStyle w:val="25"/>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420"/>
        <w:gridCol w:w="1348"/>
        <w:gridCol w:w="464"/>
        <w:gridCol w:w="642"/>
        <w:gridCol w:w="4787"/>
        <w:gridCol w:w="727"/>
        <w:gridCol w:w="1188"/>
      </w:tblGrid>
      <w:tr w14:paraId="0B1DDC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8"/>
            <w:tcBorders>
              <w:top w:val="single" w:color="auto" w:sz="4" w:space="0"/>
              <w:left w:val="single" w:color="auto" w:sz="4" w:space="0"/>
              <w:right w:val="single" w:color="auto" w:sz="4" w:space="0"/>
            </w:tcBorders>
            <w:vAlign w:val="center"/>
          </w:tcPr>
          <w:p w14:paraId="105C5A47">
            <w:pPr>
              <w:spacing w:line="360" w:lineRule="exact"/>
              <w:jc w:val="center"/>
              <w:rPr>
                <w:rFonts w:ascii="宋体" w:hAnsi="宋体" w:cs="宋体"/>
                <w:b/>
                <w:color w:val="auto"/>
                <w:sz w:val="24"/>
                <w:highlight w:val="none"/>
              </w:rPr>
            </w:pPr>
            <w:r>
              <w:rPr>
                <w:rFonts w:hint="eastAsia" w:ascii="宋体" w:hAnsi="宋体" w:cs="宋体"/>
                <w:b/>
                <w:color w:val="auto"/>
                <w:sz w:val="32"/>
                <w:szCs w:val="32"/>
                <w:highlight w:val="none"/>
              </w:rPr>
              <w:t>服务需求一览表</w:t>
            </w:r>
          </w:p>
        </w:tc>
      </w:tr>
      <w:tr w14:paraId="1EE601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tcPr>
          <w:p w14:paraId="3D8A365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采购清单及服务参数</w:t>
            </w:r>
          </w:p>
        </w:tc>
        <w:tc>
          <w:tcPr>
            <w:tcW w:w="42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9923414">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标项</w:t>
            </w:r>
          </w:p>
        </w:tc>
        <w:tc>
          <w:tcPr>
            <w:tcW w:w="1348" w:type="dxa"/>
            <w:tcBorders>
              <w:top w:val="single" w:color="auto" w:sz="4" w:space="0"/>
              <w:left w:val="single" w:color="auto" w:sz="4" w:space="0"/>
              <w:bottom w:val="single" w:color="auto" w:sz="4" w:space="0"/>
              <w:right w:val="single" w:color="auto" w:sz="4" w:space="0"/>
            </w:tcBorders>
            <w:vAlign w:val="center"/>
          </w:tcPr>
          <w:p w14:paraId="6003A63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采购服务名称</w:t>
            </w:r>
          </w:p>
        </w:tc>
        <w:tc>
          <w:tcPr>
            <w:tcW w:w="464" w:type="dxa"/>
            <w:tcBorders>
              <w:top w:val="single" w:color="auto" w:sz="4" w:space="0"/>
              <w:left w:val="single" w:color="auto" w:sz="4" w:space="0"/>
              <w:bottom w:val="single" w:color="auto" w:sz="4" w:space="0"/>
              <w:right w:val="single" w:color="auto" w:sz="4" w:space="0"/>
            </w:tcBorders>
            <w:vAlign w:val="center"/>
          </w:tcPr>
          <w:p w14:paraId="7106980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642" w:type="dxa"/>
            <w:tcBorders>
              <w:top w:val="single" w:color="auto" w:sz="4" w:space="0"/>
              <w:left w:val="single" w:color="auto" w:sz="4" w:space="0"/>
              <w:bottom w:val="single" w:color="auto" w:sz="4" w:space="0"/>
              <w:right w:val="single" w:color="auto" w:sz="4" w:space="0"/>
            </w:tcBorders>
            <w:vAlign w:val="center"/>
          </w:tcPr>
          <w:p w14:paraId="2FB0CEB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4787" w:type="dxa"/>
            <w:tcBorders>
              <w:top w:val="single" w:color="auto" w:sz="4" w:space="0"/>
              <w:left w:val="single" w:color="auto" w:sz="4" w:space="0"/>
              <w:bottom w:val="single" w:color="auto" w:sz="4" w:space="0"/>
              <w:right w:val="single" w:color="auto" w:sz="4" w:space="0"/>
            </w:tcBorders>
            <w:vAlign w:val="center"/>
          </w:tcPr>
          <w:p w14:paraId="00C764C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服务参数</w:t>
            </w:r>
          </w:p>
        </w:tc>
        <w:tc>
          <w:tcPr>
            <w:tcW w:w="727" w:type="dxa"/>
            <w:tcBorders>
              <w:top w:val="single" w:color="auto" w:sz="4" w:space="0"/>
              <w:left w:val="single" w:color="auto" w:sz="4" w:space="0"/>
              <w:bottom w:val="single" w:color="auto" w:sz="4" w:space="0"/>
              <w:right w:val="single" w:color="auto" w:sz="4" w:space="0"/>
            </w:tcBorders>
            <w:vAlign w:val="center"/>
          </w:tcPr>
          <w:p w14:paraId="6D34AF7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分项预算合计（元）</w:t>
            </w:r>
          </w:p>
        </w:tc>
        <w:tc>
          <w:tcPr>
            <w:tcW w:w="1188" w:type="dxa"/>
            <w:tcBorders>
              <w:top w:val="single" w:color="auto" w:sz="4" w:space="0"/>
              <w:left w:val="single" w:color="auto" w:sz="4" w:space="0"/>
              <w:bottom w:val="single" w:color="auto" w:sz="4" w:space="0"/>
              <w:right w:val="single" w:color="auto" w:sz="4" w:space="0"/>
            </w:tcBorders>
            <w:vAlign w:val="center"/>
          </w:tcPr>
          <w:p w14:paraId="49E83004">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中小企业划分标准所属行业名称（行业名称及划分见本章附件1）</w:t>
            </w:r>
          </w:p>
        </w:tc>
      </w:tr>
      <w:tr w14:paraId="0B281A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545" w:type="dxa"/>
            <w:vMerge w:val="continue"/>
            <w:tcBorders>
              <w:left w:val="single" w:color="auto" w:sz="4" w:space="0"/>
              <w:right w:val="single" w:color="auto" w:sz="4" w:space="0"/>
            </w:tcBorders>
          </w:tcPr>
          <w:p w14:paraId="6092FA8F">
            <w:pPr>
              <w:spacing w:line="360" w:lineRule="exact"/>
              <w:jc w:val="center"/>
              <w:rPr>
                <w:rFonts w:ascii="宋体" w:hAnsi="宋体" w:cs="宋体"/>
                <w:b/>
                <w:bCs/>
                <w:color w:val="auto"/>
                <w:highlight w:val="none"/>
              </w:rPr>
            </w:pPr>
          </w:p>
        </w:tc>
        <w:tc>
          <w:tcPr>
            <w:tcW w:w="420" w:type="dxa"/>
            <w:tcBorders>
              <w:top w:val="single" w:color="auto" w:sz="4" w:space="0"/>
              <w:left w:val="single" w:color="auto" w:sz="4" w:space="0"/>
              <w:right w:val="single" w:color="auto" w:sz="4" w:space="0"/>
            </w:tcBorders>
            <w:vAlign w:val="center"/>
          </w:tcPr>
          <w:p w14:paraId="2ED4E23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348" w:type="dxa"/>
            <w:tcBorders>
              <w:top w:val="single" w:color="auto" w:sz="4" w:space="0"/>
              <w:left w:val="single" w:color="auto" w:sz="4" w:space="0"/>
              <w:right w:val="single" w:color="auto" w:sz="4" w:space="0"/>
            </w:tcBorders>
            <w:vAlign w:val="center"/>
          </w:tcPr>
          <w:p w14:paraId="2DFF0CAA">
            <w:pPr>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南玉铁路外部环境安全隐患整治（伶俐段）人饮工程</w:t>
            </w:r>
          </w:p>
        </w:tc>
        <w:tc>
          <w:tcPr>
            <w:tcW w:w="464" w:type="dxa"/>
            <w:tcBorders>
              <w:top w:val="single" w:color="auto" w:sz="4" w:space="0"/>
              <w:left w:val="single" w:color="auto" w:sz="4" w:space="0"/>
              <w:right w:val="single" w:color="auto" w:sz="4" w:space="0"/>
            </w:tcBorders>
            <w:vAlign w:val="center"/>
          </w:tcPr>
          <w:p w14:paraId="14115D06">
            <w:pPr>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项</w:t>
            </w:r>
          </w:p>
        </w:tc>
        <w:tc>
          <w:tcPr>
            <w:tcW w:w="642" w:type="dxa"/>
            <w:tcBorders>
              <w:top w:val="single" w:color="auto" w:sz="4" w:space="0"/>
              <w:left w:val="single" w:color="auto" w:sz="4" w:space="0"/>
              <w:right w:val="single" w:color="auto" w:sz="4" w:space="0"/>
            </w:tcBorders>
            <w:vAlign w:val="center"/>
          </w:tcPr>
          <w:p w14:paraId="010B07CD">
            <w:pPr>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p>
        </w:tc>
        <w:tc>
          <w:tcPr>
            <w:tcW w:w="4787" w:type="dxa"/>
            <w:tcBorders>
              <w:top w:val="single" w:color="auto" w:sz="4" w:space="0"/>
              <w:left w:val="single" w:color="auto" w:sz="4" w:space="0"/>
              <w:right w:val="single" w:color="auto" w:sz="4" w:space="0"/>
            </w:tcBorders>
            <w:vAlign w:val="center"/>
          </w:tcPr>
          <w:p w14:paraId="6554693F">
            <w:pPr>
              <w:snapToGrid w:val="0"/>
              <w:spacing w:line="360" w:lineRule="exact"/>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一、工程概况</w:t>
            </w:r>
          </w:p>
          <w:p w14:paraId="62CA9BC8">
            <w:pPr>
              <w:pStyle w:val="3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规模：建设南玉铁路外部环境安全隐患整治（伶俐段）人饮工程，详见工程量清单。</w:t>
            </w:r>
          </w:p>
          <w:p w14:paraId="237A44DA">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建设地点：南宁市青秀区伶俐镇</w:t>
            </w:r>
          </w:p>
          <w:p w14:paraId="36753129">
            <w:pPr>
              <w:rPr>
                <w:rFonts w:hint="default" w:eastAsia="宋体"/>
                <w:b w:val="0"/>
                <w:bCs w:val="0"/>
                <w:color w:val="auto"/>
                <w:highlight w:val="none"/>
                <w:lang w:val="en-US" w:eastAsia="zh-CN"/>
              </w:rPr>
            </w:pPr>
            <w:r>
              <w:rPr>
                <w:rFonts w:hint="eastAsia" w:ascii="宋体" w:hAnsi="宋体" w:eastAsia="宋体" w:cs="宋体"/>
                <w:b w:val="0"/>
                <w:bCs w:val="0"/>
                <w:color w:val="auto"/>
                <w:sz w:val="21"/>
                <w:szCs w:val="21"/>
                <w:highlight w:val="none"/>
                <w:lang w:val="en-US" w:eastAsia="zh-CN"/>
              </w:rPr>
              <w:t>采购范围（</w:t>
            </w:r>
            <w:r>
              <w:rPr>
                <w:rFonts w:hint="eastAsia" w:ascii="宋体" w:hAnsi="宋体" w:cs="宋体"/>
                <w:b w:val="0"/>
                <w:bCs w:val="0"/>
                <w:color w:val="auto"/>
                <w:sz w:val="21"/>
                <w:szCs w:val="21"/>
                <w:highlight w:val="none"/>
                <w:lang w:val="en-US" w:eastAsia="zh-CN"/>
              </w:rPr>
              <w:t>工程</w:t>
            </w:r>
            <w:r>
              <w:rPr>
                <w:rFonts w:hint="eastAsia" w:ascii="宋体" w:hAnsi="宋体" w:eastAsia="宋体" w:cs="宋体"/>
                <w:b w:val="0"/>
                <w:bCs w:val="0"/>
                <w:color w:val="auto"/>
                <w:sz w:val="21"/>
                <w:szCs w:val="21"/>
                <w:highlight w:val="none"/>
                <w:lang w:val="en-US" w:eastAsia="zh-CN"/>
              </w:rPr>
              <w:t>内容）：建设南玉铁路外部环境安全隐患整治（伶俐段）人饮工程，详见工程量清单。</w:t>
            </w:r>
          </w:p>
        </w:tc>
        <w:tc>
          <w:tcPr>
            <w:tcW w:w="727" w:type="dxa"/>
            <w:tcBorders>
              <w:top w:val="single" w:color="auto" w:sz="4" w:space="0"/>
              <w:left w:val="single" w:color="auto" w:sz="4" w:space="0"/>
              <w:right w:val="single" w:color="auto" w:sz="4" w:space="0"/>
            </w:tcBorders>
            <w:vAlign w:val="center"/>
          </w:tcPr>
          <w:p w14:paraId="2BDED081">
            <w:pPr>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1196908.49</w:t>
            </w:r>
          </w:p>
        </w:tc>
        <w:tc>
          <w:tcPr>
            <w:tcW w:w="1188" w:type="dxa"/>
            <w:tcBorders>
              <w:top w:val="single" w:color="auto" w:sz="4" w:space="0"/>
              <w:left w:val="single" w:color="auto" w:sz="4" w:space="0"/>
              <w:right w:val="single" w:color="auto" w:sz="4" w:space="0"/>
            </w:tcBorders>
            <w:vAlign w:val="center"/>
          </w:tcPr>
          <w:p w14:paraId="5502255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建筑业</w:t>
            </w:r>
          </w:p>
        </w:tc>
      </w:tr>
      <w:tr w14:paraId="71E836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2313" w:type="dxa"/>
            <w:gridSpan w:val="3"/>
            <w:tcBorders>
              <w:top w:val="single" w:color="auto" w:sz="4" w:space="0"/>
              <w:left w:val="single" w:color="auto" w:sz="4" w:space="0"/>
              <w:bottom w:val="single" w:color="auto" w:sz="4" w:space="0"/>
              <w:right w:val="single" w:color="auto" w:sz="4" w:space="0"/>
            </w:tcBorders>
          </w:tcPr>
          <w:p w14:paraId="71DAD85B">
            <w:pPr>
              <w:spacing w:line="360" w:lineRule="exact"/>
              <w:jc w:val="center"/>
              <w:rPr>
                <w:rFonts w:ascii="宋体" w:hAnsi="宋体" w:cs="宋体"/>
                <w:color w:val="auto"/>
                <w:highlight w:val="none"/>
              </w:rPr>
            </w:pPr>
          </w:p>
          <w:p w14:paraId="7FF188B1">
            <w:pPr>
              <w:spacing w:line="360" w:lineRule="exact"/>
              <w:jc w:val="center"/>
              <w:rPr>
                <w:rFonts w:ascii="宋体" w:hAnsi="宋体" w:cs="宋体"/>
                <w:color w:val="auto"/>
                <w:highlight w:val="none"/>
              </w:rPr>
            </w:pPr>
          </w:p>
          <w:p w14:paraId="7086A31B">
            <w:pPr>
              <w:spacing w:line="360" w:lineRule="exact"/>
              <w:jc w:val="center"/>
              <w:rPr>
                <w:rFonts w:ascii="宋体" w:hAnsi="宋体" w:cs="宋体"/>
                <w:color w:val="auto"/>
                <w:highlight w:val="none"/>
              </w:rPr>
            </w:pPr>
            <w:r>
              <w:rPr>
                <w:rFonts w:hint="eastAsia" w:ascii="宋体" w:hAnsi="宋体" w:cs="宋体"/>
                <w:color w:val="auto"/>
                <w:highlight w:val="none"/>
              </w:rPr>
              <w:t>商务条款</w:t>
            </w:r>
          </w:p>
        </w:tc>
        <w:tc>
          <w:tcPr>
            <w:tcW w:w="7808" w:type="dxa"/>
            <w:gridSpan w:val="5"/>
            <w:tcBorders>
              <w:top w:val="single" w:color="auto" w:sz="4" w:space="0"/>
              <w:left w:val="single" w:color="auto" w:sz="4" w:space="0"/>
              <w:bottom w:val="single" w:color="auto" w:sz="4" w:space="0"/>
              <w:right w:val="single" w:color="auto" w:sz="4" w:space="0"/>
            </w:tcBorders>
          </w:tcPr>
          <w:p w14:paraId="23FBC9B4">
            <w:pPr>
              <w:widowControl/>
              <w:shd w:val="clear" w:color="auto" w:fill="FFFFFF"/>
              <w:spacing w:line="360" w:lineRule="exact"/>
              <w:rPr>
                <w:rFonts w:ascii="宋体" w:hAnsi="宋体" w:cs="宋体"/>
                <w:color w:val="auto"/>
                <w:highlight w:val="none"/>
              </w:rPr>
            </w:pPr>
            <w:r>
              <w:rPr>
                <w:rFonts w:hint="eastAsia" w:ascii="宋体" w:hAnsi="宋体" w:cs="宋体"/>
                <w:color w:val="auto"/>
                <w:highlight w:val="none"/>
              </w:rPr>
              <w:t>一、合同签订期：自</w:t>
            </w:r>
            <w:r>
              <w:rPr>
                <w:rFonts w:hint="eastAsia" w:ascii="宋体" w:hAnsi="宋体" w:cs="宋体"/>
                <w:bCs/>
                <w:color w:val="auto"/>
                <w:highlight w:val="none"/>
              </w:rPr>
              <w:t>成交</w:t>
            </w:r>
            <w:r>
              <w:rPr>
                <w:rFonts w:hint="eastAsia" w:ascii="宋体" w:hAnsi="宋体" w:cs="宋体"/>
                <w:color w:val="auto"/>
                <w:highlight w:val="none"/>
              </w:rPr>
              <w:t>通知书发出之日起 25 日内（注：</w:t>
            </w:r>
            <w:r>
              <w:rPr>
                <w:rFonts w:hint="eastAsia" w:ascii="宋体" w:hAnsi="宋体" w:cs="宋体"/>
                <w:bCs/>
                <w:color w:val="auto"/>
                <w:highlight w:val="none"/>
              </w:rPr>
              <w:t>成交</w:t>
            </w:r>
            <w:r>
              <w:rPr>
                <w:rFonts w:hint="eastAsia" w:ascii="宋体" w:hAnsi="宋体" w:cs="宋体"/>
                <w:color w:val="auto"/>
                <w:highlight w:val="none"/>
              </w:rPr>
              <w:t>通知书发出之日起25日内必须签订合同。）</w:t>
            </w:r>
          </w:p>
          <w:p w14:paraId="163CA964">
            <w:pPr>
              <w:widowControl/>
              <w:shd w:val="clear" w:color="auto" w:fill="FFFFFF"/>
              <w:spacing w:line="360" w:lineRule="exact"/>
              <w:rPr>
                <w:rFonts w:hint="eastAsia" w:ascii="宋体" w:hAnsi="宋体" w:cs="宋体"/>
                <w:color w:val="auto"/>
                <w:szCs w:val="21"/>
                <w:highlight w:val="none"/>
              </w:rPr>
            </w:pPr>
            <w:r>
              <w:rPr>
                <w:rFonts w:hint="eastAsia" w:ascii="宋体" w:hAnsi="宋体" w:cs="宋体"/>
                <w:color w:val="auto"/>
                <w:highlight w:val="none"/>
              </w:rPr>
              <w:t>▲</w:t>
            </w:r>
            <w:r>
              <w:rPr>
                <w:rFonts w:hint="eastAsia" w:ascii="宋体" w:hAnsi="宋体" w:cs="宋体"/>
                <w:color w:val="auto"/>
                <w:szCs w:val="21"/>
                <w:highlight w:val="none"/>
              </w:rPr>
              <w:t>二、</w:t>
            </w:r>
            <w:r>
              <w:rPr>
                <w:rFonts w:hint="eastAsia" w:ascii="宋体" w:hAnsi="宋体" w:cs="宋体"/>
                <w:color w:val="auto"/>
                <w:szCs w:val="21"/>
                <w:highlight w:val="none"/>
                <w:lang w:val="en-US" w:eastAsia="zh-CN"/>
              </w:rPr>
              <w:t>工期</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30个日历日</w:t>
            </w:r>
            <w:r>
              <w:rPr>
                <w:rFonts w:hint="eastAsia" w:ascii="宋体" w:hAnsi="宋体" w:cs="宋体"/>
                <w:color w:val="auto"/>
                <w:szCs w:val="21"/>
                <w:highlight w:val="none"/>
              </w:rPr>
              <w:t>。</w:t>
            </w:r>
          </w:p>
          <w:p w14:paraId="1F351B9C">
            <w:pPr>
              <w:widowControl/>
              <w:shd w:val="clear" w:color="auto" w:fill="FFFFFF"/>
              <w:spacing w:line="360" w:lineRule="exact"/>
              <w:rPr>
                <w:rFonts w:hint="eastAsia" w:ascii="宋体" w:hAnsi="宋体" w:cs="宋体"/>
                <w:color w:val="auto"/>
                <w:szCs w:val="21"/>
                <w:highlight w:val="none"/>
              </w:rPr>
            </w:pPr>
            <w:r>
              <w:rPr>
                <w:rFonts w:hint="eastAsia" w:ascii="宋体" w:hAnsi="宋体" w:cs="宋体"/>
                <w:color w:val="auto"/>
                <w:szCs w:val="21"/>
                <w:highlight w:val="none"/>
              </w:rPr>
              <w:t>合同履行期限</w:t>
            </w:r>
            <w:r>
              <w:rPr>
                <w:rFonts w:hint="eastAsia" w:ascii="宋体" w:hAnsi="宋体" w:cs="宋体"/>
                <w:color w:val="auto"/>
                <w:szCs w:val="21"/>
                <w:highlight w:val="none"/>
                <w:lang w:eastAsia="zh-CN"/>
              </w:rPr>
              <w:t>：</w:t>
            </w:r>
            <w:r>
              <w:rPr>
                <w:rFonts w:hint="eastAsia" w:ascii="宋体" w:hAnsi="宋体" w:cs="宋体"/>
                <w:color w:val="auto"/>
                <w:szCs w:val="21"/>
                <w:highlight w:val="none"/>
              </w:rPr>
              <w:t>自合同签订之日起至项目验收完成</w:t>
            </w:r>
          </w:p>
          <w:p w14:paraId="03FB14EB">
            <w:pPr>
              <w:widowControl/>
              <w:shd w:val="clear" w:color="auto" w:fill="FFFFFF"/>
              <w:spacing w:line="360" w:lineRule="exact"/>
              <w:rPr>
                <w:rFonts w:ascii="宋体" w:hAnsi="宋体" w:cs="宋体"/>
                <w:color w:val="auto"/>
                <w:highlight w:val="none"/>
              </w:rPr>
            </w:pPr>
            <w:r>
              <w:rPr>
                <w:rFonts w:hint="eastAsia" w:ascii="宋体" w:hAnsi="宋体" w:cs="宋体"/>
                <w:color w:val="auto"/>
                <w:highlight w:val="none"/>
              </w:rPr>
              <w:t>三、提交服务成果地点：采购人指定地点。</w:t>
            </w:r>
          </w:p>
          <w:p w14:paraId="53BF9532">
            <w:pPr>
              <w:widowControl/>
              <w:shd w:val="clear" w:color="auto" w:fill="FFFFFF"/>
              <w:spacing w:line="360" w:lineRule="exact"/>
              <w:rPr>
                <w:rFonts w:hint="eastAsia" w:ascii="宋体" w:hAnsi="宋体" w:eastAsia="宋体" w:cs="宋体"/>
                <w:color w:val="auto"/>
                <w:highlight w:val="none"/>
                <w:lang w:eastAsia="zh-CN"/>
              </w:rPr>
            </w:pPr>
            <w:r>
              <w:rPr>
                <w:rFonts w:hint="eastAsia" w:ascii="宋体" w:hAnsi="宋体" w:cs="宋体"/>
                <w:color w:val="auto"/>
                <w:highlight w:val="none"/>
              </w:rPr>
              <w:t>▲四、</w:t>
            </w:r>
            <w:r>
              <w:rPr>
                <w:rFonts w:hint="eastAsia" w:ascii="宋体" w:hAnsi="宋体" w:cs="宋体"/>
                <w:color w:val="auto"/>
                <w:highlight w:val="none"/>
                <w:lang w:val="en-US" w:eastAsia="zh-CN"/>
              </w:rPr>
              <w:t>工程质量要求</w:t>
            </w:r>
            <w:r>
              <w:rPr>
                <w:rFonts w:hint="eastAsia" w:ascii="宋体" w:hAnsi="宋体" w:cs="宋体"/>
                <w:color w:val="auto"/>
                <w:highlight w:val="none"/>
              </w:rPr>
              <w:t>：达到</w:t>
            </w:r>
            <w:bookmarkStart w:id="38" w:name="EB4d4b13a461124532a79c71ae440db6f7"/>
            <w:r>
              <w:rPr>
                <w:rFonts w:hint="eastAsia" w:ascii="宋体" w:hAnsi="宋体" w:cs="宋体"/>
                <w:color w:val="auto"/>
                <w:highlight w:val="none"/>
              </w:rPr>
              <w:t>国家施工验收规范合格</w:t>
            </w:r>
            <w:bookmarkEnd w:id="38"/>
            <w:r>
              <w:rPr>
                <w:rFonts w:hint="eastAsia" w:ascii="宋体" w:hAnsi="宋体" w:cs="宋体"/>
                <w:color w:val="auto"/>
                <w:highlight w:val="none"/>
              </w:rPr>
              <w:t>标准</w:t>
            </w:r>
            <w:r>
              <w:rPr>
                <w:rFonts w:hint="eastAsia" w:ascii="宋体" w:hAnsi="宋体" w:cs="宋体"/>
                <w:color w:val="auto"/>
                <w:highlight w:val="none"/>
                <w:lang w:eastAsia="zh-CN"/>
              </w:rPr>
              <w:t>。</w:t>
            </w:r>
          </w:p>
          <w:p w14:paraId="0675F81C">
            <w:pPr>
              <w:widowControl/>
              <w:shd w:val="clear" w:color="auto" w:fill="FFFFFF"/>
              <w:spacing w:line="360" w:lineRule="exact"/>
              <w:rPr>
                <w:rFonts w:ascii="宋体" w:hAnsi="宋体" w:cs="宋体"/>
                <w:color w:val="auto"/>
                <w:highlight w:val="none"/>
              </w:rPr>
            </w:pPr>
            <w:r>
              <w:rPr>
                <w:rFonts w:hint="eastAsia" w:ascii="宋体" w:hAnsi="宋体" w:cs="宋体"/>
                <w:color w:val="auto"/>
                <w:highlight w:val="none"/>
              </w:rPr>
              <w:t>五、其他要求：</w:t>
            </w:r>
          </w:p>
          <w:p w14:paraId="22C36D0B">
            <w:pPr>
              <w:widowControl/>
              <w:shd w:val="clear" w:color="auto" w:fill="FFFFFF"/>
              <w:spacing w:line="360" w:lineRule="exact"/>
              <w:ind w:firstLine="210" w:firstLineChars="100"/>
              <w:rPr>
                <w:rFonts w:hint="eastAsia" w:ascii="宋体" w:hAnsi="宋体" w:cs="宋体"/>
                <w:color w:val="auto"/>
                <w:highlight w:val="none"/>
                <w:lang w:eastAsia="zh-CN"/>
              </w:rPr>
            </w:pPr>
            <w:r>
              <w:rPr>
                <w:rFonts w:hint="eastAsia" w:ascii="宋体" w:hAnsi="宋体" w:cs="宋体"/>
                <w:color w:val="auto"/>
                <w:highlight w:val="none"/>
              </w:rPr>
              <w:t>▲1、本项目采用工程量清单报价。供应商应结合自身因素进行工程量清单报价，但不得超出</w:t>
            </w:r>
            <w:r>
              <w:rPr>
                <w:rFonts w:hint="eastAsia" w:ascii="宋体" w:hAnsi="宋体" w:cs="宋体"/>
                <w:color w:val="auto"/>
                <w:highlight w:val="none"/>
                <w:lang w:val="en-US" w:eastAsia="zh-CN"/>
              </w:rPr>
              <w:t>采购预算价或最高限价</w:t>
            </w:r>
            <w:r>
              <w:rPr>
                <w:rFonts w:hint="eastAsia" w:ascii="宋体" w:hAnsi="宋体" w:cs="宋体"/>
                <w:color w:val="auto"/>
                <w:highlight w:val="none"/>
              </w:rPr>
              <w:t>，否则</w:t>
            </w:r>
            <w:r>
              <w:rPr>
                <w:rFonts w:hint="eastAsia" w:ascii="宋体" w:hAnsi="宋体" w:cs="宋体"/>
                <w:color w:val="auto"/>
                <w:highlight w:val="none"/>
                <w:lang w:val="en-US" w:eastAsia="zh-CN"/>
              </w:rPr>
              <w:t>磋商</w:t>
            </w:r>
            <w:r>
              <w:rPr>
                <w:rFonts w:hint="eastAsia" w:ascii="宋体" w:hAnsi="宋体" w:cs="宋体"/>
                <w:color w:val="auto"/>
                <w:highlight w:val="none"/>
              </w:rPr>
              <w:t>无效。供应商必须就所投工程的全部内容作完整唯一报价，漏项报价的或有选择的或有条件的报价，其磋商无效</w:t>
            </w:r>
            <w:r>
              <w:rPr>
                <w:rFonts w:hint="eastAsia" w:ascii="宋体" w:hAnsi="宋体" w:cs="宋体"/>
                <w:color w:val="auto"/>
                <w:highlight w:val="none"/>
                <w:lang w:eastAsia="zh-CN"/>
              </w:rPr>
              <w:t>。</w:t>
            </w:r>
          </w:p>
          <w:p w14:paraId="3C3CD6D9">
            <w:pPr>
              <w:widowControl/>
              <w:shd w:val="clear" w:color="auto" w:fill="FFFFFF"/>
              <w:spacing w:line="360" w:lineRule="exact"/>
              <w:ind w:firstLine="211" w:firstLineChars="100"/>
              <w:rPr>
                <w:rFonts w:hint="eastAsia" w:ascii="宋体" w:hAnsi="宋体" w:cs="宋体"/>
                <w:b/>
                <w:bCs/>
                <w:color w:val="auto"/>
                <w:highlight w:val="none"/>
                <w:lang w:eastAsia="zh-CN"/>
              </w:rPr>
            </w:pPr>
            <w:r>
              <w:rPr>
                <w:rFonts w:hint="eastAsia" w:ascii="宋体" w:hAnsi="宋体" w:cs="宋体"/>
                <w:b/>
                <w:bCs/>
                <w:color w:val="auto"/>
                <w:highlight w:val="none"/>
                <w:lang w:eastAsia="zh-CN"/>
              </w:rPr>
              <w:t>首次报价与最后报价一致的，最后报价不需上传工程量清单；首次报价与最后报价不一致的，最后报价必须上传工程量清单。</w:t>
            </w:r>
          </w:p>
          <w:p w14:paraId="3CF1A25C">
            <w:pPr>
              <w:widowControl/>
              <w:shd w:val="clear" w:color="auto" w:fill="FFFFFF"/>
              <w:spacing w:line="360" w:lineRule="exact"/>
              <w:ind w:firstLine="210" w:firstLineChars="100"/>
              <w:rPr>
                <w:rFonts w:ascii="宋体" w:hAnsi="宋体" w:cs="宋体"/>
                <w:color w:val="auto"/>
                <w:highlight w:val="none"/>
              </w:rPr>
            </w:pPr>
            <w:r>
              <w:rPr>
                <w:rFonts w:hint="eastAsia" w:ascii="宋体" w:hAnsi="宋体" w:cs="宋体"/>
                <w:color w:val="auto"/>
                <w:highlight w:val="none"/>
              </w:rPr>
              <w:t>▲2、报价必须含以下部分，包括：</w:t>
            </w:r>
          </w:p>
          <w:p w14:paraId="7BE5AE01">
            <w:pPr>
              <w:widowControl/>
              <w:shd w:val="clear" w:color="auto" w:fill="FFFFFF"/>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2.1 工程量清单中的每一子目须填入单价或价格，且只允许有一个报价。</w:t>
            </w:r>
          </w:p>
          <w:p w14:paraId="3E392F8A">
            <w:pPr>
              <w:widowControl/>
              <w:shd w:val="clear" w:color="auto" w:fill="FFFFFF"/>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2.2 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14:paraId="4C20DA0F">
            <w:pPr>
              <w:widowControl/>
              <w:shd w:val="clear" w:color="auto" w:fill="FFFFFF"/>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2.3 工程量清单中供应商没有填入单价或价格的子目，其费用视为己分摊在工程量清单中其他相关子目的单价或价格之中。承包人必须按监理人指令完成工程量清单中未填入单价或价格的子目，但不能得到结算与支付。</w:t>
            </w:r>
          </w:p>
          <w:p w14:paraId="59DE16DF">
            <w:pPr>
              <w:widowControl/>
              <w:shd w:val="clear" w:color="auto" w:fill="FFFFFF"/>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2.4 符合合同条款规定的全部费用应认为已被计入有标价的工程量清单所列各子目之中，未列子目不予计量的工作，其费用应视为已分摊在本合同工程的有关子目的单价或总额价之中。</w:t>
            </w:r>
          </w:p>
          <w:p w14:paraId="33C0738E">
            <w:pPr>
              <w:widowControl/>
              <w:shd w:val="clear" w:color="auto" w:fill="FFFFFF"/>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2.5 承包人用于本合同工程的各类装备的提供、运输、维护、拆卸、拼装等支付的费用，已包括在工程量清单的单价与总额价之中。</w:t>
            </w:r>
          </w:p>
          <w:p w14:paraId="7A61A372">
            <w:pPr>
              <w:widowControl/>
              <w:shd w:val="clear" w:color="auto" w:fill="FFFFFF"/>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2.6 工程量清单中各项金额均以人民币（元）结算。</w:t>
            </w:r>
          </w:p>
          <w:p w14:paraId="0EBB2FF1">
            <w:pPr>
              <w:widowControl/>
              <w:shd w:val="clear" w:color="auto" w:fill="FFFFFF"/>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 xml:space="preserve"> 暂列金额（不含计日工总额）的数量及拟用子目的说明：详见工程量清单 。</w:t>
            </w:r>
          </w:p>
          <w:p w14:paraId="3AF47160">
            <w:pPr>
              <w:widowControl/>
              <w:shd w:val="clear" w:color="auto" w:fill="FFFFFF"/>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 xml:space="preserve"> 暂估价的数量及拟用子目的说明：详见工程量清单。</w:t>
            </w:r>
          </w:p>
          <w:p w14:paraId="092A6541">
            <w:pPr>
              <w:widowControl/>
              <w:shd w:val="clear" w:color="auto" w:fill="FFFFFF"/>
              <w:spacing w:line="36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2.9供应商必须按照采购人提供的工程量清单格式填写，不可擅自修改工程量清单，磋商报价清单（已标价工程量清单）与采购人提供的工程量清单有任何不一致的，将做无效磋商处理。如供应商对采购人提供的工程量清单有疑问或异议，应在磋商文件规定的时间前发出询疑，要求采购人（或采购代理机构）对采购文件予以澄清，当采购文件、采购文件的修改、补充在同一内容表述不一致时，以最后经的更正、补遗、澄清为准。</w:t>
            </w:r>
          </w:p>
          <w:p w14:paraId="168925D3">
            <w:pPr>
              <w:widowControl/>
              <w:shd w:val="clear" w:color="auto" w:fill="FFFFFF"/>
              <w:spacing w:line="360" w:lineRule="exact"/>
              <w:ind w:firstLine="420" w:firstLineChars="200"/>
              <w:rPr>
                <w:rFonts w:hint="default" w:ascii="宋体" w:hAnsi="宋体" w:cs="宋体"/>
                <w:color w:val="auto"/>
                <w:highlight w:val="none"/>
                <w:lang w:val="en-US" w:eastAsia="zh-CN"/>
              </w:rPr>
            </w:pPr>
            <w:r>
              <w:rPr>
                <w:rFonts w:hint="eastAsia" w:ascii="宋体" w:hAnsi="宋体" w:cs="宋体"/>
                <w:color w:val="auto"/>
                <w:highlight w:val="none"/>
                <w:lang w:val="en-US" w:eastAsia="zh-CN"/>
              </w:rPr>
              <w:t>2.10编制依据：详见工程量清单。</w:t>
            </w:r>
          </w:p>
          <w:p w14:paraId="2425134C">
            <w:pPr>
              <w:widowControl/>
              <w:numPr>
                <w:ilvl w:val="0"/>
                <w:numId w:val="2"/>
              </w:numPr>
              <w:shd w:val="clear" w:color="auto" w:fill="FFFFFF"/>
              <w:spacing w:line="360" w:lineRule="exact"/>
              <w:ind w:firstLine="420" w:firstLineChars="200"/>
              <w:rPr>
                <w:rFonts w:hint="default" w:ascii="宋体" w:hAnsi="宋体" w:eastAsia="宋体" w:cs="宋体"/>
                <w:color w:val="auto"/>
                <w:highlight w:val="none"/>
                <w:lang w:val="en-US" w:eastAsia="zh-CN"/>
              </w:rPr>
            </w:pPr>
            <w:r>
              <w:rPr>
                <w:rFonts w:hint="eastAsia" w:ascii="宋体" w:hAnsi="宋体" w:cs="宋体"/>
                <w:color w:val="auto"/>
                <w:highlight w:val="none"/>
              </w:rPr>
              <w:t>付款方式：</w:t>
            </w:r>
            <w:r>
              <w:rPr>
                <w:rFonts w:hint="eastAsia" w:ascii="宋体" w:hAnsi="宋体" w:cs="宋体"/>
                <w:color w:val="auto"/>
                <w:highlight w:val="none"/>
                <w:lang w:val="en-US" w:eastAsia="zh-CN"/>
              </w:rPr>
              <w:t>详见专用合同条款</w:t>
            </w:r>
            <w:r>
              <w:rPr>
                <w:rFonts w:hint="eastAsia" w:ascii="宋体" w:hAnsi="宋体" w:cs="宋体"/>
                <w:color w:val="auto"/>
                <w:highlight w:val="none"/>
              </w:rPr>
              <w:t>。</w:t>
            </w:r>
          </w:p>
        </w:tc>
      </w:tr>
    </w:tbl>
    <w:p w14:paraId="30475B10">
      <w:pPr>
        <w:pStyle w:val="16"/>
        <w:jc w:val="left"/>
        <w:rPr>
          <w:rFonts w:hint="eastAsia" w:hAnsi="宋体" w:cs="宋体"/>
          <w:color w:val="auto"/>
          <w:sz w:val="32"/>
          <w:szCs w:val="32"/>
          <w:highlight w:val="none"/>
        </w:rPr>
      </w:pPr>
    </w:p>
    <w:p w14:paraId="0187B59D">
      <w:pPr>
        <w:pStyle w:val="16"/>
        <w:jc w:val="left"/>
        <w:rPr>
          <w:rFonts w:hAnsi="宋体" w:cs="宋体"/>
          <w:color w:val="auto"/>
          <w:sz w:val="32"/>
          <w:szCs w:val="32"/>
          <w:highlight w:val="none"/>
        </w:rPr>
      </w:pPr>
      <w:r>
        <w:rPr>
          <w:rFonts w:hint="eastAsia" w:hAnsi="宋体" w:cs="宋体"/>
          <w:color w:val="auto"/>
          <w:sz w:val="32"/>
          <w:szCs w:val="32"/>
          <w:highlight w:val="none"/>
        </w:rPr>
        <w:t>附件1：</w:t>
      </w:r>
    </w:p>
    <w:p w14:paraId="32E84A91">
      <w:pPr>
        <w:spacing w:line="528" w:lineRule="exact"/>
        <w:jc w:val="center"/>
        <w:rPr>
          <w:rFonts w:ascii="宋体" w:hAnsi="宋体" w:cs="宋体"/>
          <w:color w:val="auto"/>
          <w:sz w:val="40"/>
          <w:szCs w:val="40"/>
          <w:highlight w:val="none"/>
        </w:rPr>
      </w:pPr>
      <w:r>
        <w:rPr>
          <w:rFonts w:hint="eastAsia" w:ascii="宋体" w:hAnsi="宋体" w:cs="宋体"/>
          <w:color w:val="auto"/>
          <w:sz w:val="40"/>
          <w:szCs w:val="40"/>
          <w:highlight w:val="none"/>
        </w:rPr>
        <w:t>中小微企业划型标准</w:t>
      </w:r>
    </w:p>
    <w:tbl>
      <w:tblPr>
        <w:tblStyle w:val="25"/>
        <w:tblW w:w="9500" w:type="dxa"/>
        <w:tblInd w:w="250" w:type="dxa"/>
        <w:tblLayout w:type="fixed"/>
        <w:tblCellMar>
          <w:top w:w="0" w:type="dxa"/>
          <w:left w:w="108" w:type="dxa"/>
          <w:bottom w:w="0" w:type="dxa"/>
          <w:right w:w="108" w:type="dxa"/>
        </w:tblCellMar>
      </w:tblPr>
      <w:tblGrid>
        <w:gridCol w:w="1985"/>
        <w:gridCol w:w="1985"/>
        <w:gridCol w:w="851"/>
        <w:gridCol w:w="1843"/>
        <w:gridCol w:w="1702"/>
        <w:gridCol w:w="1134"/>
      </w:tblGrid>
      <w:tr w14:paraId="23564075">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vAlign w:val="center"/>
          </w:tcPr>
          <w:p w14:paraId="0C26492C">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1985" w:type="dxa"/>
            <w:tcBorders>
              <w:top w:val="single" w:color="auto" w:sz="4" w:space="0"/>
              <w:left w:val="nil"/>
              <w:bottom w:val="single" w:color="auto" w:sz="4" w:space="0"/>
              <w:right w:val="single" w:color="auto" w:sz="4" w:space="0"/>
            </w:tcBorders>
            <w:vAlign w:val="center"/>
          </w:tcPr>
          <w:p w14:paraId="223E7BB2">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vAlign w:val="center"/>
          </w:tcPr>
          <w:p w14:paraId="766143B9">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843" w:type="dxa"/>
            <w:tcBorders>
              <w:top w:val="single" w:color="auto" w:sz="4" w:space="0"/>
              <w:left w:val="nil"/>
              <w:bottom w:val="single" w:color="auto" w:sz="4" w:space="0"/>
              <w:right w:val="single" w:color="auto" w:sz="4" w:space="0"/>
            </w:tcBorders>
            <w:vAlign w:val="center"/>
          </w:tcPr>
          <w:p w14:paraId="10A16A77">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702" w:type="dxa"/>
            <w:tcBorders>
              <w:top w:val="single" w:color="auto" w:sz="4" w:space="0"/>
              <w:left w:val="nil"/>
              <w:bottom w:val="single" w:color="auto" w:sz="4" w:space="0"/>
              <w:right w:val="single" w:color="auto" w:sz="4" w:space="0"/>
            </w:tcBorders>
            <w:vAlign w:val="center"/>
          </w:tcPr>
          <w:p w14:paraId="44BE8685">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vAlign w:val="center"/>
          </w:tcPr>
          <w:p w14:paraId="05DF64F1">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微型</w:t>
            </w:r>
          </w:p>
        </w:tc>
      </w:tr>
      <w:tr w14:paraId="5BD2367A">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14:paraId="383C01C2">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985" w:type="dxa"/>
            <w:tcBorders>
              <w:top w:val="nil"/>
              <w:left w:val="nil"/>
              <w:bottom w:val="single" w:color="auto" w:sz="4" w:space="0"/>
              <w:right w:val="single" w:color="auto" w:sz="4" w:space="0"/>
            </w:tcBorders>
            <w:vAlign w:val="center"/>
          </w:tcPr>
          <w:p w14:paraId="650045F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342649F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4A6E759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02" w:type="dxa"/>
            <w:tcBorders>
              <w:top w:val="nil"/>
              <w:left w:val="nil"/>
              <w:bottom w:val="single" w:color="auto" w:sz="4" w:space="0"/>
              <w:right w:val="single" w:color="auto" w:sz="4" w:space="0"/>
            </w:tcBorders>
            <w:vAlign w:val="center"/>
          </w:tcPr>
          <w:p w14:paraId="6B5138D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134" w:type="dxa"/>
            <w:tcBorders>
              <w:top w:val="nil"/>
              <w:left w:val="nil"/>
              <w:bottom w:val="single" w:color="auto" w:sz="4" w:space="0"/>
              <w:right w:val="single" w:color="auto" w:sz="4" w:space="0"/>
            </w:tcBorders>
            <w:vAlign w:val="center"/>
          </w:tcPr>
          <w:p w14:paraId="110EB77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7E6124E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5439F6D">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985" w:type="dxa"/>
            <w:tcBorders>
              <w:top w:val="nil"/>
              <w:left w:val="nil"/>
              <w:bottom w:val="single" w:color="auto" w:sz="4" w:space="0"/>
              <w:right w:val="single" w:color="auto" w:sz="4" w:space="0"/>
            </w:tcBorders>
            <w:vAlign w:val="center"/>
          </w:tcPr>
          <w:p w14:paraId="642295F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3AB3D55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287F0C7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2" w:type="dxa"/>
            <w:tcBorders>
              <w:top w:val="nil"/>
              <w:left w:val="nil"/>
              <w:bottom w:val="single" w:color="auto" w:sz="4" w:space="0"/>
              <w:right w:val="single" w:color="auto" w:sz="4" w:space="0"/>
            </w:tcBorders>
            <w:vAlign w:val="center"/>
          </w:tcPr>
          <w:p w14:paraId="7F4B349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vAlign w:val="center"/>
          </w:tcPr>
          <w:p w14:paraId="6126BBF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9E2D8F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3A999BD2">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03F258B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57063D8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6F61373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702" w:type="dxa"/>
            <w:tcBorders>
              <w:top w:val="nil"/>
              <w:left w:val="nil"/>
              <w:bottom w:val="single" w:color="auto" w:sz="4" w:space="0"/>
              <w:right w:val="single" w:color="auto" w:sz="4" w:space="0"/>
            </w:tcBorders>
            <w:vAlign w:val="center"/>
          </w:tcPr>
          <w:p w14:paraId="0D69B73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134" w:type="dxa"/>
            <w:tcBorders>
              <w:top w:val="nil"/>
              <w:left w:val="nil"/>
              <w:bottom w:val="single" w:color="auto" w:sz="4" w:space="0"/>
              <w:right w:val="single" w:color="auto" w:sz="4" w:space="0"/>
            </w:tcBorders>
            <w:vAlign w:val="center"/>
          </w:tcPr>
          <w:p w14:paraId="3693D84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215C8D5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35F6F432">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985" w:type="dxa"/>
            <w:tcBorders>
              <w:top w:val="nil"/>
              <w:left w:val="nil"/>
              <w:bottom w:val="single" w:color="auto" w:sz="4" w:space="0"/>
              <w:right w:val="single" w:color="auto" w:sz="4" w:space="0"/>
            </w:tcBorders>
            <w:vAlign w:val="center"/>
          </w:tcPr>
          <w:p w14:paraId="7502968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518C6A8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7ACD58A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702" w:type="dxa"/>
            <w:tcBorders>
              <w:top w:val="nil"/>
              <w:left w:val="nil"/>
              <w:bottom w:val="single" w:color="auto" w:sz="4" w:space="0"/>
              <w:right w:val="single" w:color="auto" w:sz="4" w:space="0"/>
            </w:tcBorders>
            <w:vAlign w:val="center"/>
          </w:tcPr>
          <w:p w14:paraId="1CC842C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134" w:type="dxa"/>
            <w:tcBorders>
              <w:top w:val="nil"/>
              <w:left w:val="nil"/>
              <w:bottom w:val="single" w:color="auto" w:sz="4" w:space="0"/>
              <w:right w:val="single" w:color="auto" w:sz="4" w:space="0"/>
            </w:tcBorders>
            <w:vAlign w:val="center"/>
          </w:tcPr>
          <w:p w14:paraId="17328F0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247F02E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2C1527F6">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1A5A769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14:paraId="74175AB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733101D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702" w:type="dxa"/>
            <w:tcBorders>
              <w:top w:val="nil"/>
              <w:left w:val="nil"/>
              <w:bottom w:val="single" w:color="auto" w:sz="4" w:space="0"/>
              <w:right w:val="single" w:color="auto" w:sz="4" w:space="0"/>
            </w:tcBorders>
            <w:vAlign w:val="center"/>
          </w:tcPr>
          <w:p w14:paraId="65A63A2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134" w:type="dxa"/>
            <w:tcBorders>
              <w:top w:val="nil"/>
              <w:left w:val="nil"/>
              <w:bottom w:val="single" w:color="auto" w:sz="4" w:space="0"/>
              <w:right w:val="single" w:color="auto" w:sz="4" w:space="0"/>
            </w:tcBorders>
            <w:vAlign w:val="center"/>
          </w:tcPr>
          <w:p w14:paraId="7EE5C0A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3B6D12E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3E779CED">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985" w:type="dxa"/>
            <w:tcBorders>
              <w:top w:val="nil"/>
              <w:left w:val="nil"/>
              <w:bottom w:val="single" w:color="auto" w:sz="4" w:space="0"/>
              <w:right w:val="single" w:color="auto" w:sz="4" w:space="0"/>
            </w:tcBorders>
            <w:vAlign w:val="center"/>
          </w:tcPr>
          <w:p w14:paraId="27BF69F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4394784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3930DFD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702" w:type="dxa"/>
            <w:tcBorders>
              <w:top w:val="nil"/>
              <w:left w:val="nil"/>
              <w:bottom w:val="single" w:color="auto" w:sz="4" w:space="0"/>
              <w:right w:val="single" w:color="auto" w:sz="4" w:space="0"/>
            </w:tcBorders>
            <w:vAlign w:val="center"/>
          </w:tcPr>
          <w:p w14:paraId="1DDC023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134" w:type="dxa"/>
            <w:tcBorders>
              <w:top w:val="nil"/>
              <w:left w:val="nil"/>
              <w:bottom w:val="single" w:color="auto" w:sz="4" w:space="0"/>
              <w:right w:val="single" w:color="auto" w:sz="4" w:space="0"/>
            </w:tcBorders>
            <w:vAlign w:val="center"/>
          </w:tcPr>
          <w:p w14:paraId="0C7BCAB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5A6C6CE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0D5DCE89">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2F109AA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126BBC8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2D3C947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702" w:type="dxa"/>
            <w:tcBorders>
              <w:top w:val="nil"/>
              <w:left w:val="nil"/>
              <w:bottom w:val="single" w:color="auto" w:sz="4" w:space="0"/>
              <w:right w:val="single" w:color="auto" w:sz="4" w:space="0"/>
            </w:tcBorders>
            <w:vAlign w:val="center"/>
          </w:tcPr>
          <w:p w14:paraId="336377A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134" w:type="dxa"/>
            <w:tcBorders>
              <w:top w:val="nil"/>
              <w:left w:val="nil"/>
              <w:bottom w:val="single" w:color="auto" w:sz="4" w:space="0"/>
              <w:right w:val="single" w:color="auto" w:sz="4" w:space="0"/>
            </w:tcBorders>
            <w:vAlign w:val="center"/>
          </w:tcPr>
          <w:p w14:paraId="2AE783B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63F51EE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332CB154">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985" w:type="dxa"/>
            <w:tcBorders>
              <w:top w:val="nil"/>
              <w:left w:val="nil"/>
              <w:bottom w:val="single" w:color="auto" w:sz="4" w:space="0"/>
              <w:right w:val="single" w:color="auto" w:sz="4" w:space="0"/>
            </w:tcBorders>
            <w:vAlign w:val="center"/>
          </w:tcPr>
          <w:p w14:paraId="5D3A95B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075B066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0C8A3F8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702" w:type="dxa"/>
            <w:tcBorders>
              <w:top w:val="nil"/>
              <w:left w:val="nil"/>
              <w:bottom w:val="single" w:color="auto" w:sz="4" w:space="0"/>
              <w:right w:val="single" w:color="auto" w:sz="4" w:space="0"/>
            </w:tcBorders>
            <w:vAlign w:val="center"/>
          </w:tcPr>
          <w:p w14:paraId="67EEE32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134" w:type="dxa"/>
            <w:tcBorders>
              <w:top w:val="nil"/>
              <w:left w:val="nil"/>
              <w:bottom w:val="single" w:color="auto" w:sz="4" w:space="0"/>
              <w:right w:val="single" w:color="auto" w:sz="4" w:space="0"/>
            </w:tcBorders>
            <w:vAlign w:val="center"/>
          </w:tcPr>
          <w:p w14:paraId="1D95F41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37248F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61A8C68F">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18FD650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1612936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5273CC9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02" w:type="dxa"/>
            <w:tcBorders>
              <w:top w:val="nil"/>
              <w:left w:val="nil"/>
              <w:bottom w:val="single" w:color="auto" w:sz="4" w:space="0"/>
              <w:right w:val="single" w:color="auto" w:sz="4" w:space="0"/>
            </w:tcBorders>
            <w:vAlign w:val="center"/>
          </w:tcPr>
          <w:p w14:paraId="2BFD3C8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134" w:type="dxa"/>
            <w:tcBorders>
              <w:top w:val="nil"/>
              <w:left w:val="nil"/>
              <w:bottom w:val="single" w:color="auto" w:sz="4" w:space="0"/>
              <w:right w:val="single" w:color="auto" w:sz="4" w:space="0"/>
            </w:tcBorders>
            <w:vAlign w:val="center"/>
          </w:tcPr>
          <w:p w14:paraId="5F4DCE4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80B47D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73E85B71">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985" w:type="dxa"/>
            <w:tcBorders>
              <w:top w:val="nil"/>
              <w:left w:val="nil"/>
              <w:bottom w:val="single" w:color="auto" w:sz="4" w:space="0"/>
              <w:right w:val="single" w:color="auto" w:sz="4" w:space="0"/>
            </w:tcBorders>
            <w:vAlign w:val="center"/>
          </w:tcPr>
          <w:p w14:paraId="5D8B9AF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2FEB1C6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5DB0771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2" w:type="dxa"/>
            <w:tcBorders>
              <w:top w:val="nil"/>
              <w:left w:val="nil"/>
              <w:bottom w:val="single" w:color="auto" w:sz="4" w:space="0"/>
              <w:right w:val="single" w:color="auto" w:sz="4" w:space="0"/>
            </w:tcBorders>
            <w:vAlign w:val="center"/>
          </w:tcPr>
          <w:p w14:paraId="56C29D9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vAlign w:val="center"/>
          </w:tcPr>
          <w:p w14:paraId="494CE44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3A67E0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2B81DE38">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2CCA95D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4DDBFAE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358B157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702" w:type="dxa"/>
            <w:tcBorders>
              <w:top w:val="nil"/>
              <w:left w:val="nil"/>
              <w:bottom w:val="single" w:color="auto" w:sz="4" w:space="0"/>
              <w:right w:val="single" w:color="auto" w:sz="4" w:space="0"/>
            </w:tcBorders>
            <w:vAlign w:val="center"/>
          </w:tcPr>
          <w:p w14:paraId="7D5E29F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134" w:type="dxa"/>
            <w:tcBorders>
              <w:top w:val="nil"/>
              <w:left w:val="nil"/>
              <w:bottom w:val="single" w:color="auto" w:sz="4" w:space="0"/>
              <w:right w:val="single" w:color="auto" w:sz="4" w:space="0"/>
            </w:tcBorders>
            <w:vAlign w:val="center"/>
          </w:tcPr>
          <w:p w14:paraId="4F54013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6A167D6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75153603">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985" w:type="dxa"/>
            <w:tcBorders>
              <w:top w:val="nil"/>
              <w:left w:val="nil"/>
              <w:bottom w:val="single" w:color="auto" w:sz="4" w:space="0"/>
              <w:right w:val="single" w:color="auto" w:sz="4" w:space="0"/>
            </w:tcBorders>
            <w:vAlign w:val="center"/>
          </w:tcPr>
          <w:p w14:paraId="5F018C3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2FF0CB1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1135E9C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702" w:type="dxa"/>
            <w:tcBorders>
              <w:top w:val="nil"/>
              <w:left w:val="nil"/>
              <w:bottom w:val="single" w:color="auto" w:sz="4" w:space="0"/>
              <w:right w:val="single" w:color="auto" w:sz="4" w:space="0"/>
            </w:tcBorders>
            <w:vAlign w:val="center"/>
          </w:tcPr>
          <w:p w14:paraId="3AE596E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134" w:type="dxa"/>
            <w:tcBorders>
              <w:top w:val="nil"/>
              <w:left w:val="nil"/>
              <w:bottom w:val="single" w:color="auto" w:sz="4" w:space="0"/>
              <w:right w:val="single" w:color="auto" w:sz="4" w:space="0"/>
            </w:tcBorders>
            <w:vAlign w:val="center"/>
          </w:tcPr>
          <w:p w14:paraId="06C439A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DFF879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5B7C14C0">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0C0F2AF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38FD572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0CEB909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702" w:type="dxa"/>
            <w:tcBorders>
              <w:top w:val="nil"/>
              <w:left w:val="nil"/>
              <w:bottom w:val="single" w:color="auto" w:sz="4" w:space="0"/>
              <w:right w:val="single" w:color="auto" w:sz="4" w:space="0"/>
            </w:tcBorders>
            <w:vAlign w:val="center"/>
          </w:tcPr>
          <w:p w14:paraId="79E7D66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vAlign w:val="center"/>
          </w:tcPr>
          <w:p w14:paraId="6A8C8C9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A229E7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24F4C7F1">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985" w:type="dxa"/>
            <w:tcBorders>
              <w:top w:val="nil"/>
              <w:left w:val="nil"/>
              <w:bottom w:val="single" w:color="auto" w:sz="4" w:space="0"/>
              <w:right w:val="single" w:color="auto" w:sz="4" w:space="0"/>
            </w:tcBorders>
            <w:vAlign w:val="center"/>
          </w:tcPr>
          <w:p w14:paraId="510A701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1DFD967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7813F8A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2" w:type="dxa"/>
            <w:tcBorders>
              <w:top w:val="nil"/>
              <w:left w:val="nil"/>
              <w:bottom w:val="single" w:color="auto" w:sz="4" w:space="0"/>
              <w:right w:val="single" w:color="auto" w:sz="4" w:space="0"/>
            </w:tcBorders>
            <w:vAlign w:val="center"/>
          </w:tcPr>
          <w:p w14:paraId="54C1EB2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vAlign w:val="center"/>
          </w:tcPr>
          <w:p w14:paraId="1BFA622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6EF3FA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3FD4E225">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36EC28D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59B8F83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4394950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702" w:type="dxa"/>
            <w:tcBorders>
              <w:top w:val="nil"/>
              <w:left w:val="nil"/>
              <w:bottom w:val="single" w:color="auto" w:sz="4" w:space="0"/>
              <w:right w:val="single" w:color="auto" w:sz="4" w:space="0"/>
            </w:tcBorders>
            <w:vAlign w:val="center"/>
          </w:tcPr>
          <w:p w14:paraId="5F332B0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vAlign w:val="center"/>
          </w:tcPr>
          <w:p w14:paraId="4B76D91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942186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25459F0">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985" w:type="dxa"/>
            <w:tcBorders>
              <w:top w:val="nil"/>
              <w:left w:val="nil"/>
              <w:bottom w:val="single" w:color="auto" w:sz="4" w:space="0"/>
              <w:right w:val="single" w:color="auto" w:sz="4" w:space="0"/>
            </w:tcBorders>
            <w:vAlign w:val="center"/>
          </w:tcPr>
          <w:p w14:paraId="39EC3DB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74C5F21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798EEE7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vAlign w:val="center"/>
          </w:tcPr>
          <w:p w14:paraId="0F89EFF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2135A01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6DB2E5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681C039B">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6A2515E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1500404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2F0C06E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02" w:type="dxa"/>
            <w:tcBorders>
              <w:top w:val="nil"/>
              <w:left w:val="nil"/>
              <w:bottom w:val="single" w:color="auto" w:sz="4" w:space="0"/>
              <w:right w:val="single" w:color="auto" w:sz="4" w:space="0"/>
            </w:tcBorders>
            <w:vAlign w:val="center"/>
          </w:tcPr>
          <w:p w14:paraId="202BF3E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vAlign w:val="center"/>
          </w:tcPr>
          <w:p w14:paraId="2FA37C2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22AE1F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7B647BE3">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985" w:type="dxa"/>
            <w:tcBorders>
              <w:top w:val="nil"/>
              <w:left w:val="nil"/>
              <w:bottom w:val="single" w:color="auto" w:sz="4" w:space="0"/>
              <w:right w:val="single" w:color="auto" w:sz="4" w:space="0"/>
            </w:tcBorders>
            <w:vAlign w:val="center"/>
          </w:tcPr>
          <w:p w14:paraId="0376C12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2DE2617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2A23355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vAlign w:val="center"/>
          </w:tcPr>
          <w:p w14:paraId="17D5BDA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7AFA71D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6FDDCB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613192C8">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761629A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0A9194D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50B5FC5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02" w:type="dxa"/>
            <w:tcBorders>
              <w:top w:val="nil"/>
              <w:left w:val="nil"/>
              <w:bottom w:val="single" w:color="auto" w:sz="4" w:space="0"/>
              <w:right w:val="single" w:color="auto" w:sz="4" w:space="0"/>
            </w:tcBorders>
            <w:vAlign w:val="center"/>
          </w:tcPr>
          <w:p w14:paraId="2B4D5AB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vAlign w:val="center"/>
          </w:tcPr>
          <w:p w14:paraId="04409E7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AF0CF3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254CB068">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985" w:type="dxa"/>
            <w:tcBorders>
              <w:top w:val="nil"/>
              <w:left w:val="nil"/>
              <w:bottom w:val="single" w:color="auto" w:sz="4" w:space="0"/>
              <w:right w:val="single" w:color="auto" w:sz="4" w:space="0"/>
            </w:tcBorders>
            <w:vAlign w:val="center"/>
          </w:tcPr>
          <w:p w14:paraId="3FB4B8F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25E6C42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58F150D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702" w:type="dxa"/>
            <w:tcBorders>
              <w:top w:val="nil"/>
              <w:left w:val="nil"/>
              <w:bottom w:val="single" w:color="auto" w:sz="4" w:space="0"/>
              <w:right w:val="single" w:color="auto" w:sz="4" w:space="0"/>
            </w:tcBorders>
            <w:vAlign w:val="center"/>
          </w:tcPr>
          <w:p w14:paraId="2124C3B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2C7CFA7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F668F6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109386D7">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4D997A8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1A2746A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22763C2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702" w:type="dxa"/>
            <w:tcBorders>
              <w:top w:val="nil"/>
              <w:left w:val="nil"/>
              <w:bottom w:val="single" w:color="auto" w:sz="4" w:space="0"/>
              <w:right w:val="single" w:color="auto" w:sz="4" w:space="0"/>
            </w:tcBorders>
            <w:vAlign w:val="center"/>
          </w:tcPr>
          <w:p w14:paraId="4C1CBFB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vAlign w:val="center"/>
          </w:tcPr>
          <w:p w14:paraId="657B563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DC28C6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47790DC6">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985" w:type="dxa"/>
            <w:tcBorders>
              <w:top w:val="nil"/>
              <w:left w:val="nil"/>
              <w:bottom w:val="single" w:color="auto" w:sz="4" w:space="0"/>
              <w:right w:val="single" w:color="auto" w:sz="4" w:space="0"/>
            </w:tcBorders>
            <w:vAlign w:val="center"/>
          </w:tcPr>
          <w:p w14:paraId="322464D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0ED2EB1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519C2B0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vAlign w:val="center"/>
          </w:tcPr>
          <w:p w14:paraId="603154C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586567C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E1D1A0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466A9299">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6047417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574C715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660E9DB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702" w:type="dxa"/>
            <w:tcBorders>
              <w:top w:val="nil"/>
              <w:left w:val="nil"/>
              <w:bottom w:val="single" w:color="auto" w:sz="4" w:space="0"/>
              <w:right w:val="single" w:color="auto" w:sz="4" w:space="0"/>
            </w:tcBorders>
            <w:vAlign w:val="center"/>
          </w:tcPr>
          <w:p w14:paraId="2A812B5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134" w:type="dxa"/>
            <w:tcBorders>
              <w:top w:val="nil"/>
              <w:left w:val="nil"/>
              <w:bottom w:val="single" w:color="auto" w:sz="4" w:space="0"/>
              <w:right w:val="single" w:color="auto" w:sz="4" w:space="0"/>
            </w:tcBorders>
            <w:vAlign w:val="center"/>
          </w:tcPr>
          <w:p w14:paraId="48697CD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4AA2B71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32AEC1FC">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985" w:type="dxa"/>
            <w:tcBorders>
              <w:top w:val="nil"/>
              <w:left w:val="nil"/>
              <w:bottom w:val="single" w:color="auto" w:sz="4" w:space="0"/>
              <w:right w:val="single" w:color="auto" w:sz="4" w:space="0"/>
            </w:tcBorders>
            <w:vAlign w:val="center"/>
          </w:tcPr>
          <w:p w14:paraId="2F65E4C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2C946EA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763BCF5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702" w:type="dxa"/>
            <w:tcBorders>
              <w:top w:val="nil"/>
              <w:left w:val="nil"/>
              <w:bottom w:val="single" w:color="auto" w:sz="4" w:space="0"/>
              <w:right w:val="single" w:color="auto" w:sz="4" w:space="0"/>
            </w:tcBorders>
            <w:vAlign w:val="center"/>
          </w:tcPr>
          <w:p w14:paraId="71D41A5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100≤X＜1000</w:t>
            </w:r>
          </w:p>
        </w:tc>
        <w:tc>
          <w:tcPr>
            <w:tcW w:w="1134" w:type="dxa"/>
            <w:tcBorders>
              <w:top w:val="nil"/>
              <w:left w:val="nil"/>
              <w:bottom w:val="single" w:color="auto" w:sz="4" w:space="0"/>
              <w:right w:val="single" w:color="auto" w:sz="4" w:space="0"/>
            </w:tcBorders>
            <w:vAlign w:val="center"/>
          </w:tcPr>
          <w:p w14:paraId="6D351C8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5A99178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1E616265">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4344AE2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14:paraId="1318AD0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645649C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702" w:type="dxa"/>
            <w:tcBorders>
              <w:top w:val="nil"/>
              <w:left w:val="nil"/>
              <w:bottom w:val="single" w:color="auto" w:sz="4" w:space="0"/>
              <w:right w:val="single" w:color="auto" w:sz="4" w:space="0"/>
            </w:tcBorders>
            <w:vAlign w:val="center"/>
          </w:tcPr>
          <w:p w14:paraId="7119E40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2000≤Y＜5000</w:t>
            </w:r>
          </w:p>
        </w:tc>
        <w:tc>
          <w:tcPr>
            <w:tcW w:w="1134" w:type="dxa"/>
            <w:tcBorders>
              <w:top w:val="nil"/>
              <w:left w:val="nil"/>
              <w:bottom w:val="single" w:color="auto" w:sz="4" w:space="0"/>
              <w:right w:val="single" w:color="auto" w:sz="4" w:space="0"/>
            </w:tcBorders>
            <w:vAlign w:val="center"/>
          </w:tcPr>
          <w:p w14:paraId="6F38561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w:t>
            </w:r>
          </w:p>
        </w:tc>
      </w:tr>
      <w:tr w14:paraId="4068A7B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0365A505">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985" w:type="dxa"/>
            <w:tcBorders>
              <w:top w:val="nil"/>
              <w:left w:val="nil"/>
              <w:bottom w:val="single" w:color="auto" w:sz="4" w:space="0"/>
              <w:right w:val="single" w:color="auto" w:sz="4" w:space="0"/>
            </w:tcBorders>
            <w:vAlign w:val="center"/>
          </w:tcPr>
          <w:p w14:paraId="724FF8B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333F7BF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4C28920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2" w:type="dxa"/>
            <w:tcBorders>
              <w:top w:val="nil"/>
              <w:left w:val="nil"/>
              <w:bottom w:val="single" w:color="auto" w:sz="4" w:space="0"/>
              <w:right w:val="single" w:color="auto" w:sz="4" w:space="0"/>
            </w:tcBorders>
            <w:vAlign w:val="center"/>
          </w:tcPr>
          <w:p w14:paraId="66188E2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134" w:type="dxa"/>
            <w:tcBorders>
              <w:top w:val="nil"/>
              <w:left w:val="nil"/>
              <w:bottom w:val="single" w:color="auto" w:sz="4" w:space="0"/>
              <w:right w:val="single" w:color="auto" w:sz="4" w:space="0"/>
            </w:tcBorders>
            <w:vAlign w:val="center"/>
          </w:tcPr>
          <w:p w14:paraId="640249D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518A7414">
        <w:tblPrEx>
          <w:tblCellMar>
            <w:top w:w="0" w:type="dxa"/>
            <w:left w:w="108" w:type="dxa"/>
            <w:bottom w:w="0" w:type="dxa"/>
            <w:right w:w="108" w:type="dxa"/>
          </w:tblCellMar>
        </w:tblPrEx>
        <w:trPr>
          <w:trHeight w:val="90" w:hRule="atLeast"/>
        </w:trPr>
        <w:tc>
          <w:tcPr>
            <w:tcW w:w="1985" w:type="dxa"/>
            <w:vMerge w:val="continue"/>
            <w:tcBorders>
              <w:top w:val="nil"/>
              <w:left w:val="single" w:color="auto" w:sz="4" w:space="0"/>
              <w:bottom w:val="single" w:color="auto" w:sz="4" w:space="0"/>
              <w:right w:val="single" w:color="auto" w:sz="4" w:space="0"/>
            </w:tcBorders>
            <w:vAlign w:val="center"/>
          </w:tcPr>
          <w:p w14:paraId="1746C48D">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1FB0737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185113E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4550D6C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702" w:type="dxa"/>
            <w:tcBorders>
              <w:top w:val="nil"/>
              <w:left w:val="nil"/>
              <w:bottom w:val="single" w:color="auto" w:sz="4" w:space="0"/>
              <w:right w:val="single" w:color="auto" w:sz="4" w:space="0"/>
            </w:tcBorders>
            <w:vAlign w:val="center"/>
          </w:tcPr>
          <w:p w14:paraId="535334B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134" w:type="dxa"/>
            <w:tcBorders>
              <w:top w:val="nil"/>
              <w:left w:val="nil"/>
              <w:bottom w:val="single" w:color="auto" w:sz="4" w:space="0"/>
              <w:right w:val="single" w:color="auto" w:sz="4" w:space="0"/>
            </w:tcBorders>
            <w:vAlign w:val="center"/>
          </w:tcPr>
          <w:p w14:paraId="17DB146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0A80438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0026932E">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985" w:type="dxa"/>
            <w:tcBorders>
              <w:top w:val="nil"/>
              <w:left w:val="nil"/>
              <w:bottom w:val="single" w:color="auto" w:sz="4" w:space="0"/>
              <w:right w:val="single" w:color="auto" w:sz="4" w:space="0"/>
            </w:tcBorders>
            <w:vAlign w:val="center"/>
          </w:tcPr>
          <w:p w14:paraId="7985C55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7AF50B9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772E23D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vAlign w:val="center"/>
          </w:tcPr>
          <w:p w14:paraId="5E48556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758F1D2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C0EEAD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4973D7C7">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21A8FCE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14:paraId="54F7474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75CF618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702" w:type="dxa"/>
            <w:tcBorders>
              <w:top w:val="nil"/>
              <w:left w:val="nil"/>
              <w:bottom w:val="single" w:color="auto" w:sz="4" w:space="0"/>
              <w:right w:val="single" w:color="auto" w:sz="4" w:space="0"/>
            </w:tcBorders>
            <w:vAlign w:val="center"/>
          </w:tcPr>
          <w:p w14:paraId="344150C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134" w:type="dxa"/>
            <w:tcBorders>
              <w:top w:val="nil"/>
              <w:left w:val="nil"/>
              <w:bottom w:val="single" w:color="auto" w:sz="4" w:space="0"/>
              <w:right w:val="single" w:color="auto" w:sz="4" w:space="0"/>
            </w:tcBorders>
            <w:vAlign w:val="center"/>
          </w:tcPr>
          <w:p w14:paraId="3CFE65F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B2C35D1">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14:paraId="6F9CC3E4">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985" w:type="dxa"/>
            <w:tcBorders>
              <w:top w:val="nil"/>
              <w:left w:val="nil"/>
              <w:bottom w:val="single" w:color="auto" w:sz="4" w:space="0"/>
              <w:right w:val="single" w:color="auto" w:sz="4" w:space="0"/>
            </w:tcBorders>
            <w:vAlign w:val="center"/>
          </w:tcPr>
          <w:p w14:paraId="656378F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7CB9828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19A55D3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vAlign w:val="center"/>
          </w:tcPr>
          <w:p w14:paraId="1447475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130513D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1D2CFFD8">
      <w:pPr>
        <w:spacing w:line="560" w:lineRule="exact"/>
        <w:ind w:firstLine="525" w:firstLineChars="250"/>
        <w:rPr>
          <w:rFonts w:ascii="宋体" w:hAnsi="宋体" w:cs="宋体"/>
          <w:color w:val="auto"/>
          <w:kern w:val="0"/>
          <w:sz w:val="20"/>
          <w:szCs w:val="21"/>
          <w:highlight w:val="none"/>
        </w:rPr>
        <w:sectPr>
          <w:pgSz w:w="11906" w:h="16838"/>
          <w:pgMar w:top="1134" w:right="1134" w:bottom="1134" w:left="1134" w:header="720" w:footer="720" w:gutter="0"/>
          <w:cols w:space="720" w:num="1"/>
          <w:docGrid w:type="lines" w:linePitch="331" w:charSpace="0"/>
        </w:sectPr>
      </w:pPr>
      <w:r>
        <w:rPr>
          <w:rFonts w:hint="eastAsia" w:ascii="宋体" w:hAnsi="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3340ACBA">
      <w:pPr>
        <w:pStyle w:val="2"/>
        <w:jc w:val="center"/>
        <w:rPr>
          <w:rFonts w:ascii="宋体" w:hAnsi="宋体" w:cs="宋体"/>
          <w:color w:val="auto"/>
          <w:highlight w:val="none"/>
        </w:rPr>
      </w:pPr>
      <w:bookmarkStart w:id="39" w:name="_Toc32550"/>
      <w:r>
        <w:rPr>
          <w:rFonts w:hint="eastAsia" w:ascii="宋体" w:hAnsi="宋体" w:cs="宋体"/>
          <w:bCs w:val="0"/>
          <w:color w:val="auto"/>
          <w:sz w:val="32"/>
          <w:szCs w:val="32"/>
          <w:highlight w:val="none"/>
        </w:rPr>
        <w:t>第三章 供应商须知</w:t>
      </w:r>
      <w:bookmarkEnd w:id="39"/>
    </w:p>
    <w:p w14:paraId="655EB307">
      <w:pPr>
        <w:pStyle w:val="3"/>
        <w:jc w:val="center"/>
        <w:rPr>
          <w:rFonts w:ascii="宋体" w:hAnsi="宋体" w:cs="宋体"/>
          <w:b/>
          <w:color w:val="auto"/>
          <w:sz w:val="32"/>
          <w:szCs w:val="32"/>
          <w:highlight w:val="none"/>
        </w:rPr>
      </w:pPr>
      <w:bookmarkStart w:id="40" w:name="_Toc28882"/>
      <w:r>
        <w:rPr>
          <w:rFonts w:hint="eastAsia" w:ascii="宋体" w:hAnsi="宋体" w:cs="宋体"/>
          <w:b w:val="0"/>
          <w:color w:val="auto"/>
          <w:highlight w:val="none"/>
        </w:rPr>
        <w:t>第一节 供应商须知前附表</w:t>
      </w:r>
      <w:bookmarkEnd w:id="40"/>
    </w:p>
    <w:tbl>
      <w:tblPr>
        <w:tblStyle w:val="25"/>
        <w:tblW w:w="103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2785"/>
        <w:gridCol w:w="6850"/>
      </w:tblGrid>
      <w:tr w14:paraId="70A85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tcBorders>
              <w:top w:val="single" w:color="000000" w:sz="4" w:space="0"/>
              <w:left w:val="single" w:color="000000" w:sz="4" w:space="0"/>
              <w:bottom w:val="single" w:color="000000" w:sz="4" w:space="0"/>
              <w:right w:val="single" w:color="000000" w:sz="4" w:space="0"/>
            </w:tcBorders>
          </w:tcPr>
          <w:p w14:paraId="09477D7D">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2785" w:type="dxa"/>
            <w:tcBorders>
              <w:top w:val="single" w:color="000000" w:sz="4" w:space="0"/>
              <w:left w:val="single" w:color="000000" w:sz="4" w:space="0"/>
              <w:bottom w:val="single" w:color="000000" w:sz="4" w:space="0"/>
              <w:right w:val="single" w:color="000000" w:sz="4" w:space="0"/>
            </w:tcBorders>
            <w:vAlign w:val="center"/>
          </w:tcPr>
          <w:p w14:paraId="71CF0047">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条款内容</w:t>
            </w:r>
          </w:p>
        </w:tc>
        <w:tc>
          <w:tcPr>
            <w:tcW w:w="6850" w:type="dxa"/>
            <w:tcBorders>
              <w:top w:val="single" w:color="000000" w:sz="4" w:space="0"/>
              <w:left w:val="single" w:color="000000" w:sz="4" w:space="0"/>
              <w:bottom w:val="single" w:color="000000" w:sz="4" w:space="0"/>
              <w:right w:val="single" w:color="000000" w:sz="4" w:space="0"/>
            </w:tcBorders>
          </w:tcPr>
          <w:p w14:paraId="391BEA70">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具体要求</w:t>
            </w:r>
          </w:p>
        </w:tc>
      </w:tr>
      <w:tr w14:paraId="3575F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3FEB276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3.1</w:t>
            </w:r>
          </w:p>
        </w:tc>
        <w:tc>
          <w:tcPr>
            <w:tcW w:w="2785" w:type="dxa"/>
            <w:tcBorders>
              <w:top w:val="single" w:color="000000" w:sz="4" w:space="0"/>
              <w:left w:val="single" w:color="000000" w:sz="4" w:space="0"/>
              <w:bottom w:val="single" w:color="000000" w:sz="4" w:space="0"/>
              <w:right w:val="single" w:color="000000" w:sz="4" w:space="0"/>
            </w:tcBorders>
            <w:vAlign w:val="center"/>
          </w:tcPr>
          <w:p w14:paraId="4F44353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供应商资格条件</w:t>
            </w:r>
          </w:p>
        </w:tc>
        <w:tc>
          <w:tcPr>
            <w:tcW w:w="6850" w:type="dxa"/>
            <w:tcBorders>
              <w:top w:val="single" w:color="000000" w:sz="4" w:space="0"/>
              <w:left w:val="single" w:color="000000" w:sz="4" w:space="0"/>
              <w:bottom w:val="single" w:color="000000" w:sz="4" w:space="0"/>
              <w:right w:val="single" w:color="000000" w:sz="4" w:space="0"/>
            </w:tcBorders>
          </w:tcPr>
          <w:p w14:paraId="08BD59A2">
            <w:pPr>
              <w:spacing w:line="360" w:lineRule="auto"/>
              <w:rPr>
                <w:rFonts w:ascii="宋体" w:hAnsi="宋体" w:cs="宋体"/>
                <w:color w:val="auto"/>
                <w:szCs w:val="21"/>
                <w:highlight w:val="none"/>
              </w:rPr>
            </w:pPr>
            <w:r>
              <w:rPr>
                <w:rFonts w:hint="eastAsia" w:ascii="宋体" w:hAnsi="宋体" w:cs="宋体"/>
                <w:color w:val="auto"/>
                <w:szCs w:val="21"/>
                <w:highlight w:val="none"/>
              </w:rPr>
              <w:t>详见公告。</w:t>
            </w:r>
          </w:p>
        </w:tc>
      </w:tr>
      <w:tr w14:paraId="4E17D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0E7E77E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5.1</w:t>
            </w:r>
          </w:p>
        </w:tc>
        <w:tc>
          <w:tcPr>
            <w:tcW w:w="2785" w:type="dxa"/>
            <w:tcBorders>
              <w:top w:val="single" w:color="000000" w:sz="4" w:space="0"/>
              <w:left w:val="single" w:color="000000" w:sz="4" w:space="0"/>
              <w:bottom w:val="single" w:color="000000" w:sz="4" w:space="0"/>
              <w:right w:val="single" w:color="000000" w:sz="4" w:space="0"/>
            </w:tcBorders>
            <w:vAlign w:val="center"/>
          </w:tcPr>
          <w:p w14:paraId="022F4F4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是否接受联合体竞标</w:t>
            </w:r>
          </w:p>
        </w:tc>
        <w:tc>
          <w:tcPr>
            <w:tcW w:w="6850" w:type="dxa"/>
            <w:tcBorders>
              <w:top w:val="single" w:color="000000" w:sz="4" w:space="0"/>
              <w:left w:val="single" w:color="000000" w:sz="4" w:space="0"/>
              <w:bottom w:val="single" w:color="000000" w:sz="4" w:space="0"/>
              <w:right w:val="single" w:color="000000" w:sz="4" w:space="0"/>
            </w:tcBorders>
            <w:vAlign w:val="center"/>
          </w:tcPr>
          <w:p w14:paraId="33B1A945">
            <w:pPr>
              <w:spacing w:line="360" w:lineRule="auto"/>
              <w:rPr>
                <w:rFonts w:ascii="宋体" w:hAnsi="宋体" w:cs="宋体"/>
                <w:color w:val="auto"/>
                <w:szCs w:val="21"/>
                <w:highlight w:val="none"/>
              </w:rPr>
            </w:pPr>
            <w:r>
              <w:rPr>
                <w:rFonts w:hint="eastAsia" w:ascii="宋体" w:hAnsi="宋体" w:cs="宋体"/>
                <w:color w:val="auto"/>
                <w:szCs w:val="21"/>
                <w:highlight w:val="none"/>
              </w:rPr>
              <w:t>详见公告。</w:t>
            </w:r>
          </w:p>
        </w:tc>
      </w:tr>
      <w:tr w14:paraId="33398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7BFF183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5.2</w:t>
            </w:r>
          </w:p>
        </w:tc>
        <w:tc>
          <w:tcPr>
            <w:tcW w:w="2785" w:type="dxa"/>
            <w:tcBorders>
              <w:top w:val="single" w:color="000000" w:sz="4" w:space="0"/>
              <w:left w:val="single" w:color="000000" w:sz="4" w:space="0"/>
              <w:bottom w:val="single" w:color="000000" w:sz="4" w:space="0"/>
              <w:right w:val="single" w:color="000000" w:sz="4" w:space="0"/>
            </w:tcBorders>
            <w:vAlign w:val="center"/>
          </w:tcPr>
          <w:p w14:paraId="471A20D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联合体竞标要求</w:t>
            </w:r>
          </w:p>
        </w:tc>
        <w:tc>
          <w:tcPr>
            <w:tcW w:w="6850" w:type="dxa"/>
            <w:tcBorders>
              <w:top w:val="single" w:color="000000" w:sz="4" w:space="0"/>
              <w:left w:val="single" w:color="000000" w:sz="4" w:space="0"/>
              <w:bottom w:val="single" w:color="000000" w:sz="4" w:space="0"/>
              <w:right w:val="single" w:color="000000" w:sz="4" w:space="0"/>
            </w:tcBorders>
            <w:vAlign w:val="center"/>
          </w:tcPr>
          <w:p w14:paraId="5A44BDB9">
            <w:pPr>
              <w:spacing w:line="360" w:lineRule="auto"/>
              <w:rPr>
                <w:rFonts w:ascii="宋体" w:hAnsi="宋体" w:cs="宋体"/>
                <w:color w:val="auto"/>
                <w:szCs w:val="21"/>
                <w:highlight w:val="none"/>
              </w:rPr>
            </w:pPr>
            <w:r>
              <w:rPr>
                <w:rFonts w:hint="eastAsia" w:ascii="宋体" w:hAnsi="宋体" w:cs="宋体"/>
                <w:color w:val="auto"/>
                <w:szCs w:val="21"/>
                <w:highlight w:val="none"/>
              </w:rPr>
              <w:t>无。</w:t>
            </w:r>
          </w:p>
        </w:tc>
      </w:tr>
      <w:tr w14:paraId="522DD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6B97C9F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6.1</w:t>
            </w:r>
          </w:p>
        </w:tc>
        <w:tc>
          <w:tcPr>
            <w:tcW w:w="2785" w:type="dxa"/>
            <w:tcBorders>
              <w:top w:val="single" w:color="000000" w:sz="4" w:space="0"/>
              <w:left w:val="single" w:color="000000" w:sz="4" w:space="0"/>
              <w:bottom w:val="single" w:color="000000" w:sz="4" w:space="0"/>
              <w:right w:val="single" w:color="000000" w:sz="4" w:space="0"/>
            </w:tcBorders>
            <w:vAlign w:val="center"/>
          </w:tcPr>
          <w:p w14:paraId="3367C95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是否允许分包</w:t>
            </w:r>
          </w:p>
        </w:tc>
        <w:tc>
          <w:tcPr>
            <w:tcW w:w="6850" w:type="dxa"/>
            <w:tcBorders>
              <w:top w:val="single" w:color="000000" w:sz="4" w:space="0"/>
              <w:left w:val="single" w:color="000000" w:sz="4" w:space="0"/>
              <w:bottom w:val="single" w:color="000000" w:sz="4" w:space="0"/>
              <w:right w:val="single" w:color="000000" w:sz="4" w:space="0"/>
            </w:tcBorders>
            <w:vAlign w:val="center"/>
          </w:tcPr>
          <w:p w14:paraId="15A3FF34">
            <w:pPr>
              <w:pStyle w:val="10"/>
              <w:spacing w:line="360" w:lineRule="exact"/>
              <w:rPr>
                <w:rFonts w:ascii="宋体" w:hAnsi="宋体" w:cs="宋体"/>
                <w:color w:val="auto"/>
                <w:szCs w:val="21"/>
                <w:highlight w:val="none"/>
              </w:rPr>
            </w:pPr>
            <w:r>
              <w:rPr>
                <w:rFonts w:hint="eastAsia" w:ascii="宋体" w:hAnsi="宋体" w:cs="宋体"/>
                <w:color w:val="auto"/>
                <w:szCs w:val="21"/>
                <w:highlight w:val="none"/>
              </w:rPr>
              <w:t>☑不允许转包/分包</w:t>
            </w:r>
          </w:p>
          <w:p w14:paraId="647E44F8">
            <w:pPr>
              <w:pStyle w:val="10"/>
              <w:spacing w:line="360" w:lineRule="exact"/>
              <w:rPr>
                <w:rFonts w:ascii="宋体" w:hAnsi="宋体" w:cs="宋体"/>
                <w:color w:val="auto"/>
                <w:szCs w:val="21"/>
                <w:highlight w:val="none"/>
              </w:rPr>
            </w:pPr>
            <w:r>
              <w:rPr>
                <w:rFonts w:hint="eastAsia" w:ascii="宋体" w:hAnsi="宋体" w:cs="宋体"/>
                <w:color w:val="auto"/>
                <w:szCs w:val="21"/>
                <w:highlight w:val="none"/>
              </w:rPr>
              <w:t>□允许转包/分包</w:t>
            </w:r>
          </w:p>
          <w:p w14:paraId="6EF41BAE">
            <w:pPr>
              <w:pStyle w:val="10"/>
              <w:spacing w:line="360" w:lineRule="auto"/>
              <w:rPr>
                <w:rFonts w:ascii="宋体" w:hAnsi="宋体" w:cs="宋体"/>
                <w:color w:val="auto"/>
                <w:szCs w:val="21"/>
                <w:highlight w:val="none"/>
                <w:u w:val="single"/>
              </w:rPr>
            </w:pPr>
            <w:r>
              <w:rPr>
                <w:rFonts w:hint="eastAsia" w:ascii="宋体" w:hAnsi="宋体" w:cs="宋体"/>
                <w:color w:val="auto"/>
                <w:szCs w:val="21"/>
                <w:highlight w:val="none"/>
              </w:rPr>
              <w:t>分包内容：</w:t>
            </w:r>
            <w:r>
              <w:rPr>
                <w:rFonts w:hint="eastAsia" w:ascii="宋体" w:hAnsi="宋体" w:cs="宋体"/>
                <w:color w:val="auto"/>
                <w:szCs w:val="21"/>
                <w:highlight w:val="none"/>
                <w:u w:val="single"/>
              </w:rPr>
              <w:t xml:space="preserve">                                     。</w:t>
            </w:r>
          </w:p>
          <w:p w14:paraId="575CE9BB">
            <w:pPr>
              <w:pStyle w:val="10"/>
              <w:spacing w:line="360" w:lineRule="auto"/>
              <w:rPr>
                <w:rFonts w:ascii="宋体" w:hAnsi="宋体" w:cs="宋体"/>
                <w:color w:val="auto"/>
                <w:szCs w:val="21"/>
                <w:highlight w:val="none"/>
              </w:rPr>
            </w:pPr>
            <w:r>
              <w:rPr>
                <w:rFonts w:hint="eastAsia" w:ascii="宋体" w:hAnsi="宋体" w:cs="宋体"/>
                <w:color w:val="auto"/>
                <w:szCs w:val="21"/>
                <w:highlight w:val="none"/>
              </w:rPr>
              <w:t>分包金额或者比例：</w:t>
            </w:r>
            <w:r>
              <w:rPr>
                <w:rFonts w:hint="eastAsia" w:ascii="宋体" w:hAnsi="宋体" w:cs="宋体"/>
                <w:color w:val="auto"/>
                <w:szCs w:val="21"/>
                <w:highlight w:val="none"/>
                <w:u w:val="single"/>
              </w:rPr>
              <w:t xml:space="preserve">                                     。</w:t>
            </w:r>
          </w:p>
        </w:tc>
      </w:tr>
      <w:tr w14:paraId="1F4EA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1C124F27">
            <w:pPr>
              <w:spacing w:line="380" w:lineRule="exact"/>
              <w:rPr>
                <w:rFonts w:ascii="宋体" w:hAnsi="宋体" w:cs="宋体"/>
                <w:color w:val="auto"/>
                <w:szCs w:val="21"/>
                <w:highlight w:val="none"/>
              </w:rPr>
            </w:pPr>
            <w:r>
              <w:rPr>
                <w:rFonts w:hint="eastAsia" w:ascii="宋体" w:hAnsi="宋体" w:cs="宋体"/>
                <w:color w:val="auto"/>
                <w:szCs w:val="21"/>
                <w:highlight w:val="none"/>
              </w:rPr>
              <w:t>11.4</w:t>
            </w:r>
          </w:p>
        </w:tc>
        <w:tc>
          <w:tcPr>
            <w:tcW w:w="2785" w:type="dxa"/>
            <w:tcBorders>
              <w:top w:val="single" w:color="000000" w:sz="4" w:space="0"/>
              <w:left w:val="single" w:color="000000" w:sz="4" w:space="0"/>
              <w:bottom w:val="single" w:color="000000" w:sz="4" w:space="0"/>
              <w:right w:val="single" w:color="000000" w:sz="4" w:space="0"/>
            </w:tcBorders>
            <w:vAlign w:val="center"/>
          </w:tcPr>
          <w:p w14:paraId="03CD11EE">
            <w:pPr>
              <w:spacing w:line="380" w:lineRule="exact"/>
              <w:rPr>
                <w:rFonts w:ascii="宋体" w:hAnsi="宋体" w:cs="宋体"/>
                <w:color w:val="auto"/>
                <w:szCs w:val="21"/>
                <w:highlight w:val="none"/>
              </w:rPr>
            </w:pPr>
            <w:r>
              <w:rPr>
                <w:rFonts w:hint="eastAsia" w:ascii="宋体" w:hAnsi="宋体" w:cs="宋体"/>
                <w:color w:val="auto"/>
                <w:szCs w:val="21"/>
                <w:highlight w:val="none"/>
              </w:rPr>
              <w:t>媒体发布渠道</w:t>
            </w:r>
          </w:p>
        </w:tc>
        <w:tc>
          <w:tcPr>
            <w:tcW w:w="6850" w:type="dxa"/>
            <w:tcBorders>
              <w:top w:val="single" w:color="000000" w:sz="4" w:space="0"/>
              <w:left w:val="single" w:color="000000" w:sz="4" w:space="0"/>
              <w:bottom w:val="single" w:color="000000" w:sz="4" w:space="0"/>
              <w:right w:val="single" w:color="000000" w:sz="4" w:space="0"/>
            </w:tcBorders>
            <w:vAlign w:val="center"/>
          </w:tcPr>
          <w:p w14:paraId="066AB3D7">
            <w:pPr>
              <w:rPr>
                <w:rFonts w:ascii="宋体" w:hAnsi="宋体" w:cs="宋体"/>
                <w:color w:val="auto"/>
                <w:szCs w:val="21"/>
                <w:highlight w:val="none"/>
              </w:rPr>
            </w:pPr>
            <w:r>
              <w:rPr>
                <w:rFonts w:hint="eastAsia" w:ascii="宋体" w:hAnsi="宋体" w:cs="宋体"/>
                <w:color w:val="auto"/>
                <w:szCs w:val="21"/>
                <w:highlight w:val="none"/>
              </w:rPr>
              <w:t>与本项目相关的政府采购业务澄清、更正及与之相关的事项将在采购公告中“六、其他补充事宜”中网上查询地址上发布</w:t>
            </w:r>
            <w:r>
              <w:rPr>
                <w:rFonts w:hint="eastAsia" w:ascii="宋体" w:hAnsi="宋体" w:cs="宋体"/>
                <w:color w:val="auto"/>
                <w:kern w:val="0"/>
                <w:szCs w:val="21"/>
                <w:highlight w:val="none"/>
              </w:rPr>
              <w:t>。</w:t>
            </w:r>
          </w:p>
        </w:tc>
      </w:tr>
      <w:tr w14:paraId="0AB10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64F18E1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12.1.1</w:t>
            </w:r>
          </w:p>
        </w:tc>
        <w:tc>
          <w:tcPr>
            <w:tcW w:w="2785" w:type="dxa"/>
            <w:tcBorders>
              <w:top w:val="single" w:color="000000" w:sz="4" w:space="0"/>
              <w:left w:val="single" w:color="000000" w:sz="4" w:space="0"/>
              <w:bottom w:val="single" w:color="000000" w:sz="4" w:space="0"/>
              <w:right w:val="single" w:color="000000" w:sz="4" w:space="0"/>
            </w:tcBorders>
            <w:vAlign w:val="center"/>
          </w:tcPr>
          <w:p w14:paraId="2EDA3DB2">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资格证明文件组成</w:t>
            </w:r>
          </w:p>
          <w:p w14:paraId="5B2CBAEE">
            <w:pPr>
              <w:spacing w:line="360" w:lineRule="auto"/>
              <w:jc w:val="center"/>
              <w:rPr>
                <w:rFonts w:ascii="宋体" w:hAnsi="宋体" w:cs="宋体"/>
                <w:color w:val="auto"/>
                <w:szCs w:val="21"/>
                <w:highlight w:val="none"/>
              </w:rPr>
            </w:pPr>
          </w:p>
        </w:tc>
        <w:tc>
          <w:tcPr>
            <w:tcW w:w="6850" w:type="dxa"/>
            <w:tcBorders>
              <w:top w:val="single" w:color="000000" w:sz="4" w:space="0"/>
              <w:left w:val="single" w:color="000000" w:sz="4" w:space="0"/>
              <w:bottom w:val="single" w:color="000000" w:sz="4" w:space="0"/>
              <w:right w:val="single" w:color="000000" w:sz="4" w:space="0"/>
            </w:tcBorders>
            <w:vAlign w:val="center"/>
          </w:tcPr>
          <w:p w14:paraId="04ECDA44">
            <w:pPr>
              <w:pStyle w:val="10"/>
              <w:spacing w:line="360" w:lineRule="auto"/>
              <w:rPr>
                <w:rFonts w:ascii="宋体" w:hAnsi="宋体" w:cs="宋体"/>
                <w:color w:val="auto"/>
                <w:szCs w:val="21"/>
                <w:highlight w:val="none"/>
              </w:rPr>
            </w:pPr>
            <w:r>
              <w:rPr>
                <w:rFonts w:hint="eastAsia" w:ascii="宋体" w:hAnsi="宋体" w:cs="宋体"/>
                <w:color w:val="auto"/>
                <w:szCs w:val="21"/>
                <w:highlight w:val="none"/>
              </w:rPr>
              <w:t>1.供应商为法人或者其他组织的提供其营业执照等证明文件（如营业执照或者事业单位法人证书或者执业许可证等），供应商为自然人的提供其身份证复印件；（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603CD14">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2.供应商依法缴纳税收的相关材料：提供</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月至</w:t>
            </w:r>
            <w:r>
              <w:rPr>
                <w:rFonts w:hint="eastAsia" w:ascii="宋体" w:hAnsi="宋体" w:cs="宋体"/>
                <w:color w:val="auto"/>
                <w:szCs w:val="21"/>
                <w:highlight w:val="none"/>
                <w:u w:val="single"/>
              </w:rPr>
              <w:t>202</w:t>
            </w:r>
            <w:r>
              <w:rPr>
                <w:rFonts w:ascii="宋体" w:hAnsi="宋体" w:cs="宋体"/>
                <w:color w:val="auto"/>
                <w:szCs w:val="21"/>
                <w:highlight w:val="none"/>
                <w:u w:val="single"/>
              </w:rPr>
              <w:t>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rPr>
              <w:t>月期间连续</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595612C">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3.供应商依法缴纳社会保障资金的相关材料：提供</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月至</w:t>
            </w:r>
            <w:r>
              <w:rPr>
                <w:rFonts w:hint="eastAsia" w:ascii="宋体" w:hAnsi="宋体" w:cs="宋体"/>
                <w:color w:val="auto"/>
                <w:szCs w:val="21"/>
                <w:highlight w:val="none"/>
                <w:u w:val="single"/>
              </w:rPr>
              <w:t>202</w:t>
            </w:r>
            <w:r>
              <w:rPr>
                <w:rFonts w:ascii="宋体" w:hAnsi="宋体" w:cs="宋体"/>
                <w:color w:val="auto"/>
                <w:szCs w:val="21"/>
                <w:highlight w:val="none"/>
                <w:u w:val="single"/>
              </w:rPr>
              <w:t>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rPr>
              <w:t>月期间连续</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6ADD559">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4.供应商财务状况报告：提供</w:t>
            </w:r>
            <w:r>
              <w:rPr>
                <w:rFonts w:hint="eastAsia" w:ascii="宋体" w:hAnsi="宋体" w:cs="宋体"/>
                <w:color w:val="auto"/>
                <w:szCs w:val="21"/>
                <w:highlight w:val="none"/>
                <w:u w:val="single"/>
                <w:lang w:val="en-US" w:eastAsia="zh-CN"/>
              </w:rPr>
              <w:t>2023年</w:t>
            </w:r>
            <w:r>
              <w:rPr>
                <w:rFonts w:hint="eastAsia" w:ascii="宋体" w:hAnsi="宋体" w:cs="宋体"/>
                <w:color w:val="auto"/>
                <w:szCs w:val="21"/>
                <w:highlight w:val="none"/>
              </w:rPr>
              <w:t>财务状况报告复印件；供应商成立不满一年的应按提供首次响应文件提交截止时间上一个月的财务状况报告复印件。（上述财务状况报告包括：①供应商执行《企业会计准则》的，提供资产负债表、利润表、现金流量表、所有者权益变动表、附注（以下称“四表一注”）；②供应商执行《小企业会计准则》的，提供资产负债表、利润表、现金流量表、附注（以下称“三表一注”）；③供应商执行《政府会计制度》的，提供资产负债表、收入费用表、净资产变动表、附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E426129">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5.供应商直接控股、管理关系信息表；（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4945693">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6.资格声明函；（</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8E84962">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7.联合体协议书；（</w:t>
            </w:r>
            <w:r>
              <w:rPr>
                <w:rFonts w:hint="eastAsia" w:ascii="宋体" w:hAnsi="宋体" w:cs="宋体"/>
                <w:b/>
                <w:color w:val="auto"/>
                <w:szCs w:val="21"/>
                <w:highlight w:val="none"/>
              </w:rPr>
              <w:t>联合体竞标时必须提供，否则响应文件按无效响应处理</w:t>
            </w:r>
            <w:r>
              <w:rPr>
                <w:rFonts w:hint="eastAsia" w:ascii="宋体" w:hAnsi="宋体" w:cs="宋体"/>
                <w:color w:val="auto"/>
                <w:szCs w:val="21"/>
                <w:highlight w:val="none"/>
              </w:rPr>
              <w:t>）</w:t>
            </w:r>
          </w:p>
          <w:p w14:paraId="59593813">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8.中小企业声明函或残疾人福利性单位声明函或属于监狱企业的证明文件；（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48CEDDA">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9.</w:t>
            </w:r>
            <w:r>
              <w:rPr>
                <w:rFonts w:hint="eastAsia" w:ascii="宋体" w:hAnsi="宋体" w:cs="宋体"/>
                <w:color w:val="auto"/>
                <w:szCs w:val="21"/>
                <w:highlight w:val="none"/>
                <w:lang w:val="en-US" w:eastAsia="zh-CN"/>
              </w:rPr>
              <w:t>资格证书：</w:t>
            </w:r>
            <w:r>
              <w:rPr>
                <w:rFonts w:hint="default" w:ascii="Calibri" w:hAnsi="Calibri" w:cs="Calibri"/>
                <w:color w:val="auto"/>
                <w:szCs w:val="21"/>
                <w:highlight w:val="none"/>
                <w:lang w:val="en-US" w:eastAsia="zh-CN"/>
              </w:rPr>
              <w:t>①</w:t>
            </w:r>
            <w:r>
              <w:rPr>
                <w:rFonts w:hint="eastAsia" w:ascii="Calibri" w:hAnsi="Calibri" w:cs="Calibri"/>
                <w:color w:val="auto"/>
                <w:szCs w:val="21"/>
                <w:highlight w:val="none"/>
                <w:lang w:val="en-US" w:eastAsia="zh-CN"/>
              </w:rPr>
              <w:t>供应商</w:t>
            </w:r>
            <w:r>
              <w:rPr>
                <w:rFonts w:hint="eastAsia" w:ascii="宋体" w:hAnsi="宋体" w:cs="宋体"/>
                <w:color w:val="auto"/>
                <w:szCs w:val="21"/>
                <w:highlight w:val="none"/>
                <w:lang w:val="en-US" w:eastAsia="zh-CN"/>
              </w:rPr>
              <w:t>具备有效的市政公用工程总承包三级(含)或水利水电工程施工总承包三级(含)以上资质证书，</w:t>
            </w:r>
            <w:r>
              <w:rPr>
                <w:rFonts w:hint="eastAsia" w:ascii="Calibri" w:hAnsi="Calibri" w:cs="Calibri"/>
                <w:color w:val="auto"/>
                <w:szCs w:val="21"/>
                <w:highlight w:val="none"/>
                <w:lang w:val="en-US" w:eastAsia="zh-CN"/>
              </w:rPr>
              <w:t>同时持有</w:t>
            </w:r>
            <w:r>
              <w:rPr>
                <w:rFonts w:hint="eastAsia" w:ascii="宋体" w:hAnsi="宋体" w:cs="宋体"/>
                <w:color w:val="auto"/>
                <w:szCs w:val="21"/>
                <w:highlight w:val="none"/>
                <w:lang w:val="en-US" w:eastAsia="zh-CN"/>
              </w:rPr>
              <w:t>省级及以上建设行政主管部门颁发的安全生产许可证；</w:t>
            </w:r>
            <w:r>
              <w:rPr>
                <w:rFonts w:hint="default" w:ascii="Calibri" w:hAnsi="Calibri" w:cs="Calibri"/>
                <w:color w:val="auto"/>
                <w:szCs w:val="21"/>
                <w:highlight w:val="none"/>
                <w:lang w:val="en-US" w:eastAsia="zh-CN"/>
              </w:rPr>
              <w:t>②拟投入本工程的项目经理须持有二级或二级以上建造师注册证书，专业是</w:t>
            </w:r>
            <w:r>
              <w:rPr>
                <w:rFonts w:hint="eastAsia" w:ascii="宋体" w:hAnsi="宋体" w:cs="宋体"/>
                <w:color w:val="auto"/>
                <w:szCs w:val="21"/>
                <w:highlight w:val="none"/>
                <w:lang w:val="en-US" w:eastAsia="zh-CN"/>
              </w:rPr>
              <w:t>市政工程或</w:t>
            </w:r>
            <w:r>
              <w:rPr>
                <w:rFonts w:hint="eastAsia" w:ascii="宋体" w:hAnsi="宋体" w:cs="宋体"/>
                <w:color w:val="auto"/>
                <w:szCs w:val="21"/>
                <w:highlight w:val="none"/>
              </w:rPr>
              <w:t>水利水电工程类</w:t>
            </w:r>
            <w:r>
              <w:rPr>
                <w:rFonts w:hint="default" w:ascii="Calibri" w:hAnsi="Calibri" w:cs="Calibri"/>
                <w:color w:val="auto"/>
                <w:szCs w:val="21"/>
                <w:highlight w:val="none"/>
                <w:lang w:val="en-US" w:eastAsia="zh-CN"/>
              </w:rPr>
              <w:t>专业（以建造师注册证书中“专业 类别”栏所填写的专业为准），同时持有省级或省级以上建设行政主管部门颁发的安全生产考核合格证书（B类）</w:t>
            </w:r>
            <w:r>
              <w:rPr>
                <w:rFonts w:hint="eastAsia" w:ascii="宋体" w:hAnsi="宋体" w:cs="宋体"/>
                <w:color w:val="auto"/>
                <w:szCs w:val="21"/>
                <w:highlight w:val="none"/>
                <w:lang w:eastAsia="zh-CN"/>
              </w:rPr>
              <w:t>；</w:t>
            </w:r>
            <w:r>
              <w:rPr>
                <w:rFonts w:hint="default" w:ascii="Calibri" w:hAnsi="Calibri" w:cs="Calibri"/>
                <w:color w:val="auto"/>
                <w:szCs w:val="21"/>
                <w:highlight w:val="none"/>
                <w:lang w:eastAsia="zh-CN"/>
              </w:rPr>
              <w:t>③</w:t>
            </w:r>
            <w:r>
              <w:rPr>
                <w:rFonts w:hint="default" w:ascii="Calibri" w:hAnsi="Calibri" w:cs="Calibri"/>
                <w:color w:val="auto"/>
                <w:szCs w:val="21"/>
                <w:highlight w:val="none"/>
                <w:lang w:val="en-US" w:eastAsia="zh-CN"/>
              </w:rPr>
              <w:t>拟投入本工程的安全员应持有省级或省级以上建设行政主管部门颁发的安全生产考核合格证书（C类）。</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62069A0">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10、除磋商文件规定必须提供以外，供应商认为需要提供的其他证明材料；</w:t>
            </w:r>
          </w:p>
          <w:p w14:paraId="307B5D33">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注：</w:t>
            </w:r>
          </w:p>
          <w:p w14:paraId="7C53C19E">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1.以上标明“必须提供”的材料属于复印件的扫描件的，必须加盖供应商电子公章，否则响应文件按无效响应处理。</w:t>
            </w:r>
          </w:p>
          <w:p w14:paraId="73ED04D5">
            <w:pPr>
              <w:pStyle w:val="1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2.联合体竞标时，第1-5项资格证明文件联合体各方均必须分别提供，联合体各方分别盖章和签字，否则响应文件按无效响应处理。</w:t>
            </w:r>
          </w:p>
        </w:tc>
      </w:tr>
      <w:tr w14:paraId="14372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14:paraId="1EEFD0B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2785" w:type="dxa"/>
            <w:tcBorders>
              <w:top w:val="single" w:color="000000" w:sz="4" w:space="0"/>
              <w:left w:val="single" w:color="000000" w:sz="4" w:space="0"/>
              <w:bottom w:val="single" w:color="000000" w:sz="4" w:space="0"/>
              <w:right w:val="single" w:color="000000" w:sz="4" w:space="0"/>
            </w:tcBorders>
            <w:vAlign w:val="center"/>
          </w:tcPr>
          <w:p w14:paraId="5312AF17">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商务文件组成</w:t>
            </w:r>
          </w:p>
        </w:tc>
        <w:tc>
          <w:tcPr>
            <w:tcW w:w="6850" w:type="dxa"/>
            <w:tcBorders>
              <w:top w:val="single" w:color="000000" w:sz="4" w:space="0"/>
              <w:left w:val="single" w:color="000000" w:sz="4" w:space="0"/>
              <w:bottom w:val="single" w:color="000000" w:sz="4" w:space="0"/>
              <w:right w:val="single" w:color="000000" w:sz="4" w:space="0"/>
            </w:tcBorders>
            <w:vAlign w:val="center"/>
          </w:tcPr>
          <w:p w14:paraId="72CFB882">
            <w:pPr>
              <w:spacing w:line="360" w:lineRule="auto"/>
              <w:rPr>
                <w:rFonts w:ascii="宋体" w:hAnsi="宋体" w:cs="宋体"/>
                <w:color w:val="auto"/>
                <w:szCs w:val="21"/>
                <w:highlight w:val="none"/>
              </w:rPr>
            </w:pPr>
            <w:r>
              <w:rPr>
                <w:rFonts w:hint="eastAsia" w:ascii="宋体" w:hAnsi="宋体" w:cs="宋体"/>
                <w:color w:val="auto"/>
                <w:szCs w:val="21"/>
                <w:highlight w:val="none"/>
              </w:rPr>
              <w:t>1.无串通竞标行为的承诺函；（</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7E7D69B">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2.法定代表人身份证明书及法定代表人有效身份证正反面复印件；（</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2752C4B">
            <w:pPr>
              <w:spacing w:line="360" w:lineRule="auto"/>
              <w:rPr>
                <w:rFonts w:ascii="宋体" w:hAnsi="宋体" w:cs="宋体"/>
                <w:b/>
                <w:color w:val="auto"/>
                <w:szCs w:val="21"/>
                <w:highlight w:val="none"/>
              </w:rPr>
            </w:pPr>
            <w:r>
              <w:rPr>
                <w:rFonts w:hint="eastAsia" w:ascii="宋体" w:hAnsi="宋体" w:cs="宋体"/>
                <w:color w:val="auto"/>
                <w:szCs w:val="21"/>
                <w:highlight w:val="none"/>
              </w:rPr>
              <w:t>3.法定代表人授权委托书及委托代理人有效身份证正反面复印件；（</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14:paraId="2CABA76C">
            <w:pPr>
              <w:spacing w:line="360" w:lineRule="auto"/>
              <w:rPr>
                <w:rFonts w:ascii="宋体" w:hAnsi="宋体" w:cs="宋体"/>
                <w:color w:val="auto"/>
                <w:szCs w:val="21"/>
                <w:highlight w:val="none"/>
              </w:rPr>
            </w:pPr>
            <w:r>
              <w:rPr>
                <w:rFonts w:hint="eastAsia" w:ascii="宋体" w:hAnsi="宋体" w:cs="宋体"/>
                <w:color w:val="auto"/>
                <w:szCs w:val="21"/>
                <w:highlight w:val="none"/>
              </w:rPr>
              <w:t>4.商务条款偏离表；（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C1D89C7">
            <w:pPr>
              <w:spacing w:line="360" w:lineRule="auto"/>
              <w:rPr>
                <w:rFonts w:ascii="宋体" w:hAnsi="宋体" w:cs="宋体"/>
                <w:color w:val="auto"/>
                <w:szCs w:val="21"/>
                <w:highlight w:val="none"/>
              </w:rPr>
            </w:pPr>
            <w:r>
              <w:rPr>
                <w:rFonts w:hint="eastAsia" w:ascii="宋体" w:hAnsi="宋体" w:cs="宋体"/>
                <w:color w:val="auto"/>
                <w:szCs w:val="21"/>
                <w:highlight w:val="none"/>
              </w:rPr>
              <w:t>5.竞标人情况介绍；</w:t>
            </w:r>
          </w:p>
          <w:p w14:paraId="109B6952">
            <w:pPr>
              <w:spacing w:line="360" w:lineRule="auto"/>
              <w:rPr>
                <w:rFonts w:ascii="宋体" w:hAnsi="宋体" w:cs="宋体"/>
                <w:color w:val="auto"/>
                <w:szCs w:val="21"/>
                <w:highlight w:val="none"/>
              </w:rPr>
            </w:pPr>
            <w:r>
              <w:rPr>
                <w:rFonts w:hint="eastAsia" w:ascii="宋体" w:hAnsi="宋体" w:cs="宋体"/>
                <w:color w:val="auto"/>
                <w:szCs w:val="21"/>
                <w:highlight w:val="none"/>
              </w:rPr>
              <w:t>6.供应商认为需要提供的其他有关资料。</w:t>
            </w:r>
          </w:p>
          <w:p w14:paraId="3DB65999">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 xml:space="preserve">注： </w:t>
            </w:r>
          </w:p>
          <w:p w14:paraId="669E61FC">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1.法定代表人授权委托书必须由法定代表人及委托代理人签字，并加盖供应商公章，否则响应文件按无效响应处理。</w:t>
            </w:r>
          </w:p>
          <w:p w14:paraId="2DEDF9E9">
            <w:p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2.以上标明“必须提供”的材料属于复印件的扫描件的，必须加盖供应商电子公章，否则响应文件按无效响应处理。</w:t>
            </w:r>
          </w:p>
        </w:tc>
      </w:tr>
      <w:tr w14:paraId="6636A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224BC9E9">
            <w:pPr>
              <w:widowControl/>
              <w:jc w:val="left"/>
              <w:rPr>
                <w:rFonts w:ascii="宋体" w:hAnsi="宋体" w:cs="宋体"/>
                <w:color w:val="auto"/>
                <w:szCs w:val="21"/>
                <w:highlight w:val="none"/>
              </w:rPr>
            </w:pPr>
          </w:p>
        </w:tc>
        <w:tc>
          <w:tcPr>
            <w:tcW w:w="2785" w:type="dxa"/>
            <w:tcBorders>
              <w:top w:val="single" w:color="000000" w:sz="4" w:space="0"/>
              <w:left w:val="single" w:color="000000" w:sz="4" w:space="0"/>
              <w:bottom w:val="single" w:color="000000" w:sz="4" w:space="0"/>
              <w:right w:val="single" w:color="000000" w:sz="4" w:space="0"/>
            </w:tcBorders>
            <w:vAlign w:val="center"/>
          </w:tcPr>
          <w:p w14:paraId="0819989B">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技术文件组成</w:t>
            </w:r>
          </w:p>
        </w:tc>
        <w:tc>
          <w:tcPr>
            <w:tcW w:w="6850" w:type="dxa"/>
            <w:tcBorders>
              <w:top w:val="single" w:color="000000" w:sz="4" w:space="0"/>
              <w:left w:val="single" w:color="000000" w:sz="4" w:space="0"/>
              <w:bottom w:val="single" w:color="000000" w:sz="4" w:space="0"/>
              <w:right w:val="single" w:color="000000" w:sz="4" w:space="0"/>
            </w:tcBorders>
            <w:vAlign w:val="center"/>
          </w:tcPr>
          <w:p w14:paraId="1AA6D87A">
            <w:pPr>
              <w:spacing w:line="360" w:lineRule="auto"/>
              <w:rPr>
                <w:rFonts w:ascii="宋体" w:hAnsi="宋体" w:cs="宋体"/>
                <w:color w:val="auto"/>
                <w:szCs w:val="21"/>
                <w:highlight w:val="none"/>
              </w:rPr>
            </w:pPr>
            <w:r>
              <w:rPr>
                <w:rFonts w:hint="eastAsia" w:ascii="宋体" w:hAnsi="宋体" w:cs="宋体"/>
                <w:color w:val="auto"/>
                <w:szCs w:val="21"/>
                <w:highlight w:val="none"/>
              </w:rPr>
              <w:t>1.服务需求偏离表；（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5773ECF">
            <w:pPr>
              <w:spacing w:line="360" w:lineRule="auto"/>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施工组织设计</w:t>
            </w:r>
            <w:r>
              <w:rPr>
                <w:rFonts w:hint="eastAsia" w:ascii="宋体" w:hAnsi="宋体" w:cs="宋体"/>
                <w:color w:val="auto"/>
                <w:szCs w:val="21"/>
                <w:highlight w:val="none"/>
              </w:rPr>
              <w:t>；</w:t>
            </w:r>
          </w:p>
          <w:p w14:paraId="49DE87EC">
            <w:pPr>
              <w:spacing w:line="360" w:lineRule="auto"/>
              <w:rPr>
                <w:rFonts w:ascii="宋体" w:hAnsi="宋体" w:cs="宋体"/>
                <w:color w:val="auto"/>
                <w:szCs w:val="21"/>
                <w:highlight w:val="none"/>
              </w:rPr>
            </w:pPr>
            <w:r>
              <w:rPr>
                <w:rFonts w:hint="eastAsia" w:ascii="宋体" w:hAnsi="宋体" w:cs="宋体"/>
                <w:color w:val="auto"/>
                <w:szCs w:val="21"/>
                <w:highlight w:val="none"/>
              </w:rPr>
              <w:t>5.售后服务承诺；（</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EE1D01A">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4.项目实施人员一览表； </w:t>
            </w:r>
          </w:p>
          <w:p w14:paraId="1414CB81">
            <w:pPr>
              <w:spacing w:line="360" w:lineRule="auto"/>
              <w:rPr>
                <w:rFonts w:ascii="宋体" w:hAnsi="宋体" w:cs="宋体"/>
                <w:color w:val="auto"/>
                <w:szCs w:val="21"/>
                <w:highlight w:val="none"/>
              </w:rPr>
            </w:pPr>
            <w:r>
              <w:rPr>
                <w:rFonts w:hint="eastAsia" w:ascii="宋体" w:hAnsi="宋体" w:cs="宋体"/>
                <w:color w:val="auto"/>
                <w:szCs w:val="21"/>
                <w:highlight w:val="none"/>
              </w:rPr>
              <w:t>5.对应采购需求的服务需求、商务条款提供的其他文件资料；</w:t>
            </w:r>
          </w:p>
          <w:p w14:paraId="2ADB8EC6">
            <w:pPr>
              <w:spacing w:line="360" w:lineRule="auto"/>
              <w:rPr>
                <w:rFonts w:ascii="宋体" w:hAnsi="宋体" w:cs="宋体"/>
                <w:color w:val="auto"/>
                <w:szCs w:val="21"/>
                <w:highlight w:val="none"/>
              </w:rPr>
            </w:pPr>
            <w:r>
              <w:rPr>
                <w:rFonts w:hint="eastAsia" w:ascii="宋体" w:hAnsi="宋体" w:cs="宋体"/>
                <w:color w:val="auto"/>
                <w:szCs w:val="21"/>
                <w:highlight w:val="none"/>
              </w:rPr>
              <w:t>6.供应商认为需要提供的其他有关资料。</w:t>
            </w:r>
          </w:p>
          <w:p w14:paraId="5057BA03">
            <w:pPr>
              <w:spacing w:line="360" w:lineRule="auto"/>
              <w:rPr>
                <w:rFonts w:ascii="宋体" w:hAnsi="宋体" w:cs="宋体"/>
                <w:color w:val="auto"/>
                <w:szCs w:val="21"/>
                <w:highlight w:val="none"/>
              </w:rPr>
            </w:pPr>
            <w:r>
              <w:rPr>
                <w:rFonts w:hint="eastAsia" w:ascii="宋体" w:hAnsi="宋体" w:cs="宋体"/>
                <w:b/>
                <w:color w:val="auto"/>
                <w:szCs w:val="21"/>
                <w:highlight w:val="none"/>
              </w:rPr>
              <w:t>注：1.以上标明“必须提供”的材料属于复印件的扫描件的，必须加盖供应商电子公章，否则响应文件按无效响应处理。</w:t>
            </w:r>
          </w:p>
        </w:tc>
      </w:tr>
      <w:tr w14:paraId="3607B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1A6E47F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2785" w:type="dxa"/>
            <w:tcBorders>
              <w:top w:val="single" w:color="000000" w:sz="4" w:space="0"/>
              <w:left w:val="single" w:color="000000" w:sz="4" w:space="0"/>
              <w:bottom w:val="single" w:color="000000" w:sz="4" w:space="0"/>
              <w:right w:val="single" w:color="000000" w:sz="4" w:space="0"/>
            </w:tcBorders>
            <w:vAlign w:val="center"/>
          </w:tcPr>
          <w:p w14:paraId="513B9D0E">
            <w:pPr>
              <w:spacing w:line="360" w:lineRule="auto"/>
              <w:jc w:val="center"/>
              <w:rPr>
                <w:rFonts w:ascii="宋体" w:hAnsi="宋体" w:cs="宋体"/>
                <w:color w:val="auto"/>
                <w:szCs w:val="21"/>
                <w:highlight w:val="none"/>
              </w:rPr>
            </w:pPr>
            <w:r>
              <w:rPr>
                <w:rFonts w:hint="eastAsia" w:ascii="宋体" w:hAnsi="宋体" w:cs="宋体"/>
                <w:b/>
                <w:bCs/>
                <w:color w:val="auto"/>
                <w:szCs w:val="21"/>
                <w:highlight w:val="none"/>
              </w:rPr>
              <w:t>报价文件组成</w:t>
            </w:r>
          </w:p>
        </w:tc>
        <w:tc>
          <w:tcPr>
            <w:tcW w:w="6850" w:type="dxa"/>
            <w:tcBorders>
              <w:top w:val="single" w:color="000000" w:sz="4" w:space="0"/>
              <w:left w:val="single" w:color="000000" w:sz="4" w:space="0"/>
              <w:bottom w:val="single" w:color="000000" w:sz="4" w:space="0"/>
              <w:right w:val="single" w:color="000000" w:sz="4" w:space="0"/>
            </w:tcBorders>
            <w:vAlign w:val="center"/>
          </w:tcPr>
          <w:p w14:paraId="27BA02EF">
            <w:pPr>
              <w:spacing w:line="360" w:lineRule="auto"/>
              <w:rPr>
                <w:rFonts w:ascii="宋体" w:hAnsi="宋体" w:cs="宋体"/>
                <w:color w:val="auto"/>
                <w:szCs w:val="21"/>
                <w:highlight w:val="none"/>
              </w:rPr>
            </w:pPr>
            <w:r>
              <w:rPr>
                <w:rFonts w:hint="eastAsia" w:ascii="宋体" w:hAnsi="宋体" w:cs="宋体"/>
                <w:color w:val="auto"/>
                <w:szCs w:val="21"/>
                <w:highlight w:val="none"/>
              </w:rPr>
              <w:t>1.响应函；</w:t>
            </w:r>
            <w:r>
              <w:rPr>
                <w:rFonts w:hint="eastAsia" w:ascii="宋体" w:hAnsi="宋体" w:cs="宋体"/>
                <w:b/>
                <w:bCs/>
                <w:color w:val="auto"/>
                <w:szCs w:val="21"/>
                <w:highlight w:val="none"/>
              </w:rPr>
              <w:t>（必须提供，否则作无效响应处理）</w:t>
            </w:r>
          </w:p>
          <w:p w14:paraId="0047E4B6">
            <w:pPr>
              <w:spacing w:line="360" w:lineRule="auto"/>
              <w:rPr>
                <w:rFonts w:hint="eastAsia" w:ascii="宋体" w:hAnsi="宋体" w:cs="宋体"/>
                <w:b/>
                <w:bCs/>
                <w:color w:val="auto"/>
                <w:szCs w:val="21"/>
                <w:highlight w:val="none"/>
              </w:rPr>
            </w:pPr>
            <w:r>
              <w:rPr>
                <w:rFonts w:hint="eastAsia" w:ascii="宋体" w:hAnsi="宋体" w:cs="宋体"/>
                <w:color w:val="auto"/>
                <w:szCs w:val="21"/>
                <w:highlight w:val="none"/>
              </w:rPr>
              <w:t>2.响应报价表；</w:t>
            </w:r>
            <w:r>
              <w:rPr>
                <w:rFonts w:hint="eastAsia" w:ascii="宋体" w:hAnsi="宋体" w:cs="宋体"/>
                <w:b/>
                <w:bCs/>
                <w:color w:val="auto"/>
                <w:szCs w:val="21"/>
                <w:highlight w:val="none"/>
              </w:rPr>
              <w:t>（必须提供，否则响应文件按无效响应处理）</w:t>
            </w:r>
          </w:p>
          <w:p w14:paraId="67E9D027">
            <w:pPr>
              <w:spacing w:line="360" w:lineRule="auto"/>
              <w:rPr>
                <w:rFonts w:hint="default" w:ascii="宋体" w:hAnsi="宋体" w:eastAsia="宋体" w:cs="宋体"/>
                <w:b/>
                <w:bCs/>
                <w:color w:val="auto"/>
                <w:szCs w:val="21"/>
                <w:highlight w:val="none"/>
                <w:lang w:val="en-US" w:eastAsia="zh-CN"/>
              </w:rPr>
            </w:pPr>
            <w:r>
              <w:rPr>
                <w:rFonts w:hint="eastAsia" w:ascii="宋体" w:hAnsi="宋体" w:cs="宋体"/>
                <w:b w:val="0"/>
                <w:bCs w:val="0"/>
                <w:color w:val="auto"/>
                <w:szCs w:val="21"/>
                <w:highlight w:val="none"/>
                <w:lang w:val="en-US" w:eastAsia="zh-CN"/>
              </w:rPr>
              <w:t>3.已标价工程量清单；</w:t>
            </w:r>
            <w:r>
              <w:rPr>
                <w:rFonts w:hint="eastAsia" w:ascii="宋体" w:hAnsi="宋体" w:cs="宋体"/>
                <w:b/>
                <w:bCs/>
                <w:color w:val="auto"/>
                <w:szCs w:val="21"/>
                <w:highlight w:val="none"/>
              </w:rPr>
              <w:t>（必须提供，否则响应文件按无效响应处理）</w:t>
            </w:r>
          </w:p>
        </w:tc>
      </w:tr>
      <w:tr w14:paraId="778F9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39B7A44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12.2</w:t>
            </w:r>
          </w:p>
        </w:tc>
        <w:tc>
          <w:tcPr>
            <w:tcW w:w="2785" w:type="dxa"/>
            <w:tcBorders>
              <w:top w:val="single" w:color="000000" w:sz="4" w:space="0"/>
              <w:left w:val="single" w:color="000000" w:sz="4" w:space="0"/>
              <w:bottom w:val="single" w:color="000000" w:sz="4" w:space="0"/>
              <w:right w:val="single" w:color="000000" w:sz="4" w:space="0"/>
            </w:tcBorders>
            <w:vAlign w:val="center"/>
          </w:tcPr>
          <w:p w14:paraId="31DB7D2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响应文件电子版要求</w:t>
            </w:r>
          </w:p>
        </w:tc>
        <w:tc>
          <w:tcPr>
            <w:tcW w:w="6850" w:type="dxa"/>
            <w:tcBorders>
              <w:top w:val="single" w:color="000000" w:sz="4" w:space="0"/>
              <w:left w:val="single" w:color="000000" w:sz="4" w:space="0"/>
              <w:bottom w:val="single" w:color="000000" w:sz="4" w:space="0"/>
              <w:right w:val="single" w:color="000000" w:sz="4" w:space="0"/>
            </w:tcBorders>
            <w:vAlign w:val="center"/>
          </w:tcPr>
          <w:p w14:paraId="23B890A5">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1.响应文件电子版要求：按照本采购文件“第五章 响应文件格式”编写（第五章未附格式的，由供应商自行拟定），不可涂改并在规定加盖公章处加盖电子公章，</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54B4E111">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2.响应文件电子版密封方式：电子响应文件通过平台有效CA加密后在“广西政府采购云平台”平台投送。（操作方式见公告附件“电子响应文件制作与投送教程”）</w:t>
            </w:r>
          </w:p>
        </w:tc>
      </w:tr>
      <w:tr w14:paraId="14175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22FFE9F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15.2</w:t>
            </w:r>
          </w:p>
        </w:tc>
        <w:tc>
          <w:tcPr>
            <w:tcW w:w="2785" w:type="dxa"/>
            <w:tcBorders>
              <w:top w:val="single" w:color="000000" w:sz="4" w:space="0"/>
              <w:left w:val="single" w:color="000000" w:sz="4" w:space="0"/>
              <w:bottom w:val="single" w:color="000000" w:sz="4" w:space="0"/>
              <w:right w:val="single" w:color="000000" w:sz="4" w:space="0"/>
            </w:tcBorders>
            <w:vAlign w:val="center"/>
          </w:tcPr>
          <w:p w14:paraId="250B541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响应报价要求</w:t>
            </w:r>
          </w:p>
        </w:tc>
        <w:tc>
          <w:tcPr>
            <w:tcW w:w="6850" w:type="dxa"/>
            <w:tcBorders>
              <w:top w:val="single" w:color="000000" w:sz="4" w:space="0"/>
              <w:left w:val="single" w:color="000000" w:sz="4" w:space="0"/>
              <w:bottom w:val="single" w:color="000000" w:sz="4" w:space="0"/>
              <w:right w:val="single" w:color="000000" w:sz="4" w:space="0"/>
            </w:tcBorders>
            <w:vAlign w:val="center"/>
          </w:tcPr>
          <w:p w14:paraId="7B3AB58B">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响应报价必须包含满足本次竞标全部采购需求所应提供的服务，以及伴随的货物和工程（如有）的价格；包含竞标服务、货物、工程的成本、运输（含保险）、安装（如有）、调试、检验、技术服务、培训、税费等所有费用。</w:t>
            </w:r>
            <w:r>
              <w:rPr>
                <w:rFonts w:hint="eastAsia" w:ascii="宋体" w:hAnsi="宋体" w:cs="宋体"/>
                <w:b/>
                <w:color w:val="auto"/>
                <w:szCs w:val="21"/>
                <w:highlight w:val="none"/>
              </w:rPr>
              <w:t>（采购需求另有约定的，从其约定。）</w:t>
            </w:r>
          </w:p>
        </w:tc>
      </w:tr>
      <w:tr w14:paraId="6BCE5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721F0B7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16.2</w:t>
            </w:r>
          </w:p>
        </w:tc>
        <w:tc>
          <w:tcPr>
            <w:tcW w:w="2785" w:type="dxa"/>
            <w:tcBorders>
              <w:top w:val="single" w:color="000000" w:sz="4" w:space="0"/>
              <w:left w:val="single" w:color="000000" w:sz="4" w:space="0"/>
              <w:bottom w:val="single" w:color="000000" w:sz="4" w:space="0"/>
              <w:right w:val="single" w:color="000000" w:sz="4" w:space="0"/>
            </w:tcBorders>
            <w:vAlign w:val="center"/>
          </w:tcPr>
          <w:p w14:paraId="35102BA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竞标有效期</w:t>
            </w:r>
          </w:p>
        </w:tc>
        <w:tc>
          <w:tcPr>
            <w:tcW w:w="6850" w:type="dxa"/>
            <w:tcBorders>
              <w:top w:val="single" w:color="000000" w:sz="4" w:space="0"/>
              <w:left w:val="single" w:color="000000" w:sz="4" w:space="0"/>
              <w:bottom w:val="single" w:color="000000" w:sz="4" w:space="0"/>
              <w:right w:val="single" w:color="000000" w:sz="4" w:space="0"/>
            </w:tcBorders>
            <w:vAlign w:val="center"/>
          </w:tcPr>
          <w:p w14:paraId="42A695F7">
            <w:pPr>
              <w:pStyle w:val="8"/>
              <w:numPr>
                <w:ilvl w:val="0"/>
                <w:numId w:val="0"/>
              </w:numPr>
              <w:tabs>
                <w:tab w:val="left" w:pos="720"/>
                <w:tab w:val="left" w:pos="840"/>
              </w:tabs>
              <w:snapToGrid w:val="0"/>
              <w:spacing w:after="120" w:line="360" w:lineRule="auto"/>
              <w:ind w:left="283" w:hanging="283" w:hangingChars="135"/>
              <w:rPr>
                <w:rFonts w:ascii="宋体" w:hAnsi="宋体" w:cs="宋体"/>
                <w:color w:val="auto"/>
                <w:szCs w:val="21"/>
                <w:highlight w:val="none"/>
              </w:rPr>
            </w:pPr>
            <w:r>
              <w:rPr>
                <w:rFonts w:hint="eastAsia" w:ascii="宋体" w:hAnsi="宋体" w:cs="宋体"/>
                <w:color w:val="auto"/>
                <w:szCs w:val="21"/>
                <w:highlight w:val="none"/>
              </w:rPr>
              <w:t>自首次响应文件提交截止之日起</w:t>
            </w:r>
            <w:r>
              <w:rPr>
                <w:rFonts w:hint="eastAsia" w:ascii="宋体" w:hAnsi="宋体" w:cs="宋体"/>
                <w:color w:val="auto"/>
                <w:szCs w:val="21"/>
                <w:highlight w:val="none"/>
                <w:u w:val="single"/>
              </w:rPr>
              <w:t>90</w:t>
            </w:r>
            <w:r>
              <w:rPr>
                <w:rFonts w:hint="eastAsia" w:ascii="宋体" w:hAnsi="宋体" w:cs="宋体"/>
                <w:color w:val="auto"/>
                <w:szCs w:val="21"/>
                <w:highlight w:val="none"/>
              </w:rPr>
              <w:t>日。</w:t>
            </w:r>
          </w:p>
        </w:tc>
      </w:tr>
      <w:tr w14:paraId="5F722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34F88FD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17.1</w:t>
            </w:r>
          </w:p>
        </w:tc>
        <w:tc>
          <w:tcPr>
            <w:tcW w:w="2785" w:type="dxa"/>
            <w:tcBorders>
              <w:top w:val="single" w:color="000000" w:sz="4" w:space="0"/>
              <w:left w:val="single" w:color="000000" w:sz="4" w:space="0"/>
              <w:bottom w:val="single" w:color="000000" w:sz="4" w:space="0"/>
              <w:right w:val="single" w:color="000000" w:sz="4" w:space="0"/>
            </w:tcBorders>
            <w:vAlign w:val="center"/>
          </w:tcPr>
          <w:p w14:paraId="404A2C4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磋商保证金</w:t>
            </w:r>
          </w:p>
        </w:tc>
        <w:tc>
          <w:tcPr>
            <w:tcW w:w="6850" w:type="dxa"/>
            <w:tcBorders>
              <w:top w:val="single" w:color="000000" w:sz="4" w:space="0"/>
              <w:left w:val="single" w:color="000000" w:sz="4" w:space="0"/>
              <w:bottom w:val="single" w:color="000000" w:sz="4" w:space="0"/>
              <w:right w:val="single" w:color="000000" w:sz="4" w:space="0"/>
            </w:tcBorders>
            <w:vAlign w:val="center"/>
          </w:tcPr>
          <w:p w14:paraId="4F3AEE8E">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本项目不收取磋商保证金。</w:t>
            </w:r>
          </w:p>
        </w:tc>
      </w:tr>
      <w:tr w14:paraId="66C38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14:paraId="5B40137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20.1</w:t>
            </w:r>
          </w:p>
        </w:tc>
        <w:tc>
          <w:tcPr>
            <w:tcW w:w="2785" w:type="dxa"/>
            <w:tcBorders>
              <w:top w:val="single" w:color="000000" w:sz="4" w:space="0"/>
              <w:left w:val="single" w:color="000000" w:sz="4" w:space="0"/>
              <w:bottom w:val="single" w:color="000000" w:sz="4" w:space="0"/>
              <w:right w:val="single" w:color="000000" w:sz="4" w:space="0"/>
            </w:tcBorders>
            <w:vAlign w:val="center"/>
          </w:tcPr>
          <w:p w14:paraId="3A4B0CD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首次响应文件提交起止时间</w:t>
            </w:r>
          </w:p>
        </w:tc>
        <w:tc>
          <w:tcPr>
            <w:tcW w:w="6850" w:type="dxa"/>
            <w:tcBorders>
              <w:top w:val="single" w:color="000000" w:sz="4" w:space="0"/>
              <w:left w:val="single" w:color="000000" w:sz="4" w:space="0"/>
              <w:bottom w:val="single" w:color="000000" w:sz="4" w:space="0"/>
              <w:right w:val="single" w:color="000000" w:sz="4" w:space="0"/>
            </w:tcBorders>
            <w:vAlign w:val="center"/>
          </w:tcPr>
          <w:p w14:paraId="6C8902EC">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详见竞争性磋商公告。</w:t>
            </w:r>
          </w:p>
        </w:tc>
      </w:tr>
      <w:tr w14:paraId="057A4A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11290B17">
            <w:pPr>
              <w:widowControl/>
              <w:jc w:val="left"/>
              <w:rPr>
                <w:rFonts w:ascii="宋体" w:hAnsi="宋体" w:cs="宋体"/>
                <w:color w:val="auto"/>
                <w:szCs w:val="21"/>
                <w:highlight w:val="none"/>
              </w:rPr>
            </w:pPr>
          </w:p>
        </w:tc>
        <w:tc>
          <w:tcPr>
            <w:tcW w:w="2785" w:type="dxa"/>
            <w:tcBorders>
              <w:top w:val="single" w:color="000000" w:sz="4" w:space="0"/>
              <w:left w:val="single" w:color="000000" w:sz="4" w:space="0"/>
              <w:bottom w:val="single" w:color="000000" w:sz="4" w:space="0"/>
              <w:right w:val="single" w:color="000000" w:sz="4" w:space="0"/>
            </w:tcBorders>
            <w:vAlign w:val="center"/>
          </w:tcPr>
          <w:p w14:paraId="469C4D2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首次响应文件提交地点</w:t>
            </w:r>
          </w:p>
        </w:tc>
        <w:tc>
          <w:tcPr>
            <w:tcW w:w="6850" w:type="dxa"/>
            <w:tcBorders>
              <w:top w:val="single" w:color="000000" w:sz="4" w:space="0"/>
              <w:left w:val="single" w:color="000000" w:sz="4" w:space="0"/>
              <w:bottom w:val="single" w:color="000000" w:sz="4" w:space="0"/>
              <w:right w:val="single" w:color="000000" w:sz="4" w:space="0"/>
            </w:tcBorders>
            <w:vAlign w:val="center"/>
          </w:tcPr>
          <w:p w14:paraId="43D73B23">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详见竞争性磋商公告。</w:t>
            </w:r>
          </w:p>
        </w:tc>
      </w:tr>
      <w:tr w14:paraId="233B7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7DEFA8E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20.6</w:t>
            </w:r>
          </w:p>
        </w:tc>
        <w:tc>
          <w:tcPr>
            <w:tcW w:w="2785" w:type="dxa"/>
            <w:tcBorders>
              <w:top w:val="single" w:color="000000" w:sz="4" w:space="0"/>
              <w:left w:val="single" w:color="000000" w:sz="4" w:space="0"/>
              <w:bottom w:val="single" w:color="000000" w:sz="4" w:space="0"/>
              <w:right w:val="single" w:color="000000" w:sz="4" w:space="0"/>
            </w:tcBorders>
            <w:vAlign w:val="center"/>
          </w:tcPr>
          <w:p w14:paraId="607399E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备份响应文件</w:t>
            </w:r>
          </w:p>
        </w:tc>
        <w:tc>
          <w:tcPr>
            <w:tcW w:w="6850" w:type="dxa"/>
            <w:tcBorders>
              <w:top w:val="single" w:color="000000" w:sz="4" w:space="0"/>
              <w:left w:val="single" w:color="000000" w:sz="4" w:space="0"/>
              <w:bottom w:val="single" w:color="000000" w:sz="4" w:space="0"/>
              <w:right w:val="single" w:color="000000" w:sz="4" w:space="0"/>
            </w:tcBorders>
            <w:vAlign w:val="center"/>
          </w:tcPr>
          <w:p w14:paraId="7F830D28">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本项目不接受备份响应文件。</w:t>
            </w:r>
          </w:p>
        </w:tc>
      </w:tr>
      <w:tr w14:paraId="3E85E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6A57F51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21</w:t>
            </w:r>
          </w:p>
        </w:tc>
        <w:tc>
          <w:tcPr>
            <w:tcW w:w="2785" w:type="dxa"/>
            <w:tcBorders>
              <w:top w:val="single" w:color="000000" w:sz="4" w:space="0"/>
              <w:left w:val="single" w:color="000000" w:sz="4" w:space="0"/>
              <w:bottom w:val="single" w:color="000000" w:sz="4" w:space="0"/>
              <w:right w:val="single" w:color="000000" w:sz="4" w:space="0"/>
            </w:tcBorders>
            <w:vAlign w:val="center"/>
          </w:tcPr>
          <w:p w14:paraId="69763E4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首次响应文件的退回</w:t>
            </w:r>
          </w:p>
        </w:tc>
        <w:tc>
          <w:tcPr>
            <w:tcW w:w="6850" w:type="dxa"/>
            <w:tcBorders>
              <w:top w:val="single" w:color="000000" w:sz="4" w:space="0"/>
              <w:left w:val="single" w:color="000000" w:sz="4" w:space="0"/>
              <w:bottom w:val="single" w:color="000000" w:sz="4" w:space="0"/>
              <w:right w:val="single" w:color="000000" w:sz="4" w:space="0"/>
            </w:tcBorders>
            <w:vAlign w:val="center"/>
          </w:tcPr>
          <w:p w14:paraId="1B5BC976">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详见竞争性磋商公告。</w:t>
            </w:r>
          </w:p>
        </w:tc>
      </w:tr>
      <w:tr w14:paraId="3BB88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14:paraId="2C2BB8D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26.2</w:t>
            </w:r>
          </w:p>
        </w:tc>
        <w:tc>
          <w:tcPr>
            <w:tcW w:w="2785" w:type="dxa"/>
            <w:tcBorders>
              <w:top w:val="single" w:color="000000" w:sz="4" w:space="0"/>
              <w:left w:val="single" w:color="000000" w:sz="4" w:space="0"/>
              <w:bottom w:val="single" w:color="000000" w:sz="4" w:space="0"/>
              <w:right w:val="single" w:color="000000" w:sz="4" w:space="0"/>
            </w:tcBorders>
            <w:vAlign w:val="center"/>
          </w:tcPr>
          <w:p w14:paraId="5DEFCDF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负偏离要求</w:t>
            </w:r>
          </w:p>
        </w:tc>
        <w:tc>
          <w:tcPr>
            <w:tcW w:w="6850" w:type="dxa"/>
            <w:tcBorders>
              <w:top w:val="single" w:color="000000" w:sz="4" w:space="0"/>
              <w:left w:val="single" w:color="000000" w:sz="4" w:space="0"/>
              <w:bottom w:val="single" w:color="000000" w:sz="4" w:space="0"/>
              <w:right w:val="single" w:color="000000" w:sz="4" w:space="0"/>
            </w:tcBorders>
            <w:vAlign w:val="center"/>
          </w:tcPr>
          <w:p w14:paraId="3EA7C0DE">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14:paraId="40F45BC4">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服务需求评审中允许负偏离的条款数为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tc>
      </w:tr>
      <w:tr w14:paraId="0224A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5B75B1A9">
            <w:pPr>
              <w:widowControl/>
              <w:jc w:val="left"/>
              <w:rPr>
                <w:rFonts w:ascii="宋体" w:hAnsi="宋体" w:cs="宋体"/>
                <w:color w:val="auto"/>
                <w:szCs w:val="21"/>
                <w:highlight w:val="none"/>
              </w:rPr>
            </w:pPr>
          </w:p>
        </w:tc>
        <w:tc>
          <w:tcPr>
            <w:tcW w:w="2785" w:type="dxa"/>
            <w:tcBorders>
              <w:top w:val="single" w:color="000000" w:sz="4" w:space="0"/>
              <w:left w:val="single" w:color="000000" w:sz="4" w:space="0"/>
              <w:bottom w:val="single" w:color="000000" w:sz="4" w:space="0"/>
              <w:right w:val="single" w:color="000000" w:sz="4" w:space="0"/>
            </w:tcBorders>
            <w:vAlign w:val="center"/>
          </w:tcPr>
          <w:p w14:paraId="1F1C2922">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磋商的顺序</w:t>
            </w:r>
          </w:p>
          <w:p w14:paraId="5A30F9EC">
            <w:pPr>
              <w:spacing w:line="360" w:lineRule="auto"/>
              <w:jc w:val="center"/>
              <w:rPr>
                <w:rFonts w:ascii="宋体" w:hAnsi="宋体" w:cs="宋体"/>
                <w:color w:val="auto"/>
                <w:szCs w:val="21"/>
                <w:highlight w:val="none"/>
              </w:rPr>
            </w:pPr>
          </w:p>
        </w:tc>
        <w:tc>
          <w:tcPr>
            <w:tcW w:w="6850" w:type="dxa"/>
            <w:tcBorders>
              <w:top w:val="single" w:color="000000" w:sz="4" w:space="0"/>
              <w:left w:val="single" w:color="000000" w:sz="4" w:space="0"/>
              <w:bottom w:val="single" w:color="000000" w:sz="4" w:space="0"/>
              <w:right w:val="single" w:color="000000" w:sz="4" w:space="0"/>
            </w:tcBorders>
            <w:vAlign w:val="center"/>
          </w:tcPr>
          <w:p w14:paraId="27AE05E4">
            <w:pPr>
              <w:pStyle w:val="10"/>
              <w:spacing w:line="360" w:lineRule="auto"/>
              <w:rPr>
                <w:rFonts w:ascii="宋体" w:hAnsi="宋体" w:cs="宋体"/>
                <w:color w:val="auto"/>
                <w:szCs w:val="21"/>
                <w:highlight w:val="none"/>
              </w:rPr>
            </w:pPr>
            <w:r>
              <w:rPr>
                <w:rFonts w:hint="eastAsia" w:ascii="宋体" w:hAnsi="宋体" w:cs="宋体"/>
                <w:color w:val="auto"/>
                <w:szCs w:val="21"/>
                <w:highlight w:val="none"/>
              </w:rPr>
              <w:t>☑按照提交首次响应文件的顺序，通知磋商时，若某供应商不在通知现场时，该供应商排序到最后磋商，按照签到的顺序由其下一位供应商先参与磋商。</w:t>
            </w:r>
          </w:p>
          <w:p w14:paraId="6D630E0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□随机排序。</w:t>
            </w:r>
          </w:p>
          <w:p w14:paraId="454E0E7D">
            <w:pPr>
              <w:pStyle w:val="10"/>
              <w:spacing w:line="360" w:lineRule="auto"/>
              <w:rPr>
                <w:rFonts w:ascii="宋体" w:hAnsi="宋体" w:cs="宋体"/>
                <w:b/>
                <w:color w:val="auto"/>
                <w:szCs w:val="21"/>
                <w:highlight w:val="none"/>
              </w:rPr>
            </w:pPr>
            <w:r>
              <w:rPr>
                <w:rFonts w:hint="eastAsia" w:ascii="宋体" w:hAnsi="宋体" w:cs="宋体"/>
                <w:b/>
                <w:color w:val="auto"/>
                <w:szCs w:val="21"/>
                <w:highlight w:val="none"/>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3050B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4AE5516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28</w:t>
            </w:r>
          </w:p>
        </w:tc>
        <w:tc>
          <w:tcPr>
            <w:tcW w:w="2785" w:type="dxa"/>
            <w:tcBorders>
              <w:top w:val="single" w:color="000000" w:sz="4" w:space="0"/>
              <w:left w:val="single" w:color="000000" w:sz="4" w:space="0"/>
              <w:bottom w:val="single" w:color="000000" w:sz="4" w:space="0"/>
              <w:right w:val="single" w:color="000000" w:sz="4" w:space="0"/>
            </w:tcBorders>
            <w:vAlign w:val="center"/>
          </w:tcPr>
          <w:p w14:paraId="4A5708D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6850" w:type="dxa"/>
            <w:tcBorders>
              <w:top w:val="single" w:color="000000" w:sz="4" w:space="0"/>
              <w:left w:val="single" w:color="000000" w:sz="4" w:space="0"/>
              <w:bottom w:val="single" w:color="000000" w:sz="4" w:space="0"/>
              <w:right w:val="single" w:color="000000" w:sz="4" w:space="0"/>
            </w:tcBorders>
            <w:vAlign w:val="center"/>
          </w:tcPr>
          <w:p w14:paraId="49D2004B">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本项目不收取履约保证金 </w:t>
            </w:r>
          </w:p>
        </w:tc>
      </w:tr>
      <w:tr w14:paraId="02E13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1FDEEB5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29.5</w:t>
            </w:r>
          </w:p>
        </w:tc>
        <w:tc>
          <w:tcPr>
            <w:tcW w:w="2785" w:type="dxa"/>
            <w:tcBorders>
              <w:top w:val="single" w:color="000000" w:sz="4" w:space="0"/>
              <w:left w:val="single" w:color="000000" w:sz="4" w:space="0"/>
              <w:bottom w:val="single" w:color="000000" w:sz="4" w:space="0"/>
              <w:right w:val="single" w:color="000000" w:sz="4" w:space="0"/>
            </w:tcBorders>
            <w:vAlign w:val="center"/>
          </w:tcPr>
          <w:p w14:paraId="741D25C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签订合同携带的材料</w:t>
            </w:r>
          </w:p>
        </w:tc>
        <w:tc>
          <w:tcPr>
            <w:tcW w:w="6850" w:type="dxa"/>
            <w:tcBorders>
              <w:top w:val="single" w:color="000000" w:sz="4" w:space="0"/>
              <w:left w:val="single" w:color="000000" w:sz="4" w:space="0"/>
              <w:bottom w:val="single" w:color="000000" w:sz="4" w:space="0"/>
              <w:right w:val="single" w:color="000000" w:sz="4" w:space="0"/>
            </w:tcBorders>
            <w:vAlign w:val="center"/>
          </w:tcPr>
          <w:p w14:paraId="1DFD8BE3">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使用的有效CA证书加盖单位电子公章</w:t>
            </w:r>
          </w:p>
        </w:tc>
      </w:tr>
      <w:tr w14:paraId="11400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14:paraId="6C653CF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31.2</w:t>
            </w:r>
          </w:p>
        </w:tc>
        <w:tc>
          <w:tcPr>
            <w:tcW w:w="2785" w:type="dxa"/>
            <w:tcBorders>
              <w:top w:val="single" w:color="000000" w:sz="4" w:space="0"/>
              <w:left w:val="single" w:color="000000" w:sz="4" w:space="0"/>
              <w:bottom w:val="single" w:color="000000" w:sz="4" w:space="0"/>
              <w:right w:val="single" w:color="000000" w:sz="4" w:space="0"/>
            </w:tcBorders>
            <w:vAlign w:val="center"/>
          </w:tcPr>
          <w:p w14:paraId="0FA2E88D">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接收质疑函方式</w:t>
            </w:r>
          </w:p>
        </w:tc>
        <w:tc>
          <w:tcPr>
            <w:tcW w:w="6850" w:type="dxa"/>
            <w:tcBorders>
              <w:top w:val="single" w:color="000000" w:sz="4" w:space="0"/>
              <w:left w:val="single" w:color="000000" w:sz="4" w:space="0"/>
              <w:bottom w:val="single" w:color="000000" w:sz="4" w:space="0"/>
              <w:right w:val="single" w:color="000000" w:sz="4" w:space="0"/>
            </w:tcBorders>
            <w:vAlign w:val="center"/>
          </w:tcPr>
          <w:p w14:paraId="71FF9D20">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以书面形式</w:t>
            </w:r>
          </w:p>
        </w:tc>
      </w:tr>
      <w:tr w14:paraId="7628D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05A3C467">
            <w:pPr>
              <w:widowControl/>
              <w:jc w:val="left"/>
              <w:rPr>
                <w:rFonts w:ascii="宋体" w:hAnsi="宋体" w:cs="宋体"/>
                <w:color w:val="auto"/>
                <w:szCs w:val="21"/>
                <w:highlight w:val="none"/>
              </w:rPr>
            </w:pPr>
          </w:p>
        </w:tc>
        <w:tc>
          <w:tcPr>
            <w:tcW w:w="2785" w:type="dxa"/>
            <w:tcBorders>
              <w:top w:val="single" w:color="000000" w:sz="4" w:space="0"/>
              <w:left w:val="single" w:color="000000" w:sz="4" w:space="0"/>
              <w:bottom w:val="single" w:color="000000" w:sz="4" w:space="0"/>
              <w:right w:val="single" w:color="000000" w:sz="4" w:space="0"/>
            </w:tcBorders>
            <w:vAlign w:val="center"/>
          </w:tcPr>
          <w:p w14:paraId="2C2234B5">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质疑联系部门及联系方式</w:t>
            </w:r>
          </w:p>
        </w:tc>
        <w:tc>
          <w:tcPr>
            <w:tcW w:w="6850" w:type="dxa"/>
            <w:tcBorders>
              <w:top w:val="single" w:color="000000" w:sz="4" w:space="0"/>
              <w:left w:val="single" w:color="000000" w:sz="4" w:space="0"/>
              <w:bottom w:val="single" w:color="000000" w:sz="4" w:space="0"/>
              <w:right w:val="single" w:color="000000" w:sz="4" w:space="0"/>
            </w:tcBorders>
            <w:vAlign w:val="center"/>
          </w:tcPr>
          <w:p w14:paraId="2BCA8C14">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广西合美工程咨询有限公司</w:t>
            </w:r>
            <w:r>
              <w:rPr>
                <w:rFonts w:hint="eastAsia" w:ascii="宋体" w:hAnsi="宋体" w:cs="宋体"/>
                <w:color w:val="auto"/>
                <w:szCs w:val="21"/>
                <w:highlight w:val="none"/>
              </w:rPr>
              <w:t>部门；</w:t>
            </w:r>
          </w:p>
          <w:p w14:paraId="3D0F3CE6">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0771-4811887</w:t>
            </w:r>
          </w:p>
          <w:p w14:paraId="4B0DD58E">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通讯地址：</w:t>
            </w:r>
            <w:r>
              <w:rPr>
                <w:rFonts w:hint="eastAsia" w:ascii="宋体" w:hAnsi="宋体" w:cs="宋体"/>
                <w:color w:val="auto"/>
                <w:szCs w:val="21"/>
                <w:highlight w:val="none"/>
                <w:u w:val="single"/>
              </w:rPr>
              <w:t>南宁市青秀区金湖路61号佳得鑫水晶城D座1402号房</w:t>
            </w:r>
            <w:r>
              <w:rPr>
                <w:rFonts w:hint="eastAsia" w:ascii="宋体" w:hAnsi="宋体" w:cs="宋体"/>
                <w:color w:val="auto"/>
                <w:szCs w:val="21"/>
                <w:highlight w:val="none"/>
              </w:rPr>
              <w:t xml:space="preserve"> </w:t>
            </w:r>
          </w:p>
          <w:p w14:paraId="6B1B030C">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u w:val="single"/>
                <w:lang w:eastAsia="zh-CN"/>
              </w:rPr>
              <w:t>南宁市青秀区伶俐镇人民政府</w:t>
            </w:r>
            <w:r>
              <w:rPr>
                <w:rFonts w:hint="eastAsia" w:ascii="宋体" w:hAnsi="宋体" w:cs="宋体"/>
                <w:color w:val="auto"/>
                <w:szCs w:val="21"/>
                <w:highlight w:val="none"/>
              </w:rPr>
              <w:t>部门；</w:t>
            </w:r>
          </w:p>
          <w:p w14:paraId="6776A39C">
            <w:pPr>
              <w:snapToGrid w:val="0"/>
              <w:spacing w:line="380" w:lineRule="exact"/>
              <w:rPr>
                <w:rFonts w:ascii="宋体" w:hAnsi="宋体" w:cs="宋体"/>
                <w:color w:val="auto"/>
                <w:szCs w:val="21"/>
                <w:highlight w:val="none"/>
                <w:u w:val="singl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0771-4267024</w:t>
            </w:r>
          </w:p>
          <w:p w14:paraId="2A68FF75">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 xml:space="preserve">通讯地址：南宁市青秀区伶俐镇振伶路1号 </w:t>
            </w:r>
          </w:p>
        </w:tc>
      </w:tr>
      <w:tr w14:paraId="0C1B7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2075092B">
            <w:pPr>
              <w:widowControl/>
              <w:jc w:val="left"/>
              <w:rPr>
                <w:rFonts w:ascii="宋体" w:hAnsi="宋体" w:cs="宋体"/>
                <w:color w:val="auto"/>
                <w:szCs w:val="21"/>
                <w:highlight w:val="none"/>
              </w:rPr>
            </w:pPr>
          </w:p>
        </w:tc>
        <w:tc>
          <w:tcPr>
            <w:tcW w:w="2785" w:type="dxa"/>
            <w:tcBorders>
              <w:top w:val="single" w:color="000000" w:sz="4" w:space="0"/>
              <w:left w:val="single" w:color="000000" w:sz="4" w:space="0"/>
              <w:bottom w:val="single" w:color="000000" w:sz="4" w:space="0"/>
              <w:right w:val="single" w:color="000000" w:sz="4" w:space="0"/>
            </w:tcBorders>
            <w:vAlign w:val="center"/>
          </w:tcPr>
          <w:p w14:paraId="2CB70E5B">
            <w:pPr>
              <w:spacing w:line="380" w:lineRule="exact"/>
              <w:jc w:val="center"/>
              <w:rPr>
                <w:rFonts w:ascii="宋体" w:hAnsi="宋体" w:cs="宋体"/>
                <w:color w:val="auto"/>
                <w:szCs w:val="21"/>
                <w:highlight w:val="none"/>
              </w:rPr>
            </w:pPr>
            <w:r>
              <w:rPr>
                <w:rFonts w:hint="eastAsia" w:ascii="宋体" w:hAnsi="宋体" w:cs="宋体"/>
                <w:color w:val="auto"/>
                <w:highlight w:val="none"/>
              </w:rPr>
              <w:t>现场提交质疑办理业务时间</w:t>
            </w:r>
          </w:p>
        </w:tc>
        <w:tc>
          <w:tcPr>
            <w:tcW w:w="6850" w:type="dxa"/>
            <w:tcBorders>
              <w:top w:val="single" w:color="000000" w:sz="4" w:space="0"/>
              <w:left w:val="single" w:color="000000" w:sz="4" w:space="0"/>
              <w:bottom w:val="single" w:color="000000" w:sz="4" w:space="0"/>
              <w:right w:val="single" w:color="000000" w:sz="4" w:space="0"/>
            </w:tcBorders>
            <w:vAlign w:val="center"/>
          </w:tcPr>
          <w:p w14:paraId="35A3E380">
            <w:pPr>
              <w:snapToGrid w:val="0"/>
              <w:spacing w:line="380" w:lineRule="exact"/>
              <w:rPr>
                <w:rFonts w:ascii="宋体" w:hAnsi="宋体" w:cs="宋体"/>
                <w:color w:val="auto"/>
                <w:szCs w:val="21"/>
                <w:highlight w:val="none"/>
              </w:rPr>
            </w:pPr>
            <w:r>
              <w:rPr>
                <w:rFonts w:hint="eastAsia" w:ascii="宋体" w:hAnsi="宋体" w:cs="宋体"/>
                <w:color w:val="auto"/>
                <w:highlight w:val="none"/>
              </w:rPr>
              <w:t>质疑期内每个工作日</w:t>
            </w:r>
            <w:r>
              <w:rPr>
                <w:rFonts w:hint="eastAsia" w:ascii="宋体" w:hAnsi="宋体" w:cs="宋体"/>
                <w:color w:val="auto"/>
                <w:highlight w:val="none"/>
                <w:u w:val="single"/>
              </w:rPr>
              <w:t xml:space="preserve"> 8 </w:t>
            </w:r>
            <w:r>
              <w:rPr>
                <w:rFonts w:hint="eastAsia" w:ascii="宋体" w:hAnsi="宋体" w:cs="宋体"/>
                <w:color w:val="auto"/>
                <w:highlight w:val="none"/>
              </w:rPr>
              <w:t>时</w:t>
            </w:r>
            <w:r>
              <w:rPr>
                <w:rFonts w:hint="eastAsia" w:ascii="宋体" w:hAnsi="宋体" w:cs="宋体"/>
                <w:color w:val="auto"/>
                <w:highlight w:val="none"/>
                <w:u w:val="single"/>
              </w:rPr>
              <w:t xml:space="preserve"> 0 </w:t>
            </w:r>
            <w:r>
              <w:rPr>
                <w:rFonts w:hint="eastAsia" w:ascii="宋体" w:hAnsi="宋体" w:cs="宋体"/>
                <w:color w:val="auto"/>
                <w:highlight w:val="none"/>
              </w:rPr>
              <w:t>分到</w:t>
            </w:r>
            <w:r>
              <w:rPr>
                <w:rFonts w:hint="eastAsia" w:ascii="宋体" w:hAnsi="宋体" w:cs="宋体"/>
                <w:color w:val="auto"/>
                <w:highlight w:val="none"/>
                <w:u w:val="single"/>
              </w:rPr>
              <w:t xml:space="preserve"> 12 </w:t>
            </w:r>
            <w:r>
              <w:rPr>
                <w:rFonts w:hint="eastAsia" w:ascii="宋体" w:hAnsi="宋体" w:cs="宋体"/>
                <w:color w:val="auto"/>
                <w:highlight w:val="none"/>
              </w:rPr>
              <w:t>时</w:t>
            </w:r>
            <w:r>
              <w:rPr>
                <w:rFonts w:hint="eastAsia" w:ascii="宋体" w:hAnsi="宋体" w:cs="宋体"/>
                <w:color w:val="auto"/>
                <w:highlight w:val="none"/>
                <w:u w:val="single"/>
              </w:rPr>
              <w:t xml:space="preserve"> 0 </w:t>
            </w:r>
            <w:r>
              <w:rPr>
                <w:rFonts w:hint="eastAsia" w:ascii="宋体" w:hAnsi="宋体" w:cs="宋体"/>
                <w:color w:val="auto"/>
                <w:highlight w:val="none"/>
              </w:rPr>
              <w:t>分，</w:t>
            </w:r>
            <w:r>
              <w:rPr>
                <w:rFonts w:hint="eastAsia" w:ascii="宋体" w:hAnsi="宋体" w:cs="宋体"/>
                <w:color w:val="auto"/>
                <w:highlight w:val="none"/>
                <w:u w:val="single"/>
              </w:rPr>
              <w:t xml:space="preserve"> 15 </w:t>
            </w:r>
            <w:r>
              <w:rPr>
                <w:rFonts w:hint="eastAsia" w:ascii="宋体" w:hAnsi="宋体" w:cs="宋体"/>
                <w:color w:val="auto"/>
                <w:highlight w:val="none"/>
              </w:rPr>
              <w:t>时</w:t>
            </w:r>
            <w:r>
              <w:rPr>
                <w:rFonts w:hint="eastAsia" w:ascii="宋体" w:hAnsi="宋体" w:cs="宋体"/>
                <w:color w:val="auto"/>
                <w:highlight w:val="none"/>
                <w:u w:val="single"/>
              </w:rPr>
              <w:t xml:space="preserve"> 0 </w:t>
            </w:r>
            <w:r>
              <w:rPr>
                <w:rFonts w:hint="eastAsia" w:ascii="宋体" w:hAnsi="宋体" w:cs="宋体"/>
                <w:color w:val="auto"/>
                <w:highlight w:val="none"/>
              </w:rPr>
              <w:t>分到</w:t>
            </w:r>
            <w:r>
              <w:rPr>
                <w:rFonts w:hint="eastAsia" w:ascii="宋体" w:hAnsi="宋体" w:cs="宋体"/>
                <w:color w:val="auto"/>
                <w:highlight w:val="none"/>
                <w:u w:val="single"/>
              </w:rPr>
              <w:t xml:space="preserve"> 18 </w:t>
            </w:r>
            <w:r>
              <w:rPr>
                <w:rFonts w:hint="eastAsia" w:ascii="宋体" w:hAnsi="宋体" w:cs="宋体"/>
                <w:color w:val="auto"/>
                <w:highlight w:val="none"/>
              </w:rPr>
              <w:t>时</w:t>
            </w:r>
            <w:r>
              <w:rPr>
                <w:rFonts w:hint="eastAsia" w:ascii="宋体" w:hAnsi="宋体" w:cs="宋体"/>
                <w:color w:val="auto"/>
                <w:highlight w:val="none"/>
                <w:u w:val="single"/>
              </w:rPr>
              <w:t xml:space="preserve"> 0 </w:t>
            </w:r>
            <w:r>
              <w:rPr>
                <w:rFonts w:hint="eastAsia" w:ascii="宋体" w:hAnsi="宋体" w:cs="宋体"/>
                <w:color w:val="auto"/>
                <w:highlight w:val="none"/>
              </w:rPr>
              <w:t>分</w:t>
            </w:r>
          </w:p>
        </w:tc>
      </w:tr>
      <w:tr w14:paraId="5C118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3868465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31.6</w:t>
            </w:r>
          </w:p>
        </w:tc>
        <w:tc>
          <w:tcPr>
            <w:tcW w:w="2785" w:type="dxa"/>
            <w:tcBorders>
              <w:top w:val="single" w:color="000000" w:sz="4" w:space="0"/>
              <w:left w:val="single" w:color="000000" w:sz="4" w:space="0"/>
              <w:bottom w:val="single" w:color="000000" w:sz="4" w:space="0"/>
              <w:right w:val="single" w:color="000000" w:sz="4" w:space="0"/>
            </w:tcBorders>
            <w:vAlign w:val="center"/>
          </w:tcPr>
          <w:p w14:paraId="623D2F0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受理投诉方式</w:t>
            </w:r>
          </w:p>
        </w:tc>
        <w:tc>
          <w:tcPr>
            <w:tcW w:w="6850" w:type="dxa"/>
            <w:tcBorders>
              <w:top w:val="single" w:color="000000" w:sz="4" w:space="0"/>
              <w:left w:val="single" w:color="000000" w:sz="4" w:space="0"/>
              <w:bottom w:val="single" w:color="000000" w:sz="4" w:space="0"/>
              <w:right w:val="single" w:color="000000" w:sz="4" w:space="0"/>
            </w:tcBorders>
            <w:vAlign w:val="center"/>
          </w:tcPr>
          <w:p w14:paraId="108F5CD5">
            <w:pPr>
              <w:snapToGrid w:val="0"/>
              <w:spacing w:line="380" w:lineRule="exact"/>
              <w:rPr>
                <w:rFonts w:ascii="宋体" w:hAnsi="宋体" w:cs="宋体"/>
                <w:color w:val="auto"/>
                <w:highlight w:val="none"/>
              </w:rPr>
            </w:pPr>
            <w:r>
              <w:rPr>
                <w:rFonts w:hint="eastAsia" w:ascii="宋体" w:hAnsi="宋体" w:cs="宋体"/>
                <w:color w:val="auto"/>
                <w:highlight w:val="none"/>
              </w:rPr>
              <w:t>1、受理方式：纸质方式受理，投诉书正、副本（经过质疑的事项才可投诉）。</w:t>
            </w:r>
          </w:p>
          <w:p w14:paraId="2DFB4355">
            <w:pPr>
              <w:snapToGrid w:val="0"/>
              <w:spacing w:line="380" w:lineRule="exact"/>
              <w:rPr>
                <w:rFonts w:ascii="宋体" w:hAnsi="宋体" w:cs="宋体"/>
                <w:color w:val="auto"/>
                <w:highlight w:val="none"/>
              </w:rPr>
            </w:pPr>
            <w:r>
              <w:rPr>
                <w:rFonts w:hint="eastAsia" w:ascii="宋体" w:hAnsi="宋体" w:cs="宋体"/>
                <w:color w:val="auto"/>
                <w:highlight w:val="none"/>
              </w:rPr>
              <w:t>2、邮寄地址：</w:t>
            </w:r>
          </w:p>
          <w:p w14:paraId="5871B134">
            <w:pPr>
              <w:snapToGrid w:val="0"/>
              <w:spacing w:line="380" w:lineRule="exact"/>
              <w:rPr>
                <w:rFonts w:ascii="宋体" w:hAnsi="宋体" w:cs="宋体"/>
                <w:color w:val="auto"/>
                <w:highlight w:val="none"/>
              </w:rPr>
            </w:pPr>
            <w:r>
              <w:rPr>
                <w:rFonts w:hint="eastAsia" w:ascii="宋体" w:hAnsi="宋体" w:cs="宋体"/>
                <w:color w:val="auto"/>
                <w:highlight w:val="none"/>
              </w:rPr>
              <w:t>名称：南宁市青秀区财政局政府采购监督管理办公室</w:t>
            </w:r>
          </w:p>
          <w:p w14:paraId="67AF616E">
            <w:pPr>
              <w:snapToGrid w:val="0"/>
              <w:spacing w:line="380" w:lineRule="exact"/>
              <w:rPr>
                <w:rFonts w:ascii="宋体" w:hAnsi="宋体" w:cs="宋体"/>
                <w:color w:val="auto"/>
                <w:highlight w:val="none"/>
              </w:rPr>
            </w:pPr>
            <w:r>
              <w:rPr>
                <w:rFonts w:hint="eastAsia" w:ascii="宋体" w:hAnsi="宋体" w:cs="宋体"/>
                <w:color w:val="auto"/>
                <w:highlight w:val="none"/>
              </w:rPr>
              <w:t>地址：南宁市青秀区悦宾路1号</w:t>
            </w:r>
          </w:p>
          <w:p w14:paraId="6FC53567">
            <w:pPr>
              <w:snapToGrid w:val="0"/>
              <w:spacing w:line="380" w:lineRule="exact"/>
              <w:rPr>
                <w:rFonts w:ascii="宋体" w:hAnsi="宋体" w:cs="宋体"/>
                <w:color w:val="auto"/>
                <w:highlight w:val="none"/>
              </w:rPr>
            </w:pPr>
            <w:r>
              <w:rPr>
                <w:rFonts w:hint="eastAsia" w:ascii="宋体" w:hAnsi="宋体" w:cs="宋体"/>
                <w:color w:val="auto"/>
                <w:highlight w:val="none"/>
              </w:rPr>
              <w:t>联系电话：0771-5826232</w:t>
            </w:r>
          </w:p>
        </w:tc>
      </w:tr>
      <w:tr w14:paraId="4EAAA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51265AA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33</w:t>
            </w:r>
          </w:p>
        </w:tc>
        <w:tc>
          <w:tcPr>
            <w:tcW w:w="2785" w:type="dxa"/>
            <w:tcBorders>
              <w:top w:val="single" w:color="000000" w:sz="4" w:space="0"/>
              <w:left w:val="single" w:color="000000" w:sz="4" w:space="0"/>
              <w:bottom w:val="single" w:color="000000" w:sz="4" w:space="0"/>
              <w:right w:val="single" w:color="000000" w:sz="4" w:space="0"/>
            </w:tcBorders>
            <w:vAlign w:val="center"/>
          </w:tcPr>
          <w:p w14:paraId="42BEE77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采购代理费</w:t>
            </w:r>
          </w:p>
        </w:tc>
        <w:tc>
          <w:tcPr>
            <w:tcW w:w="6850" w:type="dxa"/>
            <w:tcBorders>
              <w:top w:val="single" w:color="000000" w:sz="4" w:space="0"/>
              <w:left w:val="single" w:color="000000" w:sz="4" w:space="0"/>
              <w:bottom w:val="single" w:color="000000" w:sz="4" w:space="0"/>
              <w:right w:val="single" w:color="000000" w:sz="4" w:space="0"/>
            </w:tcBorders>
            <w:vAlign w:val="center"/>
          </w:tcPr>
          <w:p w14:paraId="01047AC8">
            <w:pPr>
              <w:pStyle w:val="16"/>
              <w:snapToGrid w:val="0"/>
              <w:spacing w:line="360" w:lineRule="auto"/>
              <w:rPr>
                <w:rFonts w:hAnsi="宋体" w:cs="宋体"/>
                <w:color w:val="auto"/>
                <w:sz w:val="21"/>
                <w:highlight w:val="none"/>
              </w:rPr>
            </w:pPr>
            <w:r>
              <w:rPr>
                <w:rFonts w:hint="eastAsia" w:hAnsi="宋体" w:cs="宋体"/>
                <w:color w:val="auto"/>
                <w:sz w:val="21"/>
                <w:highlight w:val="none"/>
              </w:rPr>
              <w:t>1. 是否收取采购代理费：</w:t>
            </w:r>
          </w:p>
          <w:p w14:paraId="0167EB7E">
            <w:pPr>
              <w:pStyle w:val="16"/>
              <w:snapToGrid w:val="0"/>
              <w:spacing w:line="360" w:lineRule="auto"/>
              <w:rPr>
                <w:rFonts w:hAnsi="宋体" w:cs="宋体"/>
                <w:color w:val="auto"/>
                <w:sz w:val="21"/>
                <w:highlight w:val="none"/>
              </w:rPr>
            </w:pPr>
            <w:r>
              <w:rPr>
                <w:rFonts w:hint="eastAsia" w:hAnsi="宋体" w:cs="宋体"/>
                <w:color w:val="auto"/>
                <w:sz w:val="21"/>
                <w:highlight w:val="none"/>
              </w:rPr>
              <w:t>☑是    □ 否</w:t>
            </w:r>
          </w:p>
          <w:p w14:paraId="76232B9F">
            <w:pPr>
              <w:pStyle w:val="16"/>
              <w:snapToGrid w:val="0"/>
              <w:spacing w:line="360" w:lineRule="auto"/>
              <w:rPr>
                <w:rFonts w:hAnsi="宋体" w:cs="宋体"/>
                <w:color w:val="auto"/>
                <w:sz w:val="21"/>
                <w:highlight w:val="none"/>
              </w:rPr>
            </w:pPr>
            <w:r>
              <w:rPr>
                <w:rFonts w:hint="eastAsia" w:hAnsi="宋体" w:cs="宋体"/>
                <w:color w:val="auto"/>
                <w:sz w:val="21"/>
                <w:highlight w:val="none"/>
              </w:rPr>
              <w:t>2.采购代理费支付方式：</w:t>
            </w:r>
          </w:p>
          <w:p w14:paraId="2C1A2FDE">
            <w:pPr>
              <w:pStyle w:val="16"/>
              <w:snapToGrid w:val="0"/>
              <w:spacing w:line="360" w:lineRule="auto"/>
              <w:rPr>
                <w:rFonts w:hAnsi="宋体" w:cs="宋体"/>
                <w:color w:val="auto"/>
                <w:sz w:val="21"/>
                <w:highlight w:val="none"/>
              </w:rPr>
            </w:pPr>
            <w:r>
              <w:rPr>
                <w:rFonts w:hint="eastAsia" w:hAnsi="宋体" w:cs="宋体"/>
                <w:color w:val="auto"/>
                <w:sz w:val="21"/>
                <w:highlight w:val="none"/>
              </w:rPr>
              <w:t>☑本项目代理服务费由</w:t>
            </w:r>
            <w:r>
              <w:rPr>
                <w:rFonts w:hint="eastAsia" w:hAnsi="宋体" w:cs="宋体"/>
                <w:color w:val="auto"/>
                <w:sz w:val="21"/>
                <w:highlight w:val="none"/>
                <w:u w:val="single"/>
              </w:rPr>
              <w:t>成交供应商</w:t>
            </w:r>
            <w:r>
              <w:rPr>
                <w:rFonts w:hint="eastAsia" w:hAnsi="宋体" w:cs="宋体"/>
                <w:color w:val="auto"/>
                <w:sz w:val="21"/>
                <w:highlight w:val="none"/>
              </w:rPr>
              <w:t>领取成交通知书前，一次性向采购代理机构支付。</w:t>
            </w:r>
          </w:p>
          <w:p w14:paraId="4641542F">
            <w:pPr>
              <w:pStyle w:val="16"/>
              <w:snapToGrid w:val="0"/>
              <w:spacing w:line="360" w:lineRule="auto"/>
              <w:rPr>
                <w:rFonts w:hAnsi="宋体" w:cs="宋体"/>
                <w:color w:val="auto"/>
                <w:sz w:val="21"/>
                <w:highlight w:val="none"/>
              </w:rPr>
            </w:pPr>
            <w:r>
              <w:rPr>
                <w:rFonts w:hint="eastAsia" w:hAnsi="宋体" w:cs="宋体"/>
                <w:color w:val="auto"/>
                <w:sz w:val="21"/>
                <w:highlight w:val="none"/>
              </w:rPr>
              <w:t>□采购人支付。</w:t>
            </w:r>
          </w:p>
          <w:p w14:paraId="41F912BE">
            <w:pPr>
              <w:pStyle w:val="16"/>
              <w:snapToGrid w:val="0"/>
              <w:spacing w:line="380" w:lineRule="exact"/>
              <w:rPr>
                <w:rFonts w:hAnsi="宋体" w:cs="宋体"/>
                <w:color w:val="auto"/>
                <w:sz w:val="21"/>
                <w:highlight w:val="none"/>
              </w:rPr>
            </w:pPr>
            <w:r>
              <w:rPr>
                <w:rFonts w:hint="eastAsia" w:hAnsi="宋体" w:cs="宋体"/>
                <w:color w:val="auto"/>
                <w:sz w:val="21"/>
                <w:highlight w:val="none"/>
              </w:rPr>
              <w:t>3.采购代理费收取标准：</w:t>
            </w:r>
          </w:p>
          <w:p w14:paraId="4F409CA0">
            <w:pPr>
              <w:pStyle w:val="16"/>
              <w:snapToGrid w:val="0"/>
              <w:spacing w:line="380" w:lineRule="exact"/>
              <w:rPr>
                <w:rFonts w:hint="eastAsia" w:hAnsi="宋体" w:cs="宋体"/>
                <w:color w:val="auto"/>
                <w:sz w:val="21"/>
                <w:highlight w:val="none"/>
              </w:rPr>
            </w:pPr>
            <w:r>
              <w:rPr>
                <w:rFonts w:hint="eastAsia" w:hAnsi="宋体" w:cs="宋体"/>
                <w:color w:val="auto"/>
                <w:sz w:val="21"/>
                <w:highlight w:val="none"/>
              </w:rPr>
              <w:t>本项目委托代理费按以下费率采</w:t>
            </w:r>
            <w:r>
              <w:rPr>
                <w:rFonts w:hint="eastAsia" w:hAnsi="宋体" w:cs="宋体"/>
                <w:color w:val="auto"/>
                <w:sz w:val="21"/>
                <w:highlight w:val="none"/>
                <w:lang w:val="en-US" w:eastAsia="zh-CN"/>
              </w:rPr>
              <w:t>用</w:t>
            </w:r>
            <w:r>
              <w:rPr>
                <w:rFonts w:hint="eastAsia" w:hAnsi="宋体" w:cs="宋体"/>
                <w:color w:val="auto"/>
                <w:sz w:val="21"/>
                <w:highlight w:val="none"/>
              </w:rPr>
              <w:t>累进法计算，并以</w:t>
            </w:r>
            <w:r>
              <w:rPr>
                <w:rFonts w:hint="eastAsia" w:hAnsi="宋体" w:cs="宋体"/>
                <w:color w:val="auto"/>
                <w:sz w:val="21"/>
                <w:highlight w:val="none"/>
                <w:lang w:val="en-US" w:eastAsia="zh-CN"/>
              </w:rPr>
              <w:t>成交金额</w:t>
            </w:r>
            <w:r>
              <w:rPr>
                <w:rFonts w:hint="eastAsia" w:hAnsi="宋体" w:cs="宋体"/>
                <w:color w:val="auto"/>
                <w:sz w:val="21"/>
                <w:highlight w:val="none"/>
              </w:rPr>
              <w:t>为基价计</w:t>
            </w:r>
            <w:r>
              <w:rPr>
                <w:rFonts w:hint="eastAsia" w:hAnsi="宋体" w:cs="宋体"/>
                <w:color w:val="auto"/>
                <w:sz w:val="21"/>
                <w:highlight w:val="none"/>
                <w:lang w:val="en-US" w:eastAsia="zh-CN"/>
              </w:rPr>
              <w:t>算</w:t>
            </w:r>
            <w:r>
              <w:rPr>
                <w:rFonts w:hint="eastAsia" w:hAnsi="宋体" w:cs="宋体"/>
                <w:color w:val="auto"/>
                <w:sz w:val="21"/>
                <w:highlight w:val="none"/>
              </w:rPr>
              <w:t>委托代理费</w:t>
            </w:r>
            <w:r>
              <w:rPr>
                <w:rFonts w:hint="eastAsia" w:hAnsi="宋体" w:cs="宋体"/>
                <w:color w:val="auto"/>
                <w:sz w:val="21"/>
                <w:highlight w:val="none"/>
                <w:lang w:eastAsia="zh-CN"/>
              </w:rPr>
              <w:t>。</w:t>
            </w:r>
            <w:r>
              <w:rPr>
                <w:rFonts w:hint="eastAsia" w:hAnsi="宋体" w:cs="宋体"/>
                <w:color w:val="auto"/>
                <w:sz w:val="21"/>
                <w:highlight w:val="none"/>
              </w:rPr>
              <w:t>由成交供应商在领取成交通知书前一次性向采购代理机构付清委托代理费。</w:t>
            </w:r>
          </w:p>
          <w:tbl>
            <w:tblPr>
              <w:tblStyle w:val="25"/>
              <w:tblW w:w="4999" w:type="pct"/>
              <w:jc w:val="center"/>
              <w:tblLayout w:type="fixed"/>
              <w:tblCellMar>
                <w:top w:w="0" w:type="dxa"/>
                <w:left w:w="108" w:type="dxa"/>
                <w:bottom w:w="0" w:type="dxa"/>
                <w:right w:w="108" w:type="dxa"/>
              </w:tblCellMar>
            </w:tblPr>
            <w:tblGrid>
              <w:gridCol w:w="3854"/>
              <w:gridCol w:w="2779"/>
            </w:tblGrid>
            <w:tr w14:paraId="24357406">
              <w:tblPrEx>
                <w:tblCellMar>
                  <w:top w:w="0" w:type="dxa"/>
                  <w:left w:w="108" w:type="dxa"/>
                  <w:bottom w:w="0" w:type="dxa"/>
                  <w:right w:w="108" w:type="dxa"/>
                </w:tblCellMar>
              </w:tblPrEx>
              <w:trPr>
                <w:trHeight w:val="602" w:hRule="atLeast"/>
                <w:jc w:val="center"/>
              </w:trPr>
              <w:tc>
                <w:tcPr>
                  <w:tcW w:w="2905" w:type="pct"/>
                  <w:tcBorders>
                    <w:top w:val="single" w:color="auto" w:sz="4" w:space="0"/>
                    <w:left w:val="single" w:color="auto" w:sz="4" w:space="0"/>
                    <w:bottom w:val="single" w:color="auto" w:sz="4" w:space="0"/>
                    <w:right w:val="single" w:color="auto" w:sz="4" w:space="0"/>
                  </w:tcBorders>
                  <w:noWrap w:val="0"/>
                  <w:vAlign w:val="center"/>
                </w:tcPr>
                <w:p w14:paraId="0C1F1404">
                  <w:pPr>
                    <w:spacing w:line="360" w:lineRule="auto"/>
                    <w:ind w:firstLine="573"/>
                    <w:jc w:val="center"/>
                    <w:rPr>
                      <w:rFonts w:ascii="宋体" w:hAnsi="宋体" w:cs="宋体"/>
                      <w:color w:val="auto"/>
                      <w:sz w:val="21"/>
                      <w:szCs w:val="21"/>
                      <w:highlight w:val="none"/>
                    </w:rPr>
                  </w:pPr>
                  <w:r>
                    <w:rPr>
                      <w:rFonts w:hint="eastAsia" w:ascii="宋体" w:hAnsi="宋体" w:cs="宋体"/>
                      <w:color w:val="auto"/>
                      <w:sz w:val="21"/>
                      <w:szCs w:val="21"/>
                      <w:highlight w:val="none"/>
                    </w:rPr>
                    <w:t>中标（成交）金额（万元）范围</w:t>
                  </w:r>
                </w:p>
              </w:tc>
              <w:tc>
                <w:tcPr>
                  <w:tcW w:w="2094" w:type="pct"/>
                  <w:tcBorders>
                    <w:top w:val="single" w:color="auto" w:sz="4" w:space="0"/>
                    <w:left w:val="nil"/>
                    <w:bottom w:val="single" w:color="auto" w:sz="4" w:space="0"/>
                    <w:right w:val="single" w:color="auto" w:sz="4" w:space="0"/>
                  </w:tcBorders>
                  <w:noWrap w:val="0"/>
                  <w:vAlign w:val="center"/>
                </w:tcPr>
                <w:p w14:paraId="45BF5FD5">
                  <w:pPr>
                    <w:spacing w:line="360" w:lineRule="auto"/>
                    <w:ind w:firstLine="573"/>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费率</w:t>
                  </w:r>
                </w:p>
              </w:tc>
            </w:tr>
            <w:tr w14:paraId="1414EF76">
              <w:trPr>
                <w:trHeight w:val="375" w:hRule="atLeast"/>
                <w:jc w:val="center"/>
              </w:trPr>
              <w:tc>
                <w:tcPr>
                  <w:tcW w:w="2905" w:type="pct"/>
                  <w:tcBorders>
                    <w:top w:val="nil"/>
                    <w:left w:val="single" w:color="auto" w:sz="4" w:space="0"/>
                    <w:bottom w:val="single" w:color="auto" w:sz="4" w:space="0"/>
                    <w:right w:val="single" w:color="auto" w:sz="4" w:space="0"/>
                  </w:tcBorders>
                  <w:noWrap/>
                  <w:vAlign w:val="center"/>
                </w:tcPr>
                <w:p w14:paraId="7BC06CC1">
                  <w:pPr>
                    <w:spacing w:line="360" w:lineRule="auto"/>
                    <w:ind w:firstLine="573"/>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100及以下</w:t>
                  </w:r>
                </w:p>
              </w:tc>
              <w:tc>
                <w:tcPr>
                  <w:tcW w:w="2094" w:type="pct"/>
                  <w:tcBorders>
                    <w:top w:val="nil"/>
                    <w:left w:val="nil"/>
                    <w:bottom w:val="single" w:color="auto" w:sz="4" w:space="0"/>
                    <w:right w:val="single" w:color="auto" w:sz="4" w:space="0"/>
                  </w:tcBorders>
                  <w:noWrap/>
                  <w:vAlign w:val="center"/>
                </w:tcPr>
                <w:p w14:paraId="2461E9BB">
                  <w:pPr>
                    <w:spacing w:line="360" w:lineRule="auto"/>
                    <w:ind w:firstLine="573" w:firstLine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0%</w:t>
                  </w:r>
                </w:p>
              </w:tc>
            </w:tr>
            <w:tr w14:paraId="2848CB51">
              <w:tblPrEx>
                <w:tblCellMar>
                  <w:top w:w="0" w:type="dxa"/>
                  <w:left w:w="108" w:type="dxa"/>
                  <w:bottom w:w="0" w:type="dxa"/>
                  <w:right w:w="108" w:type="dxa"/>
                </w:tblCellMar>
              </w:tblPrEx>
              <w:trPr>
                <w:trHeight w:val="375" w:hRule="atLeast"/>
                <w:jc w:val="center"/>
              </w:trPr>
              <w:tc>
                <w:tcPr>
                  <w:tcW w:w="2905" w:type="pct"/>
                  <w:tcBorders>
                    <w:top w:val="nil"/>
                    <w:left w:val="single" w:color="auto" w:sz="4" w:space="0"/>
                    <w:bottom w:val="single" w:color="auto" w:sz="4" w:space="0"/>
                    <w:right w:val="single" w:color="auto" w:sz="4" w:space="0"/>
                  </w:tcBorders>
                  <w:noWrap/>
                  <w:vAlign w:val="center"/>
                </w:tcPr>
                <w:p w14:paraId="44EDE1F3">
                  <w:pPr>
                    <w:spacing w:line="360" w:lineRule="auto"/>
                    <w:ind w:firstLine="573"/>
                    <w:jc w:val="center"/>
                    <w:rPr>
                      <w:rFonts w:hint="eastAsia" w:ascii="宋体" w:hAnsi="宋体" w:cs="宋体"/>
                      <w:color w:val="auto"/>
                      <w:sz w:val="21"/>
                      <w:szCs w:val="21"/>
                      <w:highlight w:val="none"/>
                    </w:rPr>
                  </w:pPr>
                  <w:r>
                    <w:rPr>
                      <w:rFonts w:ascii="宋体" w:hAnsi="宋体" w:cs="宋体"/>
                      <w:color w:val="auto"/>
                      <w:sz w:val="21"/>
                      <w:szCs w:val="21"/>
                      <w:highlight w:val="none"/>
                    </w:rPr>
                    <w:t>100-500</w:t>
                  </w:r>
                </w:p>
              </w:tc>
              <w:tc>
                <w:tcPr>
                  <w:tcW w:w="2094" w:type="pct"/>
                  <w:tcBorders>
                    <w:top w:val="nil"/>
                    <w:left w:val="nil"/>
                    <w:bottom w:val="single" w:color="auto" w:sz="4" w:space="0"/>
                    <w:right w:val="single" w:color="auto" w:sz="4" w:space="0"/>
                  </w:tcBorders>
                  <w:noWrap/>
                  <w:vAlign w:val="center"/>
                </w:tcPr>
                <w:p w14:paraId="0C2E2D0E">
                  <w:pPr>
                    <w:spacing w:line="360" w:lineRule="auto"/>
                    <w:ind w:firstLine="573"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0.</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0%</w:t>
                  </w:r>
                </w:p>
              </w:tc>
            </w:tr>
          </w:tbl>
          <w:p w14:paraId="2FE35BFF">
            <w:pPr>
              <w:pStyle w:val="16"/>
              <w:snapToGrid w:val="0"/>
              <w:spacing w:line="380" w:lineRule="exact"/>
              <w:rPr>
                <w:rFonts w:hAnsi="宋体" w:cs="宋体"/>
                <w:color w:val="auto"/>
                <w:sz w:val="21"/>
                <w:highlight w:val="none"/>
              </w:rPr>
            </w:pPr>
            <w:r>
              <w:rPr>
                <w:rFonts w:hint="eastAsia" w:hAnsi="宋体" w:cs="宋体"/>
                <w:color w:val="auto"/>
                <w:sz w:val="21"/>
                <w:highlight w:val="none"/>
              </w:rPr>
              <w:t>4. 采购代理费收取银行账户</w:t>
            </w:r>
          </w:p>
          <w:p w14:paraId="587F3AE5">
            <w:pPr>
              <w:pStyle w:val="16"/>
              <w:snapToGrid w:val="0"/>
              <w:spacing w:line="380" w:lineRule="exact"/>
              <w:rPr>
                <w:rFonts w:hAnsi="宋体" w:cs="宋体"/>
                <w:color w:val="auto"/>
                <w:sz w:val="21"/>
                <w:highlight w:val="none"/>
              </w:rPr>
            </w:pPr>
            <w:r>
              <w:rPr>
                <w:rFonts w:hint="eastAsia" w:hAnsi="宋体" w:cs="宋体"/>
                <w:color w:val="auto"/>
                <w:sz w:val="21"/>
                <w:highlight w:val="none"/>
              </w:rPr>
              <w:t xml:space="preserve">开户名称：广西合美工程咨询有限公司 </w:t>
            </w:r>
          </w:p>
          <w:p w14:paraId="16F448E3">
            <w:pPr>
              <w:pStyle w:val="16"/>
              <w:snapToGrid w:val="0"/>
              <w:spacing w:line="380" w:lineRule="exact"/>
              <w:rPr>
                <w:rFonts w:hAnsi="宋体" w:cs="宋体"/>
                <w:color w:val="auto"/>
                <w:sz w:val="21"/>
                <w:highlight w:val="none"/>
              </w:rPr>
            </w:pPr>
            <w:r>
              <w:rPr>
                <w:rFonts w:hint="eastAsia" w:hAnsi="宋体" w:cs="宋体"/>
                <w:color w:val="auto"/>
                <w:sz w:val="21"/>
                <w:highlight w:val="none"/>
              </w:rPr>
              <w:t xml:space="preserve">开户银行：中国建设银行股份有限公司南宁水利电力大厦支行 </w:t>
            </w:r>
          </w:p>
          <w:p w14:paraId="5CDB816C">
            <w:pPr>
              <w:pStyle w:val="16"/>
              <w:snapToGrid w:val="0"/>
              <w:spacing w:line="380" w:lineRule="exact"/>
              <w:rPr>
                <w:rFonts w:hAnsi="宋体" w:cs="宋体"/>
                <w:color w:val="auto"/>
                <w:sz w:val="21"/>
                <w:highlight w:val="none"/>
              </w:rPr>
            </w:pPr>
            <w:r>
              <w:rPr>
                <w:rFonts w:hint="eastAsia" w:hAnsi="宋体" w:cs="宋体"/>
                <w:color w:val="auto"/>
                <w:sz w:val="21"/>
                <w:highlight w:val="none"/>
              </w:rPr>
              <w:t>银行账号：45050160477200001333</w:t>
            </w:r>
          </w:p>
        </w:tc>
      </w:tr>
      <w:tr w14:paraId="010C5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4DA8348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34.1</w:t>
            </w:r>
          </w:p>
        </w:tc>
        <w:tc>
          <w:tcPr>
            <w:tcW w:w="2785" w:type="dxa"/>
            <w:tcBorders>
              <w:top w:val="single" w:color="000000" w:sz="4" w:space="0"/>
              <w:left w:val="single" w:color="000000" w:sz="4" w:space="0"/>
              <w:bottom w:val="single" w:color="000000" w:sz="4" w:space="0"/>
              <w:right w:val="single" w:color="000000" w:sz="4" w:space="0"/>
            </w:tcBorders>
            <w:vAlign w:val="center"/>
          </w:tcPr>
          <w:p w14:paraId="1410FBD0">
            <w:pPr>
              <w:spacing w:line="360" w:lineRule="auto"/>
              <w:jc w:val="center"/>
              <w:rPr>
                <w:rFonts w:ascii="宋体" w:hAnsi="宋体" w:cs="宋体"/>
                <w:color w:val="auto"/>
                <w:szCs w:val="21"/>
                <w:highlight w:val="none"/>
              </w:rPr>
            </w:pPr>
            <w:r>
              <w:rPr>
                <w:rFonts w:hint="eastAsia" w:ascii="宋体" w:hAnsi="宋体" w:cs="宋体"/>
                <w:color w:val="auto"/>
                <w:highlight w:val="none"/>
              </w:rPr>
              <w:t>解释</w:t>
            </w:r>
          </w:p>
        </w:tc>
        <w:tc>
          <w:tcPr>
            <w:tcW w:w="6850" w:type="dxa"/>
            <w:tcBorders>
              <w:top w:val="single" w:color="000000" w:sz="4" w:space="0"/>
              <w:left w:val="single" w:color="000000" w:sz="4" w:space="0"/>
              <w:bottom w:val="single" w:color="000000" w:sz="4" w:space="0"/>
              <w:right w:val="single" w:color="000000" w:sz="4" w:space="0"/>
            </w:tcBorders>
            <w:vAlign w:val="center"/>
          </w:tcPr>
          <w:p w14:paraId="1CC71B55">
            <w:pPr>
              <w:pStyle w:val="16"/>
              <w:snapToGrid w:val="0"/>
              <w:spacing w:line="360" w:lineRule="auto"/>
              <w:rPr>
                <w:rFonts w:hAnsi="宋体" w:cs="宋体"/>
                <w:b/>
                <w:color w:val="auto"/>
                <w:sz w:val="21"/>
                <w:highlight w:val="none"/>
              </w:rPr>
            </w:pPr>
            <w:r>
              <w:rPr>
                <w:rFonts w:hint="eastAsia" w:hAnsi="宋体" w:cs="宋体"/>
                <w:b/>
                <w:color w:val="auto"/>
                <w:sz w:val="21"/>
                <w:highlight w:val="none"/>
              </w:rPr>
              <w:t>解释权：</w:t>
            </w:r>
            <w:r>
              <w:rPr>
                <w:rFonts w:hint="eastAsia" w:hAnsi="宋体" w:cs="宋体"/>
                <w:color w:val="auto"/>
                <w:sz w:val="21"/>
                <w:highlight w:val="none"/>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hAnsi="宋体" w:cs="宋体"/>
                <w:b/>
                <w:color w:val="auto"/>
                <w:sz w:val="21"/>
                <w:highlight w:val="none"/>
              </w:rPr>
              <w:t>由采购人或者采购代理机构负责解释。</w:t>
            </w:r>
          </w:p>
          <w:p w14:paraId="121DB557">
            <w:pPr>
              <w:pStyle w:val="16"/>
              <w:snapToGrid w:val="0"/>
              <w:spacing w:line="360" w:lineRule="auto"/>
              <w:rPr>
                <w:rFonts w:hAnsi="宋体" w:cs="宋体"/>
                <w:b/>
                <w:color w:val="auto"/>
                <w:sz w:val="21"/>
                <w:highlight w:val="none"/>
              </w:rPr>
            </w:pPr>
            <w:r>
              <w:rPr>
                <w:rFonts w:hint="eastAsia" w:hAnsi="宋体" w:cs="宋体"/>
                <w:b/>
                <w:color w:val="auto"/>
                <w:sz w:val="21"/>
                <w:highlight w:val="none"/>
              </w:rPr>
              <w:t>法律责任：</w:t>
            </w:r>
          </w:p>
          <w:p w14:paraId="0B25417F">
            <w:pPr>
              <w:pStyle w:val="16"/>
              <w:snapToGrid w:val="0"/>
              <w:spacing w:line="360" w:lineRule="auto"/>
              <w:rPr>
                <w:rFonts w:hAnsi="宋体" w:cs="宋体"/>
                <w:color w:val="auto"/>
                <w:sz w:val="21"/>
                <w:highlight w:val="none"/>
              </w:rPr>
            </w:pPr>
            <w:r>
              <w:rPr>
                <w:rFonts w:hint="eastAsia" w:hAnsi="宋体" w:cs="宋体"/>
                <w:b/>
                <w:color w:val="auto"/>
                <w:sz w:val="21"/>
                <w:highlight w:val="none"/>
              </w:rPr>
              <w:t>1.</w:t>
            </w:r>
            <w:r>
              <w:rPr>
                <w:rFonts w:hint="eastAsia" w:hAnsi="宋体" w:cs="宋体"/>
                <w:color w:val="auto"/>
                <w:sz w:val="21"/>
                <w:highlight w:val="none"/>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1099D743">
            <w:pPr>
              <w:spacing w:line="360" w:lineRule="auto"/>
              <w:rPr>
                <w:rFonts w:ascii="宋体" w:hAnsi="宋体" w:cs="宋体"/>
                <w:color w:val="auto"/>
                <w:highlight w:val="none"/>
              </w:rPr>
            </w:pPr>
            <w:r>
              <w:rPr>
                <w:rFonts w:hint="eastAsia" w:ascii="宋体" w:hAnsi="宋体" w:cs="宋体"/>
                <w:b/>
                <w:color w:val="auto"/>
                <w:highlight w:val="none"/>
              </w:rPr>
              <w:t>2.</w:t>
            </w:r>
            <w:r>
              <w:rPr>
                <w:rFonts w:hint="eastAsia" w:ascii="宋体" w:hAnsi="宋体" w:cs="宋体"/>
                <w:b/>
                <w:color w:val="auto"/>
                <w:szCs w:val="21"/>
                <w:highlight w:val="none"/>
              </w:rPr>
              <w:t xml:space="preserve"> 本项目采购代理机构应严格按照“广西政府采购云平台”平台项目采购全流程电子化电子开评标规程执行项目采购活动，代理机构在“广西政府采购云平台”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54500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1F129C3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34.2</w:t>
            </w:r>
          </w:p>
        </w:tc>
        <w:tc>
          <w:tcPr>
            <w:tcW w:w="2785" w:type="dxa"/>
            <w:tcBorders>
              <w:top w:val="single" w:color="000000" w:sz="4" w:space="0"/>
              <w:left w:val="single" w:color="000000" w:sz="4" w:space="0"/>
              <w:bottom w:val="single" w:color="000000" w:sz="4" w:space="0"/>
              <w:right w:val="single" w:color="000000" w:sz="4" w:space="0"/>
            </w:tcBorders>
            <w:vAlign w:val="center"/>
          </w:tcPr>
          <w:p w14:paraId="24A330E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其他</w:t>
            </w:r>
          </w:p>
        </w:tc>
        <w:tc>
          <w:tcPr>
            <w:tcW w:w="6850" w:type="dxa"/>
            <w:tcBorders>
              <w:top w:val="single" w:color="000000" w:sz="4" w:space="0"/>
              <w:left w:val="single" w:color="000000" w:sz="4" w:space="0"/>
              <w:bottom w:val="single" w:color="000000" w:sz="4" w:space="0"/>
              <w:right w:val="single" w:color="000000" w:sz="4" w:space="0"/>
            </w:tcBorders>
            <w:vAlign w:val="center"/>
          </w:tcPr>
          <w:p w14:paraId="6CBD34B4">
            <w:pPr>
              <w:pStyle w:val="16"/>
              <w:snapToGrid w:val="0"/>
              <w:spacing w:line="360" w:lineRule="auto"/>
              <w:rPr>
                <w:rFonts w:hAnsi="宋体" w:cs="宋体"/>
                <w:color w:val="auto"/>
                <w:sz w:val="21"/>
                <w:highlight w:val="none"/>
              </w:rPr>
            </w:pPr>
            <w:r>
              <w:rPr>
                <w:rFonts w:hint="eastAsia" w:hAnsi="宋体" w:cs="宋体"/>
                <w:color w:val="auto"/>
                <w:sz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70BAB5CF">
            <w:pPr>
              <w:pStyle w:val="16"/>
              <w:snapToGrid w:val="0"/>
              <w:spacing w:line="360" w:lineRule="auto"/>
              <w:rPr>
                <w:rFonts w:hAnsi="宋体" w:cs="宋体"/>
                <w:color w:val="auto"/>
                <w:sz w:val="21"/>
                <w:highlight w:val="none"/>
              </w:rPr>
            </w:pPr>
            <w:r>
              <w:rPr>
                <w:rFonts w:hint="eastAsia" w:hAnsi="宋体" w:cs="宋体"/>
                <w:color w:val="auto"/>
                <w:sz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48FD336A">
            <w:pPr>
              <w:pStyle w:val="16"/>
              <w:snapToGrid w:val="0"/>
              <w:spacing w:line="360" w:lineRule="auto"/>
              <w:rPr>
                <w:rFonts w:hAnsi="宋体" w:cs="宋体"/>
                <w:color w:val="auto"/>
                <w:sz w:val="21"/>
                <w:highlight w:val="none"/>
              </w:rPr>
            </w:pPr>
            <w:r>
              <w:rPr>
                <w:rFonts w:hint="eastAsia" w:hAnsi="宋体" w:cs="宋体"/>
                <w:color w:val="auto"/>
                <w:sz w:val="21"/>
                <w:highlight w:val="none"/>
              </w:rPr>
              <w:t>3.本磋商文件中描述供应商的“签字”是指供应商的法定代表人或者委托代理人亲自在文件规定签署处亲笔写上个人的名字的行为，私章、签字章、印鉴、影印等其他形式均不能代替亲笔签字。</w:t>
            </w:r>
          </w:p>
          <w:p w14:paraId="74B18CAB">
            <w:pPr>
              <w:pStyle w:val="16"/>
              <w:snapToGrid w:val="0"/>
              <w:spacing w:line="360" w:lineRule="auto"/>
              <w:rPr>
                <w:rFonts w:hAnsi="宋体" w:cs="宋体"/>
                <w:color w:val="auto"/>
                <w:sz w:val="21"/>
                <w:highlight w:val="none"/>
              </w:rPr>
            </w:pPr>
            <w:r>
              <w:rPr>
                <w:rFonts w:hint="eastAsia" w:hAnsi="宋体" w:cs="宋体"/>
                <w:color w:val="auto"/>
                <w:sz w:val="21"/>
                <w:highlight w:val="none"/>
              </w:rPr>
              <w:t>4.自然人竞标的，磋商文件规定盖公章处由自然人摁手指指印。</w:t>
            </w:r>
          </w:p>
          <w:p w14:paraId="2D8E2BA3">
            <w:pPr>
              <w:pStyle w:val="16"/>
              <w:snapToGrid w:val="0"/>
              <w:spacing w:line="360" w:lineRule="auto"/>
              <w:rPr>
                <w:rFonts w:hAnsi="宋体" w:cs="宋体"/>
                <w:color w:val="auto"/>
                <w:sz w:val="21"/>
                <w:highlight w:val="none"/>
              </w:rPr>
            </w:pPr>
            <w:r>
              <w:rPr>
                <w:rFonts w:hint="eastAsia" w:hAnsi="宋体" w:cs="宋体"/>
                <w:color w:val="auto"/>
                <w:sz w:val="21"/>
                <w:highlight w:val="none"/>
              </w:rPr>
              <w:t>5.本磋商文件所称的“以上”“以下”“以内”“届满”，包括本数；所称的“不满”“超过”“以外”，不包括本数。</w:t>
            </w:r>
          </w:p>
        </w:tc>
      </w:tr>
    </w:tbl>
    <w:p w14:paraId="2325FA1D">
      <w:pPr>
        <w:pStyle w:val="3"/>
        <w:spacing w:line="420" w:lineRule="exact"/>
        <w:jc w:val="center"/>
        <w:rPr>
          <w:rFonts w:ascii="宋体" w:hAnsi="宋体" w:cs="宋体"/>
          <w:b w:val="0"/>
          <w:color w:val="auto"/>
          <w:highlight w:val="none"/>
        </w:rPr>
      </w:pPr>
      <w:r>
        <w:rPr>
          <w:rFonts w:hint="eastAsia" w:ascii="宋体" w:hAnsi="宋体" w:cs="宋体"/>
          <w:bCs w:val="0"/>
          <w:color w:val="auto"/>
          <w:highlight w:val="none"/>
        </w:rPr>
        <w:br w:type="page"/>
      </w:r>
      <w:bookmarkStart w:id="41" w:name="_Toc23846"/>
      <w:r>
        <w:rPr>
          <w:rFonts w:hint="eastAsia" w:ascii="宋体" w:hAnsi="宋体" w:cs="宋体"/>
          <w:b w:val="0"/>
          <w:color w:val="auto"/>
          <w:highlight w:val="none"/>
        </w:rPr>
        <w:t>第二节 供应商须知正文</w:t>
      </w:r>
      <w:bookmarkEnd w:id="41"/>
    </w:p>
    <w:p w14:paraId="4C76E1F6">
      <w:pPr>
        <w:pStyle w:val="4"/>
        <w:spacing w:before="0" w:after="0" w:line="360" w:lineRule="auto"/>
        <w:ind w:firstLine="640" w:firstLineChars="200"/>
        <w:rPr>
          <w:rFonts w:ascii="宋体" w:hAnsi="宋体" w:cs="宋体"/>
          <w:b w:val="0"/>
          <w:color w:val="auto"/>
          <w:highlight w:val="none"/>
        </w:rPr>
      </w:pPr>
      <w:bookmarkStart w:id="42" w:name="_Toc20691"/>
      <w:r>
        <w:rPr>
          <w:rFonts w:hint="eastAsia" w:ascii="宋体" w:hAnsi="宋体" w:cs="宋体"/>
          <w:b w:val="0"/>
          <w:color w:val="auto"/>
          <w:highlight w:val="none"/>
        </w:rPr>
        <w:t>一、总则</w:t>
      </w:r>
      <w:bookmarkEnd w:id="42"/>
    </w:p>
    <w:p w14:paraId="52B72E0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1.适用范围</w:t>
      </w:r>
    </w:p>
    <w:p w14:paraId="2E69C2F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6DCA70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32C7A61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2.定义</w:t>
      </w:r>
    </w:p>
    <w:p w14:paraId="0E6B4B6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7AF83F9B">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14:paraId="454B15F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3ACC270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2.4“服务”是指除货物和工程以外的其他政府采购对象。</w:t>
      </w:r>
    </w:p>
    <w:p w14:paraId="4747B53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2.5“竞标”是指供应商按照本项目竞争性磋商公告或者邀请函规定的方式获取磋商文件、提交响应文件并希望获得标的的行为。</w:t>
      </w:r>
    </w:p>
    <w:p w14:paraId="7202263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2.6“响应文件”</w:t>
      </w:r>
      <w:r>
        <w:rPr>
          <w:rFonts w:hint="eastAsia" w:ascii="宋体" w:hAnsi="宋体" w:cs="宋体"/>
          <w:color w:val="auto"/>
          <w:spacing w:val="-6"/>
          <w:szCs w:val="21"/>
          <w:highlight w:val="none"/>
        </w:rPr>
        <w:t>是指：供应商根据本磋商文件要求，编制包含资格证明、报价商务技术等所有内容的文件。</w:t>
      </w:r>
    </w:p>
    <w:p w14:paraId="4B7AB47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2.7“实质性要求”是指磋商文件中已经指明不满足则响应文件按无效响应处理的条款，或者不能负偏离的条款，或者采购需求中带“▲”的条款。</w:t>
      </w:r>
    </w:p>
    <w:p w14:paraId="1FA1033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2.8“正偏离”，是指响应文件对磋商文件“采购需求”中有关条款作出的响应优于条款要求并有利于采购人的情形。</w:t>
      </w:r>
    </w:p>
    <w:p w14:paraId="631A69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2.9“负偏离”，是指响应文件对磋商文件“采购需求”中有关条款作出的响应不满足条款要求，导致采购人要求不能得到满足的情形。</w:t>
      </w:r>
    </w:p>
    <w:p w14:paraId="5769C98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p>
    <w:p w14:paraId="08F404D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2.11“书面形式”是指合同书、信件和数据电文（包括电报、电传、传真、电子数据交换和电子邮件）等可以有形地表现所载内容的形式。</w:t>
      </w:r>
    </w:p>
    <w:p w14:paraId="232EE04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2.12“首次报价”是指供应商提交的首次响应文件中的报价。</w:t>
      </w:r>
    </w:p>
    <w:p w14:paraId="4242798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2.13“评审报价”是指供应商提交的最后报价并经修正（如有）和政策功能价格扣除（如有）后的价格。</w:t>
      </w:r>
    </w:p>
    <w:p w14:paraId="130E121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3.供应商的资格条件</w:t>
      </w:r>
    </w:p>
    <w:p w14:paraId="6A29926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51D331D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4.磋商费用</w:t>
      </w:r>
    </w:p>
    <w:p w14:paraId="02D2300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供应商应承担参与本次采购活动有关的所有费用，包括但不限于、勘查现场、编制和提交响应文件、参加磋商与应答、签订合同等，不论竞标结果如何，均应自行承担。</w:t>
      </w:r>
    </w:p>
    <w:p w14:paraId="426D44A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5.联合体竞标</w:t>
      </w:r>
    </w:p>
    <w:p w14:paraId="526F6AF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01D198C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s="宋体"/>
          <w:color w:val="auto"/>
          <w:highlight w:val="none"/>
        </w:rPr>
        <w:t>如接受联合体竞标，</w:t>
      </w:r>
      <w:r>
        <w:rPr>
          <w:rFonts w:hint="eastAsia" w:ascii="宋体" w:hAnsi="宋体" w:cs="宋体"/>
          <w:color w:val="auto"/>
          <w:szCs w:val="21"/>
          <w:highlight w:val="none"/>
        </w:rPr>
        <w:t>联合体竞标要求详见“供应商须知前附表”。</w:t>
      </w:r>
    </w:p>
    <w:p w14:paraId="07613B84">
      <w:pPr>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5.3根据《政府采购促进中小企业发展管理办法》（财库[2020]46号）第九条及《广西壮族自治区财政厅关于进一步发挥政府采购政策功能促进企业发展的通知》（桂财采〔2022〕30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2B42F7F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6.转包与分包             </w:t>
      </w:r>
    </w:p>
    <w:p w14:paraId="0D5E6EF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6.1本项目是否允许分包详见“供应商须知前附表”，本项目不允许违法分包。</w:t>
      </w:r>
    </w:p>
    <w:p w14:paraId="330D873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根据《政府采购促进中小企业发展管理办法》（财库[2020]46号）第九条及《广西壮族自治区财政厅关于进一步发挥政府采购政策功能促进企业发展的通知》（桂财采〔2022〕30号）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46372F33">
      <w:pPr>
        <w:spacing w:line="360" w:lineRule="auto"/>
        <w:ind w:firstLine="482" w:firstLineChars="200"/>
        <w:rPr>
          <w:rFonts w:ascii="宋体" w:hAnsi="宋体" w:cs="宋体"/>
          <w:b/>
          <w:bCs/>
          <w:color w:val="auto"/>
          <w:sz w:val="24"/>
          <w:highlight w:val="none"/>
        </w:rPr>
      </w:pPr>
      <w:bookmarkStart w:id="43" w:name="_Toc254970673"/>
      <w:bookmarkStart w:id="44" w:name="_Toc254970532"/>
      <w:r>
        <w:rPr>
          <w:rFonts w:hint="eastAsia" w:ascii="宋体" w:hAnsi="宋体" w:cs="宋体"/>
          <w:b/>
          <w:bCs/>
          <w:color w:val="auto"/>
          <w:sz w:val="24"/>
          <w:highlight w:val="none"/>
        </w:rPr>
        <w:t>7.特别说明</w:t>
      </w:r>
      <w:bookmarkEnd w:id="43"/>
      <w:bookmarkEnd w:id="44"/>
    </w:p>
    <w:p w14:paraId="34C6765F">
      <w:pPr>
        <w:spacing w:line="360" w:lineRule="auto"/>
        <w:ind w:firstLine="420" w:firstLineChars="200"/>
        <w:rPr>
          <w:rFonts w:ascii="宋体" w:hAnsi="宋体" w:cs="宋体"/>
          <w:color w:val="auto"/>
          <w:szCs w:val="21"/>
          <w:highlight w:val="none"/>
        </w:rPr>
      </w:pPr>
      <w:bookmarkStart w:id="45" w:name="_8.1提供相同品牌产品且通过资格审查、符合性审查的不同投标人参加同一合"/>
      <w:bookmarkEnd w:id="45"/>
      <w:r>
        <w:rPr>
          <w:rFonts w:hint="eastAsia" w:ascii="宋体" w:hAnsi="宋体" w:cs="宋体"/>
          <w:color w:val="auto"/>
          <w:szCs w:val="21"/>
          <w:highlight w:val="none"/>
        </w:rPr>
        <w:t>7.1</w:t>
      </w:r>
      <w:bookmarkStart w:id="46" w:name="_Hlk65832145"/>
      <w:r>
        <w:rPr>
          <w:rFonts w:hint="eastAsia" w:ascii="宋体" w:hAnsi="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46"/>
    <w:p w14:paraId="5CEC3E3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7.2供应商应仔细阅读磋商文件的所有内容，按照磋商文件的要求提交响应文件，并对所提供的全部资料的真实性承担法律责任。</w:t>
      </w:r>
    </w:p>
    <w:p w14:paraId="0634C2B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5D357DF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7.4在政府采购活动中，采购人员及相关人员与供应商有下列利害关系之一的，应当回避：</w:t>
      </w:r>
    </w:p>
    <w:p w14:paraId="3EC354D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52F540D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5229944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2EB2DDF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251A853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39E8E6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ABD7ED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7.5有下列情形之一的视为供应商相互串通竞标，响应文件将被视为无效：</w:t>
      </w:r>
    </w:p>
    <w:p w14:paraId="54BE61A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（1）不同供应商的响应文件由同一单位或者个人编制；或者不同供应商报名的IP地址一致的；或者编制响应文件硬件设备CPU编号、硬盘编号、网卡地址一致的情况。 </w:t>
      </w:r>
    </w:p>
    <w:p w14:paraId="297EFB1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6A5B7F3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37E87F3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0CF2495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77D60DEF">
      <w:pPr>
        <w:tabs>
          <w:tab w:val="left" w:pos="693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hint="eastAsia" w:ascii="宋体" w:hAnsi="宋体" w:cs="宋体"/>
          <w:color w:val="auto"/>
          <w:szCs w:val="21"/>
          <w:highlight w:val="none"/>
        </w:rPr>
        <w:tab/>
      </w:r>
    </w:p>
    <w:p w14:paraId="7A9ECAD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7.6供应商有下列情形之一的，属于恶意串通行为，将报同级监督管理部门：</w:t>
      </w:r>
    </w:p>
    <w:p w14:paraId="54E79D3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2DBBE69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213E7EA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4D2F25E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77F4328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1844ACA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761082F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19EF6BC4">
      <w:pPr>
        <w:pStyle w:val="4"/>
        <w:spacing w:before="0" w:after="0" w:line="360" w:lineRule="auto"/>
        <w:ind w:firstLine="640" w:firstLineChars="200"/>
        <w:rPr>
          <w:rFonts w:ascii="宋体" w:hAnsi="宋体" w:cs="宋体"/>
          <w:b w:val="0"/>
          <w:bCs w:val="0"/>
          <w:color w:val="auto"/>
          <w:highlight w:val="none"/>
        </w:rPr>
      </w:pPr>
      <w:bookmarkStart w:id="47" w:name="_Toc254970534"/>
      <w:bookmarkStart w:id="48" w:name="_Toc254970675"/>
      <w:bookmarkStart w:id="49" w:name="_Toc5567"/>
      <w:r>
        <w:rPr>
          <w:rFonts w:hint="eastAsia" w:ascii="宋体" w:hAnsi="宋体" w:cs="宋体"/>
          <w:b w:val="0"/>
          <w:bCs w:val="0"/>
          <w:color w:val="auto"/>
          <w:highlight w:val="none"/>
        </w:rPr>
        <w:t>二、磋商文件</w:t>
      </w:r>
      <w:bookmarkEnd w:id="47"/>
      <w:bookmarkEnd w:id="48"/>
      <w:bookmarkEnd w:id="49"/>
    </w:p>
    <w:p w14:paraId="7F1AC2B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8.磋商文件的构成</w:t>
      </w:r>
    </w:p>
    <w:p w14:paraId="7DA09BE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第一章 竞争性磋商公告；</w:t>
      </w:r>
    </w:p>
    <w:p w14:paraId="020D802B">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第二章 采购需求；</w:t>
      </w:r>
    </w:p>
    <w:p w14:paraId="09C99F8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第三章 供应商须知； </w:t>
      </w:r>
    </w:p>
    <w:p w14:paraId="5199E2F5">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第四章 评审程序、评审方法和评审标准；</w:t>
      </w:r>
    </w:p>
    <w:p w14:paraId="00BD9FF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第五章 响应文件格式；</w:t>
      </w:r>
    </w:p>
    <w:p w14:paraId="340C0984">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第六章 合同文本；</w:t>
      </w:r>
    </w:p>
    <w:p w14:paraId="296AEF7F">
      <w:pPr>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第七章 工程量清单</w:t>
      </w:r>
    </w:p>
    <w:p w14:paraId="437AB1A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w:t>
      </w:r>
      <w:r>
        <w:rPr>
          <w:rFonts w:hint="eastAsia" w:ascii="宋体" w:hAnsi="宋体" w:cs="宋体"/>
          <w:color w:val="auto"/>
          <w:szCs w:val="21"/>
          <w:highlight w:val="none"/>
          <w:lang w:val="en-US" w:eastAsia="zh-CN"/>
        </w:rPr>
        <w:t>八</w:t>
      </w:r>
      <w:r>
        <w:rPr>
          <w:rFonts w:hint="eastAsia" w:ascii="宋体" w:hAnsi="宋体" w:cs="宋体"/>
          <w:color w:val="auto"/>
          <w:szCs w:val="21"/>
          <w:highlight w:val="none"/>
        </w:rPr>
        <w:t>章 质疑、投诉材料格式。</w:t>
      </w:r>
    </w:p>
    <w:p w14:paraId="023E513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9.供应商的询问</w:t>
      </w:r>
    </w:p>
    <w:p w14:paraId="5D04BBD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358688FE">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10.磋商文件的澄清和修改</w:t>
      </w:r>
    </w:p>
    <w:p w14:paraId="3EEBA37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23A3F953">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280AE1F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目前为网上公告和系统短信等形式）通知所有获取磋商文件的供应商，不足5日的，应当顺延提交首次响应文件截止之日。</w:t>
      </w:r>
    </w:p>
    <w:p w14:paraId="67170ED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10.4</w:t>
      </w:r>
      <w:r>
        <w:rPr>
          <w:rFonts w:hint="eastAsia" w:ascii="宋体" w:hAnsi="宋体" w:cs="宋体"/>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19BE42F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14:paraId="04C0061C">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r>
        <w:rPr>
          <w:rFonts w:hint="eastAsia" w:ascii="宋体" w:hAnsi="宋体" w:cs="宋体"/>
          <w:b/>
          <w:color w:val="auto"/>
          <w:kern w:val="0"/>
          <w:sz w:val="21"/>
          <w:szCs w:val="21"/>
          <w:highlight w:val="none"/>
        </w:rPr>
        <w:t>响应文件未按磋商文件的澄清、修改的内容编制，又不符合实质性要求的，其响应文件作无效处理。</w:t>
      </w:r>
    </w:p>
    <w:p w14:paraId="73CA6C3D">
      <w:pPr>
        <w:pStyle w:val="4"/>
        <w:spacing w:before="0" w:after="0" w:line="360" w:lineRule="auto"/>
        <w:ind w:firstLine="640" w:firstLineChars="200"/>
        <w:rPr>
          <w:rFonts w:ascii="宋体" w:hAnsi="宋体" w:cs="宋体"/>
          <w:b w:val="0"/>
          <w:bCs w:val="0"/>
          <w:color w:val="auto"/>
          <w:highlight w:val="none"/>
        </w:rPr>
      </w:pPr>
      <w:bookmarkStart w:id="50" w:name="_Toc18770"/>
      <w:r>
        <w:rPr>
          <w:rFonts w:hint="eastAsia" w:ascii="宋体" w:hAnsi="宋体" w:cs="宋体"/>
          <w:b w:val="0"/>
          <w:bCs w:val="0"/>
          <w:color w:val="auto"/>
          <w:highlight w:val="none"/>
        </w:rPr>
        <w:t>三、响应文件的编制</w:t>
      </w:r>
      <w:bookmarkEnd w:id="50"/>
    </w:p>
    <w:p w14:paraId="1AD2573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11.响应文件的编制原则</w:t>
      </w:r>
    </w:p>
    <w:p w14:paraId="7F96760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38743E4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12.响应文件的组成</w:t>
      </w:r>
    </w:p>
    <w:p w14:paraId="598A6A4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12.1响应文件由资格证明文件、报价文件、商务和技术文件三部分组成。</w:t>
      </w:r>
    </w:p>
    <w:p w14:paraId="0205D0D3">
      <w:pPr>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12.1.1资格证明文件：详见须知前附表</w:t>
      </w:r>
    </w:p>
    <w:p w14:paraId="0FEB79CA">
      <w:pPr>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12.1.2商务技术文件：详见须知前附表</w:t>
      </w:r>
    </w:p>
    <w:p w14:paraId="0C3036DB">
      <w:pPr>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12.1.3报价文件：详见须知前附表</w:t>
      </w:r>
    </w:p>
    <w:p w14:paraId="2124189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12.2响应文件电子版：详见须知前附表</w:t>
      </w:r>
    </w:p>
    <w:p w14:paraId="66C7AB5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13.计量单位</w:t>
      </w:r>
    </w:p>
    <w:p w14:paraId="06626CE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73141C5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14.竞标的风险</w:t>
      </w:r>
    </w:p>
    <w:p w14:paraId="7ECB15F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7FFF942C">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15.响应报价要求和构成</w:t>
      </w:r>
    </w:p>
    <w:p w14:paraId="1AF2B468">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15.1响应报价应按“第五章 响应文件格式”中“响应报价表”格式填写。</w:t>
      </w:r>
    </w:p>
    <w:p w14:paraId="5823F633">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15.2响应报价的价格构成见“供应商须知前附表”。</w:t>
      </w:r>
    </w:p>
    <w:p w14:paraId="470FB5E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15.3响应报价要求</w:t>
      </w:r>
    </w:p>
    <w:p w14:paraId="3DA8B84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15.3.1供应商的响应报价应符合以下要求，否则响应文件按无效响应处理：</w:t>
      </w:r>
    </w:p>
    <w:p w14:paraId="678AA87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（1）供应商必须就“采购需求”中所竞标的每个分标的全部内容分别作完整唯一总价报价，不得存在漏项报价；</w:t>
      </w:r>
    </w:p>
    <w:p w14:paraId="089656C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（2）供应商必须就所竞标的分标的单项内容作唯一报价。</w:t>
      </w:r>
    </w:p>
    <w:p w14:paraId="2D1D5E0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15.3.2响应报价（包含首次报价、最后报价）超过所竞标分标规定的采购预算金额或者最高限价的，其响应文件将作无效处理。</w:t>
      </w:r>
    </w:p>
    <w:p w14:paraId="146DE82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15.3.3</w:t>
      </w:r>
      <w:bookmarkStart w:id="51" w:name="_Hlk42592874"/>
      <w:r>
        <w:rPr>
          <w:rFonts w:hint="eastAsia" w:ascii="宋体" w:hAnsi="宋体" w:cs="宋体"/>
          <w:color w:val="auto"/>
          <w:szCs w:val="21"/>
          <w:highlight w:val="none"/>
        </w:rPr>
        <w:t>响应报价（包含首次报价、最后报价）超过分项采购预算金额或者最高限价的，其响应文件将作无效处理。</w:t>
      </w:r>
    </w:p>
    <w:bookmarkEnd w:id="51"/>
    <w:p w14:paraId="2BEC9F1C">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16.竞标有效期</w:t>
      </w:r>
    </w:p>
    <w:p w14:paraId="161F190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6375A0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0CC186A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5C27753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17.磋商保证金</w:t>
      </w:r>
    </w:p>
    <w:p w14:paraId="7A9E96F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详见“供应商须知前附表”。</w:t>
      </w:r>
    </w:p>
    <w:p w14:paraId="1CA1EAC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18.响应文件编制的要求</w:t>
      </w:r>
    </w:p>
    <w:p w14:paraId="569C152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cs="宋体"/>
          <w:color w:val="auto"/>
          <w:highlight w:val="none"/>
        </w:rPr>
        <w:t>由此引发的</w:t>
      </w:r>
      <w:r>
        <w:rPr>
          <w:rFonts w:hint="eastAsia" w:ascii="宋体" w:hAnsi="宋体" w:cs="宋体"/>
          <w:color w:val="auto"/>
          <w:szCs w:val="21"/>
          <w:highlight w:val="none"/>
        </w:rPr>
        <w:t>后果由供应商承担。</w:t>
      </w:r>
    </w:p>
    <w:p w14:paraId="2476D89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18.2响应文件应按资格证明、报价分别编制，商务技术文件合并编制，本磋商只接受电子版响应文件，要求见本章“12.2响应文件电子版要求”。</w:t>
      </w:r>
    </w:p>
    <w:p w14:paraId="1417241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w:t>
      </w:r>
      <w:bookmarkStart w:id="52" w:name="_Hlk65832699"/>
      <w:r>
        <w:rPr>
          <w:rFonts w:hint="eastAsia" w:ascii="宋体" w:hAnsi="宋体" w:cs="宋体"/>
          <w:color w:val="auto"/>
          <w:szCs w:val="21"/>
          <w:highlight w:val="none"/>
        </w:rPr>
        <w:t>3响应文件须由供应商在</w:t>
      </w:r>
      <w:r>
        <w:rPr>
          <w:rFonts w:hint="eastAsia" w:ascii="宋体" w:hAnsi="宋体" w:cs="宋体"/>
          <w:color w:val="auto"/>
          <w:kern w:val="0"/>
          <w:szCs w:val="21"/>
          <w:highlight w:val="none"/>
          <w:lang w:val="zh-CN"/>
        </w:rPr>
        <w:t>“</w:t>
      </w:r>
      <w:r>
        <w:rPr>
          <w:rFonts w:hint="eastAsia" w:ascii="宋体" w:hAnsi="宋体" w:cs="宋体"/>
          <w:color w:val="auto"/>
          <w:szCs w:val="21"/>
          <w:highlight w:val="none"/>
        </w:rPr>
        <w:t>第五章 响应文件格式</w:t>
      </w:r>
      <w:r>
        <w:rPr>
          <w:rFonts w:hint="eastAsia" w:ascii="宋体" w:hAnsi="宋体" w:cs="宋体"/>
          <w:color w:val="auto"/>
          <w:kern w:val="0"/>
          <w:szCs w:val="21"/>
          <w:highlight w:val="none"/>
          <w:lang w:val="zh-CN"/>
        </w:rPr>
        <w:t>”</w:t>
      </w:r>
      <w:r>
        <w:rPr>
          <w:rFonts w:hint="eastAsia" w:ascii="宋体" w:hAnsi="宋体" w:cs="宋体"/>
          <w:color w:val="auto"/>
          <w:szCs w:val="21"/>
          <w:highlight w:val="none"/>
        </w:rPr>
        <w:t>规定位置进行签署、盖章</w:t>
      </w:r>
      <w:bookmarkEnd w:id="52"/>
      <w:r>
        <w:rPr>
          <w:rFonts w:hint="eastAsia" w:ascii="宋体" w:hAnsi="宋体" w:cs="宋体"/>
          <w:color w:val="auto"/>
          <w:szCs w:val="21"/>
          <w:highlight w:val="none"/>
        </w:rPr>
        <w:t>，否则其响应文件按无效响应处理。骑缝盖公章不视为在规定位置盖章。</w:t>
      </w:r>
    </w:p>
    <w:p w14:paraId="4DBF2DC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18.4响应文件中标注的供应商名称应与营业执照（事业单位法人证书、执业许可证、自然人身份证）及电子公章一致，否则其响应文件按无效响应处理。</w:t>
      </w:r>
    </w:p>
    <w:p w14:paraId="1706F4E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18.5响应文件应避免涂改、行间插字或者删除，否则其响应文件按无效响应处理。</w:t>
      </w:r>
    </w:p>
    <w:p w14:paraId="49F9503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19.响应文件的密封和标记</w:t>
      </w:r>
    </w:p>
    <w:p w14:paraId="5A933C6E">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19.1供应商进行电子交易应安装客户端软件—“广西政府采购云平台电子交易客户端”，并按照磋商文件和电子交易平台的要求编制并加密响应文件。供应商未按规定加密的响应文件，电子交易平台将拒收并提示。</w:t>
      </w:r>
    </w:p>
    <w:p w14:paraId="6945AEB9">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19.2使用“广西政府采购云平台电子交易客户端”需要提前申领CA数字证书，申领流程见该项目采购公告附件。</w:t>
      </w:r>
    </w:p>
    <w:p w14:paraId="113B54A5">
      <w:pPr>
        <w:pStyle w:val="16"/>
        <w:spacing w:line="360" w:lineRule="auto"/>
        <w:ind w:firstLine="420" w:firstLineChars="200"/>
        <w:rPr>
          <w:rFonts w:hAnsi="宋体" w:cs="宋体"/>
          <w:color w:val="auto"/>
          <w:sz w:val="21"/>
          <w:highlight w:val="none"/>
        </w:rPr>
      </w:pPr>
      <w:r>
        <w:rPr>
          <w:rFonts w:hint="eastAsia" w:hAnsi="宋体" w:cs="宋体"/>
          <w:color w:val="auto"/>
          <w:sz w:val="21"/>
          <w:highlight w:val="none"/>
        </w:rPr>
        <w:t>19.3为确保网上操作合法、有效和安全，供应商应当在响应文件提交截止时间前完成在“政府采购云平台”的身份认证，确保在电子交易过程中能够对相关数据电文进行加密和使用电子签名。</w:t>
      </w:r>
    </w:p>
    <w:p w14:paraId="3DD6C67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20.响应文件的提交</w:t>
      </w:r>
    </w:p>
    <w:p w14:paraId="47A4A5A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20.1供应商必须在“供应商须知前附表”规定的时间和地点提交响应文件。</w:t>
      </w:r>
    </w:p>
    <w:p w14:paraId="1F1EA5C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20.2 在响应文件提交截止时间以后，不能补充、修改响应文件。</w:t>
      </w:r>
    </w:p>
    <w:p w14:paraId="7466C23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20.3 在提交“最后报价”后，供应商不能退出谈判。</w:t>
      </w:r>
    </w:p>
    <w:p w14:paraId="7DEA7F8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7DDDB3E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20.5 采购机构不可视情况延长提交响应文件的截止时间。</w:t>
      </w:r>
    </w:p>
    <w:p w14:paraId="6B9E1E1F">
      <w:pPr>
        <w:spacing w:line="360" w:lineRule="auto"/>
        <w:ind w:firstLine="420" w:firstLineChars="200"/>
        <w:rPr>
          <w:rFonts w:ascii="宋体" w:hAnsi="宋体" w:cs="宋体"/>
          <w:color w:val="auto"/>
          <w:sz w:val="24"/>
          <w:highlight w:val="none"/>
        </w:rPr>
      </w:pPr>
      <w:r>
        <w:rPr>
          <w:rFonts w:hint="eastAsia" w:ascii="宋体" w:hAnsi="宋体" w:cs="宋体"/>
          <w:color w:val="auto"/>
          <w:szCs w:val="21"/>
          <w:highlight w:val="none"/>
        </w:rPr>
        <w:t>20.6备份响应文件。</w:t>
      </w:r>
      <w:r>
        <w:rPr>
          <w:rFonts w:hint="eastAsia" w:ascii="宋体" w:hAnsi="宋体" w:cs="宋体"/>
          <w:bCs/>
          <w:color w:val="auto"/>
          <w:szCs w:val="21"/>
          <w:highlight w:val="none"/>
        </w:rPr>
        <w:t>详见在“供应商须知前附表”。</w:t>
      </w:r>
    </w:p>
    <w:p w14:paraId="3DFBB1D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21.首次响应文件的补充、修改与撤回</w:t>
      </w:r>
    </w:p>
    <w:p w14:paraId="2B3721E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详见“供应商须知前附表”。</w:t>
      </w:r>
    </w:p>
    <w:p w14:paraId="3C0B1C59">
      <w:pPr>
        <w:spacing w:line="360" w:lineRule="auto"/>
        <w:ind w:firstLine="482" w:firstLineChars="200"/>
        <w:rPr>
          <w:rFonts w:ascii="宋体" w:hAnsi="宋体" w:cs="宋体"/>
          <w:b/>
          <w:bCs/>
          <w:color w:val="auto"/>
          <w:sz w:val="24"/>
          <w:highlight w:val="none"/>
        </w:rPr>
      </w:pPr>
      <w:bookmarkStart w:id="53" w:name="_Hlk45702405"/>
      <w:r>
        <w:rPr>
          <w:rFonts w:hint="eastAsia" w:ascii="宋体" w:hAnsi="宋体" w:cs="宋体"/>
          <w:b/>
          <w:bCs/>
          <w:color w:val="auto"/>
          <w:sz w:val="24"/>
          <w:highlight w:val="none"/>
        </w:rPr>
        <w:t>22. 首次响应文件的退回</w:t>
      </w:r>
    </w:p>
    <w:p w14:paraId="7362624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在首次响应文件提交截止时间止提交响应文件的供应商不足3家时电子响应文件由代理机构在“广西政府采购云平台”平台操作退回，除此之外采购人和采购代理机构对已提交的电子响应文件概不退回。</w:t>
      </w:r>
    </w:p>
    <w:p w14:paraId="1E7C9A3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23. 截止时间后的撤回</w:t>
      </w:r>
    </w:p>
    <w:p w14:paraId="3D910E4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本项目不收取磋商保证金，供应商在首次响应文件提交截止时间后可向采购人、采购代理机构书面申请撤回电子响应文件。</w:t>
      </w:r>
      <w:bookmarkEnd w:id="53"/>
    </w:p>
    <w:p w14:paraId="0F0A35E1">
      <w:pPr>
        <w:pStyle w:val="4"/>
        <w:spacing w:before="0" w:after="0" w:line="360" w:lineRule="auto"/>
        <w:ind w:firstLine="640" w:firstLineChars="200"/>
        <w:rPr>
          <w:rFonts w:ascii="宋体" w:hAnsi="宋体" w:cs="宋体"/>
          <w:b w:val="0"/>
          <w:bCs w:val="0"/>
          <w:color w:val="auto"/>
          <w:highlight w:val="none"/>
        </w:rPr>
      </w:pPr>
      <w:bookmarkStart w:id="54" w:name="_Toc16642"/>
      <w:r>
        <w:rPr>
          <w:rFonts w:hint="eastAsia" w:ascii="宋体" w:hAnsi="宋体" w:cs="宋体"/>
          <w:b w:val="0"/>
          <w:bCs w:val="0"/>
          <w:color w:val="auto"/>
          <w:highlight w:val="none"/>
        </w:rPr>
        <w:t>四、评审及磋商</w:t>
      </w:r>
      <w:bookmarkEnd w:id="54"/>
    </w:p>
    <w:p w14:paraId="08CE481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24.磋商小组成立</w:t>
      </w:r>
    </w:p>
    <w:p w14:paraId="61B914E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171A2C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712EFEA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25.首次响应文件的开启</w:t>
      </w:r>
    </w:p>
    <w:p w14:paraId="3B2FEE3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25.1首次响应文件由磋商小组或者采购代理机构在“供应商须知前附表”规定的时间开启。</w:t>
      </w:r>
    </w:p>
    <w:p w14:paraId="5EB1873F">
      <w:pPr>
        <w:pStyle w:val="16"/>
        <w:spacing w:line="360" w:lineRule="auto"/>
        <w:ind w:firstLine="420" w:firstLineChars="200"/>
        <w:rPr>
          <w:rFonts w:hAnsi="宋体" w:cs="宋体"/>
          <w:bCs/>
          <w:color w:val="auto"/>
          <w:sz w:val="21"/>
          <w:highlight w:val="none"/>
        </w:rPr>
      </w:pPr>
      <w:r>
        <w:rPr>
          <w:rFonts w:hint="eastAsia" w:hAnsi="宋体" w:cs="宋体"/>
          <w:color w:val="auto"/>
          <w:sz w:val="21"/>
          <w:highlight w:val="none"/>
        </w:rPr>
        <w:t xml:space="preserve">25.2 </w:t>
      </w:r>
      <w:r>
        <w:rPr>
          <w:rFonts w:hint="eastAsia" w:hAnsi="宋体" w:cs="宋体"/>
          <w:bCs/>
          <w:color w:val="auto"/>
          <w:sz w:val="21"/>
          <w:highlight w:val="none"/>
        </w:rPr>
        <w:t>响应文件解密</w:t>
      </w:r>
    </w:p>
    <w:p w14:paraId="0C4DEF4F">
      <w:pPr>
        <w:pStyle w:val="16"/>
        <w:snapToGrid w:val="0"/>
        <w:spacing w:line="360" w:lineRule="auto"/>
        <w:ind w:firstLine="420" w:firstLineChars="200"/>
        <w:rPr>
          <w:rFonts w:hAnsi="宋体" w:cs="宋体"/>
          <w:color w:val="auto"/>
          <w:sz w:val="21"/>
          <w:highlight w:val="none"/>
        </w:rPr>
      </w:pPr>
      <w:r>
        <w:rPr>
          <w:rFonts w:hint="eastAsia" w:hAnsi="宋体" w:cs="宋体"/>
          <w:bCs/>
          <w:color w:val="auto"/>
          <w:sz w:val="21"/>
          <w:highlight w:val="none"/>
        </w:rPr>
        <w:t>采购代理机构将在“供应商须知前附表”规定的时</w:t>
      </w:r>
      <w:r>
        <w:rPr>
          <w:rFonts w:hint="eastAsia" w:hAnsi="宋体" w:cs="宋体"/>
          <w:color w:val="auto"/>
          <w:sz w:val="21"/>
          <w:highlight w:val="none"/>
        </w:rPr>
        <w:t>间通过电子交易平台组织响应文件开启，采购机构依托电子交易平台发起开始解密指令，供应商的法定代表人或其委托代理人</w:t>
      </w:r>
      <w:r>
        <w:rPr>
          <w:rFonts w:hint="eastAsia" w:hAnsi="宋体" w:cs="宋体"/>
          <w:b/>
          <w:color w:val="auto"/>
          <w:sz w:val="21"/>
          <w:highlight w:val="none"/>
        </w:rPr>
        <w:t>须携带加密时所用的CA锁按平台提示和采购文件的规定登录到“广西政府采购云平台”平台电子开标大厅签到并在发起解密指令之时起30分钟内完成对电子响应文件在线解密</w:t>
      </w:r>
      <w:r>
        <w:rPr>
          <w:rFonts w:hint="eastAsia" w:hAnsi="宋体" w:cs="宋体"/>
          <w:color w:val="auto"/>
          <w:sz w:val="21"/>
          <w:highlight w:val="none"/>
        </w:rPr>
        <w:t>。发起解密指令之时起5分钟内供应商还未进行解密的，代理机构要通知供应商，供应商没预留联系方式或预留联系方式无效，导致代理机构无法联系到供应商进行解密的，</w:t>
      </w:r>
      <w:r>
        <w:rPr>
          <w:rFonts w:hint="eastAsia" w:hAnsi="宋体" w:cs="宋体"/>
          <w:b/>
          <w:color w:val="auto"/>
          <w:sz w:val="21"/>
          <w:highlight w:val="none"/>
        </w:rPr>
        <w:t>视为响应文件无效。</w:t>
      </w:r>
      <w:r>
        <w:rPr>
          <w:rFonts w:hint="eastAsia" w:hAnsi="宋体" w:cs="宋体"/>
          <w:color w:val="auto"/>
          <w:sz w:val="21"/>
          <w:highlight w:val="none"/>
        </w:rPr>
        <w:t>（解密</w:t>
      </w:r>
      <w:r>
        <w:rPr>
          <w:rFonts w:hint="eastAsia" w:hAnsi="宋体" w:cs="宋体"/>
          <w:bCs/>
          <w:color w:val="auto"/>
          <w:sz w:val="21"/>
          <w:highlight w:val="none"/>
        </w:rPr>
        <w:t>异常情况处理：详见本章</w:t>
      </w:r>
      <w:r>
        <w:rPr>
          <w:rFonts w:hint="eastAsia" w:hAnsi="宋体" w:cs="宋体"/>
          <w:color w:val="auto"/>
          <w:sz w:val="21"/>
          <w:highlight w:val="none"/>
        </w:rPr>
        <w:t>26.3 电子交易活动的中止。）</w:t>
      </w:r>
    </w:p>
    <w:p w14:paraId="67C6D0B1">
      <w:pPr>
        <w:pStyle w:val="16"/>
        <w:spacing w:line="360" w:lineRule="auto"/>
        <w:ind w:firstLine="420" w:firstLineChars="200"/>
        <w:rPr>
          <w:rFonts w:hAnsi="宋体" w:cs="宋体"/>
          <w:color w:val="auto"/>
          <w:sz w:val="21"/>
          <w:highlight w:val="none"/>
        </w:rPr>
      </w:pPr>
      <w:r>
        <w:rPr>
          <w:rFonts w:hint="eastAsia" w:hAnsi="宋体" w:cs="宋体"/>
          <w:color w:val="auto"/>
          <w:sz w:val="21"/>
          <w:highlight w:val="none"/>
        </w:rPr>
        <w:t>如</w:t>
      </w:r>
      <w:r>
        <w:rPr>
          <w:rFonts w:hint="eastAsia" w:hAnsi="宋体" w:cs="宋体"/>
          <w:bCs/>
          <w:color w:val="auto"/>
          <w:sz w:val="21"/>
          <w:highlight w:val="none"/>
        </w:rPr>
        <w:t>供应商成功解密响应文件，但未在“广西政府采购云平台”电子开标大厅参加谈判的，视同认可谈判过程和结果，</w:t>
      </w:r>
      <w:r>
        <w:rPr>
          <w:rFonts w:hint="eastAsia" w:hAnsi="宋体" w:cs="宋体"/>
          <w:color w:val="auto"/>
          <w:sz w:val="21"/>
          <w:highlight w:val="none"/>
        </w:rPr>
        <w:t>由此产生的后果由供应商自行负责。 参与谈判的供应商不足3家的，不得谈判。</w:t>
      </w:r>
    </w:p>
    <w:p w14:paraId="4D199E6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26.评审程序、评审方法和评审标准</w:t>
      </w:r>
    </w:p>
    <w:p w14:paraId="48CEA52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26.1磋商小组按照“第四章 评审程序、评审方法和评审标准”规定的方法、评审因素、标准和程序对响应文件进行评审。</w:t>
      </w:r>
    </w:p>
    <w:p w14:paraId="3401A11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26.2 磋商文件内容违反国家有关强制性规定的，磋商小组应当停止评审并向采购人或者采购代理机构说明情况，并在评审报告中书面体现。</w:t>
      </w:r>
    </w:p>
    <w:p w14:paraId="2F50986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26.3 采购需求负偏离要求及磋商顺序详见 “ 供应商须知前附表”。</w:t>
      </w:r>
    </w:p>
    <w:p w14:paraId="553EA78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26.4电子交易活动的中止。采购过程中出现以下情形，导致电子交易平台无法正常运行，或者无法保证电子交易的公平、公正和安全时，采购机构可中止电子交易活动：</w:t>
      </w:r>
    </w:p>
    <w:p w14:paraId="638C9E2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（1）电子交易平台发生故障而无法登录访问的； </w:t>
      </w:r>
    </w:p>
    <w:p w14:paraId="2D48529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14:paraId="19A6B41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（3）电子交易平台发现严重安全漏洞，有潜在泄密危险的；</w:t>
      </w:r>
    </w:p>
    <w:p w14:paraId="5F86A06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（4）病毒发作导致不能进行正常操作的； </w:t>
      </w:r>
    </w:p>
    <w:p w14:paraId="209F7F9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（5）其他无法保证电子交易的公平、公正和安全的情况。</w:t>
      </w:r>
    </w:p>
    <w:p w14:paraId="07EA185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496B9C54">
      <w:pPr>
        <w:pStyle w:val="4"/>
        <w:spacing w:before="0" w:after="0" w:line="360" w:lineRule="auto"/>
        <w:ind w:firstLine="480" w:firstLineChars="150"/>
        <w:rPr>
          <w:rFonts w:ascii="宋体" w:hAnsi="宋体" w:cs="宋体"/>
          <w:b w:val="0"/>
          <w:bCs w:val="0"/>
          <w:color w:val="auto"/>
          <w:highlight w:val="none"/>
        </w:rPr>
      </w:pPr>
      <w:bookmarkStart w:id="55" w:name="_Toc5736"/>
      <w:r>
        <w:rPr>
          <w:rFonts w:hint="eastAsia" w:ascii="宋体" w:hAnsi="宋体" w:cs="宋体"/>
          <w:b w:val="0"/>
          <w:bCs w:val="0"/>
          <w:color w:val="auto"/>
          <w:highlight w:val="none"/>
        </w:rPr>
        <w:t>五、成交及合同</w:t>
      </w:r>
      <w:bookmarkEnd w:id="55"/>
    </w:p>
    <w:p w14:paraId="6658B01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27.确定成交供应商及结果公告</w:t>
      </w:r>
    </w:p>
    <w:p w14:paraId="2CF2C27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27.1确定成交供应商。</w:t>
      </w:r>
      <w:r>
        <w:rPr>
          <w:rFonts w:hint="eastAsia" w:ascii="宋体" w:hAnsi="宋体" w:cs="宋体"/>
          <w:color w:val="auto"/>
          <w:kern w:val="0"/>
          <w:szCs w:val="21"/>
          <w:highlight w:val="none"/>
          <w:u w:val="single"/>
        </w:rPr>
        <w:t xml:space="preserve"> 由采购人直接委托评审专家确定</w:t>
      </w:r>
      <w:r>
        <w:rPr>
          <w:rFonts w:hint="eastAsia" w:ascii="宋体" w:hAnsi="宋体" w:cs="宋体"/>
          <w:color w:val="auto"/>
          <w:szCs w:val="21"/>
          <w:highlight w:val="none"/>
          <w:u w:val="single"/>
        </w:rPr>
        <w:t>，评审报告提出的排序第一的供应商为成交供应商。</w:t>
      </w:r>
    </w:p>
    <w:p w14:paraId="5F5DBC3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27.2成交通知及成交结果公告。</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w:t>
      </w:r>
      <w:r>
        <w:rPr>
          <w:rFonts w:hint="eastAsia" w:ascii="宋体" w:hAnsi="宋体" w:cs="宋体"/>
          <w:color w:val="auto"/>
          <w:kern w:val="0"/>
          <w:szCs w:val="21"/>
          <w:highlight w:val="none"/>
        </w:rPr>
        <w:t>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cs="宋体"/>
          <w:color w:val="auto"/>
          <w:szCs w:val="21"/>
          <w:highlight w:val="none"/>
        </w:rPr>
        <w:t>同时向成交供应商发出成交通知书，成交通知书规定签订合同的时间不得超过25日。</w:t>
      </w:r>
    </w:p>
    <w:p w14:paraId="1828643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27.3采购人或者采购代理机构发出成交通知书前，应当对成交供应商信用进行查询核实，对列入失信被执行人、</w:t>
      </w:r>
      <w:r>
        <w:rPr>
          <w:rFonts w:hint="eastAsia" w:ascii="宋体" w:hAnsi="宋体" w:cs="宋体"/>
          <w:color w:val="auto"/>
          <w:szCs w:val="21"/>
          <w:highlight w:val="none"/>
          <w:lang w:eastAsia="zh-CN"/>
        </w:rPr>
        <w:t>重大税收违法失信主体</w:t>
      </w:r>
      <w:r>
        <w:rPr>
          <w:rFonts w:hint="eastAsia" w:ascii="宋体" w:hAnsi="宋体" w:cs="宋体"/>
          <w:color w:val="auto"/>
          <w:szCs w:val="21"/>
          <w:highlight w:val="none"/>
        </w:rPr>
        <w:t>、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22F9649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72073F7A">
      <w:pPr>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27.5</w:t>
      </w:r>
      <w:r>
        <w:rPr>
          <w:rFonts w:hint="eastAsia" w:ascii="宋体" w:hAnsi="宋体" w:cs="宋体"/>
          <w:color w:val="auto"/>
          <w:szCs w:val="21"/>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4765F03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28.履约保证金</w:t>
      </w:r>
    </w:p>
    <w:p w14:paraId="2C4ACB94">
      <w:pPr>
        <w:spacing w:line="360" w:lineRule="auto"/>
        <w:ind w:firstLine="420" w:firstLineChars="200"/>
        <w:rPr>
          <w:rFonts w:ascii="宋体" w:hAnsi="宋体" w:cs="宋体"/>
          <w:b/>
          <w:bCs/>
          <w:color w:val="auto"/>
          <w:sz w:val="24"/>
          <w:highlight w:val="none"/>
        </w:rPr>
      </w:pPr>
      <w:r>
        <w:rPr>
          <w:rFonts w:hint="eastAsia" w:ascii="宋体" w:hAnsi="宋体" w:cs="宋体"/>
          <w:color w:val="auto"/>
          <w:szCs w:val="21"/>
          <w:highlight w:val="none"/>
        </w:rPr>
        <w:t>详见 “供应商须知前附表”</w:t>
      </w:r>
    </w:p>
    <w:p w14:paraId="49E479E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29.签订合同</w:t>
      </w:r>
    </w:p>
    <w:p w14:paraId="3030CF7F">
      <w:pPr>
        <w:pStyle w:val="34"/>
        <w:snapToGrid w:val="0"/>
        <w:spacing w:before="0"/>
        <w:ind w:firstLine="420"/>
        <w:rPr>
          <w:rFonts w:ascii="宋体" w:hAnsi="宋体" w:cs="宋体"/>
          <w:color w:val="auto"/>
          <w:sz w:val="21"/>
          <w:szCs w:val="21"/>
          <w:highlight w:val="none"/>
          <w:lang w:val="zh-CN"/>
        </w:rPr>
      </w:pPr>
      <w:r>
        <w:rPr>
          <w:rFonts w:hint="eastAsia" w:ascii="宋体" w:hAnsi="宋体" w:cs="宋体"/>
          <w:color w:val="auto"/>
          <w:sz w:val="21"/>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cs="宋体"/>
          <w:color w:val="auto"/>
          <w:sz w:val="21"/>
          <w:szCs w:val="21"/>
          <w:highlight w:val="none"/>
          <w:lang w:val="zh-CN"/>
        </w:rPr>
        <w:t>如成交供应商为联合体的，由联合体成员各方法定代表人或其授权代表与采购人代表签订合同。</w:t>
      </w:r>
    </w:p>
    <w:p w14:paraId="3C5C74A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16A233B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19B14DC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29.4如签订合同并生效后，供应商无故拒绝或延期，除按照合同条款处理外，列入不良行为记录，并给予通报。</w:t>
      </w:r>
    </w:p>
    <w:p w14:paraId="0598591D">
      <w:pPr>
        <w:pStyle w:val="34"/>
        <w:spacing w:before="0"/>
        <w:ind w:firstLine="420"/>
        <w:rPr>
          <w:rFonts w:ascii="宋体" w:hAnsi="宋体" w:cs="宋体"/>
          <w:color w:val="auto"/>
          <w:szCs w:val="21"/>
          <w:highlight w:val="none"/>
        </w:rPr>
      </w:pPr>
      <w:r>
        <w:rPr>
          <w:rFonts w:hint="eastAsia" w:ascii="宋体" w:hAnsi="宋体" w:cs="宋体"/>
          <w:color w:val="auto"/>
          <w:sz w:val="21"/>
          <w:szCs w:val="21"/>
          <w:highlight w:val="none"/>
        </w:rPr>
        <w:t>29.5采购合同由采购人与成交供应商根据磋商文件、响应文件等内容通过政府采购电子交易平台在线签订，自动备案，在线签订须携带的材料见“</w:t>
      </w:r>
      <w:r>
        <w:rPr>
          <w:rFonts w:hint="eastAsia" w:ascii="宋体" w:hAnsi="宋体" w:cs="宋体"/>
          <w:color w:val="auto"/>
          <w:highlight w:val="none"/>
        </w:rPr>
        <w:t xml:space="preserve"> </w:t>
      </w:r>
      <w:r>
        <w:rPr>
          <w:rFonts w:hint="eastAsia" w:ascii="宋体" w:hAnsi="宋体" w:cs="宋体"/>
          <w:color w:val="auto"/>
          <w:sz w:val="21"/>
          <w:szCs w:val="21"/>
          <w:highlight w:val="none"/>
        </w:rPr>
        <w:t>供应商须知前附表”。</w:t>
      </w:r>
    </w:p>
    <w:p w14:paraId="486C29C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30.政府采购合同公告</w:t>
      </w:r>
    </w:p>
    <w:p w14:paraId="693B7A5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采购人或者受托采购代理机构应当自政府采购合同签订之日起2个工作日内，将政府采购合同</w:t>
      </w:r>
      <w:r>
        <w:rPr>
          <w:rFonts w:hint="eastAsia" w:ascii="宋体" w:hAnsi="宋体" w:cs="宋体"/>
          <w:bCs/>
          <w:color w:val="auto"/>
          <w:highlight w:val="none"/>
        </w:rPr>
        <w:t>在以下媒体上发布</w:t>
      </w:r>
      <w:r>
        <w:rPr>
          <w:rFonts w:hint="eastAsia" w:ascii="宋体" w:hAnsi="宋体" w:cs="宋体"/>
          <w:color w:val="auto"/>
          <w:kern w:val="0"/>
          <w:szCs w:val="21"/>
          <w:highlight w:val="none"/>
        </w:rPr>
        <w:t xml:space="preserve"> “广西政府采购网”（http://zfcg.gxzf.gov.cn）</w:t>
      </w:r>
      <w:r>
        <w:rPr>
          <w:rFonts w:hint="eastAsia" w:ascii="宋体" w:hAnsi="宋体" w:cs="宋体"/>
          <w:color w:val="auto"/>
          <w:highlight w:val="none"/>
        </w:rPr>
        <w:t>上公告，但政府采购合同中涉及国家秘密、商业秘密的内容除外。</w:t>
      </w:r>
    </w:p>
    <w:p w14:paraId="6220506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31. 询问、质疑和投诉</w:t>
      </w:r>
    </w:p>
    <w:p w14:paraId="3805DC4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7A90B8E7">
      <w:pPr>
        <w:spacing w:line="360" w:lineRule="auto"/>
        <w:ind w:firstLine="420" w:firstLineChars="200"/>
        <w:rPr>
          <w:rFonts w:ascii="宋体" w:hAnsi="宋体" w:cs="宋体"/>
          <w:b/>
          <w:color w:val="auto"/>
          <w:szCs w:val="21"/>
          <w:highlight w:val="none"/>
        </w:rPr>
      </w:pPr>
      <w:r>
        <w:rPr>
          <w:rFonts w:hint="eastAsia" w:ascii="宋体" w:hAnsi="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cs="宋体"/>
          <w:color w:val="auto"/>
          <w:highlight w:val="none"/>
          <w:shd w:val="clear" w:color="auto" w:fill="FFFFFF"/>
        </w:rPr>
        <w:t>接收质疑函的方式、联系部门、联系电话和通讯地址等信息详见</w:t>
      </w:r>
      <w:r>
        <w:rPr>
          <w:rFonts w:hint="eastAsia" w:ascii="宋体" w:hAnsi="宋体" w:cs="宋体"/>
          <w:color w:val="auto"/>
          <w:szCs w:val="21"/>
          <w:highlight w:val="none"/>
        </w:rPr>
        <w:t>“供应商须知前附表”</w:t>
      </w:r>
      <w:r>
        <w:rPr>
          <w:rFonts w:hint="eastAsia" w:ascii="宋体" w:hAnsi="宋体" w:cs="宋体"/>
          <w:color w:val="auto"/>
          <w:highlight w:val="none"/>
        </w:rPr>
        <w:t>。</w:t>
      </w:r>
      <w:r>
        <w:rPr>
          <w:rFonts w:hint="eastAsia" w:ascii="宋体" w:hAnsi="宋体" w:cs="宋体"/>
          <w:b/>
          <w:color w:val="auto"/>
          <w:szCs w:val="21"/>
          <w:highlight w:val="none"/>
        </w:rPr>
        <w:t xml:space="preserve">具体质疑起算时间及处理方式如下： </w:t>
      </w:r>
    </w:p>
    <w:p w14:paraId="585C65E6">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（1）潜在供应商依法获取采购文件后，认为采购文件使自己的权益受到损害的，应当在竞争性磋商采购文件公告期限届满之日起7个工作日内提出质疑。</w:t>
      </w:r>
      <w:r>
        <w:rPr>
          <w:rFonts w:hint="eastAsia" w:ascii="宋体" w:hAnsi="宋体" w:cs="宋体"/>
          <w:color w:val="auto"/>
          <w:highlight w:val="none"/>
        </w:rPr>
        <w:t>委托代理协议无特殊约定的，</w:t>
      </w:r>
      <w:r>
        <w:rPr>
          <w:rFonts w:hint="eastAsia" w:ascii="宋体" w:hAnsi="宋体" w:cs="宋体"/>
          <w:bCs/>
          <w:color w:val="auto"/>
          <w:highlight w:val="none"/>
        </w:rPr>
        <w:t>对竞争性磋商文件中采购需求（含资格要求、采购预算和评分办法）的质疑由采购人受理并负责答复；对竞争性磋商文件中的采购执行程序的质疑由采购代理机构受理并负责答复。</w:t>
      </w:r>
    </w:p>
    <w:p w14:paraId="029B358B">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04F2EB1D">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（3）供应商认为成交结果使自己的权益受到损害的，应当在成交结果公告期限届满之日起7个工作日内提出质疑，由采购人受理并负责答复。</w:t>
      </w:r>
    </w:p>
    <w:p w14:paraId="662A931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2EC75F2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cs="宋体"/>
          <w:bCs/>
          <w:color w:val="auto"/>
          <w:highlight w:val="none"/>
        </w:rPr>
        <w:t>（质疑函格式后附）</w:t>
      </w:r>
      <w:r>
        <w:rPr>
          <w:rFonts w:hint="eastAsia" w:ascii="宋体" w:hAnsi="宋体" w:cs="宋体"/>
          <w:color w:val="auto"/>
          <w:highlight w:val="none"/>
        </w:rPr>
        <w:t>：</w:t>
      </w:r>
    </w:p>
    <w:p w14:paraId="15741A5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76045AF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（2）质疑项目的名称、编号；</w:t>
      </w:r>
    </w:p>
    <w:p w14:paraId="0F3B8D1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14:paraId="39A39F3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18FFD5F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（5）必要的法律依据；</w:t>
      </w:r>
    </w:p>
    <w:p w14:paraId="262D520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（6）提出质疑的日期。</w:t>
      </w:r>
    </w:p>
    <w:p w14:paraId="0BBD1C3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1EE7439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377980D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6BE5199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0C46336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3D6775C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56" w:name="_Toc80205930"/>
    </w:p>
    <w:p w14:paraId="55542B3D">
      <w:pPr>
        <w:pStyle w:val="4"/>
        <w:spacing w:before="0" w:after="0" w:line="360" w:lineRule="auto"/>
        <w:ind w:firstLine="315" w:firstLineChars="98"/>
        <w:rPr>
          <w:rFonts w:ascii="宋体" w:hAnsi="宋体" w:cs="宋体"/>
          <w:b w:val="0"/>
          <w:color w:val="auto"/>
          <w:highlight w:val="none"/>
        </w:rPr>
      </w:pPr>
      <w:bookmarkStart w:id="57" w:name="_Toc17863"/>
      <w:r>
        <w:rPr>
          <w:rFonts w:hint="eastAsia" w:ascii="宋体" w:hAnsi="宋体" w:cs="宋体"/>
          <w:color w:val="auto"/>
          <w:highlight w:val="none"/>
        </w:rPr>
        <w:t>六</w:t>
      </w:r>
      <w:r>
        <w:rPr>
          <w:rFonts w:hint="eastAsia" w:ascii="宋体" w:hAnsi="宋体" w:cs="宋体"/>
          <w:b w:val="0"/>
          <w:color w:val="auto"/>
          <w:highlight w:val="none"/>
        </w:rPr>
        <w:t>、验收</w:t>
      </w:r>
      <w:bookmarkEnd w:id="56"/>
      <w:bookmarkEnd w:id="57"/>
    </w:p>
    <w:p w14:paraId="6F56000A">
      <w:pPr>
        <w:tabs>
          <w:tab w:val="left" w:pos="0"/>
        </w:tabs>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32.验收</w:t>
      </w:r>
    </w:p>
    <w:p w14:paraId="401D607B">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D38E6E9">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32.2采购人可以邀请参加本项目的其他供应商或者第三方机构参与验收。参与验收的供应商或者第三方机构的意见作为验收书的参考资料一并存档。</w:t>
      </w:r>
    </w:p>
    <w:p w14:paraId="10478420">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411F83F">
      <w:pPr>
        <w:tabs>
          <w:tab w:val="left" w:pos="0"/>
        </w:tabs>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F61A7F5">
      <w:pPr>
        <w:pStyle w:val="4"/>
        <w:spacing w:before="0" w:after="0" w:line="360" w:lineRule="auto"/>
        <w:ind w:firstLine="320" w:firstLineChars="100"/>
        <w:rPr>
          <w:rFonts w:ascii="宋体" w:hAnsi="宋体" w:cs="宋体"/>
          <w:b w:val="0"/>
          <w:bCs w:val="0"/>
          <w:color w:val="auto"/>
          <w:highlight w:val="none"/>
        </w:rPr>
      </w:pPr>
      <w:bookmarkStart w:id="58" w:name="_Toc14884"/>
      <w:r>
        <w:rPr>
          <w:rFonts w:hint="eastAsia" w:ascii="宋体" w:hAnsi="宋体" w:cs="宋体"/>
          <w:b w:val="0"/>
          <w:bCs w:val="0"/>
          <w:color w:val="auto"/>
          <w:highlight w:val="none"/>
        </w:rPr>
        <w:t>七、其他事项</w:t>
      </w:r>
      <w:bookmarkEnd w:id="58"/>
    </w:p>
    <w:p w14:paraId="392DAEC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33.代理服务费</w:t>
      </w:r>
    </w:p>
    <w:p w14:paraId="729E6519">
      <w:pPr>
        <w:tabs>
          <w:tab w:val="left" w:pos="283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代理服务收费标准及缴费账户详见“供应商须知前附表”，供应商为联合体的，可以由联合体中的一方或者多方共同交纳代理服务费。</w:t>
      </w:r>
    </w:p>
    <w:p w14:paraId="1A463BC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34.需要补充的其他内容</w:t>
      </w:r>
    </w:p>
    <w:p w14:paraId="57E06D8C">
      <w:pPr>
        <w:pStyle w:val="16"/>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34.1本磋商文件解释规则详见“供应商须知前附表”。</w:t>
      </w:r>
    </w:p>
    <w:p w14:paraId="760621DB">
      <w:pPr>
        <w:pStyle w:val="16"/>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34.2 其他事项详见“供应商须知前附表”。</w:t>
      </w:r>
    </w:p>
    <w:p w14:paraId="4F98A701">
      <w:pPr>
        <w:pStyle w:val="16"/>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hAnsi="宋体" w:cs="宋体"/>
          <w:color w:val="auto"/>
          <w:sz w:val="21"/>
          <w:highlight w:val="none"/>
        </w:rPr>
        <w:t>服务由中小企业承接，即提供服务的人员为中小企业依照《中华人民共和国劳动合同法》订立劳动合同的从业人员，不对其中涉及的货物的制造商和工程承建商作出要求的</w:t>
      </w:r>
      <w:r>
        <w:rPr>
          <w:rFonts w:hint="eastAsia" w:hAnsi="宋体" w:cs="宋体"/>
          <w:color w:val="auto"/>
          <w:kern w:val="2"/>
          <w:sz w:val="21"/>
          <w:highlight w:val="none"/>
        </w:rPr>
        <w:t>，享受本文件规定的中小企业扶持政策。</w:t>
      </w:r>
    </w:p>
    <w:p w14:paraId="4BBB3285">
      <w:pPr>
        <w:pStyle w:val="16"/>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以联合体形式参加政府采购活动，联合体各方均为中小企业的，联合体视同中小企业。其中，联合体各方均为小微企业的，联合体视同小微企业。</w:t>
      </w:r>
    </w:p>
    <w:p w14:paraId="477F5D7B">
      <w:pPr>
        <w:pStyle w:val="16"/>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依据本文件规定享受扶持政策获得政府采购合同的，小微企业不得将合同分包给大中型企业，中型企业不得将合同分包给大型企业。</w:t>
      </w:r>
    </w:p>
    <w:p w14:paraId="34D90C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 政采贷相关说明</w:t>
      </w:r>
    </w:p>
    <w:p w14:paraId="519FD41A">
      <w:pPr>
        <w:pStyle w:val="16"/>
        <w:spacing w:line="360" w:lineRule="auto"/>
        <w:ind w:firstLine="420" w:firstLineChars="200"/>
        <w:textAlignment w:val="center"/>
        <w:rPr>
          <w:rFonts w:hAnsi="宋体" w:cs="宋体"/>
          <w:color w:val="auto"/>
          <w:sz w:val="21"/>
          <w:highlight w:val="none"/>
        </w:rPr>
      </w:pPr>
      <w:r>
        <w:rPr>
          <w:rFonts w:hint="eastAsia" w:hAnsi="宋体" w:cs="宋体"/>
          <w:color w:val="auto"/>
          <w:sz w:val="21"/>
          <w:highlight w:val="none"/>
        </w:rPr>
        <w:t>为优化政府采购营商环境，缓解供应商资金难题，南宁市政府采购试行政府采购信用融资制度，中标供应商如有融资需求，可凭政府采购合同通过以下方式申请政府采购信用融资贷款：</w:t>
      </w:r>
    </w:p>
    <w:p w14:paraId="77411C84">
      <w:pPr>
        <w:pStyle w:val="16"/>
        <w:numPr>
          <w:ilvl w:val="0"/>
          <w:numId w:val="3"/>
        </w:numPr>
        <w:spacing w:line="360" w:lineRule="auto"/>
        <w:ind w:firstLine="420" w:firstLineChars="200"/>
        <w:textAlignment w:val="center"/>
        <w:rPr>
          <w:rFonts w:hAnsi="宋体" w:cs="宋体"/>
          <w:color w:val="auto"/>
          <w:sz w:val="21"/>
          <w:highlight w:val="none"/>
        </w:rPr>
      </w:pPr>
      <w:r>
        <w:rPr>
          <w:rFonts w:hint="eastAsia" w:hAnsi="宋体" w:cs="宋体"/>
          <w:color w:val="auto"/>
          <w:sz w:val="21"/>
          <w:highlight w:val="none"/>
        </w:rPr>
        <w:t>线下渠道：在“南宁市公共资源交易中心”官网（网址：</w:t>
      </w:r>
      <w:r>
        <w:rPr>
          <w:color w:val="auto"/>
          <w:highlight w:val="none"/>
        </w:rPr>
        <w:fldChar w:fldCharType="begin"/>
      </w:r>
      <w:r>
        <w:rPr>
          <w:color w:val="auto"/>
          <w:highlight w:val="none"/>
        </w:rPr>
        <w:instrText xml:space="preserve"> HYPERLINK "http://www.nnggzy.org.cn）" </w:instrText>
      </w:r>
      <w:r>
        <w:rPr>
          <w:color w:val="auto"/>
          <w:highlight w:val="none"/>
        </w:rPr>
        <w:fldChar w:fldCharType="separate"/>
      </w:r>
      <w:r>
        <w:rPr>
          <w:rStyle w:val="28"/>
          <w:rFonts w:hint="eastAsia" w:hAnsi="宋体" w:cs="宋体"/>
          <w:color w:val="auto"/>
          <w:sz w:val="21"/>
          <w:highlight w:val="none"/>
        </w:rPr>
        <w:t>http://www.nnggzy.org.cn）“交易信息-政府采购-政府采购信用融资”中融资银行和南宁市企业融资服务中心专栏信息申请政府采购信用融资。</w:t>
      </w:r>
      <w:r>
        <w:rPr>
          <w:rStyle w:val="28"/>
          <w:rFonts w:hint="eastAsia" w:hAnsi="宋体" w:cs="宋体"/>
          <w:color w:val="auto"/>
          <w:sz w:val="21"/>
          <w:highlight w:val="none"/>
        </w:rPr>
        <w:fldChar w:fldCharType="end"/>
      </w:r>
    </w:p>
    <w:p w14:paraId="2C744FD0">
      <w:pPr>
        <w:pStyle w:val="16"/>
        <w:numPr>
          <w:ilvl w:val="0"/>
          <w:numId w:val="3"/>
        </w:numPr>
        <w:spacing w:line="360" w:lineRule="auto"/>
        <w:ind w:firstLine="402" w:firstLineChars="200"/>
        <w:textAlignment w:val="center"/>
        <w:rPr>
          <w:rFonts w:hAnsi="宋体" w:cs="宋体"/>
          <w:color w:val="auto"/>
          <w:highlight w:val="none"/>
        </w:rPr>
      </w:pPr>
      <w:r>
        <w:rPr>
          <w:rFonts w:hint="eastAsia" w:hAnsi="宋体" w:cs="宋体"/>
          <w:b/>
          <w:color w:val="auto"/>
          <w:highlight w:val="none"/>
        </w:rPr>
        <w:t>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hAnsi="宋体" w:cs="宋体"/>
          <w:b/>
          <w:color w:val="auto"/>
          <w:highlight w:val="none"/>
        </w:rPr>
        <w:br w:type="page"/>
      </w:r>
    </w:p>
    <w:p w14:paraId="4CBEF4AF">
      <w:pPr>
        <w:pStyle w:val="2"/>
        <w:jc w:val="center"/>
        <w:rPr>
          <w:rFonts w:ascii="宋体" w:hAnsi="宋体" w:cs="宋体"/>
          <w:color w:val="auto"/>
          <w:highlight w:val="none"/>
        </w:rPr>
      </w:pPr>
      <w:bookmarkStart w:id="59" w:name="_Toc25106"/>
      <w:r>
        <w:rPr>
          <w:rFonts w:hint="eastAsia" w:ascii="宋体" w:hAnsi="宋体" w:cs="宋体"/>
          <w:color w:val="auto"/>
          <w:highlight w:val="none"/>
        </w:rPr>
        <w:t>第四章  评审程序、评审方法和评审标准</w:t>
      </w:r>
      <w:bookmarkEnd w:id="59"/>
    </w:p>
    <w:p w14:paraId="2EEABB13">
      <w:pPr>
        <w:pStyle w:val="3"/>
        <w:jc w:val="center"/>
        <w:rPr>
          <w:rFonts w:ascii="宋体" w:hAnsi="宋体" w:cs="宋体"/>
          <w:b w:val="0"/>
          <w:color w:val="auto"/>
          <w:highlight w:val="none"/>
        </w:rPr>
      </w:pPr>
      <w:bookmarkStart w:id="60" w:name="_Toc30181"/>
      <w:r>
        <w:rPr>
          <w:rFonts w:hint="eastAsia" w:ascii="宋体" w:hAnsi="宋体" w:cs="宋体"/>
          <w:b w:val="0"/>
          <w:color w:val="auto"/>
          <w:highlight w:val="none"/>
        </w:rPr>
        <w:t>第一节 评审程序和评审方法</w:t>
      </w:r>
      <w:bookmarkEnd w:id="60"/>
    </w:p>
    <w:p w14:paraId="3DE2F0F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1.确认磋商文件</w:t>
      </w:r>
    </w:p>
    <w:p w14:paraId="625680A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由磋商小组确认磋商文件。</w:t>
      </w:r>
    </w:p>
    <w:p w14:paraId="7F0CBB7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2.资格审查</w:t>
      </w:r>
    </w:p>
    <w:p w14:paraId="55BC5F2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2.1响应文件开启后，磋商小组依法对供应商的资格证明文件进行审查。</w:t>
      </w:r>
    </w:p>
    <w:p w14:paraId="0B545E1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注：采购人代表或者采购代理机构在资格审查结束前，对供应商进行信用查询。</w:t>
      </w:r>
    </w:p>
    <w:p w14:paraId="5D6D569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（1）查询渠道：“广西政府采购云平台”平台“信用中国”网站(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28"/>
          <w:rFonts w:hint="eastAsia" w:ascii="宋体" w:hAnsi="宋体" w:cs="宋体"/>
          <w:color w:val="auto"/>
          <w:highlight w:val="none"/>
        </w:rPr>
        <w:t>www.creditchina.gov.cn</w:t>
      </w:r>
      <w:r>
        <w:rPr>
          <w:rStyle w:val="28"/>
          <w:rFonts w:hint="eastAsia" w:ascii="宋体" w:hAnsi="宋体" w:cs="宋体"/>
          <w:color w:val="auto"/>
          <w:highlight w:val="none"/>
        </w:rPr>
        <w:fldChar w:fldCharType="end"/>
      </w:r>
      <w:r>
        <w:rPr>
          <w:rFonts w:hint="eastAsia" w:ascii="宋体" w:hAnsi="宋体" w:cs="宋体"/>
          <w:color w:val="auto"/>
          <w:szCs w:val="21"/>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28"/>
          <w:rFonts w:hint="eastAsia" w:ascii="宋体" w:hAnsi="宋体" w:cs="宋体"/>
          <w:color w:val="auto"/>
          <w:highlight w:val="none"/>
        </w:rPr>
        <w:t>www.ccgp.gov.cn</w:t>
      </w:r>
      <w:r>
        <w:rPr>
          <w:rStyle w:val="28"/>
          <w:rFonts w:hint="eastAsia" w:ascii="宋体" w:hAnsi="宋体" w:cs="宋体"/>
          <w:color w:val="auto"/>
          <w:highlight w:val="none"/>
        </w:rPr>
        <w:fldChar w:fldCharType="end"/>
      </w:r>
      <w:r>
        <w:rPr>
          <w:rFonts w:hint="eastAsia" w:ascii="宋体" w:hAnsi="宋体" w:cs="宋体"/>
          <w:color w:val="auto"/>
          <w:szCs w:val="21"/>
          <w:highlight w:val="none"/>
        </w:rPr>
        <w:t>)链接入口。</w:t>
      </w:r>
    </w:p>
    <w:p w14:paraId="5A1AB0B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6276F59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查询记录和证据留存方式：在查询网站中直接打印查询记录，截图另存为电子文档作为评审资料保存。</w:t>
      </w:r>
    </w:p>
    <w:p w14:paraId="332E1D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（3）信用信息使用规则：对在“信用中国”网站(www.creditchina.gov.cn) 、中国政府采购网(www.ccgp.gov.cn)被列入失信被执行人、</w:t>
      </w:r>
      <w:r>
        <w:rPr>
          <w:rFonts w:hint="eastAsia" w:ascii="宋体" w:hAnsi="宋体" w:cs="宋体"/>
          <w:color w:val="auto"/>
          <w:szCs w:val="21"/>
          <w:highlight w:val="none"/>
          <w:lang w:eastAsia="zh-CN"/>
        </w:rPr>
        <w:t>重大税收违法失信主体</w:t>
      </w:r>
      <w:r>
        <w:rPr>
          <w:rFonts w:hint="eastAsia" w:ascii="宋体" w:hAnsi="宋体" w:cs="宋体"/>
          <w:color w:val="auto"/>
          <w:szCs w:val="21"/>
          <w:highlight w:val="none"/>
        </w:rPr>
        <w:t>、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ED037D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79AF988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2.3供应商有下列情形之一的，资格审查不通过，其响应文件按无效响应处理：</w:t>
      </w:r>
    </w:p>
    <w:p w14:paraId="408FC85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（1）不具备磋商文件中规定的资格要求的；</w:t>
      </w:r>
    </w:p>
    <w:p w14:paraId="6D7DF31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（2）响应文件未提供任一项“供应商须知前附表”资格证明文件规定的“必须提供”的文件资料的；</w:t>
      </w:r>
    </w:p>
    <w:p w14:paraId="76D02A6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（3）响应文件提供的资格证明文件出现任一项不符合“供应商须知前附表”资格证明文件规定的“必须提供”的文件资料要求或者无效的。</w:t>
      </w:r>
    </w:p>
    <w:p w14:paraId="7B30C907">
      <w:pPr>
        <w:spacing w:line="360" w:lineRule="auto"/>
        <w:ind w:firstLine="420" w:firstLineChars="200"/>
        <w:rPr>
          <w:rFonts w:ascii="宋体" w:hAnsi="宋体" w:cs="宋体"/>
          <w:color w:val="auto"/>
          <w:szCs w:val="21"/>
          <w:highlight w:val="none"/>
        </w:rPr>
      </w:pPr>
      <w:bookmarkStart w:id="61" w:name="_Hlk68601553"/>
      <w:r>
        <w:rPr>
          <w:rFonts w:hint="eastAsia" w:ascii="宋体" w:hAnsi="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61"/>
    </w:p>
    <w:p w14:paraId="599FE95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2.4通过资格审查的合格供应商不足3家的，不得进入符合性审查环节，采购人或者采购代理机构应当重新开展采购活动。</w:t>
      </w:r>
    </w:p>
    <w:p w14:paraId="7186CDEA">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3.符合性审查</w:t>
      </w:r>
    </w:p>
    <w:p w14:paraId="56BDB7D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3.1由磋商小组对通过资格审查的合格供应商的响应文件的响应报价、商务、技术等实质性要求进行符合性审查，以确定其是否满足磋商文件的实质性要求。</w:t>
      </w:r>
    </w:p>
    <w:p w14:paraId="3ACC049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B45DC59">
      <w:pPr>
        <w:spacing w:line="360" w:lineRule="auto"/>
        <w:ind w:firstLine="420" w:firstLineChars="200"/>
        <w:rPr>
          <w:rFonts w:ascii="宋体" w:hAnsi="宋体" w:cs="宋体"/>
          <w:color w:val="auto"/>
          <w:spacing w:val="-6"/>
          <w:szCs w:val="21"/>
          <w:highlight w:val="none"/>
        </w:rPr>
      </w:pPr>
      <w:r>
        <w:rPr>
          <w:rFonts w:hint="eastAsia" w:ascii="宋体" w:hAnsi="宋体" w:cs="宋体"/>
          <w:color w:val="auto"/>
          <w:szCs w:val="21"/>
          <w:highlight w:val="none"/>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cs="宋体"/>
          <w:color w:val="auto"/>
          <w:spacing w:val="-6"/>
          <w:szCs w:val="21"/>
          <w:highlight w:val="none"/>
        </w:rPr>
        <w:t>。供应商为自然人的，必须由本人签字并附身份证明。</w:t>
      </w:r>
    </w:p>
    <w:p w14:paraId="7E8BE43A">
      <w:pPr>
        <w:spacing w:line="360" w:lineRule="auto"/>
        <w:ind w:firstLine="396" w:firstLineChars="200"/>
        <w:rPr>
          <w:rFonts w:ascii="宋体" w:hAnsi="宋体" w:cs="宋体"/>
          <w:color w:val="auto"/>
          <w:szCs w:val="21"/>
          <w:highlight w:val="none"/>
        </w:rPr>
      </w:pPr>
      <w:r>
        <w:rPr>
          <w:rFonts w:hint="eastAsia" w:ascii="宋体" w:hAnsi="宋体" w:cs="宋体"/>
          <w:color w:val="auto"/>
          <w:spacing w:val="-6"/>
          <w:szCs w:val="21"/>
          <w:highlight w:val="none"/>
        </w:rPr>
        <w:t>3.4</w:t>
      </w:r>
      <w:r>
        <w:rPr>
          <w:rFonts w:hint="eastAsia" w:ascii="宋体" w:hAnsi="宋体" w:cs="宋体"/>
          <w:color w:val="auto"/>
          <w:szCs w:val="21"/>
          <w:highlight w:val="none"/>
        </w:rPr>
        <w:t xml:space="preserve">首次响应文件报价出现前后不一致的，按照下列规定修正： </w:t>
      </w:r>
    </w:p>
    <w:p w14:paraId="33DB77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64B36FA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4A4423D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36F33D7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04C7059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346E37B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3.5商务技术、报价评审</w:t>
      </w:r>
    </w:p>
    <w:p w14:paraId="0F31D36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798BF9C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14:paraId="67102FB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14:paraId="6590D3D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 </w:t>
      </w:r>
    </w:p>
    <w:p w14:paraId="17FBCBC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128ED07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4）商务条款中标“▲”的条款发生负偏离的或者允许负偏离的条款数超过“供应商须知前附表”规定项数的或者标明实质性的要求发生负偏离；</w:t>
      </w:r>
    </w:p>
    <w:p w14:paraId="646B464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5）未对竞标有效期作出响应或者响应文件承诺的竞标有效期不满足磋商文件要求；</w:t>
      </w:r>
    </w:p>
    <w:p w14:paraId="1D91CC2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6）响应文件的实质性内容未使用中文表述、使用计量单位不符合磋商文件要求；</w:t>
      </w:r>
    </w:p>
    <w:p w14:paraId="50A33A4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7）响应文件中的文件资料因填写不齐全或者内容虚假或者出现其他情形而导致被磋商小组认定无效；</w:t>
      </w:r>
    </w:p>
    <w:p w14:paraId="043A3FF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8）响应文件含有采购人不能接受的附加条件；</w:t>
      </w:r>
    </w:p>
    <w:p w14:paraId="435F3BE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9）属于“供应商须知正文”第7.5条情形；</w:t>
      </w:r>
    </w:p>
    <w:p w14:paraId="07E316B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10）技术需求允许负偏离的条款数超过“供应商须知前附表”规定项数；</w:t>
      </w:r>
    </w:p>
    <w:p w14:paraId="41711D0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11）虚假竞标，或者出现其他情形而导致被磋商小组认定无效；</w:t>
      </w:r>
    </w:p>
    <w:p w14:paraId="15579D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12）竞标技术方案不明确，磋商文件未允许但响应文件中存在一个或者一个以上备选（替代）竞标方案；</w:t>
      </w:r>
    </w:p>
    <w:p w14:paraId="34BB1A4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13）响应文件标注的项目名称或者项目编号与竞争性磋商文件标注的项目名称或者项目编号不一致的；</w:t>
      </w:r>
    </w:p>
    <w:p w14:paraId="4253CC1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14）未响应磋商文件实质性要求；</w:t>
      </w:r>
    </w:p>
    <w:p w14:paraId="46A12C5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15）法律、法规和磋商文件规定的其他无效情形。</w:t>
      </w:r>
    </w:p>
    <w:p w14:paraId="4F802DB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（2）报价评审</w:t>
      </w:r>
    </w:p>
    <w:p w14:paraId="5CC2A6E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 响应文件未提供“供应商须知前附表” 报价文件中规定的“响应报价表”；</w:t>
      </w:r>
    </w:p>
    <w:p w14:paraId="6DDDEF7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1307BAC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340893E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091B093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01C755E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6）响应文件响应的标的数量及单位与竞争性磋商采购文件要求实质性不一致的。</w:t>
      </w:r>
    </w:p>
    <w:p w14:paraId="59B3061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47D2FBC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779E266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4.磋商程序</w:t>
      </w:r>
    </w:p>
    <w:p w14:paraId="6E76F132">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4.1磋商小组按照“供应商须知前附表”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13D24A0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2A6BAC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4.3对磋商文件作出的实质性变动是磋商文件的有效组成部分，由磋商小组及时以电子澄清函形式同时通知所有参加磋商的供应商。</w:t>
      </w:r>
    </w:p>
    <w:p w14:paraId="2CC84DE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2CD5473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4.5磋商中，</w:t>
      </w:r>
      <w:r>
        <w:rPr>
          <w:rFonts w:hint="eastAsia" w:ascii="宋体" w:hAnsi="宋体" w:cs="宋体"/>
          <w:color w:val="auto"/>
          <w:spacing w:val="-6"/>
          <w:szCs w:val="21"/>
          <w:highlight w:val="none"/>
        </w:rPr>
        <w:t>磋商的任何一方不得透露与磋商有关的其他供应商的技术资料、价格和其他信息。</w:t>
      </w:r>
    </w:p>
    <w:p w14:paraId="3F728960">
      <w:pPr>
        <w:widowControl/>
        <w:tabs>
          <w:tab w:val="left" w:pos="540"/>
        </w:tabs>
        <w:spacing w:line="360" w:lineRule="auto"/>
        <w:ind w:firstLine="420" w:firstLineChars="200"/>
        <w:jc w:val="left"/>
        <w:rPr>
          <w:rFonts w:ascii="宋体" w:hAnsi="宋体" w:cs="宋体"/>
          <w:b/>
          <w:color w:val="auto"/>
          <w:highlight w:val="none"/>
        </w:rPr>
      </w:pPr>
      <w:r>
        <w:rPr>
          <w:rFonts w:hint="eastAsia" w:ascii="宋体" w:hAnsi="宋体" w:cs="宋体"/>
          <w:color w:val="auto"/>
          <w:szCs w:val="21"/>
          <w:highlight w:val="none"/>
        </w:rPr>
        <w:t>4.6磋商小组应对磋商过程和重要磋商内容进行记录，作为评标报告一部分，磋商小组在记录上签字确认。</w:t>
      </w:r>
      <w:r>
        <w:rPr>
          <w:rFonts w:hint="eastAsia" w:ascii="宋体" w:hAnsi="宋体" w:cs="宋体"/>
          <w:b/>
          <w:color w:val="auto"/>
          <w:highlight w:val="none"/>
        </w:rPr>
        <w:t>主要内容包括：</w:t>
      </w:r>
    </w:p>
    <w:p w14:paraId="25ABE776">
      <w:pPr>
        <w:pStyle w:val="34"/>
        <w:spacing w:before="0"/>
        <w:ind w:firstLine="396"/>
        <w:rPr>
          <w:rFonts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（1）按照相关规定进行公示的，公示情况说明；</w:t>
      </w:r>
    </w:p>
    <w:p w14:paraId="0FE4827E">
      <w:pPr>
        <w:pStyle w:val="34"/>
        <w:spacing w:before="0"/>
        <w:ind w:firstLine="396"/>
        <w:rPr>
          <w:rFonts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（2）磋商日期和地点，磋商人员名单；</w:t>
      </w:r>
    </w:p>
    <w:p w14:paraId="2CBB12CC">
      <w:pPr>
        <w:pStyle w:val="34"/>
        <w:spacing w:before="0"/>
        <w:ind w:firstLine="396"/>
        <w:rPr>
          <w:rFonts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（3）合同主要条款及价格商定情况。</w:t>
      </w:r>
    </w:p>
    <w:p w14:paraId="08A83545">
      <w:pPr>
        <w:widowControl/>
        <w:tabs>
          <w:tab w:val="left" w:pos="54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4.7磋商过程中重新提交的响应文件，供应商可以在开启前补充、修改。</w:t>
      </w:r>
    </w:p>
    <w:p w14:paraId="2E7447FD">
      <w:pPr>
        <w:tabs>
          <w:tab w:val="left" w:pos="283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4.8对磋商过程提交的响应文件进行有效性、完整性和响应程度审查，通过审查的合格供应商不足3家的，采购人或者采购代理机构应当重新开展采购活动。</w:t>
      </w:r>
    </w:p>
    <w:p w14:paraId="5B14AB8D">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5. 最后报价</w:t>
      </w:r>
    </w:p>
    <w:p w14:paraId="361B03B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磋商文件能够详细列明采购标的的技术、服务要求的，磋商结束后，由磋商小组要求所有继续参加磋商的供应商在规定时间内密封提交最后报价，除本章第3.7、5.3条外，提交最后报价的供应商不得少于3家，否则必须重新采购。</w:t>
      </w:r>
    </w:p>
    <w:p w14:paraId="2D7DFBC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5FBDFC2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3C068F4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5.4已经提交响应文件的供应商，在提交最后报价之前，可以根据磋商情况退出磋商，退出磋商的供应商的响应文件按无效响应处理。</w:t>
      </w:r>
    </w:p>
    <w:p w14:paraId="18750AB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5.5供应商未在规定时间内提交最后报价的，视同退出磋商。</w:t>
      </w:r>
    </w:p>
    <w:p w14:paraId="214E29A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5.6磋商小组收齐某一分标最后报价后统一开启，磋商小组对最后报价进行有效性、完整性和响应程度的审查。</w:t>
      </w:r>
    </w:p>
    <w:p w14:paraId="6E74E9C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5.7最终响应文件的报价出现前后不一致的，按照本章第3.4条的规定修正。 </w:t>
      </w:r>
    </w:p>
    <w:p w14:paraId="107F4EC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5.8修正后的最终报价出现下列情形的，按无效响应处理：</w:t>
      </w:r>
    </w:p>
    <w:p w14:paraId="15A70E2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70FE4E9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（2）经供应商确认修正后的响应报价（包含首次报价、最后报价）超过所竞标分标规定的采购预算金额或者最高限价的（如本项目公布了最高限价）；</w:t>
      </w:r>
    </w:p>
    <w:p w14:paraId="40EFA2E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（3）经供应商确认修正后的响应报价（包含首次报价、最后报价）超过分项采购预算金额或者最高限价的（如本项目公布了最高限价）。</w:t>
      </w:r>
    </w:p>
    <w:p w14:paraId="5141007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5.9经供应商确认修正后的最后报价作为评审及签订合同的依据。</w:t>
      </w:r>
    </w:p>
    <w:p w14:paraId="663408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5.10供应商出现最后报价按无效响应处理或者响应文件按无效处理时</w:t>
      </w:r>
      <w:r>
        <w:rPr>
          <w:rFonts w:hint="eastAsia" w:ascii="宋体" w:hAnsi="宋体" w:cs="宋体"/>
          <w:color w:val="auto"/>
          <w:sz w:val="22"/>
          <w:szCs w:val="22"/>
          <w:highlight w:val="none"/>
        </w:rPr>
        <w:t>，磋商小组应当告知有关供应商</w:t>
      </w:r>
      <w:r>
        <w:rPr>
          <w:rFonts w:hint="eastAsia" w:ascii="宋体" w:hAnsi="宋体" w:cs="宋体"/>
          <w:color w:val="auto"/>
          <w:szCs w:val="21"/>
          <w:highlight w:val="none"/>
        </w:rPr>
        <w:t>。</w:t>
      </w:r>
    </w:p>
    <w:p w14:paraId="44B72FC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5.11最后报价结束后，磋商小组不得再与供应商进行任何形式的商谈。</w:t>
      </w:r>
    </w:p>
    <w:p w14:paraId="378179FE">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6.比较与评价</w:t>
      </w:r>
    </w:p>
    <w:p w14:paraId="5F0F436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6.1评审方法：综合评分法。</w:t>
      </w:r>
    </w:p>
    <w:p w14:paraId="4579DEC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77C0AA8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6.3评审时，磋商小组各成员应当独立对每个有效响应的文件进行评价、打分，然后汇总每个供应商每项评分因素的得分。</w:t>
      </w:r>
    </w:p>
    <w:p w14:paraId="64E2D90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0A504E7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（2）磋商小组按照磋商文件中规定的评审标准计算各供应商的报价得分。项目评审过程中，不得去掉最后报价中的最高报价和最低报价。</w:t>
      </w:r>
    </w:p>
    <w:p w14:paraId="4548075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（3）各供应商的得分为磋商小组所有成员的有效评分的算术平均数。</w:t>
      </w:r>
    </w:p>
    <w:p w14:paraId="4E178B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7807CE16">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6.5由磋商小组根据综合评分情况，按照评审得分由高到低顺序推荐3名以上成交候选供应商，并编写评</w:t>
      </w:r>
      <w:r>
        <w:rPr>
          <w:rFonts w:hint="eastAsia" w:ascii="宋体" w:hAnsi="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35E2E163">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65671D1">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7.评审复核</w:t>
      </w:r>
    </w:p>
    <w:p w14:paraId="32D2CC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7.1评审报告签署前，评审委员会要对评审结果进行复核，复核意见要体现在评审报告中。</w:t>
      </w:r>
    </w:p>
    <w:p w14:paraId="097433A9">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2EBEB820">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8.评审标准</w:t>
      </w:r>
    </w:p>
    <w:p w14:paraId="6E59821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8.1评审依据：磋商小组将以磋商响应文件为评审依据，对供应商的报价、技术、商务等方面内容按百分制打分。（计分方法按四舍五入取至百分位）</w:t>
      </w:r>
    </w:p>
    <w:p w14:paraId="46E5DDCD">
      <w:pP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rPr>
        <w:t>总得分=1+2+3</w:t>
      </w:r>
    </w:p>
    <w:tbl>
      <w:tblPr>
        <w:tblStyle w:val="25"/>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086"/>
        <w:gridCol w:w="7110"/>
        <w:gridCol w:w="772"/>
      </w:tblGrid>
      <w:tr w14:paraId="1EF58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2" w:type="dxa"/>
            <w:vAlign w:val="center"/>
          </w:tcPr>
          <w:p w14:paraId="1B52ADCA">
            <w:pPr>
              <w:widowControl/>
              <w:spacing w:line="360" w:lineRule="exact"/>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1086" w:type="dxa"/>
            <w:vAlign w:val="center"/>
          </w:tcPr>
          <w:p w14:paraId="65DE0C89">
            <w:pPr>
              <w:widowControl/>
              <w:spacing w:line="360" w:lineRule="exact"/>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评分因素</w:t>
            </w:r>
          </w:p>
        </w:tc>
        <w:tc>
          <w:tcPr>
            <w:tcW w:w="7110" w:type="dxa"/>
            <w:vAlign w:val="center"/>
          </w:tcPr>
          <w:p w14:paraId="2BED4778">
            <w:pPr>
              <w:widowControl/>
              <w:spacing w:line="360" w:lineRule="exact"/>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评分因素</w:t>
            </w:r>
          </w:p>
        </w:tc>
        <w:tc>
          <w:tcPr>
            <w:tcW w:w="772" w:type="dxa"/>
            <w:vAlign w:val="center"/>
          </w:tcPr>
          <w:p w14:paraId="41F20FDF">
            <w:pPr>
              <w:widowControl/>
              <w:spacing w:line="360" w:lineRule="exact"/>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分值</w:t>
            </w:r>
          </w:p>
        </w:tc>
      </w:tr>
      <w:tr w14:paraId="315CB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0" w:hRule="atLeast"/>
          <w:jc w:val="center"/>
        </w:trPr>
        <w:tc>
          <w:tcPr>
            <w:tcW w:w="652" w:type="dxa"/>
            <w:vAlign w:val="center"/>
          </w:tcPr>
          <w:p w14:paraId="27325EEF">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086" w:type="dxa"/>
            <w:vAlign w:val="center"/>
          </w:tcPr>
          <w:p w14:paraId="6E6A5210">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价格分（服务项目的价格分值占总分值的比重(即权值)为10%至30%。政务信息系统采购服务的，价格分值占总分值比重应当为10%）</w:t>
            </w:r>
          </w:p>
        </w:tc>
        <w:tc>
          <w:tcPr>
            <w:tcW w:w="7110" w:type="dxa"/>
          </w:tcPr>
          <w:p w14:paraId="507CDA9B">
            <w:pPr>
              <w:snapToGrid w:val="0"/>
              <w:spacing w:line="36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（1）本项目为专门面向中小企业采购项目，不执行价格扣除优惠政策，评审报价＝最后报价；</w:t>
            </w:r>
          </w:p>
          <w:p w14:paraId="63816C4E">
            <w:pPr>
              <w:snapToGrid w:val="0"/>
              <w:spacing w:line="36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竞标服务/产品提供企业按《关于政府采购支持监狱企业发展有关问题的通知》（财库[2014]68号）认定为监狱企业的，在政府采购活动中，监狱企业视同小型、微型企业，享受预留份额。监狱企业参加政府采购活动时，应当提供由省级以上监狱管理局、戒毒管理局（含新疆生产建设兵团）出具的属于监狱企业的证明文件；</w:t>
            </w:r>
          </w:p>
          <w:p w14:paraId="7A25816C">
            <w:pPr>
              <w:snapToGrid w:val="0"/>
              <w:spacing w:line="36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竞标服务/产品提供企业按《关于促进残疾人就业政府采购政策的通知》（财库〔2017〕141号）认定为残疾人福利性单位的，在政府采购活动中，残疾人福利性单位视同小型、微型企业，享受预留份额。残疾人福利性单位参加政府采购活动时，应当提供该《残疾人福利性单位声明函》为证明文件（格式见第五章“响应文件格式”）。</w:t>
            </w:r>
          </w:p>
          <w:p w14:paraId="3B9B7366">
            <w:pPr>
              <w:pStyle w:val="16"/>
              <w:spacing w:line="360" w:lineRule="exact"/>
              <w:ind w:firstLine="420" w:firstLineChars="200"/>
              <w:rPr>
                <w:rFonts w:hint="eastAsia" w:ascii="宋体" w:hAnsi="宋体" w:eastAsia="宋体" w:cs="宋体"/>
                <w:bCs/>
                <w:color w:val="auto"/>
                <w:kern w:val="2"/>
                <w:sz w:val="21"/>
                <w:highlight w:val="none"/>
              </w:rPr>
            </w:pPr>
            <w:r>
              <w:rPr>
                <w:rFonts w:hint="eastAsia" w:ascii="宋体" w:hAnsi="宋体" w:eastAsia="宋体" w:cs="宋体"/>
                <w:bCs/>
                <w:color w:val="auto"/>
                <w:kern w:val="2"/>
                <w:sz w:val="21"/>
                <w:highlight w:val="none"/>
              </w:rPr>
              <w:t>（4）以进入比较与评价环节的评审报价</w:t>
            </w:r>
            <w:r>
              <w:rPr>
                <w:rFonts w:hint="eastAsia" w:ascii="宋体" w:hAnsi="宋体" w:eastAsia="宋体" w:cs="宋体"/>
                <w:bCs/>
                <w:color w:val="auto"/>
                <w:kern w:val="2"/>
                <w:sz w:val="21"/>
                <w:highlight w:val="none"/>
                <w:lang w:val="en-US" w:eastAsia="zh-CN"/>
              </w:rPr>
              <w:t>最低的</w:t>
            </w:r>
            <w:r>
              <w:rPr>
                <w:rFonts w:hint="eastAsia" w:ascii="宋体" w:hAnsi="宋体" w:eastAsia="宋体" w:cs="宋体"/>
                <w:bCs/>
                <w:color w:val="auto"/>
                <w:kern w:val="2"/>
                <w:sz w:val="21"/>
                <w:highlight w:val="none"/>
              </w:rPr>
              <w:t>为基准价，基准价得分为</w:t>
            </w:r>
            <w:r>
              <w:rPr>
                <w:rFonts w:hint="eastAsia" w:ascii="宋体" w:hAnsi="宋体" w:eastAsia="宋体" w:cs="宋体"/>
                <w:bCs/>
                <w:color w:val="auto"/>
                <w:kern w:val="2"/>
                <w:sz w:val="21"/>
                <w:highlight w:val="none"/>
                <w:u w:val="single"/>
              </w:rPr>
              <w:t xml:space="preserve"> </w:t>
            </w:r>
            <w:r>
              <w:rPr>
                <w:rFonts w:hint="eastAsia" w:ascii="宋体" w:hAnsi="宋体" w:eastAsia="宋体" w:cs="宋体"/>
                <w:bCs/>
                <w:color w:val="auto"/>
                <w:kern w:val="2"/>
                <w:sz w:val="21"/>
                <w:highlight w:val="none"/>
                <w:u w:val="single"/>
                <w:lang w:val="en-US" w:eastAsia="zh-CN"/>
              </w:rPr>
              <w:t>10</w:t>
            </w:r>
            <w:r>
              <w:rPr>
                <w:rFonts w:hint="eastAsia" w:ascii="宋体" w:hAnsi="宋体" w:eastAsia="宋体" w:cs="宋体"/>
                <w:bCs/>
                <w:color w:val="auto"/>
                <w:kern w:val="2"/>
                <w:sz w:val="21"/>
                <w:highlight w:val="none"/>
                <w:u w:val="single"/>
              </w:rPr>
              <w:t xml:space="preserve"> </w:t>
            </w:r>
            <w:r>
              <w:rPr>
                <w:rFonts w:hint="eastAsia" w:ascii="宋体" w:hAnsi="宋体" w:eastAsia="宋体" w:cs="宋体"/>
                <w:bCs/>
                <w:color w:val="auto"/>
                <w:kern w:val="2"/>
                <w:sz w:val="21"/>
                <w:highlight w:val="none"/>
              </w:rPr>
              <w:t>分。</w:t>
            </w:r>
          </w:p>
          <w:p w14:paraId="0D2A0541">
            <w:pPr>
              <w:pStyle w:val="16"/>
              <w:spacing w:line="360" w:lineRule="exact"/>
              <w:ind w:firstLine="420" w:firstLineChars="200"/>
              <w:rPr>
                <w:rFonts w:hint="eastAsia" w:ascii="宋体" w:hAnsi="宋体" w:eastAsia="宋体" w:cs="宋体"/>
                <w:bCs/>
                <w:color w:val="auto"/>
                <w:kern w:val="2"/>
                <w:sz w:val="21"/>
                <w:highlight w:val="none"/>
              </w:rPr>
            </w:pPr>
            <w:r>
              <w:rPr>
                <w:rFonts w:hint="eastAsia" w:ascii="宋体" w:hAnsi="宋体" w:eastAsia="宋体" w:cs="宋体"/>
                <w:bCs/>
                <w:color w:val="auto"/>
                <w:kern w:val="2"/>
                <w:sz w:val="21"/>
                <w:highlight w:val="none"/>
              </w:rPr>
              <w:t>（5）价格分计算公式：</w:t>
            </w:r>
          </w:p>
          <w:p w14:paraId="5488F205">
            <w:pPr>
              <w:pStyle w:val="16"/>
              <w:spacing w:line="360" w:lineRule="exact"/>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kern w:val="2"/>
                <w:sz w:val="21"/>
                <w:highlight w:val="none"/>
              </w:rPr>
              <w:t>报价得分=基准价/</w:t>
            </w:r>
            <w:r>
              <w:rPr>
                <w:rFonts w:hint="eastAsia" w:ascii="宋体" w:hAnsi="宋体" w:eastAsia="宋体" w:cs="宋体"/>
                <w:bCs/>
                <w:color w:val="auto"/>
                <w:kern w:val="2"/>
                <w:sz w:val="21"/>
                <w:highlight w:val="none"/>
                <w:lang w:val="en-US" w:eastAsia="zh-CN"/>
              </w:rPr>
              <w:t>评审报价</w:t>
            </w:r>
            <w:r>
              <w:rPr>
                <w:rFonts w:hint="eastAsia" w:ascii="宋体" w:hAnsi="宋体" w:eastAsia="宋体" w:cs="宋体"/>
                <w:bCs/>
                <w:color w:val="auto"/>
                <w:kern w:val="2"/>
                <w:sz w:val="21"/>
                <w:highlight w:val="none"/>
              </w:rPr>
              <w:t>×</w:t>
            </w:r>
            <w:r>
              <w:rPr>
                <w:rFonts w:hint="eastAsia" w:ascii="宋体" w:hAnsi="宋体" w:eastAsia="宋体" w:cs="宋体"/>
                <w:bCs/>
                <w:color w:val="auto"/>
                <w:kern w:val="2"/>
                <w:sz w:val="21"/>
                <w:highlight w:val="none"/>
                <w:u w:val="single"/>
              </w:rPr>
              <w:t xml:space="preserve"> </w:t>
            </w:r>
            <w:r>
              <w:rPr>
                <w:rFonts w:hint="eastAsia" w:ascii="宋体" w:hAnsi="宋体" w:eastAsia="宋体" w:cs="宋体"/>
                <w:bCs/>
                <w:color w:val="auto"/>
                <w:kern w:val="2"/>
                <w:sz w:val="21"/>
                <w:highlight w:val="none"/>
                <w:u w:val="single"/>
                <w:lang w:val="en-US" w:eastAsia="zh-CN"/>
              </w:rPr>
              <w:t>1</w:t>
            </w:r>
            <w:r>
              <w:rPr>
                <w:rFonts w:hint="eastAsia" w:ascii="宋体" w:hAnsi="宋体" w:eastAsia="宋体" w:cs="宋体"/>
                <w:bCs/>
                <w:color w:val="auto"/>
                <w:kern w:val="2"/>
                <w:sz w:val="21"/>
                <w:highlight w:val="none"/>
                <w:u w:val="single"/>
              </w:rPr>
              <w:t xml:space="preserve">0 </w:t>
            </w:r>
            <w:r>
              <w:rPr>
                <w:rFonts w:hint="eastAsia" w:ascii="宋体" w:hAnsi="宋体" w:eastAsia="宋体" w:cs="宋体"/>
                <w:bCs/>
                <w:color w:val="auto"/>
                <w:kern w:val="2"/>
                <w:sz w:val="21"/>
                <w:highlight w:val="none"/>
              </w:rPr>
              <w:t>分</w:t>
            </w:r>
          </w:p>
        </w:tc>
        <w:tc>
          <w:tcPr>
            <w:tcW w:w="772" w:type="dxa"/>
            <w:vAlign w:val="center"/>
          </w:tcPr>
          <w:p w14:paraId="68770C03">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10</w:t>
            </w:r>
            <w:r>
              <w:rPr>
                <w:rFonts w:hint="eastAsia" w:ascii="宋体" w:hAnsi="宋体" w:eastAsia="宋体" w:cs="宋体"/>
                <w:color w:val="auto"/>
                <w:kern w:val="0"/>
                <w:szCs w:val="21"/>
                <w:highlight w:val="none"/>
              </w:rPr>
              <w:t>分</w:t>
            </w:r>
          </w:p>
        </w:tc>
      </w:tr>
      <w:tr w14:paraId="15072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52" w:type="dxa"/>
            <w:vAlign w:val="center"/>
          </w:tcPr>
          <w:p w14:paraId="7973482E">
            <w:pPr>
              <w:widowControl/>
              <w:spacing w:line="36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w:t>
            </w:r>
          </w:p>
        </w:tc>
        <w:tc>
          <w:tcPr>
            <w:tcW w:w="1086" w:type="dxa"/>
            <w:vAlign w:val="center"/>
          </w:tcPr>
          <w:p w14:paraId="139E9A8F">
            <w:pPr>
              <w:widowControl/>
              <w:spacing w:line="36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施工组织设计评分标准</w:t>
            </w:r>
          </w:p>
        </w:tc>
        <w:tc>
          <w:tcPr>
            <w:tcW w:w="7110" w:type="dxa"/>
            <w:vAlign w:val="center"/>
          </w:tcPr>
          <w:p w14:paraId="391CE361">
            <w:pPr>
              <w:widowControl/>
              <w:spacing w:line="36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评审因素</w:t>
            </w:r>
          </w:p>
        </w:tc>
        <w:tc>
          <w:tcPr>
            <w:tcW w:w="772" w:type="dxa"/>
            <w:vAlign w:val="center"/>
          </w:tcPr>
          <w:p w14:paraId="0E541E11">
            <w:pPr>
              <w:widowControl/>
              <w:spacing w:line="36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70</w:t>
            </w:r>
            <w:r>
              <w:rPr>
                <w:rFonts w:hint="eastAsia" w:ascii="宋体" w:hAnsi="宋体" w:eastAsia="宋体" w:cs="宋体"/>
                <w:b/>
                <w:color w:val="auto"/>
                <w:kern w:val="0"/>
                <w:szCs w:val="21"/>
                <w:highlight w:val="none"/>
              </w:rPr>
              <w:t>分</w:t>
            </w:r>
          </w:p>
        </w:tc>
      </w:tr>
      <w:tr w14:paraId="3AE7F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52" w:type="dxa"/>
            <w:vAlign w:val="center"/>
          </w:tcPr>
          <w:p w14:paraId="699FB24D">
            <w:pPr>
              <w:adjustRightInd w:val="0"/>
              <w:spacing w:line="360" w:lineRule="exact"/>
              <w:ind w:left="-105" w:leftChars="-50" w:right="-105" w:rightChars="-50"/>
              <w:jc w:val="center"/>
              <w:textAlignment w:val="baseline"/>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2.1</w:t>
            </w:r>
          </w:p>
        </w:tc>
        <w:tc>
          <w:tcPr>
            <w:tcW w:w="1086" w:type="dxa"/>
            <w:vAlign w:val="center"/>
          </w:tcPr>
          <w:p w14:paraId="7139F335">
            <w:pPr>
              <w:adjustRightInd w:val="0"/>
              <w:spacing w:line="360" w:lineRule="exact"/>
              <w:jc w:val="center"/>
              <w:textAlignment w:val="baseline"/>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内容完整性和编制水平</w:t>
            </w:r>
          </w:p>
        </w:tc>
        <w:tc>
          <w:tcPr>
            <w:tcW w:w="7110" w:type="dxa"/>
            <w:vAlign w:val="center"/>
          </w:tcPr>
          <w:p w14:paraId="6EE2A00C">
            <w:pPr>
              <w:pStyle w:val="16"/>
              <w:spacing w:line="360" w:lineRule="exact"/>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lang w:val="en-US" w:eastAsia="zh-CN"/>
              </w:rPr>
              <w:t>一档</w:t>
            </w:r>
            <w:r>
              <w:rPr>
                <w:rFonts w:hint="eastAsia" w:ascii="宋体" w:hAnsi="宋体" w:eastAsia="宋体" w:cs="宋体"/>
                <w:bCs/>
                <w:color w:val="auto"/>
                <w:sz w:val="21"/>
                <w:highlight w:val="none"/>
              </w:rPr>
              <w:t>（</w:t>
            </w:r>
            <w:r>
              <w:rPr>
                <w:rFonts w:hint="eastAsia" w:ascii="宋体" w:hAnsi="宋体" w:eastAsia="宋体" w:cs="宋体"/>
                <w:bCs/>
                <w:color w:val="auto"/>
                <w:sz w:val="21"/>
                <w:highlight w:val="none"/>
                <w:lang w:val="en-US" w:eastAsia="zh-CN"/>
              </w:rPr>
              <w:t>10</w:t>
            </w:r>
            <w:r>
              <w:rPr>
                <w:rFonts w:hint="eastAsia" w:ascii="宋体" w:hAnsi="宋体" w:eastAsia="宋体" w:cs="宋体"/>
                <w:bCs/>
                <w:color w:val="auto"/>
                <w:sz w:val="21"/>
                <w:highlight w:val="none"/>
              </w:rPr>
              <w:t>分）：针对项目理解编制的施工组织设计内容详细、完整、清晰，有编制依据，有详细总体概述、分项工程概述，对施工准备计划划分清晰、合理、切合本工程实际，对施工场地有详实的施工总平面布置且合理，对冬季、雨季有施工方案，主要施工方案及工艺要有详图等，整体内容符合规范，总体计划合理。总体内容完整性和编制水平优秀。</w:t>
            </w:r>
          </w:p>
          <w:p w14:paraId="1C999EE9">
            <w:pPr>
              <w:pStyle w:val="16"/>
              <w:spacing w:line="360" w:lineRule="exact"/>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lang w:val="en-US" w:eastAsia="zh-CN"/>
              </w:rPr>
              <w:t>二档</w:t>
            </w:r>
            <w:r>
              <w:rPr>
                <w:rFonts w:hint="eastAsia" w:ascii="宋体" w:hAnsi="宋体" w:eastAsia="宋体" w:cs="宋体"/>
                <w:bCs/>
                <w:color w:val="auto"/>
                <w:sz w:val="21"/>
                <w:highlight w:val="none"/>
              </w:rPr>
              <w:t>（</w:t>
            </w:r>
            <w:r>
              <w:rPr>
                <w:rFonts w:hint="eastAsia" w:ascii="宋体" w:hAnsi="宋体" w:eastAsia="宋体" w:cs="宋体"/>
                <w:bCs/>
                <w:color w:val="auto"/>
                <w:sz w:val="21"/>
                <w:highlight w:val="none"/>
                <w:lang w:val="en-US" w:eastAsia="zh-CN"/>
              </w:rPr>
              <w:t>7</w:t>
            </w:r>
            <w:r>
              <w:rPr>
                <w:rFonts w:hint="eastAsia" w:ascii="宋体" w:hAnsi="宋体" w:eastAsia="宋体" w:cs="宋体"/>
                <w:bCs/>
                <w:color w:val="auto"/>
                <w:sz w:val="21"/>
                <w:highlight w:val="none"/>
              </w:rPr>
              <w:t>分）：针对项目理解编制的施工组织设计内容比较全面，能满足施工需求；有编制依据，有总体概述、分项工程概述，有针对施工准备计划划分、满足本工程实际，对施工场地有的施工总平面布置良好，对冬季、雨季有施工方案且满足施工需求，施工方案及工艺有详图等，整体内容完整性和编制水平良好。</w:t>
            </w:r>
          </w:p>
          <w:p w14:paraId="38280269">
            <w:pPr>
              <w:pStyle w:val="16"/>
              <w:spacing w:line="360" w:lineRule="exact"/>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lang w:val="en-US" w:eastAsia="zh-CN"/>
              </w:rPr>
              <w:t>三档</w:t>
            </w:r>
            <w:r>
              <w:rPr>
                <w:rFonts w:hint="eastAsia" w:ascii="宋体" w:hAnsi="宋体" w:eastAsia="宋体" w:cs="宋体"/>
                <w:bCs/>
                <w:color w:val="auto"/>
                <w:sz w:val="21"/>
                <w:highlight w:val="none"/>
              </w:rPr>
              <w:t>（</w:t>
            </w:r>
            <w:r>
              <w:rPr>
                <w:rFonts w:hint="eastAsia" w:ascii="宋体" w:hAnsi="宋体" w:eastAsia="宋体" w:cs="宋体"/>
                <w:bCs/>
                <w:color w:val="auto"/>
                <w:sz w:val="21"/>
                <w:highlight w:val="none"/>
                <w:lang w:val="en-US" w:eastAsia="zh-CN"/>
              </w:rPr>
              <w:t>5</w:t>
            </w:r>
            <w:r>
              <w:rPr>
                <w:rFonts w:hint="eastAsia" w:ascii="宋体" w:hAnsi="宋体" w:eastAsia="宋体" w:cs="宋体"/>
                <w:bCs/>
                <w:color w:val="auto"/>
                <w:sz w:val="21"/>
                <w:highlight w:val="none"/>
              </w:rPr>
              <w:t>分）：针对项目理解编制的施工组织设计内容一般，满足基本施工需求，有简单的编制依据；总体概述、分项工程概述不详细，对施工准备计划划分一般、基本满足本工程实际，对施工场地的施工总平面布置一般，对冬季、雨季有施工方案基本满足施工需求，施工方案及工艺详图等简单，整体内容完整性和编制水平一般。</w:t>
            </w:r>
          </w:p>
          <w:p w14:paraId="0EDB9FD9">
            <w:pPr>
              <w:pStyle w:val="16"/>
              <w:spacing w:line="360" w:lineRule="exact"/>
              <w:ind w:firstLine="420" w:firstLineChars="200"/>
              <w:rPr>
                <w:rFonts w:hint="eastAsia" w:ascii="宋体" w:hAnsi="宋体" w:eastAsia="宋体" w:cs="宋体"/>
                <w:bCs/>
                <w:color w:val="auto"/>
                <w:sz w:val="21"/>
                <w:highlight w:val="none"/>
              </w:rPr>
            </w:pPr>
            <w:r>
              <w:rPr>
                <w:rFonts w:hint="eastAsia" w:hAnsi="宋体" w:cs="宋体"/>
                <w:bCs/>
                <w:color w:val="auto"/>
                <w:sz w:val="21"/>
                <w:highlight w:val="none"/>
                <w:lang w:val="en-US" w:eastAsia="zh-CN"/>
              </w:rPr>
              <w:t>四档</w:t>
            </w:r>
            <w:r>
              <w:rPr>
                <w:rFonts w:hint="eastAsia" w:ascii="宋体" w:hAnsi="宋体" w:eastAsia="宋体" w:cs="宋体"/>
                <w:bCs/>
                <w:color w:val="auto"/>
                <w:sz w:val="21"/>
                <w:highlight w:val="none"/>
              </w:rPr>
              <w:t>（</w:t>
            </w:r>
            <w:r>
              <w:rPr>
                <w:rFonts w:hint="eastAsia" w:ascii="宋体" w:hAnsi="宋体" w:eastAsia="宋体" w:cs="宋体"/>
                <w:bCs/>
                <w:color w:val="auto"/>
                <w:sz w:val="21"/>
                <w:highlight w:val="none"/>
                <w:lang w:val="en-US" w:eastAsia="zh-CN"/>
              </w:rPr>
              <w:t>3</w:t>
            </w:r>
            <w:r>
              <w:rPr>
                <w:rFonts w:hint="eastAsia" w:ascii="宋体" w:hAnsi="宋体" w:eastAsia="宋体" w:cs="宋体"/>
                <w:bCs/>
                <w:color w:val="auto"/>
                <w:sz w:val="21"/>
                <w:highlight w:val="none"/>
              </w:rPr>
              <w:t>分）：针对项目理解编制的施工组织设计内容不详细、不完整，无编制依据，没有详细总体概述、分项工程概述，对施工准备计划划分模糊、不合理，对施工总平面布置混乱且不合理，对冬季、雨季无施工方案，主要施工方案及工艺要没有详图等，总体计划不合理；整体内容完整性和编制水平差。</w:t>
            </w:r>
          </w:p>
          <w:p w14:paraId="0E639F0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kern w:val="0"/>
                <w:sz w:val="21"/>
                <w:szCs w:val="21"/>
                <w:highlight w:val="none"/>
                <w:lang w:val="en-US" w:eastAsia="zh-CN" w:bidi="ar-SA"/>
              </w:rPr>
              <w:t>五档（0分）：未提供得0分。</w:t>
            </w:r>
          </w:p>
        </w:tc>
        <w:tc>
          <w:tcPr>
            <w:tcW w:w="772" w:type="dxa"/>
            <w:vAlign w:val="center"/>
          </w:tcPr>
          <w:p w14:paraId="23262525">
            <w:pPr>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lang w:val="en-US" w:eastAsia="zh-CN"/>
              </w:rPr>
              <w:t>10</w:t>
            </w:r>
            <w:r>
              <w:rPr>
                <w:rFonts w:hint="eastAsia" w:ascii="宋体" w:hAnsi="宋体" w:eastAsia="宋体" w:cs="宋体"/>
                <w:bCs/>
                <w:color w:val="auto"/>
                <w:szCs w:val="21"/>
                <w:highlight w:val="none"/>
              </w:rPr>
              <w:t>分</w:t>
            </w:r>
          </w:p>
        </w:tc>
      </w:tr>
      <w:tr w14:paraId="4A85E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2A8E4A45">
            <w:pPr>
              <w:adjustRightInd w:val="0"/>
              <w:spacing w:line="360" w:lineRule="exact"/>
              <w:ind w:left="-105" w:leftChars="-50" w:right="-105" w:rightChars="-50"/>
              <w:jc w:val="center"/>
              <w:textAlignment w:val="baseline"/>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2.2</w:t>
            </w:r>
          </w:p>
        </w:tc>
        <w:tc>
          <w:tcPr>
            <w:tcW w:w="1086" w:type="dxa"/>
            <w:vAlign w:val="center"/>
          </w:tcPr>
          <w:p w14:paraId="70A7B580">
            <w:pPr>
              <w:adjustRightInd w:val="0"/>
              <w:spacing w:line="320" w:lineRule="exact"/>
              <w:jc w:val="center"/>
              <w:textAlignment w:val="baseline"/>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施工方案与技术措施</w:t>
            </w:r>
          </w:p>
        </w:tc>
        <w:tc>
          <w:tcPr>
            <w:tcW w:w="7110" w:type="dxa"/>
            <w:vAlign w:val="center"/>
          </w:tcPr>
          <w:p w14:paraId="4DFF6DB0">
            <w:pPr>
              <w:spacing w:line="400" w:lineRule="exact"/>
              <w:ind w:firstLine="42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val="en-US" w:eastAsia="zh-CN"/>
              </w:rPr>
              <w:t>一档</w:t>
            </w: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lang w:val="en-US" w:eastAsia="zh-CN"/>
              </w:rPr>
              <w:t>10</w:t>
            </w:r>
            <w:r>
              <w:rPr>
                <w:rFonts w:hint="eastAsia" w:ascii="宋体" w:hAnsi="宋体" w:eastAsia="宋体" w:cs="宋体"/>
                <w:bCs/>
                <w:color w:val="auto"/>
                <w:kern w:val="0"/>
                <w:szCs w:val="21"/>
                <w:highlight w:val="none"/>
              </w:rPr>
              <w:t>分）：对项目的施工总体条件有全面认识，施工段划分呼应总体表述，划分清晰、合理、切合本工程实际，施工方法合理，技术措施具体、先进、有效。</w:t>
            </w:r>
          </w:p>
          <w:p w14:paraId="30BECC09">
            <w:pPr>
              <w:spacing w:line="400" w:lineRule="exact"/>
              <w:ind w:firstLine="42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val="en-US" w:eastAsia="zh-CN"/>
              </w:rPr>
              <w:t>二档</w:t>
            </w: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lang w:val="en-US" w:eastAsia="zh-CN"/>
              </w:rPr>
              <w:t>7</w:t>
            </w:r>
            <w:r>
              <w:rPr>
                <w:rFonts w:hint="eastAsia" w:ascii="宋体" w:hAnsi="宋体" w:eastAsia="宋体" w:cs="宋体"/>
                <w:bCs/>
                <w:color w:val="auto"/>
                <w:kern w:val="0"/>
                <w:szCs w:val="21"/>
                <w:highlight w:val="none"/>
              </w:rPr>
              <w:t>分）：对项目的施工总体条件有认识，施工段划分可行、切合实际可行，施工方法简单合理，施工技术措施具体，但不详细、不清晰。</w:t>
            </w:r>
          </w:p>
          <w:p w14:paraId="4DE4538B">
            <w:pPr>
              <w:spacing w:line="400" w:lineRule="exact"/>
              <w:ind w:firstLine="42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val="en-US" w:eastAsia="zh-CN"/>
              </w:rPr>
              <w:t>三档</w:t>
            </w: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lang w:val="en-US" w:eastAsia="zh-CN"/>
              </w:rPr>
              <w:t>5</w:t>
            </w:r>
            <w:r>
              <w:rPr>
                <w:rFonts w:hint="eastAsia" w:ascii="宋体" w:hAnsi="宋体" w:eastAsia="宋体" w:cs="宋体"/>
                <w:bCs/>
                <w:color w:val="auto"/>
                <w:kern w:val="0"/>
                <w:szCs w:val="21"/>
                <w:highlight w:val="none"/>
              </w:rPr>
              <w:t>分）：对项目的施工总体条件简单的认识，施工段划分一般、基本切合实际，施工方法一般，施工技术措施不够具体。</w:t>
            </w:r>
          </w:p>
          <w:p w14:paraId="773C1EB8">
            <w:pPr>
              <w:spacing w:line="400" w:lineRule="exact"/>
              <w:ind w:firstLine="42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val="en-US" w:eastAsia="zh-CN"/>
              </w:rPr>
              <w:t>四档</w:t>
            </w: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分）：对项目的施工总体条件认识不足，施工方案不完整，技术措施不具体，施工段划分不合理。</w:t>
            </w:r>
          </w:p>
          <w:p w14:paraId="742128E6">
            <w:pPr>
              <w:spacing w:line="400" w:lineRule="exact"/>
              <w:ind w:firstLine="420" w:firstLineChars="0"/>
              <w:rPr>
                <w:rFonts w:hint="eastAsia" w:ascii="宋体" w:hAnsi="宋体" w:eastAsia="宋体" w:cs="宋体"/>
                <w:bCs/>
                <w:color w:val="auto"/>
                <w:kern w:val="0"/>
                <w:szCs w:val="21"/>
                <w:highlight w:val="none"/>
                <w:lang w:val="en-US" w:eastAsia="zh-CN"/>
              </w:rPr>
            </w:pPr>
            <w:r>
              <w:rPr>
                <w:rFonts w:hint="eastAsia" w:ascii="宋体" w:hAnsi="宋体" w:eastAsia="宋体" w:cs="宋体"/>
                <w:color w:val="auto"/>
                <w:highlight w:val="none"/>
                <w:lang w:val="en-US" w:eastAsia="zh-CN"/>
              </w:rPr>
              <w:t>五档（0分）：未提供得0分。</w:t>
            </w:r>
          </w:p>
        </w:tc>
        <w:tc>
          <w:tcPr>
            <w:tcW w:w="772" w:type="dxa"/>
            <w:vAlign w:val="center"/>
          </w:tcPr>
          <w:p w14:paraId="6F17726D">
            <w:pPr>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lang w:val="en-US" w:eastAsia="zh-CN"/>
              </w:rPr>
              <w:t>10</w:t>
            </w:r>
            <w:r>
              <w:rPr>
                <w:rFonts w:hint="eastAsia" w:ascii="宋体" w:hAnsi="宋体" w:eastAsia="宋体" w:cs="宋体"/>
                <w:bCs/>
                <w:color w:val="auto"/>
                <w:kern w:val="0"/>
                <w:szCs w:val="21"/>
                <w:highlight w:val="none"/>
              </w:rPr>
              <w:t>分</w:t>
            </w:r>
          </w:p>
        </w:tc>
      </w:tr>
      <w:tr w14:paraId="58350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042153B1">
            <w:pPr>
              <w:adjustRightInd w:val="0"/>
              <w:spacing w:line="320" w:lineRule="exact"/>
              <w:ind w:left="-105" w:leftChars="-50" w:right="-105" w:rightChars="-50"/>
              <w:jc w:val="center"/>
              <w:textAlignment w:val="baseline"/>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2.3</w:t>
            </w:r>
          </w:p>
        </w:tc>
        <w:tc>
          <w:tcPr>
            <w:tcW w:w="1086" w:type="dxa"/>
            <w:vAlign w:val="center"/>
          </w:tcPr>
          <w:p w14:paraId="19FCF18F">
            <w:pPr>
              <w:adjustRightInd w:val="0"/>
              <w:spacing w:line="400" w:lineRule="exact"/>
              <w:jc w:val="center"/>
              <w:textAlignment w:val="baseline"/>
              <w:rPr>
                <w:rFonts w:hint="eastAsia" w:ascii="宋体" w:hAnsi="宋体" w:eastAsia="宋体" w:cs="宋体"/>
                <w:bCs/>
                <w:color w:val="auto"/>
                <w:szCs w:val="21"/>
                <w:highlight w:val="none"/>
              </w:rPr>
            </w:pPr>
            <w:r>
              <w:rPr>
                <w:rFonts w:hint="eastAsia" w:ascii="宋体" w:hAnsi="宋体" w:eastAsia="宋体" w:cs="宋体"/>
                <w:color w:val="auto"/>
                <w:sz w:val="21"/>
                <w:highlight w:val="none"/>
              </w:rPr>
              <w:t>质量管理体系与措施</w:t>
            </w:r>
          </w:p>
        </w:tc>
        <w:tc>
          <w:tcPr>
            <w:tcW w:w="7110" w:type="dxa"/>
            <w:vAlign w:val="center"/>
          </w:tcPr>
          <w:p w14:paraId="579B6679">
            <w:pPr>
              <w:pStyle w:val="16"/>
              <w:spacing w:line="400" w:lineRule="exact"/>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lang w:val="en-US" w:eastAsia="zh-CN"/>
              </w:rPr>
              <w:t>一档</w:t>
            </w:r>
            <w:r>
              <w:rPr>
                <w:rFonts w:hint="eastAsia" w:ascii="宋体" w:hAnsi="宋体" w:eastAsia="宋体" w:cs="宋体"/>
                <w:bCs/>
                <w:color w:val="auto"/>
                <w:sz w:val="21"/>
                <w:highlight w:val="none"/>
              </w:rPr>
              <w:t>（</w:t>
            </w:r>
            <w:r>
              <w:rPr>
                <w:rFonts w:hint="eastAsia" w:ascii="宋体" w:hAnsi="宋体" w:eastAsia="宋体" w:cs="宋体"/>
                <w:bCs/>
                <w:color w:val="auto"/>
                <w:sz w:val="21"/>
                <w:highlight w:val="none"/>
                <w:lang w:val="en-US" w:eastAsia="zh-CN"/>
              </w:rPr>
              <w:t>5</w:t>
            </w:r>
            <w:r>
              <w:rPr>
                <w:rFonts w:hint="eastAsia" w:ascii="宋体" w:hAnsi="宋体" w:eastAsia="宋体" w:cs="宋体"/>
                <w:bCs/>
                <w:color w:val="auto"/>
                <w:sz w:val="21"/>
                <w:highlight w:val="none"/>
              </w:rPr>
              <w:t>分）：有清晰、全面的质量技术管理班子和制度，且人员配备完整合理，制度健全。主要工序质量技术保证措施和手段科学合理，自控体系完整，能有效、全面的保证技术质量，达到承诺的质量标准。</w:t>
            </w:r>
          </w:p>
          <w:p w14:paraId="5241D970">
            <w:pPr>
              <w:pStyle w:val="16"/>
              <w:spacing w:line="400" w:lineRule="exact"/>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lang w:val="en-US" w:eastAsia="zh-CN"/>
              </w:rPr>
              <w:t>二档</w:t>
            </w:r>
            <w:r>
              <w:rPr>
                <w:rFonts w:hint="eastAsia" w:ascii="宋体" w:hAnsi="宋体" w:eastAsia="宋体" w:cs="宋体"/>
                <w:bCs/>
                <w:color w:val="auto"/>
                <w:sz w:val="21"/>
                <w:highlight w:val="none"/>
              </w:rPr>
              <w:t>（</w:t>
            </w:r>
            <w:r>
              <w:rPr>
                <w:rFonts w:hint="eastAsia" w:ascii="宋体" w:hAnsi="宋体" w:eastAsia="宋体" w:cs="宋体"/>
                <w:bCs/>
                <w:color w:val="auto"/>
                <w:sz w:val="21"/>
                <w:highlight w:val="none"/>
                <w:lang w:val="en-US" w:eastAsia="zh-CN"/>
              </w:rPr>
              <w:t>3</w:t>
            </w:r>
            <w:r>
              <w:rPr>
                <w:rFonts w:hint="eastAsia" w:ascii="宋体" w:hAnsi="宋体" w:eastAsia="宋体" w:cs="宋体"/>
                <w:bCs/>
                <w:color w:val="auto"/>
                <w:sz w:val="21"/>
                <w:highlight w:val="none"/>
              </w:rPr>
              <w:t>分）：有质量技术管理班子和制度，比较结合实际、措施及具体。人员配备比较合理，制度比较健全。主要工序的质量技术保证措施和手段一般，自控体系一般，保证技术质量，达到承诺的质量标准。</w:t>
            </w:r>
          </w:p>
          <w:p w14:paraId="4941A198">
            <w:pPr>
              <w:pStyle w:val="16"/>
              <w:spacing w:line="400" w:lineRule="exact"/>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lang w:val="en-US" w:eastAsia="zh-CN"/>
              </w:rPr>
              <w:t>三档</w:t>
            </w:r>
            <w:r>
              <w:rPr>
                <w:rFonts w:hint="eastAsia" w:ascii="宋体" w:hAnsi="宋体" w:eastAsia="宋体" w:cs="宋体"/>
                <w:bCs/>
                <w:color w:val="auto"/>
                <w:sz w:val="21"/>
                <w:highlight w:val="none"/>
              </w:rPr>
              <w:t>（</w:t>
            </w:r>
            <w:r>
              <w:rPr>
                <w:rFonts w:hint="eastAsia" w:ascii="宋体" w:hAnsi="宋体" w:eastAsia="宋体" w:cs="宋体"/>
                <w:bCs/>
                <w:color w:val="auto"/>
                <w:sz w:val="21"/>
                <w:highlight w:val="none"/>
                <w:lang w:val="en-US" w:eastAsia="zh-CN"/>
              </w:rPr>
              <w:t>2</w:t>
            </w:r>
            <w:r>
              <w:rPr>
                <w:rFonts w:hint="eastAsia" w:ascii="宋体" w:hAnsi="宋体" w:eastAsia="宋体" w:cs="宋体"/>
                <w:bCs/>
                <w:color w:val="auto"/>
                <w:sz w:val="21"/>
                <w:highlight w:val="none"/>
              </w:rPr>
              <w:t>分）：质量技术管理班子和制度基本合理，人员配备基本合理，制度基本健全。主要工序无质量技术保证措施和手段，有基本的自控体系，基本能保证技术质量，基本达到承诺的质量标准。</w:t>
            </w:r>
          </w:p>
          <w:p w14:paraId="5D0AB144">
            <w:pPr>
              <w:pStyle w:val="16"/>
              <w:spacing w:line="400" w:lineRule="exact"/>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lang w:val="en-US" w:eastAsia="zh-CN"/>
              </w:rPr>
              <w:t>四档</w:t>
            </w:r>
            <w:r>
              <w:rPr>
                <w:rFonts w:hint="eastAsia" w:ascii="宋体" w:hAnsi="宋体" w:eastAsia="宋体" w:cs="宋体"/>
                <w:bCs/>
                <w:color w:val="auto"/>
                <w:sz w:val="21"/>
                <w:highlight w:val="none"/>
              </w:rPr>
              <w:t>（</w:t>
            </w:r>
            <w:r>
              <w:rPr>
                <w:rFonts w:hint="eastAsia" w:ascii="宋体" w:hAnsi="宋体" w:eastAsia="宋体" w:cs="宋体"/>
                <w:bCs/>
                <w:color w:val="auto"/>
                <w:sz w:val="21"/>
                <w:highlight w:val="none"/>
                <w:lang w:val="en-US" w:eastAsia="zh-CN"/>
              </w:rPr>
              <w:t>1</w:t>
            </w:r>
            <w:r>
              <w:rPr>
                <w:rFonts w:hint="eastAsia" w:ascii="宋体" w:hAnsi="宋体" w:eastAsia="宋体" w:cs="宋体"/>
                <w:bCs/>
                <w:color w:val="auto"/>
                <w:sz w:val="21"/>
                <w:highlight w:val="none"/>
              </w:rPr>
              <w:t>分）：质量技术管理班子和制度不全面不细致，人员配备不合理，制度不健全。主要工序无质量技术保证措施和手段，自控体系不完整，不能有效保证技术质量，达不到承诺的质量标准。</w:t>
            </w:r>
          </w:p>
          <w:p w14:paraId="796E6D5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kern w:val="0"/>
                <w:sz w:val="21"/>
                <w:szCs w:val="21"/>
                <w:highlight w:val="none"/>
                <w:lang w:val="en-US" w:eastAsia="zh-CN" w:bidi="ar-SA"/>
              </w:rPr>
              <w:t>五档（0分）：未提供得0分。</w:t>
            </w:r>
          </w:p>
        </w:tc>
        <w:tc>
          <w:tcPr>
            <w:tcW w:w="772" w:type="dxa"/>
            <w:vAlign w:val="center"/>
          </w:tcPr>
          <w:p w14:paraId="36921EBF">
            <w:pPr>
              <w:spacing w:line="32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5分</w:t>
            </w:r>
          </w:p>
        </w:tc>
      </w:tr>
      <w:tr w14:paraId="2EDD9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6E6473CB">
            <w:pPr>
              <w:adjustRightInd w:val="0"/>
              <w:spacing w:line="320" w:lineRule="exact"/>
              <w:ind w:left="-105" w:leftChars="-50" w:right="-105" w:rightChars="-50"/>
              <w:jc w:val="center"/>
              <w:textAlignment w:val="baseline"/>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2.4</w:t>
            </w:r>
          </w:p>
        </w:tc>
        <w:tc>
          <w:tcPr>
            <w:tcW w:w="1086" w:type="dxa"/>
            <w:vAlign w:val="center"/>
          </w:tcPr>
          <w:p w14:paraId="2C48901E">
            <w:pPr>
              <w:adjustRightInd w:val="0"/>
              <w:spacing w:line="400" w:lineRule="exact"/>
              <w:jc w:val="center"/>
              <w:textAlignment w:val="baseline"/>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安全管理体系与措施</w:t>
            </w:r>
          </w:p>
        </w:tc>
        <w:tc>
          <w:tcPr>
            <w:tcW w:w="7110" w:type="dxa"/>
            <w:vAlign w:val="center"/>
          </w:tcPr>
          <w:p w14:paraId="5778C94A">
            <w:pPr>
              <w:pStyle w:val="16"/>
              <w:spacing w:line="400" w:lineRule="exact"/>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lang w:val="en-US" w:eastAsia="zh-CN"/>
              </w:rPr>
              <w:t>一档</w:t>
            </w:r>
            <w:r>
              <w:rPr>
                <w:rFonts w:hint="eastAsia" w:ascii="宋体" w:hAnsi="宋体" w:eastAsia="宋体" w:cs="宋体"/>
                <w:bCs/>
                <w:color w:val="auto"/>
                <w:sz w:val="21"/>
                <w:highlight w:val="none"/>
              </w:rPr>
              <w:t>（</w:t>
            </w:r>
            <w:r>
              <w:rPr>
                <w:rFonts w:hint="eastAsia" w:ascii="宋体" w:hAnsi="宋体" w:eastAsia="宋体" w:cs="宋体"/>
                <w:bCs/>
                <w:color w:val="auto"/>
                <w:sz w:val="21"/>
                <w:highlight w:val="none"/>
                <w:lang w:val="en-US" w:eastAsia="zh-CN"/>
              </w:rPr>
              <w:t>10</w:t>
            </w:r>
            <w:r>
              <w:rPr>
                <w:rFonts w:hint="eastAsia" w:ascii="宋体" w:hAnsi="宋体" w:eastAsia="宋体" w:cs="宋体"/>
                <w:bCs/>
                <w:color w:val="auto"/>
                <w:sz w:val="21"/>
                <w:highlight w:val="none"/>
              </w:rPr>
              <w:t>分）：有全面的专门安全管理人员和制度，且人员配备比较合理，制度健全，各道工序安全技术措施针对性强，确保工程质量的技术组织措施符合实际且优于有关安全技术标准要求。现场防火、应急救援、社会治安安全措施得力。</w:t>
            </w:r>
          </w:p>
          <w:p w14:paraId="4CC1FD0F">
            <w:pPr>
              <w:pStyle w:val="16"/>
              <w:spacing w:line="400" w:lineRule="exact"/>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lang w:val="en-US" w:eastAsia="zh-CN"/>
              </w:rPr>
              <w:t>二档</w:t>
            </w:r>
            <w:r>
              <w:rPr>
                <w:rFonts w:hint="eastAsia" w:ascii="宋体" w:hAnsi="宋体" w:eastAsia="宋体" w:cs="宋体"/>
                <w:bCs/>
                <w:color w:val="auto"/>
                <w:sz w:val="21"/>
                <w:highlight w:val="none"/>
              </w:rPr>
              <w:t>（7分）：安全管理人员和制度比较全面，且人员配备合理，制度健全，各道工序安全技术措施针对性比较合理，确保工程质量的技术组织措施符合实际且满足有关安全技术标准要求。现场防火、应急救援、社会治安安全措施良好。</w:t>
            </w:r>
          </w:p>
          <w:p w14:paraId="0F8A182B">
            <w:pPr>
              <w:pStyle w:val="16"/>
              <w:spacing w:line="400" w:lineRule="exact"/>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lang w:val="en-US" w:eastAsia="zh-CN"/>
              </w:rPr>
              <w:t>三档</w:t>
            </w:r>
            <w:r>
              <w:rPr>
                <w:rFonts w:hint="eastAsia" w:ascii="宋体" w:hAnsi="宋体" w:eastAsia="宋体" w:cs="宋体"/>
                <w:bCs/>
                <w:color w:val="auto"/>
                <w:sz w:val="21"/>
                <w:highlight w:val="none"/>
              </w:rPr>
              <w:t>（5分）：安全管理人员和制度基本合理，人员配备基本合理，制度基本健全，各道工序安全技术措施针对性一般，确保工程质量的技术组织措施符合实际且基本满足有关安全技术标准要求。现场防火、应急救援、社会治安安全措施一般。</w:t>
            </w:r>
          </w:p>
          <w:p w14:paraId="48A4C8A2">
            <w:pPr>
              <w:pStyle w:val="16"/>
              <w:spacing w:line="400" w:lineRule="exact"/>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lang w:val="en-US" w:eastAsia="zh-CN"/>
              </w:rPr>
              <w:t>四档</w:t>
            </w:r>
            <w:r>
              <w:rPr>
                <w:rFonts w:hint="eastAsia" w:ascii="宋体" w:hAnsi="宋体" w:eastAsia="宋体" w:cs="宋体"/>
                <w:bCs/>
                <w:color w:val="auto"/>
                <w:sz w:val="21"/>
                <w:highlight w:val="none"/>
              </w:rPr>
              <w:t>（3分）：安全管理人员和制度不全面不细致，人员配备不合理，制度不健全，各道工序安全技术措施针无对性，不满足有关安全技术标准要求。现场防火、应急救援、社会治安安全措施不得力。</w:t>
            </w:r>
          </w:p>
          <w:p w14:paraId="6085DF7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五档（0分）：未提供得0分。</w:t>
            </w:r>
          </w:p>
        </w:tc>
        <w:tc>
          <w:tcPr>
            <w:tcW w:w="772" w:type="dxa"/>
            <w:vAlign w:val="center"/>
          </w:tcPr>
          <w:p w14:paraId="07659509">
            <w:pPr>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10分</w:t>
            </w:r>
          </w:p>
        </w:tc>
      </w:tr>
      <w:tr w14:paraId="29B4E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11DD0C48">
            <w:pPr>
              <w:adjustRightInd w:val="0"/>
              <w:spacing w:line="320" w:lineRule="exact"/>
              <w:ind w:left="-105" w:leftChars="-50" w:right="-105" w:rightChars="-50"/>
              <w:jc w:val="center"/>
              <w:textAlignment w:val="baseline"/>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2.5</w:t>
            </w:r>
          </w:p>
        </w:tc>
        <w:tc>
          <w:tcPr>
            <w:tcW w:w="1086" w:type="dxa"/>
            <w:vAlign w:val="center"/>
          </w:tcPr>
          <w:p w14:paraId="1840E191">
            <w:pPr>
              <w:adjustRightInd w:val="0"/>
              <w:spacing w:line="400" w:lineRule="exact"/>
              <w:jc w:val="center"/>
              <w:textAlignment w:val="baseline"/>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环境保护管理体系与措施</w:t>
            </w:r>
          </w:p>
        </w:tc>
        <w:tc>
          <w:tcPr>
            <w:tcW w:w="7110" w:type="dxa"/>
            <w:vAlign w:val="center"/>
          </w:tcPr>
          <w:p w14:paraId="1CC5B0EC">
            <w:pPr>
              <w:pStyle w:val="16"/>
              <w:spacing w:line="400" w:lineRule="exact"/>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lang w:val="en-US" w:eastAsia="zh-CN"/>
              </w:rPr>
              <w:t>一档</w:t>
            </w:r>
            <w:r>
              <w:rPr>
                <w:rFonts w:hint="eastAsia" w:ascii="宋体" w:hAnsi="宋体" w:eastAsia="宋体" w:cs="宋体"/>
                <w:bCs/>
                <w:color w:val="auto"/>
                <w:sz w:val="21"/>
                <w:highlight w:val="none"/>
              </w:rPr>
              <w:t>（10分）：针对本工程项目特点，方案比较全面，有现场文明施工、环境保护措施，且措施内容应达到或优于水利部《水利系统文明建设工地评审管理办法》合格标准并符合《广西壮族自治区建筑工程文明施工导则》要求。各项措施周全、具体、有效。有具体实现现场文明施工目标的承诺。</w:t>
            </w:r>
          </w:p>
          <w:p w14:paraId="48375D66">
            <w:pPr>
              <w:pStyle w:val="16"/>
              <w:spacing w:line="400" w:lineRule="exact"/>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lang w:val="en-US" w:eastAsia="zh-CN"/>
              </w:rPr>
              <w:t>二档</w:t>
            </w:r>
            <w:r>
              <w:rPr>
                <w:rFonts w:hint="eastAsia" w:ascii="宋体" w:hAnsi="宋体" w:eastAsia="宋体" w:cs="宋体"/>
                <w:bCs/>
                <w:color w:val="auto"/>
                <w:sz w:val="21"/>
                <w:highlight w:val="none"/>
              </w:rPr>
              <w:t>（7分）：针对本工程项目特点，有现场文明施工、环境保护措施，措施内容满足水利部《水利系统文明建设工地评审管理办法》合格标准并符合《广西壮族自治区建筑工程文明施工导则》要求。各项措施详细，有详细的现场文明施工目标的承诺。</w:t>
            </w:r>
          </w:p>
          <w:p w14:paraId="67A9430F">
            <w:pPr>
              <w:pStyle w:val="16"/>
              <w:spacing w:line="400" w:lineRule="exact"/>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lang w:val="en-US" w:eastAsia="zh-CN"/>
              </w:rPr>
              <w:t>三档</w:t>
            </w:r>
            <w:r>
              <w:rPr>
                <w:rFonts w:hint="eastAsia" w:ascii="宋体" w:hAnsi="宋体" w:eastAsia="宋体" w:cs="宋体"/>
                <w:bCs/>
                <w:color w:val="auto"/>
                <w:sz w:val="21"/>
                <w:highlight w:val="none"/>
              </w:rPr>
              <w:t>（5分）：针对本工程项目做出方案，方案一般，有现场文明施工、环境保护措施，措施内容一般，基本满足水利部《水利系统文明建设工地评审管理办法》合格标准并符合《广西壮族自治区建筑工程文明施工导则》要求。各项措施一般。有简单的实现现场文明施工目标的承诺。</w:t>
            </w:r>
          </w:p>
          <w:p w14:paraId="5061725C">
            <w:pPr>
              <w:pStyle w:val="16"/>
              <w:spacing w:line="400" w:lineRule="exact"/>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lang w:val="en-US" w:eastAsia="zh-CN"/>
              </w:rPr>
              <w:t>四档</w:t>
            </w:r>
            <w:r>
              <w:rPr>
                <w:rFonts w:hint="eastAsia" w:ascii="宋体" w:hAnsi="宋体" w:eastAsia="宋体" w:cs="宋体"/>
                <w:bCs/>
                <w:color w:val="auto"/>
                <w:sz w:val="21"/>
                <w:highlight w:val="none"/>
              </w:rPr>
              <w:t>（3分）：未针对本工程项目做出方案，无现场文明施工、环境保护措施或措施不足，措施内容不满足水利部《水利系统文明建设工地评审管理办法》合格标准并不符合《广西壮族自治区建筑工程文明施工导则》要求。各项措施模糊、简单，无具体实现现场文明施工目标的承诺。</w:t>
            </w:r>
          </w:p>
          <w:p w14:paraId="5F1A409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五档（0分）：未提供得0分。</w:t>
            </w:r>
          </w:p>
        </w:tc>
        <w:tc>
          <w:tcPr>
            <w:tcW w:w="772" w:type="dxa"/>
            <w:vAlign w:val="center"/>
          </w:tcPr>
          <w:p w14:paraId="6F75D863">
            <w:pPr>
              <w:spacing w:line="32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10分</w:t>
            </w:r>
          </w:p>
        </w:tc>
      </w:tr>
      <w:tr w14:paraId="09868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0FF9E6CA">
            <w:pPr>
              <w:adjustRightInd w:val="0"/>
              <w:spacing w:line="320" w:lineRule="exact"/>
              <w:ind w:left="-105" w:leftChars="-50" w:right="-105" w:rightChars="-50"/>
              <w:jc w:val="center"/>
              <w:textAlignment w:val="baseline"/>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2.6</w:t>
            </w:r>
          </w:p>
        </w:tc>
        <w:tc>
          <w:tcPr>
            <w:tcW w:w="1086" w:type="dxa"/>
            <w:vAlign w:val="center"/>
          </w:tcPr>
          <w:p w14:paraId="31FECC1A">
            <w:pPr>
              <w:adjustRightInd w:val="0"/>
              <w:spacing w:line="400" w:lineRule="exact"/>
              <w:jc w:val="center"/>
              <w:textAlignment w:val="baseline"/>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工程进度计划与措施</w:t>
            </w:r>
          </w:p>
        </w:tc>
        <w:tc>
          <w:tcPr>
            <w:tcW w:w="7110" w:type="dxa"/>
            <w:vAlign w:val="center"/>
          </w:tcPr>
          <w:p w14:paraId="34BE8E12">
            <w:pPr>
              <w:pStyle w:val="16"/>
              <w:spacing w:line="400" w:lineRule="exact"/>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lang w:val="en-US" w:eastAsia="zh-CN"/>
              </w:rPr>
              <w:t>一档</w:t>
            </w:r>
            <w:r>
              <w:rPr>
                <w:rFonts w:hint="eastAsia" w:ascii="宋体" w:hAnsi="宋体" w:eastAsia="宋体" w:cs="宋体"/>
                <w:bCs/>
                <w:color w:val="auto"/>
                <w:sz w:val="21"/>
                <w:highlight w:val="none"/>
              </w:rPr>
              <w:t>（</w:t>
            </w:r>
            <w:r>
              <w:rPr>
                <w:rFonts w:hint="eastAsia" w:ascii="宋体" w:hAnsi="宋体" w:eastAsia="宋体" w:cs="宋体"/>
                <w:bCs/>
                <w:color w:val="auto"/>
                <w:sz w:val="21"/>
                <w:highlight w:val="none"/>
                <w:lang w:val="en-US" w:eastAsia="zh-CN"/>
              </w:rPr>
              <w:t>10</w:t>
            </w:r>
            <w:r>
              <w:rPr>
                <w:rFonts w:hint="eastAsia" w:ascii="宋体" w:hAnsi="宋体" w:eastAsia="宋体" w:cs="宋体"/>
                <w:bCs/>
                <w:color w:val="auto"/>
                <w:sz w:val="21"/>
                <w:highlight w:val="none"/>
              </w:rPr>
              <w:t>分）：施工进度安排能全面满足招标文件要求，关键线路清晰、准确、完整，计划编制合理、可行，主体工程完工等关键节点的工期保证措施合理、可行</w:t>
            </w:r>
            <w:r>
              <w:rPr>
                <w:rFonts w:hint="eastAsia" w:ascii="宋体" w:hAnsi="宋体" w:eastAsia="宋体" w:cs="宋体"/>
                <w:bCs/>
                <w:color w:val="auto"/>
                <w:sz w:val="21"/>
                <w:highlight w:val="none"/>
                <w:lang w:eastAsia="zh-CN"/>
              </w:rPr>
              <w:t>，</w:t>
            </w:r>
            <w:r>
              <w:rPr>
                <w:rFonts w:hint="eastAsia" w:ascii="宋体" w:hAnsi="宋体" w:eastAsia="宋体" w:cs="宋体"/>
                <w:bCs/>
                <w:color w:val="auto"/>
                <w:sz w:val="21"/>
                <w:highlight w:val="none"/>
              </w:rPr>
              <w:t>有符合工程实际的赶工措施的。</w:t>
            </w:r>
          </w:p>
          <w:p w14:paraId="40284A62">
            <w:pPr>
              <w:pStyle w:val="16"/>
              <w:spacing w:line="400" w:lineRule="exact"/>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lang w:val="en-US" w:eastAsia="zh-CN"/>
              </w:rPr>
              <w:t>二档</w:t>
            </w:r>
            <w:r>
              <w:rPr>
                <w:rFonts w:hint="eastAsia" w:ascii="宋体" w:hAnsi="宋体" w:eastAsia="宋体" w:cs="宋体"/>
                <w:bCs/>
                <w:color w:val="auto"/>
                <w:sz w:val="21"/>
                <w:highlight w:val="none"/>
              </w:rPr>
              <w:t>（</w:t>
            </w:r>
            <w:r>
              <w:rPr>
                <w:rFonts w:hint="eastAsia" w:ascii="宋体" w:hAnsi="宋体" w:eastAsia="宋体" w:cs="宋体"/>
                <w:bCs/>
                <w:color w:val="auto"/>
                <w:sz w:val="21"/>
                <w:highlight w:val="none"/>
                <w:lang w:val="en-US" w:eastAsia="zh-CN"/>
              </w:rPr>
              <w:t>7</w:t>
            </w:r>
            <w:r>
              <w:rPr>
                <w:rFonts w:hint="eastAsia" w:ascii="宋体" w:hAnsi="宋体" w:eastAsia="宋体" w:cs="宋体"/>
                <w:bCs/>
                <w:color w:val="auto"/>
                <w:sz w:val="21"/>
                <w:highlight w:val="none"/>
              </w:rPr>
              <w:t>分）：施工进度安排能满足招标文件要求，关键线路基本准确，计划编制合理，主体工程完工等关键节点的工期保证措施基本合理、可行，有符合工程实际的赶工措施的。</w:t>
            </w:r>
          </w:p>
          <w:p w14:paraId="5F5D6F7D">
            <w:pPr>
              <w:pStyle w:val="16"/>
              <w:spacing w:line="400" w:lineRule="exact"/>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lang w:val="en-US" w:eastAsia="zh-CN"/>
              </w:rPr>
              <w:t>三档</w:t>
            </w:r>
            <w:r>
              <w:rPr>
                <w:rFonts w:hint="eastAsia" w:ascii="宋体" w:hAnsi="宋体" w:eastAsia="宋体" w:cs="宋体"/>
                <w:bCs/>
                <w:color w:val="auto"/>
                <w:sz w:val="21"/>
                <w:highlight w:val="none"/>
              </w:rPr>
              <w:t>（</w:t>
            </w:r>
            <w:r>
              <w:rPr>
                <w:rFonts w:hint="eastAsia" w:ascii="宋体" w:hAnsi="宋体" w:eastAsia="宋体" w:cs="宋体"/>
                <w:bCs/>
                <w:color w:val="auto"/>
                <w:sz w:val="21"/>
                <w:highlight w:val="none"/>
                <w:lang w:val="en-US" w:eastAsia="zh-CN"/>
              </w:rPr>
              <w:t>5</w:t>
            </w:r>
            <w:r>
              <w:rPr>
                <w:rFonts w:hint="eastAsia" w:ascii="宋体" w:hAnsi="宋体" w:eastAsia="宋体" w:cs="宋体"/>
                <w:bCs/>
                <w:color w:val="auto"/>
                <w:sz w:val="21"/>
                <w:highlight w:val="none"/>
              </w:rPr>
              <w:t>分）：施工进度安排基本满足招标文件要求，但关键线路准确性一般，计划编制合理性一般，主体工程完工等关键节点的工期保证措施一般，符合工程实际的赶工措施一般。</w:t>
            </w:r>
          </w:p>
          <w:p w14:paraId="44FA0FA3">
            <w:pPr>
              <w:pStyle w:val="16"/>
              <w:spacing w:line="400" w:lineRule="exact"/>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lang w:val="en-US" w:eastAsia="zh-CN"/>
              </w:rPr>
              <w:t>四档</w:t>
            </w:r>
            <w:r>
              <w:rPr>
                <w:rFonts w:hint="eastAsia" w:ascii="宋体" w:hAnsi="宋体" w:eastAsia="宋体" w:cs="宋体"/>
                <w:bCs/>
                <w:color w:val="auto"/>
                <w:sz w:val="21"/>
                <w:highlight w:val="none"/>
              </w:rPr>
              <w:t>（</w:t>
            </w:r>
            <w:r>
              <w:rPr>
                <w:rFonts w:hint="eastAsia" w:ascii="宋体" w:hAnsi="宋体" w:eastAsia="宋体" w:cs="宋体"/>
                <w:bCs/>
                <w:color w:val="auto"/>
                <w:sz w:val="21"/>
                <w:highlight w:val="none"/>
                <w:lang w:val="en-US" w:eastAsia="zh-CN"/>
              </w:rPr>
              <w:t>3</w:t>
            </w:r>
            <w:r>
              <w:rPr>
                <w:rFonts w:hint="eastAsia" w:ascii="宋体" w:hAnsi="宋体" w:eastAsia="宋体" w:cs="宋体"/>
                <w:bCs/>
                <w:color w:val="auto"/>
                <w:sz w:val="21"/>
                <w:highlight w:val="none"/>
              </w:rPr>
              <w:t>分）：施工进度安排不能满足招标文件要求，关键线路不准确，计划编制不清晰，主体工程完工等关键节点的工期保证措施不可行或不结合工程实际的。</w:t>
            </w:r>
          </w:p>
          <w:p w14:paraId="037E24C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五档（0分）：未提供得0分。</w:t>
            </w:r>
          </w:p>
        </w:tc>
        <w:tc>
          <w:tcPr>
            <w:tcW w:w="772" w:type="dxa"/>
            <w:vAlign w:val="center"/>
          </w:tcPr>
          <w:p w14:paraId="76992B69">
            <w:pPr>
              <w:spacing w:line="32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10分</w:t>
            </w:r>
          </w:p>
        </w:tc>
      </w:tr>
      <w:tr w14:paraId="17933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2BD711C9">
            <w:pPr>
              <w:adjustRightInd w:val="0"/>
              <w:spacing w:line="320" w:lineRule="exact"/>
              <w:ind w:left="-105" w:leftChars="-50" w:right="-105" w:rightChars="-50"/>
              <w:jc w:val="center"/>
              <w:textAlignment w:val="baseline"/>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2.7</w:t>
            </w:r>
          </w:p>
        </w:tc>
        <w:tc>
          <w:tcPr>
            <w:tcW w:w="1086" w:type="dxa"/>
            <w:vAlign w:val="center"/>
          </w:tcPr>
          <w:p w14:paraId="4853E3B3">
            <w:pPr>
              <w:adjustRightInd w:val="0"/>
              <w:spacing w:line="400" w:lineRule="exact"/>
              <w:jc w:val="center"/>
              <w:textAlignment w:val="baseline"/>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资源配置计划</w:t>
            </w:r>
          </w:p>
        </w:tc>
        <w:tc>
          <w:tcPr>
            <w:tcW w:w="7110" w:type="dxa"/>
            <w:vAlign w:val="center"/>
          </w:tcPr>
          <w:p w14:paraId="311EC296">
            <w:pPr>
              <w:pStyle w:val="16"/>
              <w:spacing w:line="400" w:lineRule="exact"/>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lang w:val="en-US" w:eastAsia="zh-CN"/>
              </w:rPr>
              <w:t>一档</w:t>
            </w:r>
            <w:r>
              <w:rPr>
                <w:rFonts w:hint="eastAsia" w:ascii="宋体" w:hAnsi="宋体" w:eastAsia="宋体" w:cs="宋体"/>
                <w:bCs/>
                <w:color w:val="auto"/>
                <w:sz w:val="21"/>
                <w:highlight w:val="none"/>
              </w:rPr>
              <w:t>（</w:t>
            </w:r>
            <w:r>
              <w:rPr>
                <w:rFonts w:hint="eastAsia" w:ascii="宋体" w:hAnsi="宋体" w:eastAsia="宋体" w:cs="宋体"/>
                <w:bCs/>
                <w:color w:val="auto"/>
                <w:sz w:val="21"/>
                <w:highlight w:val="none"/>
                <w:lang w:val="en-US" w:eastAsia="zh-CN"/>
              </w:rPr>
              <w:t>5</w:t>
            </w:r>
            <w:r>
              <w:rPr>
                <w:rFonts w:hint="eastAsia" w:ascii="宋体" w:hAnsi="宋体" w:eastAsia="宋体" w:cs="宋体"/>
                <w:bCs/>
                <w:color w:val="auto"/>
                <w:sz w:val="21"/>
                <w:highlight w:val="none"/>
              </w:rPr>
              <w:t>分）：各类施工及试验设备的配备类型、进场时间与施工组织设计完美相符，设备数量有效合理、类型完整齐全，有保证设备良好运行工况的措施，合理的满足施工需要。各类人员配备专业、进场时间与施工组织设计完全相符，人员数量、专业技能满足施工要求，有保证施工人员相对稳定的措施；</w:t>
            </w:r>
          </w:p>
          <w:p w14:paraId="794D3AE1">
            <w:pPr>
              <w:pStyle w:val="16"/>
              <w:spacing w:line="400" w:lineRule="exact"/>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lang w:val="en-US" w:eastAsia="zh-CN"/>
              </w:rPr>
              <w:t>二档</w:t>
            </w:r>
            <w:r>
              <w:rPr>
                <w:rFonts w:hint="eastAsia" w:ascii="宋体" w:hAnsi="宋体" w:eastAsia="宋体" w:cs="宋体"/>
                <w:bCs/>
                <w:color w:val="auto"/>
                <w:sz w:val="21"/>
                <w:highlight w:val="none"/>
              </w:rPr>
              <w:t>（</w:t>
            </w:r>
            <w:r>
              <w:rPr>
                <w:rFonts w:hint="eastAsia" w:ascii="宋体" w:hAnsi="宋体" w:eastAsia="宋体" w:cs="宋体"/>
                <w:bCs/>
                <w:color w:val="auto"/>
                <w:sz w:val="21"/>
                <w:highlight w:val="none"/>
                <w:lang w:val="en-US" w:eastAsia="zh-CN"/>
              </w:rPr>
              <w:t>3</w:t>
            </w:r>
            <w:r>
              <w:rPr>
                <w:rFonts w:hint="eastAsia" w:ascii="宋体" w:hAnsi="宋体" w:eastAsia="宋体" w:cs="宋体"/>
                <w:bCs/>
                <w:color w:val="auto"/>
                <w:sz w:val="21"/>
                <w:highlight w:val="none"/>
              </w:rPr>
              <w:t>分）：各类施工及试验设备的配备类型、进场时间与施工组织设计相符，设备数量合理、类型齐全，满足施工需要。各类人员配备专业、进场时间与施工组织设计相符，人员数量、专业技能满足施工要求；</w:t>
            </w:r>
          </w:p>
          <w:p w14:paraId="0C78AD5E">
            <w:pPr>
              <w:pStyle w:val="16"/>
              <w:spacing w:line="400" w:lineRule="exact"/>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lang w:val="en-US" w:eastAsia="zh-CN"/>
              </w:rPr>
              <w:t>三档</w:t>
            </w:r>
            <w:r>
              <w:rPr>
                <w:rFonts w:hint="eastAsia" w:ascii="宋体" w:hAnsi="宋体" w:eastAsia="宋体" w:cs="宋体"/>
                <w:bCs/>
                <w:color w:val="auto"/>
                <w:sz w:val="21"/>
                <w:highlight w:val="none"/>
              </w:rPr>
              <w:t>（</w:t>
            </w:r>
            <w:r>
              <w:rPr>
                <w:rFonts w:hint="eastAsia" w:ascii="宋体" w:hAnsi="宋体" w:eastAsia="宋体" w:cs="宋体"/>
                <w:bCs/>
                <w:color w:val="auto"/>
                <w:sz w:val="21"/>
                <w:highlight w:val="none"/>
                <w:lang w:val="en-US" w:eastAsia="zh-CN"/>
              </w:rPr>
              <w:t>2</w:t>
            </w:r>
            <w:r>
              <w:rPr>
                <w:rFonts w:hint="eastAsia" w:ascii="宋体" w:hAnsi="宋体" w:eastAsia="宋体" w:cs="宋体"/>
                <w:bCs/>
                <w:color w:val="auto"/>
                <w:sz w:val="21"/>
                <w:highlight w:val="none"/>
              </w:rPr>
              <w:t>分）：各类施工及试验设备的配备类型、进场时间与施工组织设计基本相符，设备数量基本合理、但类型基不齐全，基本满足施工需要。各类人员的配备基本专业、进场时间与施工组织设计基本相符，人员数量、专业技能基本满足施工要求；</w:t>
            </w:r>
          </w:p>
          <w:p w14:paraId="16A3301D">
            <w:pPr>
              <w:pStyle w:val="16"/>
              <w:spacing w:line="400" w:lineRule="exact"/>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lang w:val="en-US" w:eastAsia="zh-CN"/>
              </w:rPr>
              <w:t>四档</w:t>
            </w:r>
            <w:r>
              <w:rPr>
                <w:rFonts w:hint="eastAsia" w:ascii="宋体" w:hAnsi="宋体" w:eastAsia="宋体" w:cs="宋体"/>
                <w:bCs/>
                <w:color w:val="auto"/>
                <w:sz w:val="21"/>
                <w:highlight w:val="none"/>
              </w:rPr>
              <w:t>（</w:t>
            </w:r>
            <w:r>
              <w:rPr>
                <w:rFonts w:hint="eastAsia" w:ascii="宋体" w:hAnsi="宋体" w:eastAsia="宋体" w:cs="宋体"/>
                <w:bCs/>
                <w:color w:val="auto"/>
                <w:sz w:val="21"/>
                <w:highlight w:val="none"/>
                <w:lang w:val="en-US" w:eastAsia="zh-CN"/>
              </w:rPr>
              <w:t>1</w:t>
            </w:r>
            <w:r>
              <w:rPr>
                <w:rFonts w:hint="eastAsia" w:ascii="宋体" w:hAnsi="宋体" w:eastAsia="宋体" w:cs="宋体"/>
                <w:bCs/>
                <w:color w:val="auto"/>
                <w:sz w:val="21"/>
                <w:highlight w:val="none"/>
              </w:rPr>
              <w:t>分）：各类施工及试验设备的配备类型、进场时间与施工组织设计不相符，设备数量不清晰、类型不齐全，不满足施工需要。各类人员的配备专业、进场时间与施工组织设计不相符，人员数量、专业技能未满足施工要求。</w:t>
            </w:r>
          </w:p>
          <w:p w14:paraId="3F7F7A2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五档（0分）：未提供得0分。</w:t>
            </w:r>
          </w:p>
        </w:tc>
        <w:tc>
          <w:tcPr>
            <w:tcW w:w="772" w:type="dxa"/>
            <w:vAlign w:val="center"/>
          </w:tcPr>
          <w:p w14:paraId="031E8F56">
            <w:pPr>
              <w:spacing w:line="32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5分</w:t>
            </w:r>
          </w:p>
        </w:tc>
      </w:tr>
      <w:tr w14:paraId="08148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6C88537A">
            <w:pPr>
              <w:adjustRightInd w:val="0"/>
              <w:spacing w:line="320" w:lineRule="exact"/>
              <w:ind w:left="-105" w:leftChars="-50" w:right="-105" w:rightChars="-50"/>
              <w:jc w:val="center"/>
              <w:textAlignment w:val="baseline"/>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2.</w:t>
            </w:r>
            <w:r>
              <w:rPr>
                <w:rFonts w:hint="eastAsia" w:ascii="宋体" w:hAnsi="宋体" w:cs="宋体"/>
                <w:bCs/>
                <w:color w:val="auto"/>
                <w:kern w:val="0"/>
                <w:szCs w:val="21"/>
                <w:highlight w:val="none"/>
                <w:lang w:val="en-US" w:eastAsia="zh-CN"/>
              </w:rPr>
              <w:t>8</w:t>
            </w:r>
          </w:p>
        </w:tc>
        <w:tc>
          <w:tcPr>
            <w:tcW w:w="1086" w:type="dxa"/>
            <w:vAlign w:val="center"/>
          </w:tcPr>
          <w:p w14:paraId="17A0CBD5">
            <w:pPr>
              <w:adjustRightInd w:val="0"/>
              <w:spacing w:line="400" w:lineRule="exact"/>
              <w:jc w:val="center"/>
              <w:textAlignment w:val="baseline"/>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项目实施人员</w:t>
            </w:r>
            <w:r>
              <w:rPr>
                <w:rFonts w:hint="eastAsia" w:ascii="宋体" w:hAnsi="宋体" w:eastAsia="宋体" w:cs="宋体"/>
                <w:bCs/>
                <w:color w:val="auto"/>
                <w:szCs w:val="21"/>
                <w:highlight w:val="none"/>
              </w:rPr>
              <w:t>评分标准</w:t>
            </w:r>
          </w:p>
        </w:tc>
        <w:tc>
          <w:tcPr>
            <w:tcW w:w="7110" w:type="dxa"/>
            <w:vAlign w:val="center"/>
          </w:tcPr>
          <w:p w14:paraId="6A2049FA">
            <w:pPr>
              <w:pStyle w:val="16"/>
              <w:spacing w:line="400" w:lineRule="exact"/>
              <w:ind w:firstLine="420" w:firstLineChars="200"/>
              <w:rPr>
                <w:rFonts w:hint="eastAsia" w:ascii="宋体" w:hAnsi="宋体" w:eastAsia="宋体" w:cs="宋体"/>
                <w:bCs/>
                <w:color w:val="auto"/>
                <w:sz w:val="21"/>
                <w:highlight w:val="none"/>
                <w:lang w:val="en-US" w:eastAsia="zh-CN"/>
              </w:rPr>
            </w:pPr>
            <w:r>
              <w:rPr>
                <w:rFonts w:hint="eastAsia" w:ascii="宋体" w:hAnsi="宋体" w:eastAsia="宋体" w:cs="宋体"/>
                <w:bCs/>
                <w:color w:val="auto"/>
                <w:sz w:val="21"/>
                <w:highlight w:val="none"/>
                <w:lang w:val="en-US" w:eastAsia="zh-CN"/>
              </w:rPr>
              <w:t>（1）项目经理：</w:t>
            </w:r>
            <w:r>
              <w:rPr>
                <w:rFonts w:hint="eastAsia" w:ascii="宋体" w:hAnsi="宋体" w:eastAsia="宋体" w:cs="宋体"/>
                <w:bCs/>
                <w:color w:val="auto"/>
                <w:sz w:val="21"/>
                <w:highlight w:val="none"/>
                <w:lang w:val="en-US"/>
              </w:rPr>
              <w:t>拟投入本项目的</w:t>
            </w:r>
            <w:r>
              <w:rPr>
                <w:rFonts w:hint="eastAsia" w:hAnsi="宋体" w:cs="宋体"/>
                <w:bCs/>
                <w:color w:val="auto"/>
                <w:sz w:val="21"/>
                <w:highlight w:val="none"/>
                <w:lang w:val="en-US" w:eastAsia="zh-CN"/>
              </w:rPr>
              <w:t>技术负责</w:t>
            </w:r>
            <w:r>
              <w:rPr>
                <w:rFonts w:hint="eastAsia" w:ascii="宋体" w:hAnsi="宋体" w:eastAsia="宋体" w:cs="宋体"/>
                <w:bCs/>
                <w:color w:val="auto"/>
                <w:sz w:val="21"/>
                <w:highlight w:val="none"/>
                <w:lang w:val="en-US" w:eastAsia="zh-CN"/>
              </w:rPr>
              <w:t>具有中级及以上技术职称得5分。</w:t>
            </w:r>
          </w:p>
          <w:p w14:paraId="3641F7B3">
            <w:pPr>
              <w:pStyle w:val="16"/>
              <w:spacing w:line="400" w:lineRule="exact"/>
              <w:ind w:firstLine="420" w:firstLineChars="200"/>
              <w:rPr>
                <w:rFonts w:hint="eastAsia" w:ascii="宋体" w:hAnsi="宋体" w:eastAsia="宋体" w:cs="宋体"/>
                <w:bCs/>
                <w:color w:val="auto"/>
                <w:sz w:val="21"/>
                <w:highlight w:val="none"/>
                <w:lang w:val="en-US" w:eastAsia="zh-CN"/>
              </w:rPr>
            </w:pPr>
            <w:r>
              <w:rPr>
                <w:rFonts w:hint="eastAsia" w:ascii="宋体" w:hAnsi="宋体" w:eastAsia="宋体" w:cs="宋体"/>
                <w:bCs/>
                <w:color w:val="auto"/>
                <w:sz w:val="21"/>
                <w:highlight w:val="none"/>
                <w:lang w:val="en-US" w:eastAsia="zh-CN"/>
              </w:rPr>
              <w:t>（2）其他人员（不含项目经理）：拟投入本项目的人员至少包括安全员、施工员、质量员、材料员，且均具有相应岗位资格证书的，得基础分5分，不满足得0分。</w:t>
            </w:r>
          </w:p>
          <w:p w14:paraId="3A68BEA9">
            <w:pPr>
              <w:pStyle w:val="16"/>
              <w:spacing w:line="400" w:lineRule="exact"/>
              <w:ind w:firstLine="420" w:firstLineChars="200"/>
              <w:rPr>
                <w:rFonts w:hint="eastAsia" w:ascii="宋体" w:hAnsi="宋体" w:eastAsia="宋体" w:cs="宋体"/>
                <w:bCs/>
                <w:color w:val="auto"/>
                <w:sz w:val="21"/>
                <w:highlight w:val="none"/>
                <w:lang w:val="en-US"/>
              </w:rPr>
            </w:pPr>
            <w:r>
              <w:rPr>
                <w:rFonts w:hint="eastAsia" w:ascii="宋体" w:hAnsi="宋体" w:eastAsia="宋体" w:cs="宋体"/>
                <w:bCs/>
                <w:color w:val="auto"/>
                <w:sz w:val="21"/>
                <w:highlight w:val="none"/>
                <w:lang w:val="en-US" w:eastAsia="zh-CN"/>
              </w:rPr>
              <w:t>注：（1）响应文件中提供上述人员证书复印件并加盖竞标人单位公章，否则不计分。</w:t>
            </w:r>
          </w:p>
        </w:tc>
        <w:tc>
          <w:tcPr>
            <w:tcW w:w="772" w:type="dxa"/>
            <w:vAlign w:val="center"/>
          </w:tcPr>
          <w:p w14:paraId="57810A1F">
            <w:pPr>
              <w:spacing w:line="32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w:t>
            </w:r>
            <w:bookmarkStart w:id="1367" w:name="_GoBack"/>
            <w:bookmarkEnd w:id="1367"/>
            <w:r>
              <w:rPr>
                <w:rFonts w:hint="eastAsia" w:ascii="宋体" w:hAnsi="宋体" w:eastAsia="宋体" w:cs="宋体"/>
                <w:color w:val="auto"/>
                <w:kern w:val="0"/>
                <w:szCs w:val="21"/>
                <w:highlight w:val="none"/>
                <w:lang w:val="en-US" w:eastAsia="zh-CN"/>
              </w:rPr>
              <w:t>分</w:t>
            </w:r>
          </w:p>
        </w:tc>
      </w:tr>
      <w:tr w14:paraId="46594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2" w:type="dxa"/>
            <w:vAlign w:val="center"/>
          </w:tcPr>
          <w:p w14:paraId="102512A0">
            <w:pPr>
              <w:widowControl/>
              <w:spacing w:line="360" w:lineRule="exact"/>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p>
        </w:tc>
        <w:tc>
          <w:tcPr>
            <w:tcW w:w="1086" w:type="dxa"/>
            <w:vAlign w:val="center"/>
          </w:tcPr>
          <w:p w14:paraId="3D446B27">
            <w:pPr>
              <w:widowControl/>
              <w:spacing w:line="360" w:lineRule="exact"/>
              <w:jc w:val="center"/>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szCs w:val="21"/>
                <w:highlight w:val="none"/>
              </w:rPr>
              <w:t>商务分</w:t>
            </w:r>
          </w:p>
        </w:tc>
        <w:tc>
          <w:tcPr>
            <w:tcW w:w="7110" w:type="dxa"/>
            <w:vAlign w:val="center"/>
          </w:tcPr>
          <w:p w14:paraId="3E9E7E7A">
            <w:pPr>
              <w:widowControl/>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rPr>
              <w:t>评审因素（客观分）</w:t>
            </w:r>
          </w:p>
        </w:tc>
        <w:tc>
          <w:tcPr>
            <w:tcW w:w="772" w:type="dxa"/>
            <w:vAlign w:val="center"/>
          </w:tcPr>
          <w:p w14:paraId="6680AD78">
            <w:pPr>
              <w:widowControl/>
              <w:spacing w:line="360" w:lineRule="exact"/>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en-US" w:eastAsia="zh-CN"/>
              </w:rPr>
              <w:t>20</w:t>
            </w:r>
            <w:r>
              <w:rPr>
                <w:rFonts w:hint="eastAsia" w:ascii="宋体" w:hAnsi="宋体" w:eastAsia="宋体" w:cs="宋体"/>
                <w:b/>
                <w:bCs/>
                <w:color w:val="auto"/>
                <w:kern w:val="0"/>
                <w:szCs w:val="21"/>
                <w:highlight w:val="none"/>
              </w:rPr>
              <w:t>分</w:t>
            </w:r>
          </w:p>
        </w:tc>
      </w:tr>
      <w:tr w14:paraId="2ADE2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2" w:type="dxa"/>
            <w:vAlign w:val="center"/>
          </w:tcPr>
          <w:p w14:paraId="2381A0AE">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w:t>
            </w:r>
          </w:p>
        </w:tc>
        <w:tc>
          <w:tcPr>
            <w:tcW w:w="1086" w:type="dxa"/>
            <w:vAlign w:val="center"/>
          </w:tcPr>
          <w:p w14:paraId="4A173350">
            <w:pPr>
              <w:widowControl/>
              <w:spacing w:line="360" w:lineRule="exact"/>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业绩</w:t>
            </w:r>
          </w:p>
        </w:tc>
        <w:tc>
          <w:tcPr>
            <w:tcW w:w="7110" w:type="dxa"/>
          </w:tcPr>
          <w:p w14:paraId="4706EB28">
            <w:pPr>
              <w:pStyle w:val="16"/>
              <w:spacing w:line="400" w:lineRule="exact"/>
              <w:ind w:firstLine="420" w:firstLineChars="200"/>
              <w:rPr>
                <w:rFonts w:hint="eastAsia" w:ascii="宋体" w:hAnsi="宋体" w:eastAsia="宋体" w:cs="宋体"/>
                <w:bCs/>
                <w:color w:val="auto"/>
                <w:sz w:val="21"/>
                <w:highlight w:val="none"/>
                <w:lang w:val="en-US" w:eastAsia="zh-CN"/>
              </w:rPr>
            </w:pPr>
            <w:r>
              <w:rPr>
                <w:rFonts w:hint="eastAsia" w:ascii="宋体" w:hAnsi="宋体" w:eastAsia="宋体" w:cs="宋体"/>
                <w:bCs/>
                <w:color w:val="auto"/>
                <w:sz w:val="21"/>
                <w:highlight w:val="none"/>
                <w:lang w:val="en-US" w:eastAsia="zh-CN"/>
              </w:rPr>
              <w:t>2021年1月1日至今供应商完成过类</w:t>
            </w:r>
            <w:r>
              <w:rPr>
                <w:rFonts w:hint="eastAsia" w:hAnsi="宋体" w:cs="宋体"/>
                <w:bCs/>
                <w:color w:val="auto"/>
                <w:sz w:val="21"/>
                <w:highlight w:val="none"/>
                <w:lang w:val="en-US" w:eastAsia="zh-CN"/>
              </w:rPr>
              <w:t>似</w:t>
            </w:r>
            <w:r>
              <w:rPr>
                <w:rFonts w:hint="eastAsia" w:ascii="宋体" w:hAnsi="宋体" w:eastAsia="宋体" w:cs="宋体"/>
                <w:bCs/>
                <w:color w:val="auto"/>
                <w:sz w:val="21"/>
                <w:highlight w:val="none"/>
                <w:lang w:val="en-US" w:eastAsia="zh-CN"/>
              </w:rPr>
              <w:t>项目业绩的，每提供一个得4分，满分20分。</w:t>
            </w:r>
          </w:p>
          <w:p w14:paraId="4E60C9DD">
            <w:pPr>
              <w:pStyle w:val="16"/>
              <w:spacing w:line="400" w:lineRule="exact"/>
              <w:ind w:firstLine="420" w:firstLineChars="200"/>
              <w:rPr>
                <w:rFonts w:hint="eastAsia" w:ascii="宋体" w:hAnsi="宋体" w:eastAsia="宋体" w:cs="宋体"/>
                <w:bCs/>
                <w:color w:val="auto"/>
                <w:sz w:val="21"/>
                <w:highlight w:val="none"/>
                <w:lang w:val="en-US" w:eastAsia="zh-CN"/>
              </w:rPr>
            </w:pPr>
            <w:r>
              <w:rPr>
                <w:rFonts w:hint="eastAsia" w:ascii="宋体" w:hAnsi="宋体" w:eastAsia="宋体" w:cs="宋体"/>
                <w:bCs/>
                <w:color w:val="auto"/>
                <w:sz w:val="21"/>
                <w:highlight w:val="none"/>
                <w:lang w:val="en-US" w:eastAsia="zh-CN"/>
              </w:rPr>
              <w:t>注:需提供以下材料，否则不计分。</w:t>
            </w:r>
          </w:p>
          <w:p w14:paraId="26706B73">
            <w:pPr>
              <w:pStyle w:val="16"/>
              <w:spacing w:line="400" w:lineRule="exact"/>
              <w:ind w:firstLine="420" w:firstLineChars="200"/>
              <w:rPr>
                <w:rFonts w:hint="eastAsia" w:ascii="宋体" w:hAnsi="宋体" w:eastAsia="宋体" w:cs="宋体"/>
                <w:bCs/>
                <w:color w:val="auto"/>
                <w:sz w:val="21"/>
                <w:highlight w:val="none"/>
                <w:lang w:val="en-US" w:eastAsia="zh-CN"/>
              </w:rPr>
            </w:pPr>
            <w:r>
              <w:rPr>
                <w:rFonts w:hint="eastAsia" w:hAnsi="宋体" w:cs="宋体"/>
                <w:bCs/>
                <w:color w:val="auto"/>
                <w:sz w:val="21"/>
                <w:highlight w:val="none"/>
                <w:lang w:val="en-US" w:eastAsia="zh-CN"/>
              </w:rPr>
              <w:t>（1）</w:t>
            </w:r>
            <w:r>
              <w:rPr>
                <w:rFonts w:hint="eastAsia" w:ascii="宋体" w:hAnsi="宋体" w:eastAsia="宋体" w:cs="宋体"/>
                <w:bCs/>
                <w:color w:val="auto"/>
                <w:sz w:val="21"/>
                <w:highlight w:val="none"/>
                <w:lang w:val="en-US" w:eastAsia="zh-CN"/>
              </w:rPr>
              <w:t>类似业绩一览表</w:t>
            </w:r>
          </w:p>
          <w:p w14:paraId="201AAD75">
            <w:pPr>
              <w:pStyle w:val="16"/>
              <w:spacing w:line="400" w:lineRule="exact"/>
              <w:ind w:firstLine="420" w:firstLineChars="200"/>
              <w:rPr>
                <w:rFonts w:hint="eastAsia" w:ascii="宋体" w:hAnsi="宋体" w:eastAsia="宋体" w:cs="宋体"/>
                <w:color w:val="auto"/>
                <w:sz w:val="21"/>
                <w:highlight w:val="none"/>
                <w:lang w:val="en-US" w:eastAsia="zh-CN"/>
              </w:rPr>
            </w:pPr>
            <w:r>
              <w:rPr>
                <w:rFonts w:hint="eastAsia" w:hAnsi="宋体" w:cs="宋体"/>
                <w:bCs/>
                <w:color w:val="auto"/>
                <w:sz w:val="21"/>
                <w:highlight w:val="none"/>
                <w:lang w:val="en-US" w:eastAsia="zh-CN"/>
              </w:rPr>
              <w:t>（2）</w:t>
            </w:r>
            <w:r>
              <w:rPr>
                <w:rFonts w:hint="eastAsia" w:ascii="宋体" w:hAnsi="宋体" w:eastAsia="宋体" w:cs="宋体"/>
                <w:bCs/>
                <w:color w:val="auto"/>
                <w:sz w:val="21"/>
                <w:highlight w:val="none"/>
                <w:lang w:val="en-US" w:eastAsia="zh-CN"/>
              </w:rPr>
              <w:t>对应业绩合同或中标（成交）通知书复印件，复印件加盖单位公章，否则不计分。</w:t>
            </w:r>
          </w:p>
        </w:tc>
        <w:tc>
          <w:tcPr>
            <w:tcW w:w="772" w:type="dxa"/>
            <w:vAlign w:val="center"/>
          </w:tcPr>
          <w:p w14:paraId="5108433B">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分</w:t>
            </w:r>
          </w:p>
        </w:tc>
      </w:tr>
      <w:tr w14:paraId="486E6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2" w:type="dxa"/>
            <w:vAlign w:val="center"/>
          </w:tcPr>
          <w:p w14:paraId="6DF504F7">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w:t>
            </w:r>
          </w:p>
        </w:tc>
        <w:tc>
          <w:tcPr>
            <w:tcW w:w="1086" w:type="dxa"/>
            <w:vAlign w:val="center"/>
          </w:tcPr>
          <w:p w14:paraId="07BACFFE">
            <w:pPr>
              <w:widowControl/>
              <w:spacing w:line="360" w:lineRule="exact"/>
              <w:jc w:val="center"/>
              <w:rPr>
                <w:rFonts w:hint="eastAsia" w:ascii="宋体" w:hAnsi="宋体" w:eastAsia="宋体" w:cs="宋体"/>
                <w:color w:val="auto"/>
                <w:kern w:val="0"/>
                <w:szCs w:val="21"/>
                <w:highlight w:val="none"/>
                <w:lang w:bidi="ar"/>
              </w:rPr>
            </w:pPr>
            <w:r>
              <w:rPr>
                <w:rFonts w:hint="eastAsia" w:ascii="宋体" w:hAnsi="宋体" w:eastAsia="宋体" w:cs="宋体"/>
                <w:bCs/>
                <w:color w:val="auto"/>
                <w:szCs w:val="21"/>
                <w:highlight w:val="none"/>
              </w:rPr>
              <w:t>诚信分</w:t>
            </w:r>
          </w:p>
        </w:tc>
        <w:tc>
          <w:tcPr>
            <w:tcW w:w="7110" w:type="dxa"/>
          </w:tcPr>
          <w:p w14:paraId="7ECF6137">
            <w:pPr>
              <w:pStyle w:val="16"/>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bCs/>
                <w:color w:val="auto"/>
                <w:sz w:val="21"/>
                <w:highlight w:val="none"/>
              </w:rPr>
              <w:t>投标人在截标日前一年内在政府采购活动中存在违约违规情形的（以财政部门书面认定材料为评分依据），每次扣除3分，最高扣6分。</w:t>
            </w:r>
          </w:p>
        </w:tc>
        <w:tc>
          <w:tcPr>
            <w:tcW w:w="772" w:type="dxa"/>
            <w:vAlign w:val="center"/>
          </w:tcPr>
          <w:p w14:paraId="1D03167E">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0分</w:t>
            </w:r>
          </w:p>
        </w:tc>
      </w:tr>
      <w:tr w14:paraId="7CD7C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48" w:type="dxa"/>
            <w:gridSpan w:val="3"/>
          </w:tcPr>
          <w:p w14:paraId="72713AE7">
            <w:pPr>
              <w:pStyle w:val="16"/>
              <w:spacing w:line="360" w:lineRule="exact"/>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总得分＝1＋2＋3</w:t>
            </w:r>
          </w:p>
        </w:tc>
        <w:tc>
          <w:tcPr>
            <w:tcW w:w="772" w:type="dxa"/>
            <w:vAlign w:val="center"/>
          </w:tcPr>
          <w:p w14:paraId="323DF568">
            <w:pPr>
              <w:widowControl/>
              <w:spacing w:line="360" w:lineRule="exact"/>
              <w:jc w:val="center"/>
              <w:rPr>
                <w:rFonts w:hint="eastAsia" w:ascii="宋体" w:hAnsi="宋体" w:eastAsia="宋体" w:cs="宋体"/>
                <w:color w:val="auto"/>
                <w:kern w:val="0"/>
                <w:szCs w:val="21"/>
                <w:highlight w:val="none"/>
              </w:rPr>
            </w:pPr>
          </w:p>
        </w:tc>
      </w:tr>
    </w:tbl>
    <w:p w14:paraId="4B851663">
      <w:pPr>
        <w:pStyle w:val="16"/>
        <w:spacing w:line="360" w:lineRule="exact"/>
        <w:ind w:firstLine="420" w:firstLineChars="200"/>
        <w:rPr>
          <w:rFonts w:hAnsi="宋体" w:cs="宋体"/>
          <w:color w:val="auto"/>
          <w:kern w:val="2"/>
          <w:sz w:val="21"/>
          <w:szCs w:val="24"/>
          <w:highlight w:val="none"/>
        </w:rPr>
      </w:pPr>
      <w:r>
        <w:rPr>
          <w:rFonts w:hint="eastAsia" w:hAnsi="宋体" w:cs="宋体"/>
          <w:color w:val="auto"/>
          <w:kern w:val="2"/>
          <w:sz w:val="21"/>
          <w:szCs w:val="24"/>
          <w:highlight w:val="none"/>
        </w:rPr>
        <w:t>8.2商务技术评审因素为客观评分项的，应在评分项目或评分标准中予以标注为“客观分”。对供应商的客观评分项目，各评审专家评分应当一致。</w:t>
      </w:r>
    </w:p>
    <w:p w14:paraId="74E1FE72">
      <w:pPr>
        <w:spacing w:line="360" w:lineRule="auto"/>
        <w:ind w:firstLine="420" w:firstLineChars="200"/>
        <w:rPr>
          <w:rFonts w:ascii="宋体" w:hAnsi="宋体" w:cs="宋体"/>
          <w:color w:val="auto"/>
          <w:highlight w:val="none"/>
        </w:rPr>
      </w:pPr>
      <w:bookmarkStart w:id="62" w:name="_Toc80205935"/>
      <w:r>
        <w:rPr>
          <w:rFonts w:hint="eastAsia" w:ascii="宋体" w:hAnsi="宋体" w:cs="宋体"/>
          <w:color w:val="auto"/>
          <w:highlight w:val="none"/>
        </w:rPr>
        <w:t>8.3.终止竞争性磋商采购活动</w:t>
      </w:r>
    </w:p>
    <w:p w14:paraId="72E870E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2E057B30">
      <w:pPr>
        <w:keepNext/>
        <w:keepLines/>
        <w:pageBreakBefore w:val="0"/>
        <w:widowControl w:val="0"/>
        <w:kinsoku/>
        <w:wordWrap/>
        <w:overflowPunct/>
        <w:topLinePunct w:val="0"/>
        <w:autoSpaceDE/>
        <w:autoSpaceDN/>
        <w:bidi w:val="0"/>
        <w:adjustRightInd/>
        <w:snapToGrid/>
        <w:spacing w:before="0" w:after="0" w:line="360" w:lineRule="auto"/>
        <w:ind w:firstLine="420" w:firstLineChars="200"/>
        <w:jc w:val="center"/>
        <w:textAlignment w:val="auto"/>
        <w:outlineLvl w:val="9"/>
        <w:rPr>
          <w:rFonts w:ascii="宋体" w:hAnsi="宋体" w:cs="宋体"/>
          <w:b w:val="0"/>
          <w:color w:val="auto"/>
          <w:highlight w:val="none"/>
        </w:rPr>
      </w:pPr>
    </w:p>
    <w:p w14:paraId="718F8554">
      <w:pPr>
        <w:pStyle w:val="3"/>
        <w:spacing w:before="0" w:after="0" w:line="360" w:lineRule="auto"/>
        <w:ind w:firstLine="640" w:firstLineChars="200"/>
        <w:jc w:val="center"/>
        <w:rPr>
          <w:rFonts w:ascii="宋体" w:hAnsi="宋体" w:cs="宋体"/>
          <w:b w:val="0"/>
          <w:color w:val="auto"/>
          <w:highlight w:val="none"/>
        </w:rPr>
      </w:pPr>
      <w:bookmarkStart w:id="63" w:name="_Toc1930"/>
      <w:r>
        <w:rPr>
          <w:rFonts w:hint="eastAsia" w:ascii="宋体" w:hAnsi="宋体" w:cs="宋体"/>
          <w:b w:val="0"/>
          <w:color w:val="auto"/>
          <w:highlight w:val="none"/>
        </w:rPr>
        <w:t>第二节 评标报告</w:t>
      </w:r>
      <w:bookmarkEnd w:id="62"/>
      <w:bookmarkEnd w:id="63"/>
    </w:p>
    <w:p w14:paraId="0162D95C">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1.成交标准</w:t>
      </w:r>
    </w:p>
    <w:p w14:paraId="4B17A0E5">
      <w:pPr>
        <w:spacing w:line="360" w:lineRule="auto"/>
        <w:ind w:firstLine="420" w:firstLineChars="200"/>
        <w:rPr>
          <w:rFonts w:ascii="宋体" w:hAnsi="宋体" w:cs="宋体"/>
          <w:color w:val="auto"/>
          <w:sz w:val="24"/>
          <w:highlight w:val="none"/>
        </w:rPr>
      </w:pPr>
      <w:r>
        <w:rPr>
          <w:rFonts w:hint="eastAsia" w:ascii="宋体" w:hAnsi="宋体" w:cs="宋体"/>
          <w:bCs/>
          <w:color w:val="auto"/>
          <w:szCs w:val="21"/>
          <w:highlight w:val="none"/>
        </w:rPr>
        <w:t>由磋商小组根据综合评分情况，按照评审得分由高到低顺序推荐3名以上成交候选供应商</w:t>
      </w:r>
      <w:r>
        <w:rPr>
          <w:rFonts w:hint="eastAsia" w:ascii="宋体" w:hAnsi="宋体" w:cs="宋体"/>
          <w:color w:val="auto"/>
          <w:highlight w:val="none"/>
        </w:rPr>
        <w:t>,并在线编写电子评审报告</w:t>
      </w:r>
      <w:r>
        <w:rPr>
          <w:rFonts w:hint="eastAsia" w:ascii="宋体" w:hAnsi="宋体" w:cs="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3937A4BB">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2.评标争议事项处理</w:t>
      </w:r>
    </w:p>
    <w:p w14:paraId="0CA68737">
      <w:pPr>
        <w:pStyle w:val="34"/>
        <w:spacing w:before="0"/>
        <w:ind w:firstLine="420"/>
        <w:rPr>
          <w:rFonts w:ascii="宋体" w:hAnsi="宋体" w:cs="宋体"/>
          <w:color w:val="auto"/>
          <w:kern w:val="2"/>
          <w:sz w:val="21"/>
          <w:szCs w:val="24"/>
          <w:highlight w:val="none"/>
        </w:rPr>
      </w:pPr>
      <w:r>
        <w:rPr>
          <w:rFonts w:hint="eastAsia" w:ascii="宋体" w:hAnsi="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5278883C">
      <w:pPr>
        <w:pStyle w:val="3"/>
        <w:spacing w:before="0" w:after="0" w:line="360" w:lineRule="auto"/>
        <w:ind w:firstLine="640" w:firstLineChars="200"/>
        <w:jc w:val="center"/>
        <w:rPr>
          <w:rFonts w:ascii="宋体" w:hAnsi="宋体" w:cs="宋体"/>
          <w:b w:val="0"/>
          <w:color w:val="auto"/>
          <w:highlight w:val="none"/>
        </w:rPr>
      </w:pPr>
      <w:bookmarkStart w:id="64" w:name="_Toc23409"/>
      <w:bookmarkStart w:id="65" w:name="_Toc80205936"/>
      <w:r>
        <w:rPr>
          <w:rFonts w:hint="eastAsia" w:ascii="宋体" w:hAnsi="宋体" w:cs="宋体"/>
          <w:b w:val="0"/>
          <w:color w:val="auto"/>
          <w:highlight w:val="none"/>
        </w:rPr>
        <w:t>第三节 评审过程的保密与录像</w:t>
      </w:r>
      <w:bookmarkEnd w:id="64"/>
      <w:bookmarkEnd w:id="65"/>
    </w:p>
    <w:p w14:paraId="6D605FCF">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1.保密。</w:t>
      </w:r>
    </w:p>
    <w:p w14:paraId="1F4FD8B3">
      <w:pPr>
        <w:widowControl/>
        <w:spacing w:line="360" w:lineRule="auto"/>
        <w:ind w:firstLine="420" w:firstLineChars="200"/>
        <w:rPr>
          <w:rFonts w:ascii="宋体" w:hAnsi="宋体" w:cs="宋体"/>
          <w:color w:val="auto"/>
          <w:highlight w:val="none"/>
        </w:rPr>
      </w:pPr>
      <w:r>
        <w:rPr>
          <w:rFonts w:hint="eastAsia" w:ascii="宋体" w:hAnsi="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4273963A">
      <w:pPr>
        <w:widowControl/>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2.录音录像。</w:t>
      </w:r>
    </w:p>
    <w:p w14:paraId="0270FD4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采购代理机构对评审工作现场及操作屏幕进行全过程录音录像，录音录像资料作为采购项目文件随其他文件一并存档。</w:t>
      </w:r>
      <w:r>
        <w:rPr>
          <w:rFonts w:hint="eastAsia" w:ascii="宋体" w:hAnsi="宋体" w:cs="宋体"/>
          <w:b/>
          <w:bCs/>
          <w:color w:val="auto"/>
          <w:highlight w:val="none"/>
        </w:rPr>
        <w:br w:type="page"/>
      </w:r>
    </w:p>
    <w:p w14:paraId="6653E731">
      <w:pPr>
        <w:keepNext/>
        <w:keepLines/>
        <w:pageBreakBefore w:val="0"/>
        <w:widowControl w:val="0"/>
        <w:kinsoku/>
        <w:wordWrap/>
        <w:overflowPunct/>
        <w:topLinePunct w:val="0"/>
        <w:autoSpaceDE/>
        <w:autoSpaceDN/>
        <w:bidi w:val="0"/>
        <w:adjustRightInd/>
        <w:snapToGrid/>
        <w:spacing w:line="416" w:lineRule="auto"/>
        <w:jc w:val="center"/>
        <w:textAlignment w:val="auto"/>
        <w:outlineLvl w:val="9"/>
        <w:rPr>
          <w:rFonts w:ascii="宋体" w:hAnsi="宋体" w:cs="宋体"/>
          <w:color w:val="auto"/>
          <w:highlight w:val="none"/>
        </w:rPr>
      </w:pPr>
    </w:p>
    <w:p w14:paraId="3CA0C46B">
      <w:pPr>
        <w:keepNext/>
        <w:keepLines/>
        <w:pageBreakBefore w:val="0"/>
        <w:widowControl w:val="0"/>
        <w:kinsoku/>
        <w:wordWrap/>
        <w:overflowPunct/>
        <w:topLinePunct w:val="0"/>
        <w:autoSpaceDE/>
        <w:autoSpaceDN/>
        <w:bidi w:val="0"/>
        <w:adjustRightInd/>
        <w:snapToGrid/>
        <w:spacing w:line="416" w:lineRule="auto"/>
        <w:jc w:val="center"/>
        <w:textAlignment w:val="auto"/>
        <w:outlineLvl w:val="9"/>
        <w:rPr>
          <w:rFonts w:ascii="宋体" w:hAnsi="宋体" w:cs="宋体"/>
          <w:color w:val="auto"/>
          <w:highlight w:val="none"/>
        </w:rPr>
      </w:pPr>
    </w:p>
    <w:p w14:paraId="32E4FE76">
      <w:pPr>
        <w:keepNext/>
        <w:keepLines/>
        <w:pageBreakBefore w:val="0"/>
        <w:widowControl w:val="0"/>
        <w:kinsoku/>
        <w:wordWrap/>
        <w:overflowPunct/>
        <w:topLinePunct w:val="0"/>
        <w:autoSpaceDE/>
        <w:autoSpaceDN/>
        <w:bidi w:val="0"/>
        <w:adjustRightInd/>
        <w:snapToGrid/>
        <w:spacing w:line="416" w:lineRule="auto"/>
        <w:jc w:val="center"/>
        <w:textAlignment w:val="auto"/>
        <w:outlineLvl w:val="9"/>
        <w:rPr>
          <w:rFonts w:ascii="宋体" w:hAnsi="宋体" w:cs="宋体"/>
          <w:color w:val="auto"/>
          <w:highlight w:val="none"/>
        </w:rPr>
      </w:pPr>
    </w:p>
    <w:p w14:paraId="4D82BD25">
      <w:pPr>
        <w:keepNext/>
        <w:keepLines/>
        <w:pageBreakBefore w:val="0"/>
        <w:widowControl w:val="0"/>
        <w:kinsoku/>
        <w:wordWrap/>
        <w:overflowPunct/>
        <w:topLinePunct w:val="0"/>
        <w:autoSpaceDE/>
        <w:autoSpaceDN/>
        <w:bidi w:val="0"/>
        <w:adjustRightInd/>
        <w:snapToGrid/>
        <w:spacing w:line="416" w:lineRule="auto"/>
        <w:jc w:val="center"/>
        <w:textAlignment w:val="auto"/>
        <w:outlineLvl w:val="9"/>
        <w:rPr>
          <w:rFonts w:ascii="宋体" w:hAnsi="宋体" w:cs="宋体"/>
          <w:color w:val="auto"/>
          <w:highlight w:val="none"/>
        </w:rPr>
      </w:pPr>
    </w:p>
    <w:p w14:paraId="6F3A9851">
      <w:pPr>
        <w:keepNext/>
        <w:keepLines/>
        <w:pageBreakBefore w:val="0"/>
        <w:widowControl w:val="0"/>
        <w:kinsoku/>
        <w:wordWrap/>
        <w:overflowPunct/>
        <w:topLinePunct w:val="0"/>
        <w:autoSpaceDE/>
        <w:autoSpaceDN/>
        <w:bidi w:val="0"/>
        <w:adjustRightInd/>
        <w:snapToGrid/>
        <w:spacing w:line="416" w:lineRule="auto"/>
        <w:textAlignment w:val="auto"/>
        <w:outlineLvl w:val="9"/>
        <w:rPr>
          <w:rFonts w:ascii="宋体" w:hAnsi="宋体" w:cs="宋体"/>
          <w:color w:val="auto"/>
          <w:highlight w:val="none"/>
        </w:rPr>
      </w:pPr>
    </w:p>
    <w:p w14:paraId="5831BEFB">
      <w:pPr>
        <w:pStyle w:val="2"/>
        <w:jc w:val="center"/>
        <w:rPr>
          <w:rFonts w:ascii="宋体" w:hAnsi="宋体" w:cs="宋体"/>
          <w:color w:val="auto"/>
          <w:highlight w:val="none"/>
        </w:rPr>
      </w:pPr>
      <w:bookmarkStart w:id="66" w:name="_Toc13484"/>
      <w:r>
        <w:rPr>
          <w:rFonts w:hint="eastAsia" w:ascii="宋体" w:hAnsi="宋体" w:cs="宋体"/>
          <w:color w:val="auto"/>
          <w:highlight w:val="none"/>
        </w:rPr>
        <w:t>第五章 响应文件格式</w:t>
      </w:r>
      <w:bookmarkEnd w:id="66"/>
    </w:p>
    <w:p w14:paraId="4F11D720">
      <w:pPr>
        <w:widowControl/>
        <w:spacing w:line="576" w:lineRule="auto"/>
        <w:jc w:val="left"/>
        <w:rPr>
          <w:rFonts w:ascii="宋体" w:hAnsi="宋体" w:cs="宋体"/>
          <w:b/>
          <w:bCs/>
          <w:color w:val="auto"/>
          <w:kern w:val="44"/>
          <w:sz w:val="44"/>
          <w:szCs w:val="44"/>
          <w:highlight w:val="none"/>
        </w:rPr>
        <w:sectPr>
          <w:pgSz w:w="11910" w:h="16840"/>
          <w:pgMar w:top="1340" w:right="1500" w:bottom="280" w:left="1680" w:header="720" w:footer="720" w:gutter="0"/>
          <w:cols w:space="720" w:num="1"/>
        </w:sectPr>
      </w:pPr>
    </w:p>
    <w:p w14:paraId="60178A05">
      <w:pPr>
        <w:pStyle w:val="3"/>
        <w:jc w:val="center"/>
        <w:rPr>
          <w:rFonts w:ascii="宋体" w:hAnsi="宋体" w:cs="宋体"/>
          <w:b w:val="0"/>
          <w:color w:val="auto"/>
          <w:highlight w:val="none"/>
        </w:rPr>
      </w:pPr>
      <w:bookmarkStart w:id="67" w:name="_Toc7129"/>
      <w:bookmarkStart w:id="68" w:name="_Toc80205938"/>
      <w:r>
        <w:rPr>
          <w:rFonts w:hint="eastAsia" w:ascii="宋体" w:hAnsi="宋体" w:cs="宋体"/>
          <w:b w:val="0"/>
          <w:color w:val="auto"/>
          <w:highlight w:val="none"/>
        </w:rPr>
        <w:t>第一节 封面格式</w:t>
      </w:r>
      <w:bookmarkEnd w:id="67"/>
      <w:bookmarkEnd w:id="68"/>
    </w:p>
    <w:p w14:paraId="3FD31B6A">
      <w:pPr>
        <w:snapToGrid w:val="0"/>
        <w:spacing w:before="120" w:beforeLines="50" w:after="50"/>
        <w:rPr>
          <w:rFonts w:ascii="宋体" w:hAnsi="宋体" w:cs="宋体"/>
          <w:color w:val="auto"/>
          <w:sz w:val="24"/>
          <w:szCs w:val="20"/>
          <w:highlight w:val="none"/>
        </w:rPr>
      </w:pPr>
    </w:p>
    <w:p w14:paraId="3356D1F4">
      <w:pPr>
        <w:snapToGrid w:val="0"/>
        <w:spacing w:before="120" w:beforeLines="50" w:after="50"/>
        <w:jc w:val="center"/>
        <w:rPr>
          <w:rFonts w:ascii="宋体" w:hAnsi="宋体" w:cs="宋体"/>
          <w:bCs/>
          <w:color w:val="auto"/>
          <w:sz w:val="24"/>
          <w:szCs w:val="20"/>
          <w:highlight w:val="none"/>
        </w:rPr>
      </w:pPr>
    </w:p>
    <w:p w14:paraId="1D90B759">
      <w:pPr>
        <w:snapToGrid w:val="0"/>
        <w:spacing w:before="120"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响  应  文  件</w:t>
      </w:r>
    </w:p>
    <w:p w14:paraId="14D41144">
      <w:pPr>
        <w:snapToGrid w:val="0"/>
        <w:spacing w:before="120" w:beforeLines="50" w:after="50"/>
        <w:rPr>
          <w:rFonts w:ascii="宋体" w:hAnsi="宋体" w:cs="宋体"/>
          <w:bCs/>
          <w:color w:val="auto"/>
          <w:sz w:val="24"/>
          <w:szCs w:val="20"/>
          <w:highlight w:val="none"/>
        </w:rPr>
      </w:pPr>
    </w:p>
    <w:p w14:paraId="456549D5">
      <w:pPr>
        <w:snapToGrid w:val="0"/>
        <w:spacing w:before="120" w:beforeLines="50" w:after="50"/>
        <w:rPr>
          <w:rFonts w:ascii="宋体" w:hAnsi="宋体" w:cs="宋体"/>
          <w:bCs/>
          <w:color w:val="auto"/>
          <w:sz w:val="24"/>
          <w:szCs w:val="20"/>
          <w:highlight w:val="none"/>
        </w:rPr>
      </w:pPr>
    </w:p>
    <w:p w14:paraId="7D996B73">
      <w:pPr>
        <w:snapToGrid w:val="0"/>
        <w:spacing w:before="120" w:beforeLines="50" w:after="50"/>
        <w:rPr>
          <w:rFonts w:ascii="宋体" w:hAnsi="宋体" w:cs="宋体"/>
          <w:bCs/>
          <w:color w:val="auto"/>
          <w:sz w:val="32"/>
          <w:szCs w:val="32"/>
          <w:highlight w:val="none"/>
        </w:rPr>
      </w:pPr>
    </w:p>
    <w:p w14:paraId="368FAFEB">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bookmarkStart w:id="69" w:name="PO_3000001868_PM002_2"/>
      <w:r>
        <w:rPr>
          <w:rFonts w:hint="eastAsia" w:ascii="宋体" w:hAnsi="宋体" w:cs="宋体"/>
          <w:bCs/>
          <w:color w:val="auto"/>
          <w:sz w:val="32"/>
          <w:szCs w:val="32"/>
          <w:highlight w:val="none"/>
        </w:rPr>
        <w:t>[项目名称]</w:t>
      </w:r>
      <w:bookmarkEnd w:id="69"/>
    </w:p>
    <w:p w14:paraId="11E0CA0E">
      <w:pPr>
        <w:snapToGrid w:val="0"/>
        <w:spacing w:before="120" w:beforeLines="50" w:after="50"/>
        <w:ind w:firstLine="480" w:firstLineChars="150"/>
        <w:rPr>
          <w:rFonts w:ascii="宋体" w:hAnsi="宋体" w:cs="宋体"/>
          <w:bCs/>
          <w:color w:val="auto"/>
          <w:sz w:val="32"/>
          <w:szCs w:val="32"/>
          <w:highlight w:val="none"/>
        </w:rPr>
      </w:pPr>
    </w:p>
    <w:p w14:paraId="6D1DDCCA">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bookmarkStart w:id="70" w:name="PO_3000001868_PM001_4"/>
      <w:r>
        <w:rPr>
          <w:rFonts w:hint="eastAsia" w:ascii="宋体" w:hAnsi="宋体" w:cs="宋体"/>
          <w:bCs/>
          <w:color w:val="auto"/>
          <w:sz w:val="32"/>
          <w:szCs w:val="32"/>
          <w:highlight w:val="none"/>
        </w:rPr>
        <w:t>[项目编号]</w:t>
      </w:r>
      <w:bookmarkEnd w:id="70"/>
    </w:p>
    <w:p w14:paraId="6ABD864D">
      <w:pPr>
        <w:snapToGrid w:val="0"/>
        <w:spacing w:before="120" w:beforeLines="50" w:after="50"/>
        <w:ind w:firstLine="480" w:firstLineChars="150"/>
        <w:rPr>
          <w:rFonts w:ascii="宋体" w:hAnsi="宋体" w:cs="宋体"/>
          <w:bCs/>
          <w:color w:val="auto"/>
          <w:sz w:val="32"/>
          <w:szCs w:val="32"/>
          <w:highlight w:val="none"/>
        </w:rPr>
      </w:pPr>
    </w:p>
    <w:p w14:paraId="25DFF6CC">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082A0269">
      <w:pPr>
        <w:snapToGrid w:val="0"/>
        <w:spacing w:before="120" w:beforeLines="50" w:after="50"/>
        <w:rPr>
          <w:rFonts w:ascii="宋体" w:hAnsi="宋体" w:cs="宋体"/>
          <w:bCs/>
          <w:color w:val="auto"/>
          <w:sz w:val="32"/>
          <w:szCs w:val="32"/>
          <w:highlight w:val="none"/>
        </w:rPr>
      </w:pPr>
    </w:p>
    <w:p w14:paraId="35F3304A">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302E6322">
      <w:pPr>
        <w:snapToGrid w:val="0"/>
        <w:spacing w:before="120" w:beforeLines="50" w:after="50"/>
        <w:rPr>
          <w:rFonts w:ascii="宋体" w:hAnsi="宋体" w:cs="宋体"/>
          <w:bCs/>
          <w:color w:val="auto"/>
          <w:sz w:val="32"/>
          <w:szCs w:val="32"/>
          <w:highlight w:val="none"/>
        </w:rPr>
      </w:pPr>
    </w:p>
    <w:p w14:paraId="229F22BD">
      <w:pPr>
        <w:snapToGrid w:val="0"/>
        <w:spacing w:before="120" w:beforeLines="50" w:after="50"/>
        <w:ind w:firstLine="480" w:firstLineChars="150"/>
        <w:jc w:val="center"/>
        <w:rPr>
          <w:rFonts w:ascii="宋体" w:hAnsi="宋体" w:cs="宋体"/>
          <w:bCs/>
          <w:color w:val="auto"/>
          <w:sz w:val="32"/>
          <w:szCs w:val="32"/>
          <w:highlight w:val="none"/>
        </w:rPr>
      </w:pPr>
      <w:r>
        <w:rPr>
          <w:rFonts w:hint="eastAsia" w:ascii="宋体" w:hAnsi="宋体" w:cs="宋体"/>
          <w:bCs/>
          <w:color w:val="auto"/>
          <w:sz w:val="32"/>
          <w:szCs w:val="32"/>
          <w:highlight w:val="none"/>
        </w:rPr>
        <w:t>首次响应文件提交截止时间前不得解密</w:t>
      </w:r>
    </w:p>
    <w:p w14:paraId="72A6ED90">
      <w:pPr>
        <w:snapToGrid w:val="0"/>
        <w:spacing w:before="120" w:beforeLines="50" w:after="50"/>
        <w:ind w:firstLine="5440" w:firstLineChars="1700"/>
        <w:jc w:val="center"/>
        <w:rPr>
          <w:rFonts w:ascii="宋体" w:hAnsi="宋体" w:cs="宋体"/>
          <w:bCs/>
          <w:color w:val="auto"/>
          <w:sz w:val="32"/>
          <w:szCs w:val="32"/>
          <w:highlight w:val="none"/>
        </w:rPr>
      </w:pPr>
    </w:p>
    <w:p w14:paraId="22E2DF2D">
      <w:pPr>
        <w:snapToGrid w:val="0"/>
        <w:spacing w:before="120" w:beforeLines="50" w:after="50"/>
        <w:ind w:firstLine="645"/>
        <w:jc w:val="center"/>
        <w:rPr>
          <w:rFonts w:ascii="宋体" w:hAnsi="宋体" w:cs="宋体"/>
          <w:bCs/>
          <w:color w:val="auto"/>
          <w:sz w:val="32"/>
          <w:szCs w:val="32"/>
          <w:highlight w:val="none"/>
        </w:rPr>
      </w:pPr>
      <w:r>
        <w:rPr>
          <w:rFonts w:hint="eastAsia" w:ascii="宋体" w:hAnsi="宋体" w:cs="宋体"/>
          <w:bCs/>
          <w:color w:val="auto"/>
          <w:sz w:val="32"/>
          <w:szCs w:val="32"/>
          <w:highlight w:val="none"/>
        </w:rPr>
        <w:t>年    月    日</w:t>
      </w:r>
    </w:p>
    <w:p w14:paraId="13757202">
      <w:pPr>
        <w:widowControl/>
        <w:jc w:val="left"/>
        <w:rPr>
          <w:rFonts w:ascii="宋体" w:hAnsi="宋体" w:cs="宋体"/>
          <w:color w:val="auto"/>
          <w:highlight w:val="none"/>
        </w:rPr>
        <w:sectPr>
          <w:pgSz w:w="11910" w:h="16840"/>
          <w:pgMar w:top="1340" w:right="1500" w:bottom="280" w:left="1680" w:header="720" w:footer="720" w:gutter="0"/>
          <w:cols w:space="720" w:num="1"/>
        </w:sectPr>
      </w:pPr>
    </w:p>
    <w:p w14:paraId="7894D059">
      <w:pPr>
        <w:pStyle w:val="3"/>
        <w:jc w:val="center"/>
        <w:rPr>
          <w:rFonts w:ascii="宋体" w:hAnsi="宋体" w:cs="宋体"/>
          <w:bCs w:val="0"/>
          <w:color w:val="auto"/>
          <w:highlight w:val="none"/>
        </w:rPr>
      </w:pPr>
      <w:bookmarkStart w:id="71" w:name="_Toc80205939"/>
      <w:bookmarkStart w:id="72" w:name="_Toc30886"/>
      <w:r>
        <w:rPr>
          <w:rFonts w:hint="eastAsia" w:ascii="宋体" w:hAnsi="宋体" w:cs="宋体"/>
          <w:bCs w:val="0"/>
          <w:color w:val="auto"/>
          <w:highlight w:val="none"/>
        </w:rPr>
        <w:t>第二节 资格证明文件格式</w:t>
      </w:r>
      <w:bookmarkEnd w:id="71"/>
      <w:bookmarkEnd w:id="72"/>
    </w:p>
    <w:p w14:paraId="00F16F5B">
      <w:pPr>
        <w:snapToGrid w:val="0"/>
        <w:spacing w:before="120"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全流程电子文件</w:t>
      </w:r>
    </w:p>
    <w:p w14:paraId="5BF6AF16">
      <w:pPr>
        <w:snapToGrid w:val="0"/>
        <w:spacing w:before="120" w:beforeLines="50" w:after="50"/>
        <w:rPr>
          <w:rFonts w:ascii="宋体" w:hAnsi="宋体" w:cs="宋体"/>
          <w:color w:val="auto"/>
          <w:sz w:val="24"/>
          <w:szCs w:val="20"/>
          <w:highlight w:val="none"/>
        </w:rPr>
      </w:pPr>
    </w:p>
    <w:p w14:paraId="2E089952">
      <w:pPr>
        <w:snapToGrid w:val="0"/>
        <w:spacing w:before="120" w:beforeLines="50" w:after="50"/>
        <w:rPr>
          <w:rFonts w:ascii="宋体" w:hAnsi="宋体" w:cs="宋体"/>
          <w:color w:val="auto"/>
          <w:sz w:val="24"/>
          <w:szCs w:val="20"/>
          <w:highlight w:val="none"/>
        </w:rPr>
      </w:pPr>
    </w:p>
    <w:p w14:paraId="5CDC2536">
      <w:pPr>
        <w:snapToGrid w:val="0"/>
        <w:spacing w:before="120"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资  格  证  明  文  件（封面）</w:t>
      </w:r>
    </w:p>
    <w:p w14:paraId="24C3EBEB">
      <w:pPr>
        <w:snapToGrid w:val="0"/>
        <w:spacing w:before="120" w:beforeLines="50" w:after="50"/>
        <w:rPr>
          <w:rFonts w:ascii="宋体" w:hAnsi="宋体" w:cs="宋体"/>
          <w:bCs/>
          <w:color w:val="auto"/>
          <w:sz w:val="24"/>
          <w:szCs w:val="20"/>
          <w:highlight w:val="none"/>
        </w:rPr>
      </w:pPr>
    </w:p>
    <w:p w14:paraId="38CBC484">
      <w:pPr>
        <w:snapToGrid w:val="0"/>
        <w:spacing w:before="120" w:beforeLines="50" w:after="50"/>
        <w:rPr>
          <w:rFonts w:ascii="宋体" w:hAnsi="宋体" w:cs="宋体"/>
          <w:bCs/>
          <w:color w:val="auto"/>
          <w:sz w:val="24"/>
          <w:szCs w:val="20"/>
          <w:highlight w:val="none"/>
        </w:rPr>
      </w:pPr>
    </w:p>
    <w:p w14:paraId="2D783645">
      <w:pPr>
        <w:snapToGrid w:val="0"/>
        <w:spacing w:before="120" w:beforeLines="50" w:after="50"/>
        <w:rPr>
          <w:rFonts w:ascii="宋体" w:hAnsi="宋体" w:cs="宋体"/>
          <w:bCs/>
          <w:color w:val="auto"/>
          <w:sz w:val="24"/>
          <w:szCs w:val="20"/>
          <w:highlight w:val="none"/>
        </w:rPr>
      </w:pPr>
    </w:p>
    <w:p w14:paraId="24B974E8">
      <w:pPr>
        <w:snapToGrid w:val="0"/>
        <w:spacing w:before="120" w:beforeLines="50" w:after="50"/>
        <w:rPr>
          <w:rFonts w:ascii="宋体" w:hAnsi="宋体" w:cs="宋体"/>
          <w:bCs/>
          <w:color w:val="auto"/>
          <w:sz w:val="24"/>
          <w:szCs w:val="20"/>
          <w:highlight w:val="none"/>
        </w:rPr>
      </w:pPr>
    </w:p>
    <w:p w14:paraId="29A71765">
      <w:pPr>
        <w:snapToGrid w:val="0"/>
        <w:spacing w:before="120" w:beforeLines="50" w:after="50"/>
        <w:rPr>
          <w:rFonts w:ascii="宋体" w:hAnsi="宋体" w:cs="宋体"/>
          <w:bCs/>
          <w:color w:val="auto"/>
          <w:sz w:val="24"/>
          <w:szCs w:val="20"/>
          <w:highlight w:val="none"/>
        </w:rPr>
      </w:pPr>
    </w:p>
    <w:p w14:paraId="4F1D4498">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bookmarkStart w:id="73" w:name="PO_3000001868_PM002_3"/>
      <w:r>
        <w:rPr>
          <w:rFonts w:hint="eastAsia" w:ascii="宋体" w:hAnsi="宋体" w:cs="宋体"/>
          <w:bCs/>
          <w:color w:val="auto"/>
          <w:sz w:val="32"/>
          <w:szCs w:val="32"/>
          <w:highlight w:val="none"/>
        </w:rPr>
        <w:t>[项目名称]</w:t>
      </w:r>
      <w:bookmarkEnd w:id="73"/>
    </w:p>
    <w:p w14:paraId="5CE6FE1D">
      <w:pPr>
        <w:snapToGrid w:val="0"/>
        <w:spacing w:before="120" w:beforeLines="50" w:after="50"/>
        <w:ind w:firstLine="720" w:firstLineChars="225"/>
        <w:rPr>
          <w:rFonts w:ascii="宋体" w:hAnsi="宋体" w:cs="宋体"/>
          <w:bCs/>
          <w:color w:val="auto"/>
          <w:sz w:val="32"/>
          <w:szCs w:val="32"/>
          <w:highlight w:val="none"/>
        </w:rPr>
      </w:pPr>
    </w:p>
    <w:p w14:paraId="432C50A3">
      <w:pPr>
        <w:snapToGrid w:val="0"/>
        <w:spacing w:before="120"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bookmarkStart w:id="74" w:name="PO_3000001868_PM001_5"/>
      <w:r>
        <w:rPr>
          <w:rFonts w:hint="eastAsia" w:ascii="宋体" w:hAnsi="宋体" w:cs="宋体"/>
          <w:bCs/>
          <w:color w:val="auto"/>
          <w:sz w:val="32"/>
          <w:szCs w:val="32"/>
          <w:highlight w:val="none"/>
        </w:rPr>
        <w:t>[项目编号]</w:t>
      </w:r>
      <w:bookmarkEnd w:id="74"/>
    </w:p>
    <w:p w14:paraId="17F10BBD">
      <w:pPr>
        <w:snapToGrid w:val="0"/>
        <w:spacing w:before="120"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14:paraId="79310E7F">
      <w:pPr>
        <w:snapToGrid w:val="0"/>
        <w:spacing w:before="120"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7BBA414D">
      <w:pPr>
        <w:snapToGrid w:val="0"/>
        <w:spacing w:before="120" w:beforeLines="50" w:after="50"/>
        <w:ind w:firstLine="720" w:firstLineChars="225"/>
        <w:rPr>
          <w:rFonts w:ascii="宋体" w:hAnsi="宋体" w:cs="宋体"/>
          <w:bCs/>
          <w:color w:val="auto"/>
          <w:sz w:val="32"/>
          <w:szCs w:val="32"/>
          <w:highlight w:val="none"/>
        </w:rPr>
      </w:pPr>
    </w:p>
    <w:p w14:paraId="589C5B6F">
      <w:pPr>
        <w:pStyle w:val="9"/>
        <w:snapToGrid w:val="0"/>
        <w:spacing w:before="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78DAB314">
      <w:pPr>
        <w:pStyle w:val="9"/>
        <w:snapToGrid w:val="0"/>
        <w:spacing w:before="50" w:after="50"/>
        <w:ind w:firstLine="720" w:firstLineChars="225"/>
        <w:rPr>
          <w:rFonts w:ascii="宋体" w:hAnsi="宋体" w:cs="宋体"/>
          <w:bCs/>
          <w:color w:val="auto"/>
          <w:sz w:val="32"/>
          <w:szCs w:val="32"/>
          <w:highlight w:val="none"/>
        </w:rPr>
      </w:pPr>
    </w:p>
    <w:p w14:paraId="7EC60579">
      <w:pPr>
        <w:pStyle w:val="9"/>
        <w:snapToGrid w:val="0"/>
        <w:spacing w:before="50" w:after="50"/>
        <w:ind w:firstLine="720" w:firstLineChars="225"/>
        <w:rPr>
          <w:rFonts w:ascii="宋体" w:hAnsi="宋体" w:cs="宋体"/>
          <w:bCs/>
          <w:color w:val="auto"/>
          <w:sz w:val="32"/>
          <w:szCs w:val="32"/>
          <w:highlight w:val="none"/>
        </w:rPr>
      </w:pPr>
    </w:p>
    <w:p w14:paraId="168F5173">
      <w:pPr>
        <w:pStyle w:val="9"/>
        <w:snapToGrid w:val="0"/>
        <w:spacing w:before="50" w:after="50"/>
        <w:ind w:firstLine="720" w:firstLineChars="225"/>
        <w:rPr>
          <w:rFonts w:ascii="宋体" w:hAnsi="宋体" w:cs="宋体"/>
          <w:bCs/>
          <w:color w:val="auto"/>
          <w:sz w:val="32"/>
          <w:szCs w:val="32"/>
          <w:highlight w:val="none"/>
        </w:rPr>
      </w:pPr>
    </w:p>
    <w:p w14:paraId="58D4B7B9">
      <w:pPr>
        <w:pStyle w:val="9"/>
        <w:snapToGrid w:val="0"/>
        <w:spacing w:before="50" w:after="50"/>
        <w:ind w:firstLine="1280" w:firstLineChars="400"/>
        <w:rPr>
          <w:rFonts w:ascii="宋体" w:hAnsi="宋体" w:cs="宋体"/>
          <w:bCs/>
          <w:color w:val="auto"/>
          <w:sz w:val="32"/>
          <w:szCs w:val="32"/>
          <w:highlight w:val="none"/>
        </w:rPr>
      </w:pPr>
    </w:p>
    <w:p w14:paraId="549C6533">
      <w:pPr>
        <w:snapToGrid w:val="0"/>
        <w:spacing w:before="120"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16BB29CC">
      <w:pPr>
        <w:snapToGrid w:val="0"/>
        <w:spacing w:before="120" w:beforeLines="50" w:after="50" w:line="360" w:lineRule="auto"/>
        <w:jc w:val="left"/>
        <w:rPr>
          <w:rFonts w:ascii="宋体" w:hAnsi="宋体" w:cs="宋体"/>
          <w:b/>
          <w:bCs/>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 xml:space="preserve"> </w:t>
      </w:r>
    </w:p>
    <w:p w14:paraId="742CAA44">
      <w:pPr>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资格证明文件目录</w:t>
      </w:r>
    </w:p>
    <w:p w14:paraId="29EF0238">
      <w:pPr>
        <w:snapToGrid w:val="0"/>
        <w:spacing w:line="360" w:lineRule="auto"/>
        <w:rPr>
          <w:rFonts w:ascii="宋体" w:hAnsi="宋体" w:cs="宋体"/>
          <w:color w:val="auto"/>
          <w:kern w:val="0"/>
          <w:sz w:val="24"/>
          <w:highlight w:val="none"/>
        </w:rPr>
      </w:pPr>
    </w:p>
    <w:p w14:paraId="4AA2F4B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一、</w:t>
      </w:r>
      <w:r>
        <w:rPr>
          <w:rFonts w:hint="eastAsia" w:ascii="宋体" w:hAnsi="宋体" w:cs="宋体"/>
          <w:color w:val="auto"/>
          <w:sz w:val="24"/>
          <w:highlight w:val="none"/>
        </w:rPr>
        <w:t>营业执照(或事业法人登记证或其他工商等登记证明材料)复印件（供应商为自然人的，须提供</w:t>
      </w:r>
      <w:r>
        <w:rPr>
          <w:rFonts w:hint="eastAsia" w:ascii="宋体" w:hAnsi="宋体" w:cs="宋体"/>
          <w:color w:val="auto"/>
          <w:kern w:val="0"/>
          <w:sz w:val="24"/>
          <w:highlight w:val="none"/>
        </w:rPr>
        <w:t>自然人的身份证明</w:t>
      </w:r>
      <w:r>
        <w:rPr>
          <w:rFonts w:hint="eastAsia" w:ascii="宋体" w:hAnsi="宋体" w:cs="宋体"/>
          <w:color w:val="auto"/>
          <w:sz w:val="24"/>
          <w:highlight w:val="none"/>
        </w:rPr>
        <w:t>）</w:t>
      </w:r>
      <w:r>
        <w:rPr>
          <w:rFonts w:hint="eastAsia" w:ascii="宋体" w:hAnsi="宋体" w:cs="宋体"/>
          <w:color w:val="auto"/>
          <w:kern w:val="0"/>
          <w:sz w:val="24"/>
          <w:highlight w:val="none"/>
        </w:rPr>
        <w:t>…………………………………………（页码）</w:t>
      </w:r>
    </w:p>
    <w:p w14:paraId="19FCCD4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二、符合参与政府采购活动的资格条件依法缴纳税收、社会保障资金等方面的材料…………………………………………………………………………………（页码）</w:t>
      </w:r>
    </w:p>
    <w:p w14:paraId="389EACF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三、财务状况报告方面的材料…………………………………………………（页码）</w:t>
      </w:r>
    </w:p>
    <w:p w14:paraId="79E5DCE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四、供应商直接控股股东信息</w:t>
      </w:r>
      <w:r>
        <w:rPr>
          <w:rFonts w:hint="eastAsia" w:ascii="宋体" w:hAnsi="宋体" w:cs="宋体"/>
          <w:color w:val="auto"/>
          <w:kern w:val="0"/>
          <w:sz w:val="24"/>
          <w:highlight w:val="none"/>
        </w:rPr>
        <w:t>…………………………………………………（页码）</w:t>
      </w:r>
    </w:p>
    <w:p w14:paraId="266AAE8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五、供应商直接关联关系信息表</w:t>
      </w:r>
      <w:r>
        <w:rPr>
          <w:rFonts w:hint="eastAsia" w:ascii="宋体" w:hAnsi="宋体" w:cs="宋体"/>
          <w:color w:val="auto"/>
          <w:kern w:val="0"/>
          <w:sz w:val="24"/>
          <w:highlight w:val="none"/>
        </w:rPr>
        <w:t>………………………………………………（页码）</w:t>
      </w:r>
    </w:p>
    <w:p w14:paraId="36B5236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六、资格声明函…………………………………………………………………（页码）</w:t>
      </w:r>
    </w:p>
    <w:p w14:paraId="4685E3B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七、联合体协议书（</w:t>
      </w:r>
      <w:r>
        <w:rPr>
          <w:rFonts w:hint="eastAsia" w:ascii="宋体" w:hAnsi="宋体" w:cs="宋体"/>
          <w:color w:val="auto"/>
          <w:sz w:val="24"/>
          <w:highlight w:val="none"/>
        </w:rPr>
        <w:t>以联合体形式响应的，提供联合体协议；本项目不接受联合体响应或者供应商不以联合体形式响应的，则不需要提供</w:t>
      </w:r>
      <w:r>
        <w:rPr>
          <w:rFonts w:hint="eastAsia" w:ascii="宋体" w:hAnsi="宋体" w:cs="宋体"/>
          <w:color w:val="auto"/>
          <w:kern w:val="0"/>
          <w:sz w:val="24"/>
          <w:highlight w:val="none"/>
        </w:rPr>
        <w:t>）…………………（页码）</w:t>
      </w:r>
    </w:p>
    <w:p w14:paraId="44037B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八、中小企业声明函或残疾人福利性单位声明函或属于监狱企业的证明文件</w:t>
      </w:r>
      <w:r>
        <w:rPr>
          <w:rFonts w:hint="eastAsia" w:ascii="宋体" w:hAnsi="宋体" w:cs="宋体"/>
          <w:color w:val="auto"/>
          <w:kern w:val="0"/>
          <w:sz w:val="24"/>
          <w:highlight w:val="none"/>
        </w:rPr>
        <w:t>…（页码）</w:t>
      </w:r>
    </w:p>
    <w:p w14:paraId="742767F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九、</w:t>
      </w:r>
      <w:r>
        <w:rPr>
          <w:rFonts w:hint="eastAsia" w:ascii="宋体" w:hAnsi="宋体" w:cs="宋体"/>
          <w:color w:val="auto"/>
          <w:sz w:val="24"/>
          <w:highlight w:val="none"/>
          <w:lang w:val="en-US" w:eastAsia="zh-CN"/>
        </w:rPr>
        <w:t>资格证书：①供应商具备有效的市政公用工程总承包三级(含)或水利水电工程施工总承包三级(含)以上资质证书，同时持有省级及以上建设行政主管部门颁发的安全生产许可证；②拟投入本工程的项目经理须持有二级或二级以上建造师注册证书，专业是市政工程或水利水电工程类专业（以建造师注册证书中“专业 类别”栏所填写的专业为准），同时持有省级或省级以上建设行政主管部门颁发的安全生产考核合格证书（B类）；③拟投入本工程的安全员应持有省级或省级以上建设行政主管部门颁发的安全生产考核合格证书（C类）。（必须提供，否则响应文件按无效响应处理）</w:t>
      </w:r>
      <w:r>
        <w:rPr>
          <w:rFonts w:hint="eastAsia" w:ascii="宋体" w:hAnsi="宋体" w:cs="宋体"/>
          <w:color w:val="auto"/>
          <w:kern w:val="0"/>
          <w:sz w:val="24"/>
          <w:highlight w:val="none"/>
        </w:rPr>
        <w:t>………………（页码）</w:t>
      </w:r>
    </w:p>
    <w:p w14:paraId="396568B2">
      <w:pPr>
        <w:spacing w:line="360" w:lineRule="auto"/>
        <w:rPr>
          <w:rFonts w:ascii="宋体" w:hAnsi="宋体" w:cs="宋体"/>
          <w:b/>
          <w:bCs/>
          <w:color w:val="auto"/>
          <w:sz w:val="24"/>
          <w:highlight w:val="none"/>
        </w:rPr>
      </w:pPr>
    </w:p>
    <w:p w14:paraId="2AAC913B">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注：以上目录是编制供应商响应文件的基本格式要求，各供应商可根据自身情况进一步细化。</w:t>
      </w:r>
    </w:p>
    <w:p w14:paraId="778A3AC8">
      <w:pPr>
        <w:snapToGrid w:val="0"/>
        <w:spacing w:before="120" w:beforeLines="50" w:after="50" w:line="360" w:lineRule="auto"/>
        <w:ind w:left="142" w:firstLine="420" w:firstLineChars="200"/>
        <w:jc w:val="left"/>
        <w:rPr>
          <w:rFonts w:ascii="宋体" w:hAnsi="宋体" w:cs="宋体"/>
          <w:color w:val="auto"/>
          <w:szCs w:val="21"/>
          <w:highlight w:val="none"/>
        </w:rPr>
      </w:pPr>
    </w:p>
    <w:p w14:paraId="14BDB417">
      <w:pPr>
        <w:spacing w:line="300" w:lineRule="auto"/>
        <w:rPr>
          <w:rFonts w:ascii="宋体" w:hAnsi="宋体" w:cs="宋体"/>
          <w:color w:val="auto"/>
          <w:szCs w:val="21"/>
          <w:highlight w:val="none"/>
        </w:rPr>
      </w:pPr>
    </w:p>
    <w:p w14:paraId="61A85567">
      <w:pPr>
        <w:spacing w:line="300" w:lineRule="auto"/>
        <w:rPr>
          <w:rFonts w:ascii="宋体" w:hAnsi="宋体" w:cs="宋体"/>
          <w:color w:val="auto"/>
          <w:szCs w:val="21"/>
          <w:highlight w:val="none"/>
        </w:rPr>
      </w:pPr>
    </w:p>
    <w:p w14:paraId="09313AE3">
      <w:pPr>
        <w:spacing w:line="300" w:lineRule="auto"/>
        <w:rPr>
          <w:rFonts w:ascii="宋体" w:hAnsi="宋体" w:cs="宋体"/>
          <w:color w:val="auto"/>
          <w:szCs w:val="21"/>
          <w:highlight w:val="none"/>
        </w:rPr>
      </w:pPr>
    </w:p>
    <w:p w14:paraId="5F592A3D">
      <w:pPr>
        <w:spacing w:line="300" w:lineRule="auto"/>
        <w:rPr>
          <w:rFonts w:ascii="宋体" w:hAnsi="宋体" w:cs="宋体"/>
          <w:color w:val="auto"/>
          <w:szCs w:val="21"/>
          <w:highlight w:val="none"/>
        </w:rPr>
      </w:pPr>
    </w:p>
    <w:p w14:paraId="19C4DC82">
      <w:pPr>
        <w:spacing w:line="300" w:lineRule="auto"/>
        <w:rPr>
          <w:rFonts w:ascii="宋体" w:hAnsi="宋体" w:cs="宋体"/>
          <w:color w:val="auto"/>
          <w:szCs w:val="21"/>
          <w:highlight w:val="none"/>
        </w:rPr>
      </w:pPr>
    </w:p>
    <w:p w14:paraId="6C353947">
      <w:pPr>
        <w:pStyle w:val="16"/>
        <w:spacing w:line="360" w:lineRule="auto"/>
        <w:ind w:firstLine="400" w:firstLineChars="200"/>
        <w:rPr>
          <w:rFonts w:hAnsi="宋体" w:cs="宋体"/>
          <w:b/>
          <w:color w:val="auto"/>
          <w:sz w:val="30"/>
          <w:szCs w:val="30"/>
          <w:highlight w:val="none"/>
        </w:rPr>
      </w:pPr>
      <w:r>
        <w:rPr>
          <w:rFonts w:hint="eastAsia" w:hAnsi="宋体" w:cs="宋体"/>
          <w:color w:val="auto"/>
          <w:highlight w:val="none"/>
        </w:rPr>
        <w:t xml:space="preserve">   </w:t>
      </w:r>
      <w:r>
        <w:rPr>
          <w:rFonts w:hint="eastAsia" w:hAnsi="宋体" w:cs="宋体"/>
          <w:b/>
          <w:color w:val="auto"/>
          <w:sz w:val="30"/>
          <w:szCs w:val="30"/>
          <w:highlight w:val="none"/>
        </w:rPr>
        <w:t>一、营业执照(或事业法人登记证或其他工商等登记证明材料)复印件（供应商为自然人的，提供自然人的身份证明）</w:t>
      </w:r>
    </w:p>
    <w:p w14:paraId="1D756E80">
      <w:pPr>
        <w:pStyle w:val="16"/>
        <w:spacing w:line="360" w:lineRule="auto"/>
        <w:ind w:firstLine="602" w:firstLineChars="200"/>
        <w:rPr>
          <w:rFonts w:hAnsi="宋体" w:cs="宋体"/>
          <w:b/>
          <w:color w:val="auto"/>
          <w:sz w:val="30"/>
          <w:szCs w:val="30"/>
          <w:highlight w:val="none"/>
        </w:rPr>
      </w:pPr>
    </w:p>
    <w:p w14:paraId="4B55DBDB">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48ABE698">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2AA0FA17">
      <w:pPr>
        <w:snapToGrid w:val="0"/>
        <w:spacing w:before="120" w:beforeLines="50" w:after="50"/>
        <w:rPr>
          <w:rFonts w:ascii="宋体" w:hAnsi="宋体" w:cs="宋体"/>
          <w:color w:val="auto"/>
          <w:sz w:val="24"/>
          <w:szCs w:val="20"/>
          <w:highlight w:val="none"/>
        </w:rPr>
      </w:pPr>
    </w:p>
    <w:p w14:paraId="24BCDB84">
      <w:pPr>
        <w:pStyle w:val="16"/>
        <w:spacing w:line="360" w:lineRule="auto"/>
        <w:ind w:firstLine="602" w:firstLineChars="200"/>
        <w:rPr>
          <w:rFonts w:hAnsi="宋体" w:cs="宋体"/>
          <w:b/>
          <w:color w:val="auto"/>
          <w:sz w:val="30"/>
          <w:szCs w:val="30"/>
          <w:highlight w:val="none"/>
        </w:rPr>
      </w:pPr>
      <w:r>
        <w:rPr>
          <w:rFonts w:hint="eastAsia" w:hAnsi="宋体" w:cs="宋体"/>
          <w:b/>
          <w:color w:val="auto"/>
          <w:sz w:val="30"/>
          <w:szCs w:val="30"/>
          <w:highlight w:val="none"/>
        </w:rPr>
        <w:t>二、符合参与政府采购活动的资格条件依法缴纳税收、社会保障资金等方面的材料</w:t>
      </w:r>
    </w:p>
    <w:p w14:paraId="579CC742">
      <w:pPr>
        <w:spacing w:line="300" w:lineRule="auto"/>
        <w:rPr>
          <w:rFonts w:ascii="宋体" w:hAnsi="宋体" w:cs="宋体"/>
          <w:color w:val="auto"/>
          <w:szCs w:val="21"/>
          <w:highlight w:val="none"/>
        </w:rPr>
      </w:pPr>
    </w:p>
    <w:p w14:paraId="72D7054E">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00E28C53">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78F55EF8">
      <w:pPr>
        <w:spacing w:line="300" w:lineRule="auto"/>
        <w:rPr>
          <w:rFonts w:ascii="宋体" w:hAnsi="宋体" w:cs="宋体"/>
          <w:color w:val="auto"/>
          <w:szCs w:val="21"/>
          <w:highlight w:val="none"/>
        </w:rPr>
      </w:pPr>
    </w:p>
    <w:p w14:paraId="42846FCA">
      <w:pPr>
        <w:spacing w:line="300" w:lineRule="auto"/>
        <w:ind w:firstLine="596" w:firstLineChars="198"/>
        <w:rPr>
          <w:rFonts w:ascii="宋体" w:hAnsi="宋体" w:cs="宋体"/>
          <w:b/>
          <w:color w:val="auto"/>
          <w:kern w:val="0"/>
          <w:sz w:val="30"/>
          <w:szCs w:val="30"/>
          <w:highlight w:val="none"/>
        </w:rPr>
      </w:pPr>
      <w:r>
        <w:rPr>
          <w:rFonts w:hint="eastAsia" w:ascii="宋体" w:hAnsi="宋体" w:cs="宋体"/>
          <w:b/>
          <w:color w:val="auto"/>
          <w:kern w:val="0"/>
          <w:sz w:val="30"/>
          <w:szCs w:val="30"/>
          <w:highlight w:val="none"/>
        </w:rPr>
        <w:t>三、财务状况报告方面的材料</w:t>
      </w:r>
    </w:p>
    <w:p w14:paraId="21E2D0D7">
      <w:pPr>
        <w:spacing w:line="300" w:lineRule="auto"/>
        <w:rPr>
          <w:rFonts w:ascii="宋体" w:hAnsi="宋体" w:cs="宋体"/>
          <w:color w:val="auto"/>
          <w:szCs w:val="21"/>
          <w:highlight w:val="none"/>
        </w:rPr>
      </w:pPr>
    </w:p>
    <w:p w14:paraId="6BE97180">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4491FD9A">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2DA6EBBB">
      <w:pPr>
        <w:spacing w:line="320" w:lineRule="exact"/>
        <w:jc w:val="left"/>
        <w:rPr>
          <w:rFonts w:ascii="宋体" w:hAnsi="宋体" w:cs="宋体"/>
          <w:b/>
          <w:color w:val="auto"/>
          <w:sz w:val="24"/>
          <w:highlight w:val="none"/>
        </w:rPr>
      </w:pPr>
      <w:r>
        <w:rPr>
          <w:rFonts w:hint="eastAsia" w:ascii="宋体" w:hAnsi="宋体" w:cs="宋体"/>
          <w:color w:val="auto"/>
          <w:szCs w:val="21"/>
          <w:highlight w:val="none"/>
        </w:rPr>
        <w:t xml:space="preserve"> </w:t>
      </w:r>
    </w:p>
    <w:p w14:paraId="11F87EFC">
      <w:pPr>
        <w:spacing w:line="360" w:lineRule="auto"/>
        <w:ind w:firstLine="596" w:firstLineChars="198"/>
        <w:rPr>
          <w:rFonts w:ascii="宋体" w:hAnsi="宋体" w:cs="宋体"/>
          <w:b/>
          <w:color w:val="auto"/>
          <w:kern w:val="0"/>
          <w:sz w:val="30"/>
          <w:szCs w:val="30"/>
          <w:highlight w:val="none"/>
        </w:rPr>
      </w:pPr>
      <w:r>
        <w:rPr>
          <w:rFonts w:hint="eastAsia" w:ascii="宋体" w:hAnsi="宋体" w:cs="宋体"/>
          <w:b/>
          <w:color w:val="auto"/>
          <w:kern w:val="0"/>
          <w:sz w:val="30"/>
          <w:szCs w:val="30"/>
          <w:highlight w:val="none"/>
        </w:rPr>
        <w:t>四、供应商直接控股股东信息</w:t>
      </w:r>
    </w:p>
    <w:p w14:paraId="00D36ED5">
      <w:pPr>
        <w:spacing w:line="360" w:lineRule="auto"/>
        <w:jc w:val="center"/>
        <w:rPr>
          <w:rFonts w:ascii="宋体" w:hAnsi="宋体" w:cs="宋体"/>
          <w:b/>
          <w:color w:val="auto"/>
          <w:sz w:val="24"/>
          <w:highlight w:val="none"/>
        </w:rPr>
      </w:pPr>
    </w:p>
    <w:tbl>
      <w:tblPr>
        <w:tblStyle w:val="25"/>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41B66552">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08AB59C">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F506EA2">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657D50B">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DDD6C33">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C003094">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12F7629E">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0296656">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8B46578">
            <w:pPr>
              <w:widowControl/>
              <w:spacing w:line="360" w:lineRule="auto"/>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A96B6C1">
            <w:pPr>
              <w:widowControl/>
              <w:spacing w:line="360" w:lineRule="auto"/>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B6B467E">
            <w:pPr>
              <w:widowControl/>
              <w:spacing w:line="360" w:lineRule="auto"/>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CB65454">
            <w:pPr>
              <w:widowControl/>
              <w:spacing w:line="360" w:lineRule="auto"/>
              <w:jc w:val="center"/>
              <w:rPr>
                <w:rFonts w:ascii="宋体" w:hAnsi="宋体" w:cs="宋体"/>
                <w:color w:val="auto"/>
                <w:kern w:val="0"/>
                <w:sz w:val="24"/>
                <w:highlight w:val="none"/>
              </w:rPr>
            </w:pPr>
          </w:p>
        </w:tc>
      </w:tr>
      <w:tr w14:paraId="370B474C">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A1D67EF">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3924990">
            <w:pPr>
              <w:widowControl/>
              <w:spacing w:line="360" w:lineRule="auto"/>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A32BC8D">
            <w:pPr>
              <w:widowControl/>
              <w:spacing w:line="360" w:lineRule="auto"/>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5FC70F0">
            <w:pPr>
              <w:widowControl/>
              <w:spacing w:line="360" w:lineRule="auto"/>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C06E6DB">
            <w:pPr>
              <w:widowControl/>
              <w:spacing w:line="360" w:lineRule="auto"/>
              <w:jc w:val="center"/>
              <w:rPr>
                <w:rFonts w:ascii="宋体" w:hAnsi="宋体" w:cs="宋体"/>
                <w:color w:val="auto"/>
                <w:kern w:val="0"/>
                <w:sz w:val="24"/>
                <w:highlight w:val="none"/>
              </w:rPr>
            </w:pPr>
          </w:p>
        </w:tc>
      </w:tr>
      <w:tr w14:paraId="1FE27E97">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A4DF53C">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93230D4">
            <w:pPr>
              <w:widowControl/>
              <w:spacing w:line="360" w:lineRule="auto"/>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13271FD">
            <w:pPr>
              <w:widowControl/>
              <w:spacing w:line="360" w:lineRule="auto"/>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80D9B0B">
            <w:pPr>
              <w:widowControl/>
              <w:spacing w:line="360" w:lineRule="auto"/>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6D2D116">
            <w:pPr>
              <w:widowControl/>
              <w:spacing w:line="360" w:lineRule="auto"/>
              <w:jc w:val="center"/>
              <w:rPr>
                <w:rFonts w:ascii="宋体" w:hAnsi="宋体" w:cs="宋体"/>
                <w:color w:val="auto"/>
                <w:kern w:val="0"/>
                <w:sz w:val="24"/>
                <w:highlight w:val="none"/>
              </w:rPr>
            </w:pPr>
          </w:p>
        </w:tc>
      </w:tr>
      <w:tr w14:paraId="1EEC6D24">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EADD2FC">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73FEDAF">
            <w:pPr>
              <w:widowControl/>
              <w:spacing w:line="360" w:lineRule="auto"/>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0724231">
            <w:pPr>
              <w:widowControl/>
              <w:spacing w:line="360" w:lineRule="auto"/>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BECDF41">
            <w:pPr>
              <w:widowControl/>
              <w:spacing w:line="360" w:lineRule="auto"/>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FF4DD3A">
            <w:pPr>
              <w:widowControl/>
              <w:spacing w:line="360" w:lineRule="auto"/>
              <w:jc w:val="center"/>
              <w:rPr>
                <w:rFonts w:ascii="宋体" w:hAnsi="宋体" w:cs="宋体"/>
                <w:color w:val="auto"/>
                <w:kern w:val="0"/>
                <w:sz w:val="24"/>
                <w:highlight w:val="none"/>
              </w:rPr>
            </w:pPr>
          </w:p>
        </w:tc>
      </w:tr>
    </w:tbl>
    <w:p w14:paraId="6374BA31">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注：</w:t>
      </w:r>
    </w:p>
    <w:p w14:paraId="7483A5E5">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0573926">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2.本表所指的控股关系仅限于直接控股关系，不包括间接的控股关系。公司实际控制人与公司之间的关系不属于本表所指的直接控股关系。</w:t>
      </w:r>
    </w:p>
    <w:p w14:paraId="3E683CCB">
      <w:pP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3.供应商不存在直接控股股东的，则填“无”。</w:t>
      </w:r>
    </w:p>
    <w:p w14:paraId="4E38E223">
      <w:pPr>
        <w:snapToGrid w:val="0"/>
        <w:spacing w:line="360" w:lineRule="auto"/>
        <w:jc w:val="left"/>
        <w:rPr>
          <w:rFonts w:ascii="宋体" w:hAnsi="宋体" w:cs="宋体"/>
          <w:color w:val="auto"/>
          <w:sz w:val="24"/>
          <w:highlight w:val="none"/>
        </w:rPr>
      </w:pPr>
    </w:p>
    <w:p w14:paraId="4463884F">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5EB9CE61">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4E3979E5">
      <w:pPr>
        <w:snapToGrid w:val="0"/>
        <w:rPr>
          <w:rFonts w:ascii="宋体" w:hAnsi="宋体" w:cs="宋体"/>
          <w:b/>
          <w:color w:val="auto"/>
          <w:kern w:val="0"/>
          <w:sz w:val="30"/>
          <w:szCs w:val="30"/>
          <w:highlight w:val="none"/>
        </w:rPr>
      </w:pPr>
    </w:p>
    <w:p w14:paraId="0FF70F82">
      <w:pPr>
        <w:snapToGrid w:val="0"/>
        <w:ind w:firstLine="596" w:firstLineChars="198"/>
        <w:rPr>
          <w:rFonts w:ascii="宋体" w:hAnsi="宋体" w:cs="宋体"/>
          <w:b/>
          <w:color w:val="auto"/>
          <w:kern w:val="0"/>
          <w:sz w:val="30"/>
          <w:szCs w:val="30"/>
          <w:highlight w:val="none"/>
        </w:rPr>
      </w:pPr>
      <w:r>
        <w:rPr>
          <w:rFonts w:hint="eastAsia" w:ascii="宋体" w:hAnsi="宋体" w:cs="宋体"/>
          <w:b/>
          <w:color w:val="auto"/>
          <w:kern w:val="0"/>
          <w:sz w:val="30"/>
          <w:szCs w:val="30"/>
          <w:highlight w:val="none"/>
        </w:rPr>
        <w:t>五、供应商直接管理关系信息表</w:t>
      </w:r>
    </w:p>
    <w:p w14:paraId="61CA485A">
      <w:pPr>
        <w:snapToGrid w:val="0"/>
        <w:spacing w:line="360" w:lineRule="auto"/>
        <w:jc w:val="center"/>
        <w:rPr>
          <w:rFonts w:ascii="宋体" w:hAnsi="宋体" w:cs="宋体"/>
          <w:b/>
          <w:color w:val="auto"/>
          <w:sz w:val="24"/>
          <w:highlight w:val="none"/>
        </w:rPr>
      </w:pPr>
    </w:p>
    <w:tbl>
      <w:tblPr>
        <w:tblStyle w:val="25"/>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4F2BFB40">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5330997">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BF3E010">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E37F6A9">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AAF490A">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546ACF22">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9AF8127">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11629C5">
            <w:pPr>
              <w:widowControl/>
              <w:spacing w:line="360" w:lineRule="auto"/>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41E35B5">
            <w:pPr>
              <w:widowControl/>
              <w:spacing w:line="360" w:lineRule="auto"/>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B7B309F">
            <w:pPr>
              <w:widowControl/>
              <w:spacing w:line="360" w:lineRule="auto"/>
              <w:jc w:val="center"/>
              <w:rPr>
                <w:rFonts w:ascii="宋体" w:hAnsi="宋体" w:cs="宋体"/>
                <w:color w:val="auto"/>
                <w:kern w:val="0"/>
                <w:sz w:val="24"/>
                <w:highlight w:val="none"/>
              </w:rPr>
            </w:pPr>
          </w:p>
        </w:tc>
      </w:tr>
      <w:tr w14:paraId="76A4892B">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7205917">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309D368">
            <w:pPr>
              <w:widowControl/>
              <w:spacing w:line="360" w:lineRule="auto"/>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EB8812E">
            <w:pPr>
              <w:widowControl/>
              <w:spacing w:line="360" w:lineRule="auto"/>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E1AB633">
            <w:pPr>
              <w:widowControl/>
              <w:spacing w:line="360" w:lineRule="auto"/>
              <w:jc w:val="center"/>
              <w:rPr>
                <w:rFonts w:ascii="宋体" w:hAnsi="宋体" w:cs="宋体"/>
                <w:color w:val="auto"/>
                <w:kern w:val="0"/>
                <w:sz w:val="24"/>
                <w:highlight w:val="none"/>
              </w:rPr>
            </w:pPr>
          </w:p>
        </w:tc>
      </w:tr>
      <w:tr w14:paraId="2729DA02">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51A1660">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D739CD0">
            <w:pPr>
              <w:widowControl/>
              <w:spacing w:line="360" w:lineRule="auto"/>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C39499B">
            <w:pPr>
              <w:widowControl/>
              <w:spacing w:line="360" w:lineRule="auto"/>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47B6433">
            <w:pPr>
              <w:widowControl/>
              <w:spacing w:line="360" w:lineRule="auto"/>
              <w:jc w:val="center"/>
              <w:rPr>
                <w:rFonts w:ascii="宋体" w:hAnsi="宋体" w:cs="宋体"/>
                <w:color w:val="auto"/>
                <w:kern w:val="0"/>
                <w:sz w:val="24"/>
                <w:highlight w:val="none"/>
              </w:rPr>
            </w:pPr>
          </w:p>
        </w:tc>
      </w:tr>
      <w:tr w14:paraId="3F11BDDB">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D64C77A">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8A02BAC">
            <w:pPr>
              <w:widowControl/>
              <w:spacing w:line="360" w:lineRule="auto"/>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CDF3C84">
            <w:pPr>
              <w:widowControl/>
              <w:spacing w:line="360" w:lineRule="auto"/>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FE8720D">
            <w:pPr>
              <w:widowControl/>
              <w:spacing w:line="360" w:lineRule="auto"/>
              <w:jc w:val="center"/>
              <w:rPr>
                <w:rFonts w:ascii="宋体" w:hAnsi="宋体" w:cs="宋体"/>
                <w:color w:val="auto"/>
                <w:kern w:val="0"/>
                <w:sz w:val="24"/>
                <w:highlight w:val="none"/>
              </w:rPr>
            </w:pPr>
          </w:p>
        </w:tc>
      </w:tr>
    </w:tbl>
    <w:p w14:paraId="296D7521">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注：</w:t>
      </w:r>
    </w:p>
    <w:p w14:paraId="21EB5BC3">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1.管理关系：是指不具有出资持股关系的其他单位之间存在的管理与被管理关系，如一些上下级关系的事业单位和团体组织。</w:t>
      </w:r>
    </w:p>
    <w:p w14:paraId="7C97F275">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2.本表所指的管理关系仅限于直接管理关系，不包括间接的管理关系。</w:t>
      </w:r>
    </w:p>
    <w:p w14:paraId="05630020">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3.供应商不存在直接管理关系的，则填“无”。</w:t>
      </w:r>
    </w:p>
    <w:p w14:paraId="2085B6B2">
      <w:pPr>
        <w:spacing w:line="360" w:lineRule="auto"/>
        <w:jc w:val="left"/>
        <w:rPr>
          <w:rFonts w:ascii="宋体" w:hAnsi="宋体" w:cs="宋体"/>
          <w:color w:val="auto"/>
          <w:sz w:val="24"/>
          <w:highlight w:val="none"/>
        </w:rPr>
      </w:pPr>
    </w:p>
    <w:p w14:paraId="327FACE1">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06605CF7">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36E5DAA9">
      <w:pPr>
        <w:spacing w:line="360" w:lineRule="auto"/>
        <w:ind w:right="480" w:firstLine="240" w:firstLineChars="100"/>
        <w:contextualSpacing/>
        <w:jc w:val="center"/>
        <w:rPr>
          <w:rFonts w:ascii="宋体" w:hAnsi="宋体" w:cs="宋体"/>
          <w:color w:val="auto"/>
          <w:sz w:val="28"/>
          <w:szCs w:val="28"/>
          <w:highlight w:val="none"/>
        </w:rPr>
      </w:pPr>
      <w:r>
        <w:rPr>
          <w:rFonts w:hint="eastAsia" w:ascii="宋体" w:hAnsi="宋体" w:cs="宋体"/>
          <w:color w:val="auto"/>
          <w:sz w:val="24"/>
          <w:highlight w:val="none"/>
        </w:rPr>
        <w:t xml:space="preserve">                                  </w:t>
      </w:r>
    </w:p>
    <w:p w14:paraId="360237E0">
      <w:pPr>
        <w:spacing w:line="32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br w:type="page"/>
      </w:r>
      <w:r>
        <w:rPr>
          <w:rFonts w:hint="eastAsia" w:ascii="宋体" w:hAnsi="宋体" w:cs="宋体"/>
          <w:b/>
          <w:color w:val="auto"/>
          <w:kern w:val="0"/>
          <w:sz w:val="30"/>
          <w:szCs w:val="30"/>
          <w:highlight w:val="none"/>
        </w:rPr>
        <w:t>六、资格声明函</w:t>
      </w:r>
    </w:p>
    <w:p w14:paraId="27C6ECEF">
      <w:pPr>
        <w:spacing w:line="320" w:lineRule="exact"/>
        <w:jc w:val="center"/>
        <w:rPr>
          <w:rFonts w:ascii="宋体" w:hAnsi="宋体" w:cs="宋体"/>
          <w:b/>
          <w:color w:val="auto"/>
          <w:sz w:val="32"/>
          <w:szCs w:val="32"/>
          <w:highlight w:val="none"/>
        </w:rPr>
      </w:pPr>
    </w:p>
    <w:p w14:paraId="59323AFC">
      <w:pPr>
        <w:spacing w:line="3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资格声明函</w:t>
      </w:r>
    </w:p>
    <w:p w14:paraId="088F29E1">
      <w:pPr>
        <w:spacing w:line="320" w:lineRule="exact"/>
        <w:jc w:val="center"/>
        <w:rPr>
          <w:rFonts w:ascii="宋体" w:hAnsi="宋体" w:cs="宋体"/>
          <w:color w:val="auto"/>
          <w:sz w:val="24"/>
          <w:szCs w:val="20"/>
          <w:highlight w:val="none"/>
        </w:rPr>
      </w:pPr>
    </w:p>
    <w:p w14:paraId="4FEB5CFA">
      <w:pPr>
        <w:spacing w:line="360" w:lineRule="auto"/>
        <w:rPr>
          <w:rFonts w:ascii="宋体" w:hAnsi="宋体" w:cs="宋体"/>
          <w:color w:val="auto"/>
          <w:sz w:val="24"/>
          <w:highlight w:val="none"/>
        </w:rPr>
      </w:pPr>
      <w:r>
        <w:rPr>
          <w:rFonts w:hint="eastAsia" w:ascii="宋体" w:hAnsi="宋体" w:cs="宋体"/>
          <w:color w:val="auto"/>
          <w:sz w:val="24"/>
          <w:highlight w:val="none"/>
        </w:rPr>
        <w:t>致：</w:t>
      </w:r>
      <w:bookmarkStart w:id="75" w:name="PO_3000001868_PM031_6"/>
      <w:r>
        <w:rPr>
          <w:rFonts w:hint="eastAsia" w:ascii="宋体" w:hAnsi="宋体" w:cs="宋体"/>
          <w:color w:val="auto"/>
          <w:sz w:val="24"/>
          <w:highlight w:val="none"/>
          <w:u w:val="single"/>
        </w:rPr>
        <w:t>[采购组织机构]</w:t>
      </w:r>
      <w:bookmarkEnd w:id="75"/>
      <w:r>
        <w:rPr>
          <w:rFonts w:hint="eastAsia" w:ascii="宋体" w:hAnsi="宋体" w:cs="宋体"/>
          <w:color w:val="auto"/>
          <w:sz w:val="24"/>
          <w:highlight w:val="none"/>
        </w:rPr>
        <w:t>：</w:t>
      </w:r>
    </w:p>
    <w:p w14:paraId="610C171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335FB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我方愿意参加贵方组织的</w:t>
      </w:r>
      <w:bookmarkStart w:id="76" w:name="PO_3000001868_PM002_4"/>
      <w:r>
        <w:rPr>
          <w:rFonts w:hint="eastAsia" w:ascii="宋体" w:hAnsi="宋体" w:cs="宋体"/>
          <w:color w:val="auto"/>
          <w:sz w:val="24"/>
          <w:highlight w:val="none"/>
          <w:u w:val="single"/>
        </w:rPr>
        <w:t>[项目名称]</w:t>
      </w:r>
      <w:bookmarkEnd w:id="76"/>
      <w:r>
        <w:rPr>
          <w:rFonts w:hint="eastAsia" w:ascii="宋体" w:hAnsi="宋体" w:cs="宋体"/>
          <w:color w:val="auto"/>
          <w:sz w:val="24"/>
          <w:highlight w:val="none"/>
          <w:u w:val="single"/>
        </w:rPr>
        <w:t>）</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786D244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345309B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5C4D56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3.在此，我方宣布同意如下：</w:t>
      </w:r>
    </w:p>
    <w:p w14:paraId="35EB5E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6329076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1B80442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（3）同意提供按照贵方可能要求的与谈判有关的一切数据或者资料；</w:t>
      </w:r>
    </w:p>
    <w:p w14:paraId="0C767AD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（4）响应磋商文件规定的竞标有效期。</w:t>
      </w:r>
    </w:p>
    <w:p w14:paraId="0BBBAC2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25CB4BC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w:t>
      </w:r>
      <w:r>
        <w:rPr>
          <w:rFonts w:hint="eastAsia" w:ascii="宋体" w:hAnsi="宋体" w:cs="宋体"/>
          <w:color w:val="auto"/>
          <w:sz w:val="24"/>
          <w:highlight w:val="none"/>
          <w:lang w:eastAsia="zh-CN"/>
        </w:rPr>
        <w:t>重大税收违法失信主体</w:t>
      </w:r>
      <w:r>
        <w:rPr>
          <w:rFonts w:hint="eastAsia" w:ascii="宋体" w:hAnsi="宋体" w:cs="宋体"/>
          <w:color w:val="auto"/>
          <w:sz w:val="24"/>
          <w:highlight w:val="none"/>
        </w:rPr>
        <w:t>、政府采购严重违法失信行为记录名单，完全符合《中华人民共和国政府采购法》第二十二条规定的供应商资格条件，我方对此声明负全部法律责任。</w:t>
      </w:r>
    </w:p>
    <w:p w14:paraId="147D676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55878F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727235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334B056">
      <w:pPr>
        <w:pStyle w:val="16"/>
        <w:spacing w:line="360" w:lineRule="auto"/>
        <w:ind w:firstLine="480" w:firstLineChars="200"/>
        <w:rPr>
          <w:rFonts w:hAnsi="宋体" w:cs="宋体"/>
          <w:color w:val="auto"/>
          <w:sz w:val="24"/>
          <w:szCs w:val="24"/>
          <w:highlight w:val="none"/>
          <w:u w:val="single"/>
        </w:rPr>
      </w:pPr>
      <w:r>
        <w:rPr>
          <w:rFonts w:hint="eastAsia" w:hAnsi="宋体" w:cs="宋体"/>
          <w:color w:val="auto"/>
          <w:sz w:val="24"/>
          <w:szCs w:val="24"/>
          <w:highlight w:val="none"/>
        </w:rPr>
        <w:t>7.与本磋商有关的一切正式往来信函请寄：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邮政编号：</w:t>
      </w:r>
      <w:r>
        <w:rPr>
          <w:rFonts w:hint="eastAsia" w:hAnsi="宋体" w:cs="宋体"/>
          <w:color w:val="auto"/>
          <w:sz w:val="24"/>
          <w:szCs w:val="24"/>
          <w:highlight w:val="none"/>
          <w:u w:val="single"/>
        </w:rPr>
        <w:t xml:space="preserve">        </w:t>
      </w:r>
    </w:p>
    <w:p w14:paraId="344ADFB3">
      <w:pPr>
        <w:pStyle w:val="1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电子函件：</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1608ED30">
      <w:pPr>
        <w:pStyle w:val="14"/>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帐号：</w:t>
      </w:r>
      <w:r>
        <w:rPr>
          <w:rFonts w:hint="eastAsia" w:ascii="宋体" w:hAnsi="宋体" w:cs="宋体"/>
          <w:color w:val="auto"/>
          <w:sz w:val="24"/>
          <w:highlight w:val="none"/>
          <w:u w:val="single"/>
        </w:rPr>
        <w:t xml:space="preserve">                               </w:t>
      </w:r>
    </w:p>
    <w:p w14:paraId="3C7622B5">
      <w:pPr>
        <w:pStyle w:val="14"/>
        <w:tabs>
          <w:tab w:val="left" w:pos="939"/>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43B3C3FA">
      <w:pPr>
        <w:pStyle w:val="14"/>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特此承诺。</w:t>
      </w:r>
    </w:p>
    <w:p w14:paraId="16671A8B">
      <w:pPr>
        <w:pStyle w:val="14"/>
        <w:tabs>
          <w:tab w:val="left" w:pos="939"/>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注：如为联合体竞标，盖章处须加盖联合体各方公章并由联合体各方法定代表人签署，否则其响应文件按无效响应处理。</w:t>
      </w:r>
    </w:p>
    <w:p w14:paraId="5BA08ED6">
      <w:pPr>
        <w:pStyle w:val="14"/>
        <w:tabs>
          <w:tab w:val="left" w:pos="939"/>
        </w:tabs>
        <w:spacing w:line="360" w:lineRule="auto"/>
        <w:ind w:left="0" w:leftChars="0" w:firstLine="480" w:firstLineChars="200"/>
        <w:rPr>
          <w:rFonts w:ascii="宋体" w:hAnsi="宋体" w:cs="宋体"/>
          <w:color w:val="auto"/>
          <w:sz w:val="24"/>
          <w:highlight w:val="none"/>
        </w:rPr>
      </w:pPr>
    </w:p>
    <w:p w14:paraId="453A74C9">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1A130088">
      <w:pPr>
        <w:autoSpaceDE w:val="0"/>
        <w:autoSpaceDN w:val="0"/>
        <w:spacing w:line="360" w:lineRule="auto"/>
        <w:ind w:firstLine="6120" w:firstLineChars="25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AF59B6F">
      <w:pPr>
        <w:widowControl/>
        <w:spacing w:line="360" w:lineRule="auto"/>
        <w:jc w:val="left"/>
        <w:rPr>
          <w:rFonts w:ascii="宋体" w:hAnsi="宋体" w:cs="宋体"/>
          <w:color w:val="auto"/>
          <w:kern w:val="0"/>
          <w:sz w:val="24"/>
          <w:highlight w:val="none"/>
          <w:lang w:val="zh-CN"/>
        </w:rPr>
        <w:sectPr>
          <w:pgSz w:w="11910" w:h="16840"/>
          <w:pgMar w:top="1340" w:right="1500" w:bottom="280" w:left="1680" w:header="720" w:footer="720" w:gutter="0"/>
          <w:cols w:space="720" w:num="1"/>
        </w:sectPr>
      </w:pPr>
    </w:p>
    <w:p w14:paraId="18714AF7">
      <w:pPr>
        <w:pStyle w:val="9"/>
        <w:overflowPunct w:val="0"/>
        <w:spacing w:line="520" w:lineRule="exact"/>
        <w:ind w:firstLine="0"/>
        <w:rPr>
          <w:rFonts w:ascii="宋体" w:hAnsi="宋体" w:cs="宋体"/>
          <w:b/>
          <w:bCs/>
          <w:color w:val="auto"/>
          <w:sz w:val="32"/>
          <w:szCs w:val="32"/>
          <w:highlight w:val="none"/>
        </w:rPr>
      </w:pPr>
      <w:r>
        <w:rPr>
          <w:rFonts w:hint="eastAsia" w:ascii="宋体" w:hAnsi="宋体" w:cs="宋体"/>
          <w:b/>
          <w:color w:val="auto"/>
          <w:kern w:val="0"/>
          <w:sz w:val="30"/>
          <w:szCs w:val="30"/>
          <w:highlight w:val="none"/>
        </w:rPr>
        <w:t>七、联合体协议书（如有）</w:t>
      </w:r>
    </w:p>
    <w:p w14:paraId="7825688C">
      <w:pPr>
        <w:pStyle w:val="16"/>
        <w:spacing w:line="600" w:lineRule="exact"/>
        <w:jc w:val="center"/>
        <w:rPr>
          <w:rFonts w:hAnsi="宋体" w:cs="宋体"/>
          <w:color w:val="auto"/>
          <w:kern w:val="2"/>
          <w:sz w:val="44"/>
          <w:szCs w:val="44"/>
          <w:highlight w:val="none"/>
        </w:rPr>
      </w:pPr>
    </w:p>
    <w:p w14:paraId="6AADC180">
      <w:pPr>
        <w:pStyle w:val="16"/>
        <w:spacing w:line="600" w:lineRule="exact"/>
        <w:jc w:val="center"/>
        <w:rPr>
          <w:rFonts w:hAnsi="宋体" w:cs="宋体"/>
          <w:color w:val="auto"/>
          <w:kern w:val="2"/>
          <w:sz w:val="44"/>
          <w:szCs w:val="44"/>
          <w:highlight w:val="none"/>
        </w:rPr>
      </w:pPr>
      <w:r>
        <w:rPr>
          <w:rFonts w:hint="eastAsia" w:hAnsi="宋体" w:cs="宋体"/>
          <w:color w:val="auto"/>
          <w:kern w:val="2"/>
          <w:sz w:val="44"/>
          <w:szCs w:val="44"/>
          <w:highlight w:val="none"/>
        </w:rPr>
        <w:t>联合体竞标协议书（格式）</w:t>
      </w:r>
    </w:p>
    <w:p w14:paraId="473B758F">
      <w:pPr>
        <w:autoSpaceDE w:val="0"/>
        <w:autoSpaceDN w:val="0"/>
        <w:adjustRightInd w:val="0"/>
        <w:spacing w:line="360" w:lineRule="auto"/>
        <w:jc w:val="left"/>
        <w:rPr>
          <w:rFonts w:ascii="宋体" w:hAnsi="宋体" w:cs="宋体"/>
          <w:color w:val="auto"/>
          <w:kern w:val="0"/>
          <w:szCs w:val="21"/>
          <w:highlight w:val="none"/>
          <w:u w:val="single"/>
        </w:rPr>
      </w:pPr>
    </w:p>
    <w:p w14:paraId="0A921D30">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（所有成员单位名称）自愿组成联合体，共同参加</w:t>
      </w:r>
      <w:r>
        <w:rPr>
          <w:rFonts w:hint="eastAsia" w:ascii="宋体" w:hAnsi="宋体" w:cs="宋体"/>
          <w:color w:val="auto"/>
          <w:kern w:val="0"/>
          <w:sz w:val="24"/>
          <w:highlight w:val="none"/>
          <w:u w:val="single"/>
        </w:rPr>
        <w:t xml:space="preserve">    </w:t>
      </w:r>
      <w:bookmarkStart w:id="77" w:name="PO_3000001868_PM031"/>
      <w:r>
        <w:rPr>
          <w:rFonts w:hint="eastAsia" w:ascii="宋体" w:hAnsi="宋体" w:cs="宋体"/>
          <w:color w:val="auto"/>
          <w:kern w:val="0"/>
          <w:sz w:val="24"/>
          <w:highlight w:val="none"/>
          <w:u w:val="single"/>
        </w:rPr>
        <w:t>[采购组织机构]</w:t>
      </w:r>
      <w:bookmarkEnd w:id="77"/>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组织的</w:t>
      </w:r>
      <w:r>
        <w:rPr>
          <w:rFonts w:hint="eastAsia" w:ascii="宋体" w:hAnsi="宋体" w:cs="宋体"/>
          <w:color w:val="auto"/>
          <w:kern w:val="0"/>
          <w:sz w:val="24"/>
          <w:highlight w:val="none"/>
          <w:u w:val="single"/>
        </w:rPr>
        <w:t xml:space="preserve">       </w:t>
      </w:r>
      <w:bookmarkStart w:id="78" w:name="PO_3000001868_PM002_5"/>
      <w:r>
        <w:rPr>
          <w:rFonts w:hint="eastAsia" w:ascii="宋体" w:hAnsi="宋体" w:cs="宋体"/>
          <w:color w:val="auto"/>
          <w:kern w:val="0"/>
          <w:sz w:val="24"/>
          <w:highlight w:val="none"/>
          <w:u w:val="single"/>
        </w:rPr>
        <w:t>[项目名称]</w:t>
      </w:r>
      <w:bookmarkEnd w:id="78"/>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（项目编号：</w:t>
      </w:r>
      <w:r>
        <w:rPr>
          <w:rFonts w:hint="eastAsia" w:ascii="宋体" w:hAnsi="宋体" w:cs="宋体"/>
          <w:color w:val="auto"/>
          <w:kern w:val="0"/>
          <w:sz w:val="24"/>
          <w:highlight w:val="none"/>
          <w:u w:val="single"/>
        </w:rPr>
        <w:t xml:space="preserve">  </w:t>
      </w:r>
      <w:bookmarkStart w:id="79" w:name="PO_3000001868_PM001_6"/>
      <w:r>
        <w:rPr>
          <w:rFonts w:hint="eastAsia" w:ascii="宋体" w:hAnsi="宋体" w:cs="宋体"/>
          <w:color w:val="auto"/>
          <w:kern w:val="0"/>
          <w:sz w:val="24"/>
          <w:highlight w:val="none"/>
          <w:u w:val="single"/>
        </w:rPr>
        <w:t>[项目编号]</w:t>
      </w:r>
      <w:bookmarkEnd w:id="79"/>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）竞争性磋商采购。现就联合体竞标事宜订立如下协议：</w:t>
      </w:r>
    </w:p>
    <w:p w14:paraId="3A196742">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sz w:val="24"/>
          <w:highlight w:val="none"/>
        </w:rPr>
        <w:t>________________________</w:t>
      </w:r>
      <w:r>
        <w:rPr>
          <w:rFonts w:hint="eastAsia" w:ascii="宋体" w:hAnsi="宋体" w:cs="宋体"/>
          <w:color w:val="auto"/>
          <w:kern w:val="0"/>
          <w:sz w:val="24"/>
          <w:highlight w:val="none"/>
        </w:rPr>
        <w:t>（某成员单位名称）为联合体名称牵头人。</w:t>
      </w:r>
    </w:p>
    <w:p w14:paraId="00F292DC">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2、联合体牵头人合法代表联合体各成员负责本磋商项目响应文件编制和合同谈判活动，并代表联合体提交和接收相关的资料、信息及指示，并处理与之有关的一切事务，负责合同实施阶段的主办、组织和协调工作。</w:t>
      </w:r>
    </w:p>
    <w:p w14:paraId="315DABC1">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3、联合体牵头人在本项目中签署和盖章的一切文件和处理的一切事宜，联合体各成员均予以承认。 联合体各成员将严格按照磋商文件、响应文件和合同的要求全面履行义务，并向采购人承担连带责任。</w:t>
      </w:r>
    </w:p>
    <w:p w14:paraId="68F75382">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4、联合体各成员单位内部的职责分工如下</w:t>
      </w:r>
      <w:r>
        <w:rPr>
          <w:rFonts w:hint="eastAsia" w:ascii="宋体" w:hAnsi="宋体" w:cs="宋体"/>
          <w:color w:val="auto"/>
          <w:kern w:val="0"/>
          <w:sz w:val="24"/>
          <w:highlight w:val="none"/>
          <w:u w:val="single"/>
        </w:rPr>
        <w:t>：</w:t>
      </w:r>
      <w:r>
        <w:rPr>
          <w:rFonts w:hint="eastAsia" w:ascii="宋体" w:hAnsi="宋体" w:cs="宋体"/>
          <w:color w:val="auto"/>
          <w:sz w:val="24"/>
          <w:highlight w:val="none"/>
          <w:u w:val="single"/>
        </w:rPr>
        <w:t>________________________________________________</w:t>
      </w:r>
      <w:r>
        <w:rPr>
          <w:rFonts w:hint="eastAsia" w:ascii="宋体" w:hAnsi="宋体" w:cs="宋体"/>
          <w:color w:val="auto"/>
          <w:kern w:val="0"/>
          <w:sz w:val="24"/>
          <w:highlight w:val="none"/>
        </w:rPr>
        <w:t>。</w:t>
      </w:r>
    </w:p>
    <w:p w14:paraId="7AF686C4">
      <w:pPr>
        <w:pStyle w:val="1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5、本联合体中</w:t>
      </w:r>
      <w:r>
        <w:rPr>
          <w:rFonts w:hint="eastAsia" w:hAnsi="宋体" w:cs="宋体"/>
          <w:color w:val="auto"/>
          <w:sz w:val="24"/>
          <w:szCs w:val="24"/>
          <w:highlight w:val="none"/>
          <w:u w:val="single"/>
        </w:rPr>
        <w:t>，________________________（某成员单位名称）为______</w:t>
      </w:r>
      <w:r>
        <w:rPr>
          <w:rFonts w:hint="eastAsia" w:hAnsi="宋体" w:cs="宋体"/>
          <w:color w:val="auto"/>
          <w:sz w:val="24"/>
          <w:szCs w:val="24"/>
          <w:highlight w:val="none"/>
        </w:rPr>
        <w:t>（请填写：中型、小型、微型）企业，其协议合同金额占联合体协议合同总金额的</w:t>
      </w:r>
      <w:r>
        <w:rPr>
          <w:rFonts w:hint="eastAsia" w:hAnsi="宋体" w:cs="宋体"/>
          <w:color w:val="auto"/>
          <w:sz w:val="24"/>
          <w:szCs w:val="24"/>
          <w:highlight w:val="none"/>
          <w:u w:val="single"/>
        </w:rPr>
        <w:t>______</w:t>
      </w:r>
      <w:r>
        <w:rPr>
          <w:rFonts w:hint="eastAsia" w:hAnsi="宋体" w:cs="宋体"/>
          <w:color w:val="auto"/>
          <w:sz w:val="24"/>
          <w:szCs w:val="24"/>
          <w:highlight w:val="none"/>
        </w:rPr>
        <w:t>%。【如联合体成员中有小型、微型企业的，请填写此条，否则无需填写；如联合体成员中有多个小型、微型企业的，请逐一列出。】</w:t>
      </w:r>
    </w:p>
    <w:p w14:paraId="5585A2A5">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6、本协议书自签署之日起生效，合同履行完毕后自动失效。</w:t>
      </w:r>
    </w:p>
    <w:p w14:paraId="7073FF84">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7、本协议书一式</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份，联合体成员和采购代理机构各执一份。</w:t>
      </w:r>
    </w:p>
    <w:p w14:paraId="5AF0C998">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注：本协议书由法定代表人签字的，应附法定代表人身份证明；本协议书由委托代理人签字的，应附法定代表人授权委托书。</w:t>
      </w:r>
    </w:p>
    <w:p w14:paraId="0691922E">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牵头人名称：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（盖单位公章）</w:t>
      </w:r>
    </w:p>
    <w:p w14:paraId="5828DCFC">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法定代表人或其委托代理人：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（签字或盖章）</w:t>
      </w:r>
    </w:p>
    <w:p w14:paraId="2D5AD5AE">
      <w:pPr>
        <w:autoSpaceDE w:val="0"/>
        <w:autoSpaceDN w:val="0"/>
        <w:adjustRightInd w:val="0"/>
        <w:spacing w:line="360" w:lineRule="auto"/>
        <w:jc w:val="left"/>
        <w:rPr>
          <w:rFonts w:ascii="宋体" w:hAnsi="宋体" w:cs="宋体"/>
          <w:color w:val="auto"/>
          <w:kern w:val="0"/>
          <w:sz w:val="24"/>
          <w:highlight w:val="none"/>
        </w:rPr>
      </w:pPr>
    </w:p>
    <w:p w14:paraId="5C107EDB">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成员一名称：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（盖单位公章）</w:t>
      </w:r>
    </w:p>
    <w:p w14:paraId="30DE91F6">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法定代表人或其委托代理人：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（签字或盖章）</w:t>
      </w:r>
    </w:p>
    <w:p w14:paraId="0EF78B32">
      <w:pPr>
        <w:autoSpaceDE w:val="0"/>
        <w:autoSpaceDN w:val="0"/>
        <w:adjustRightInd w:val="0"/>
        <w:spacing w:line="360" w:lineRule="auto"/>
        <w:jc w:val="left"/>
        <w:rPr>
          <w:rFonts w:ascii="宋体" w:hAnsi="宋体" w:cs="宋体"/>
          <w:color w:val="auto"/>
          <w:kern w:val="0"/>
          <w:szCs w:val="21"/>
          <w:highlight w:val="none"/>
        </w:rPr>
      </w:pPr>
    </w:p>
    <w:p w14:paraId="1A9540F0">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成员二名称：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（盖单位公章）</w:t>
      </w:r>
    </w:p>
    <w:p w14:paraId="77491FBC">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法定代表人或其委托代理人：                         （签字或盖章）</w:t>
      </w:r>
    </w:p>
    <w:p w14:paraId="678CC6A2">
      <w:pPr>
        <w:autoSpaceDE w:val="0"/>
        <w:autoSpaceDN w:val="0"/>
        <w:adjustRightInd w:val="0"/>
        <w:spacing w:line="360" w:lineRule="auto"/>
        <w:jc w:val="left"/>
        <w:rPr>
          <w:rFonts w:ascii="宋体" w:hAnsi="宋体" w:cs="宋体"/>
          <w:color w:val="auto"/>
          <w:kern w:val="0"/>
          <w:sz w:val="24"/>
          <w:highlight w:val="none"/>
        </w:rPr>
      </w:pPr>
    </w:p>
    <w:p w14:paraId="322CA02D">
      <w:pPr>
        <w:autoSpaceDE w:val="0"/>
        <w:autoSpaceDN w:val="0"/>
        <w:adjustRightInd w:val="0"/>
        <w:spacing w:line="360" w:lineRule="auto"/>
        <w:jc w:val="left"/>
        <w:rPr>
          <w:rFonts w:ascii="宋体" w:hAnsi="宋体" w:cs="宋体"/>
          <w:color w:val="auto"/>
          <w:kern w:val="0"/>
          <w:sz w:val="24"/>
          <w:highlight w:val="none"/>
        </w:rPr>
      </w:pPr>
    </w:p>
    <w:p w14:paraId="3C780C31">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355C5D5E">
      <w:pPr>
        <w:autoSpaceDE w:val="0"/>
        <w:autoSpaceDN w:val="0"/>
        <w:spacing w:line="360" w:lineRule="auto"/>
        <w:ind w:firstLine="6120" w:firstLineChars="25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923963E">
      <w:pPr>
        <w:autoSpaceDE w:val="0"/>
        <w:autoSpaceDN w:val="0"/>
        <w:spacing w:line="360" w:lineRule="auto"/>
        <w:ind w:firstLine="6120" w:firstLineChars="2550"/>
        <w:rPr>
          <w:rFonts w:ascii="宋体" w:hAnsi="宋体" w:cs="宋体"/>
          <w:color w:val="auto"/>
          <w:kern w:val="0"/>
          <w:sz w:val="24"/>
          <w:highlight w:val="none"/>
          <w:lang w:val="zh-CN"/>
        </w:rPr>
      </w:pPr>
    </w:p>
    <w:p w14:paraId="6D1F073E">
      <w:pPr>
        <w:autoSpaceDE w:val="0"/>
        <w:autoSpaceDN w:val="0"/>
        <w:spacing w:line="360" w:lineRule="auto"/>
        <w:ind w:firstLine="6120" w:firstLineChars="2550"/>
        <w:rPr>
          <w:rFonts w:ascii="宋体" w:hAnsi="宋体" w:cs="宋体"/>
          <w:color w:val="auto"/>
          <w:kern w:val="0"/>
          <w:sz w:val="24"/>
          <w:highlight w:val="none"/>
          <w:lang w:val="zh-CN"/>
        </w:rPr>
      </w:pPr>
    </w:p>
    <w:p w14:paraId="39438A62">
      <w:pPr>
        <w:autoSpaceDE w:val="0"/>
        <w:autoSpaceDN w:val="0"/>
        <w:spacing w:line="360" w:lineRule="auto"/>
        <w:ind w:firstLine="6120" w:firstLineChars="2550"/>
        <w:rPr>
          <w:rFonts w:ascii="宋体" w:hAnsi="宋体" w:cs="宋体"/>
          <w:color w:val="auto"/>
          <w:kern w:val="0"/>
          <w:sz w:val="24"/>
          <w:highlight w:val="none"/>
          <w:lang w:val="zh-CN"/>
        </w:rPr>
      </w:pPr>
    </w:p>
    <w:p w14:paraId="2DFB4C1C">
      <w:pPr>
        <w:snapToGrid w:val="0"/>
        <w:spacing w:line="360" w:lineRule="auto"/>
        <w:ind w:firstLine="602" w:firstLineChars="200"/>
        <w:rPr>
          <w:rFonts w:ascii="宋体" w:hAnsi="宋体" w:cs="宋体"/>
          <w:b/>
          <w:color w:val="auto"/>
          <w:sz w:val="30"/>
          <w:szCs w:val="30"/>
          <w:highlight w:val="none"/>
        </w:rPr>
      </w:pPr>
    </w:p>
    <w:p w14:paraId="652AA187">
      <w:pPr>
        <w:snapToGrid w:val="0"/>
        <w:spacing w:line="360" w:lineRule="auto"/>
        <w:ind w:firstLine="602" w:firstLineChars="200"/>
        <w:rPr>
          <w:rFonts w:ascii="宋体" w:hAnsi="宋体" w:cs="宋体"/>
          <w:b/>
          <w:color w:val="auto"/>
          <w:sz w:val="30"/>
          <w:szCs w:val="30"/>
          <w:highlight w:val="none"/>
        </w:rPr>
      </w:pPr>
    </w:p>
    <w:p w14:paraId="1BD0EF56">
      <w:pPr>
        <w:snapToGrid w:val="0"/>
        <w:spacing w:line="360" w:lineRule="auto"/>
        <w:ind w:firstLine="602" w:firstLineChars="200"/>
        <w:rPr>
          <w:rFonts w:ascii="宋体" w:hAnsi="宋体" w:cs="宋体"/>
          <w:b/>
          <w:color w:val="auto"/>
          <w:sz w:val="30"/>
          <w:szCs w:val="30"/>
          <w:highlight w:val="none"/>
        </w:rPr>
      </w:pPr>
    </w:p>
    <w:p w14:paraId="6FD9925C">
      <w:pPr>
        <w:snapToGrid w:val="0"/>
        <w:spacing w:line="360" w:lineRule="auto"/>
        <w:ind w:firstLine="602" w:firstLineChars="200"/>
        <w:rPr>
          <w:rFonts w:ascii="宋体" w:hAnsi="宋体" w:cs="宋体"/>
          <w:b/>
          <w:color w:val="auto"/>
          <w:sz w:val="30"/>
          <w:szCs w:val="30"/>
          <w:highlight w:val="none"/>
        </w:rPr>
      </w:pPr>
    </w:p>
    <w:p w14:paraId="62B56E21">
      <w:pPr>
        <w:snapToGrid w:val="0"/>
        <w:spacing w:line="360" w:lineRule="auto"/>
        <w:ind w:firstLine="602" w:firstLineChars="200"/>
        <w:rPr>
          <w:rFonts w:ascii="宋体" w:hAnsi="宋体" w:cs="宋体"/>
          <w:b/>
          <w:color w:val="auto"/>
          <w:sz w:val="30"/>
          <w:szCs w:val="30"/>
          <w:highlight w:val="none"/>
        </w:rPr>
      </w:pPr>
    </w:p>
    <w:p w14:paraId="6FF4B9F0">
      <w:pPr>
        <w:snapToGrid w:val="0"/>
        <w:spacing w:line="360" w:lineRule="auto"/>
        <w:ind w:firstLine="602" w:firstLineChars="200"/>
        <w:rPr>
          <w:rFonts w:ascii="宋体" w:hAnsi="宋体" w:cs="宋体"/>
          <w:b/>
          <w:color w:val="auto"/>
          <w:sz w:val="30"/>
          <w:szCs w:val="30"/>
          <w:highlight w:val="none"/>
        </w:rPr>
      </w:pPr>
    </w:p>
    <w:p w14:paraId="2FF57A02">
      <w:pPr>
        <w:snapToGrid w:val="0"/>
        <w:spacing w:line="360" w:lineRule="auto"/>
        <w:ind w:firstLine="602" w:firstLineChars="200"/>
        <w:rPr>
          <w:rFonts w:ascii="宋体" w:hAnsi="宋体" w:cs="宋体"/>
          <w:b/>
          <w:color w:val="auto"/>
          <w:sz w:val="30"/>
          <w:szCs w:val="30"/>
          <w:highlight w:val="none"/>
        </w:rPr>
      </w:pPr>
    </w:p>
    <w:p w14:paraId="7C7FD993">
      <w:pPr>
        <w:snapToGrid w:val="0"/>
        <w:spacing w:line="360" w:lineRule="auto"/>
        <w:ind w:firstLine="602" w:firstLineChars="200"/>
        <w:rPr>
          <w:rFonts w:ascii="宋体" w:hAnsi="宋体" w:cs="宋体"/>
          <w:b/>
          <w:color w:val="auto"/>
          <w:sz w:val="30"/>
          <w:szCs w:val="30"/>
          <w:highlight w:val="none"/>
        </w:rPr>
      </w:pPr>
    </w:p>
    <w:p w14:paraId="7B79B3F6">
      <w:pPr>
        <w:snapToGrid w:val="0"/>
        <w:spacing w:line="360" w:lineRule="auto"/>
        <w:ind w:firstLine="602" w:firstLineChars="200"/>
        <w:rPr>
          <w:rFonts w:ascii="宋体" w:hAnsi="宋体" w:cs="宋体"/>
          <w:b/>
          <w:color w:val="auto"/>
          <w:sz w:val="30"/>
          <w:szCs w:val="30"/>
          <w:highlight w:val="none"/>
        </w:rPr>
      </w:pPr>
    </w:p>
    <w:p w14:paraId="3743387A">
      <w:pPr>
        <w:snapToGrid w:val="0"/>
        <w:spacing w:line="360" w:lineRule="auto"/>
        <w:ind w:firstLine="602" w:firstLineChars="200"/>
        <w:rPr>
          <w:rFonts w:ascii="宋体" w:hAnsi="宋体" w:cs="宋体"/>
          <w:b/>
          <w:color w:val="auto"/>
          <w:sz w:val="30"/>
          <w:szCs w:val="30"/>
          <w:highlight w:val="none"/>
        </w:rPr>
      </w:pPr>
    </w:p>
    <w:p w14:paraId="41B843EB">
      <w:pPr>
        <w:snapToGrid w:val="0"/>
        <w:spacing w:line="360" w:lineRule="auto"/>
        <w:ind w:firstLine="602" w:firstLineChars="200"/>
        <w:rPr>
          <w:rFonts w:ascii="宋体" w:hAnsi="宋体" w:cs="宋体"/>
          <w:b/>
          <w:color w:val="auto"/>
          <w:sz w:val="30"/>
          <w:szCs w:val="30"/>
          <w:highlight w:val="none"/>
        </w:rPr>
      </w:pPr>
    </w:p>
    <w:p w14:paraId="2FA62765">
      <w:pPr>
        <w:snapToGrid w:val="0"/>
        <w:spacing w:line="360" w:lineRule="auto"/>
        <w:ind w:firstLine="602" w:firstLineChars="200"/>
        <w:rPr>
          <w:rFonts w:ascii="宋体" w:hAnsi="宋体" w:cs="宋体"/>
          <w:b/>
          <w:color w:val="auto"/>
          <w:sz w:val="30"/>
          <w:szCs w:val="30"/>
          <w:highlight w:val="none"/>
        </w:rPr>
      </w:pPr>
    </w:p>
    <w:p w14:paraId="0C0D9A12">
      <w:pPr>
        <w:snapToGrid w:val="0"/>
        <w:spacing w:line="360" w:lineRule="auto"/>
        <w:ind w:firstLine="602" w:firstLineChars="200"/>
        <w:rPr>
          <w:rFonts w:ascii="宋体" w:hAnsi="宋体" w:cs="宋体"/>
          <w:b/>
          <w:color w:val="auto"/>
          <w:sz w:val="30"/>
          <w:szCs w:val="30"/>
          <w:highlight w:val="none"/>
        </w:rPr>
      </w:pPr>
    </w:p>
    <w:p w14:paraId="09D434C6">
      <w:pPr>
        <w:snapToGrid w:val="0"/>
        <w:spacing w:line="360" w:lineRule="auto"/>
        <w:ind w:firstLine="602" w:firstLineChars="200"/>
        <w:rPr>
          <w:rFonts w:ascii="宋体" w:hAnsi="宋体" w:cs="宋体"/>
          <w:b/>
          <w:color w:val="auto"/>
          <w:sz w:val="30"/>
          <w:szCs w:val="30"/>
          <w:highlight w:val="none"/>
        </w:rPr>
      </w:pPr>
    </w:p>
    <w:p w14:paraId="348711E0">
      <w:pPr>
        <w:snapToGrid w:val="0"/>
        <w:spacing w:line="360" w:lineRule="auto"/>
        <w:ind w:firstLine="602" w:firstLineChars="200"/>
        <w:rPr>
          <w:rFonts w:ascii="宋体" w:hAnsi="宋体" w:cs="宋体"/>
          <w:b/>
          <w:color w:val="auto"/>
          <w:sz w:val="30"/>
          <w:szCs w:val="30"/>
          <w:highlight w:val="none"/>
        </w:rPr>
      </w:pPr>
    </w:p>
    <w:p w14:paraId="1CB0FEDC">
      <w:pPr>
        <w:pStyle w:val="30"/>
        <w:keepNext w:val="0"/>
        <w:keepLines w:val="0"/>
        <w:pageBreakBefore w:val="0"/>
        <w:widowControl w:val="0"/>
        <w:kinsoku/>
        <w:wordWrap/>
        <w:overflowPunct/>
        <w:topLinePunct w:val="0"/>
        <w:autoSpaceDE/>
        <w:autoSpaceDN/>
        <w:bidi w:val="0"/>
        <w:adjustRightInd/>
        <w:snapToGrid/>
        <w:textAlignment w:val="auto"/>
        <w:outlineLvl w:val="9"/>
        <w:rPr>
          <w:color w:val="auto"/>
          <w:highlight w:val="none"/>
        </w:rPr>
      </w:pPr>
    </w:p>
    <w:p w14:paraId="30CBF955">
      <w:pPr>
        <w:snapToGrid w:val="0"/>
        <w:spacing w:line="360" w:lineRule="auto"/>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八、中小企业声明函或残疾人福利性单位声明函或属于监狱企业的证明文件</w:t>
      </w:r>
    </w:p>
    <w:p w14:paraId="5AB0C525">
      <w:pPr>
        <w:spacing w:line="30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中小企业声明函（工程、服务）</w:t>
      </w:r>
    </w:p>
    <w:p w14:paraId="7AFCD357">
      <w:pPr>
        <w:spacing w:line="360" w:lineRule="auto"/>
        <w:ind w:firstLine="550"/>
        <w:rPr>
          <w:rFonts w:ascii="宋体" w:hAnsi="宋体" w:cs="宋体"/>
          <w:color w:val="auto"/>
          <w:kern w:val="0"/>
          <w:sz w:val="24"/>
          <w:highlight w:val="none"/>
        </w:rPr>
      </w:pPr>
    </w:p>
    <w:p w14:paraId="7E72A3E9">
      <w:pPr>
        <w:spacing w:line="360" w:lineRule="auto"/>
        <w:ind w:firstLine="550"/>
        <w:rPr>
          <w:rFonts w:ascii="宋体" w:hAnsi="宋体" w:cs="宋体"/>
          <w:color w:val="auto"/>
          <w:kern w:val="0"/>
          <w:sz w:val="24"/>
          <w:highlight w:val="none"/>
        </w:rPr>
      </w:pPr>
      <w:r>
        <w:rPr>
          <w:rFonts w:hint="eastAsia" w:ascii="宋体" w:hAnsi="宋体" w:cs="宋体"/>
          <w:color w:val="auto"/>
          <w:kern w:val="0"/>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的</w:t>
      </w:r>
      <w:r>
        <w:rPr>
          <w:rFonts w:hint="eastAsia" w:ascii="宋体" w:hAnsi="宋体" w:cs="宋体"/>
          <w:color w:val="auto"/>
          <w:sz w:val="24"/>
          <w:highlight w:val="none"/>
          <w:u w:val="single"/>
        </w:rPr>
        <w:t>[项目名称]</w:t>
      </w:r>
      <w:r>
        <w:rPr>
          <w:rFonts w:hint="eastAsia" w:ascii="宋体" w:hAnsi="宋体" w:cs="宋体"/>
          <w:color w:val="auto"/>
          <w:kern w:val="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6B81636">
      <w:pPr>
        <w:spacing w:line="360" w:lineRule="auto"/>
        <w:ind w:firstLine="550"/>
        <w:rPr>
          <w:rFonts w:ascii="宋体" w:hAnsi="宋体" w:cs="宋体"/>
          <w:color w:val="auto"/>
          <w:kern w:val="0"/>
          <w:sz w:val="24"/>
          <w:highlight w:val="none"/>
        </w:rPr>
      </w:pPr>
      <w:r>
        <w:rPr>
          <w:rFonts w:hint="eastAsia" w:ascii="宋体" w:hAnsi="宋体" w:cs="宋体"/>
          <w:color w:val="auto"/>
          <w:kern w:val="0"/>
          <w:sz w:val="24"/>
          <w:highlight w:val="none"/>
        </w:rPr>
        <w:t xml:space="preserve">1. </w:t>
      </w:r>
      <w:r>
        <w:rPr>
          <w:rFonts w:hint="eastAsia" w:ascii="宋体" w:hAnsi="宋体" w:cs="宋体"/>
          <w:color w:val="auto"/>
          <w:kern w:val="0"/>
          <w:sz w:val="24"/>
          <w:highlight w:val="none"/>
          <w:u w:val="single"/>
        </w:rPr>
        <w:t>（标的名称）</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（采购文件中明确的所属行业：见服务需求一览表）</w:t>
      </w:r>
      <w:r>
        <w:rPr>
          <w:rFonts w:hint="eastAsia" w:ascii="宋体" w:hAnsi="宋体" w:cs="宋体"/>
          <w:color w:val="auto"/>
          <w:kern w:val="0"/>
          <w:sz w:val="24"/>
          <w:highlight w:val="none"/>
        </w:rPr>
        <w:t>行业；承建（承接）企业为</w:t>
      </w:r>
      <w:r>
        <w:rPr>
          <w:rFonts w:hint="eastAsia" w:ascii="宋体" w:hAnsi="宋体" w:cs="宋体"/>
          <w:color w:val="auto"/>
          <w:kern w:val="0"/>
          <w:sz w:val="24"/>
          <w:highlight w:val="none"/>
          <w:u w:val="single"/>
        </w:rPr>
        <w:t>（企业名称）</w:t>
      </w:r>
      <w:r>
        <w:rPr>
          <w:rFonts w:hint="eastAsia" w:ascii="宋体" w:hAnsi="宋体" w:cs="宋体"/>
          <w:color w:val="auto"/>
          <w:kern w:val="0"/>
          <w:sz w:val="24"/>
          <w:highlight w:val="none"/>
        </w:rPr>
        <w:t>，从业人员</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人，营业收入为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万元，资产总额为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（中型企业、小型企业、微型企业）</w:t>
      </w:r>
      <w:r>
        <w:rPr>
          <w:rFonts w:hint="eastAsia" w:ascii="宋体" w:hAnsi="宋体" w:cs="宋体"/>
          <w:color w:val="auto"/>
          <w:kern w:val="0"/>
          <w:sz w:val="24"/>
          <w:highlight w:val="none"/>
        </w:rPr>
        <w:t>；</w:t>
      </w:r>
    </w:p>
    <w:p w14:paraId="68FCF59C">
      <w:pPr>
        <w:spacing w:line="360" w:lineRule="auto"/>
        <w:ind w:firstLine="550"/>
        <w:rPr>
          <w:rFonts w:ascii="宋体" w:hAnsi="宋体" w:cs="宋体"/>
          <w:color w:val="auto"/>
          <w:kern w:val="0"/>
          <w:sz w:val="24"/>
          <w:highlight w:val="none"/>
        </w:rPr>
      </w:pPr>
      <w:r>
        <w:rPr>
          <w:rFonts w:hint="eastAsia" w:ascii="宋体" w:hAnsi="宋体" w:cs="宋体"/>
          <w:color w:val="auto"/>
          <w:kern w:val="0"/>
          <w:sz w:val="24"/>
          <w:highlight w:val="none"/>
        </w:rPr>
        <w:t xml:space="preserve"> 2. </w:t>
      </w:r>
      <w:r>
        <w:rPr>
          <w:rFonts w:hint="eastAsia" w:ascii="宋体" w:hAnsi="宋体" w:cs="宋体"/>
          <w:color w:val="auto"/>
          <w:kern w:val="0"/>
          <w:sz w:val="24"/>
          <w:highlight w:val="none"/>
          <w:u w:val="single"/>
        </w:rPr>
        <w:t>（标的名称）</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（采购文件中明确的所属行业：见服务需求一览表）</w:t>
      </w:r>
      <w:r>
        <w:rPr>
          <w:rFonts w:hint="eastAsia" w:ascii="宋体" w:hAnsi="宋体" w:cs="宋体"/>
          <w:color w:val="auto"/>
          <w:kern w:val="0"/>
          <w:sz w:val="24"/>
          <w:highlight w:val="none"/>
        </w:rPr>
        <w:t>行业；承建（承接）企业为</w:t>
      </w:r>
      <w:r>
        <w:rPr>
          <w:rFonts w:hint="eastAsia" w:ascii="宋体" w:hAnsi="宋体" w:cs="宋体"/>
          <w:color w:val="auto"/>
          <w:kern w:val="0"/>
          <w:sz w:val="24"/>
          <w:highlight w:val="none"/>
          <w:u w:val="single"/>
        </w:rPr>
        <w:t>（企业名称）</w:t>
      </w:r>
      <w:r>
        <w:rPr>
          <w:rFonts w:hint="eastAsia" w:ascii="宋体" w:hAnsi="宋体" w:cs="宋体"/>
          <w:color w:val="auto"/>
          <w:kern w:val="0"/>
          <w:sz w:val="24"/>
          <w:highlight w:val="none"/>
        </w:rPr>
        <w:t>，从业人员</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人，营业收入为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万元，资产总额为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万元，属于</w:t>
      </w:r>
      <w:r>
        <w:rPr>
          <w:rFonts w:hint="eastAsia" w:ascii="宋体" w:hAnsi="宋体" w:cs="宋体"/>
          <w:color w:val="auto"/>
          <w:kern w:val="0"/>
          <w:sz w:val="24"/>
          <w:highlight w:val="none"/>
          <w:u w:val="single"/>
        </w:rPr>
        <w:t>（中型企业、小型企业、微型企业）</w:t>
      </w:r>
      <w:r>
        <w:rPr>
          <w:rFonts w:hint="eastAsia" w:ascii="宋体" w:hAnsi="宋体" w:cs="宋体"/>
          <w:color w:val="auto"/>
          <w:kern w:val="0"/>
          <w:sz w:val="24"/>
          <w:highlight w:val="none"/>
        </w:rPr>
        <w:t>；</w:t>
      </w:r>
    </w:p>
    <w:p w14:paraId="7F8C36FA">
      <w:pPr>
        <w:spacing w:line="360" w:lineRule="auto"/>
        <w:ind w:firstLine="550"/>
        <w:rPr>
          <w:rFonts w:ascii="宋体" w:hAnsi="宋体" w:cs="宋体"/>
          <w:color w:val="auto"/>
          <w:kern w:val="0"/>
          <w:sz w:val="24"/>
          <w:highlight w:val="none"/>
        </w:rPr>
      </w:pPr>
      <w:r>
        <w:rPr>
          <w:rFonts w:hint="eastAsia" w:ascii="宋体" w:hAnsi="宋体" w:cs="宋体"/>
          <w:color w:val="auto"/>
          <w:kern w:val="0"/>
          <w:sz w:val="24"/>
          <w:highlight w:val="none"/>
        </w:rPr>
        <w:t xml:space="preserve"> …… </w:t>
      </w:r>
    </w:p>
    <w:p w14:paraId="6101E827">
      <w:pPr>
        <w:spacing w:line="360" w:lineRule="auto"/>
        <w:ind w:firstLine="550"/>
        <w:rPr>
          <w:rFonts w:ascii="宋体" w:hAnsi="宋体" w:cs="宋体"/>
          <w:color w:val="auto"/>
          <w:kern w:val="0"/>
          <w:sz w:val="24"/>
          <w:highlight w:val="none"/>
        </w:rPr>
      </w:pPr>
      <w:r>
        <w:rPr>
          <w:rFonts w:hint="eastAsia" w:ascii="宋体" w:hAnsi="宋体" w:cs="宋体"/>
          <w:color w:val="auto"/>
          <w:kern w:val="0"/>
          <w:sz w:val="24"/>
          <w:highlight w:val="none"/>
        </w:rPr>
        <w:t>以上企业，不属于大企业的分支机构，不存在控股股东为大企业的情形，也不存在与大企业的负责人为同一人的情形。</w:t>
      </w:r>
    </w:p>
    <w:p w14:paraId="3987689B">
      <w:pPr>
        <w:spacing w:line="360" w:lineRule="auto"/>
        <w:ind w:firstLine="550"/>
        <w:rPr>
          <w:rFonts w:ascii="宋体" w:hAnsi="宋体" w:cs="宋体"/>
          <w:color w:val="auto"/>
          <w:kern w:val="0"/>
          <w:sz w:val="24"/>
          <w:highlight w:val="none"/>
        </w:rPr>
      </w:pPr>
      <w:r>
        <w:rPr>
          <w:rFonts w:hint="eastAsia" w:ascii="宋体" w:hAnsi="宋体" w:cs="宋体"/>
          <w:color w:val="auto"/>
          <w:kern w:val="0"/>
          <w:sz w:val="24"/>
          <w:highlight w:val="none"/>
        </w:rPr>
        <w:t>本企业对上述声明内容的真实性负责。如有虚假，将依法承担相应责任。</w:t>
      </w:r>
    </w:p>
    <w:p w14:paraId="1D4023A3">
      <w:pPr>
        <w:ind w:firstLine="552"/>
        <w:rPr>
          <w:rFonts w:ascii="宋体" w:hAnsi="宋体" w:cs="宋体"/>
          <w:color w:val="auto"/>
          <w:kern w:val="0"/>
          <w:szCs w:val="21"/>
          <w:highlight w:val="none"/>
        </w:rPr>
      </w:pPr>
    </w:p>
    <w:p w14:paraId="2FC724F7">
      <w:pPr>
        <w:pStyle w:val="12"/>
        <w:spacing w:after="0" w:line="360" w:lineRule="auto"/>
        <w:contextualSpacing/>
        <w:rPr>
          <w:rFonts w:ascii="宋体" w:hAnsi="宋体" w:cs="宋体"/>
          <w:color w:val="auto"/>
          <w:kern w:val="0"/>
          <w:sz w:val="24"/>
          <w:szCs w:val="22"/>
          <w:highlight w:val="none"/>
        </w:rPr>
      </w:pPr>
      <w:r>
        <w:rPr>
          <w:rFonts w:hint="eastAsia" w:ascii="宋体" w:hAnsi="宋体" w:cs="宋体"/>
          <w:color w:val="auto"/>
          <w:kern w:val="0"/>
          <w:sz w:val="24"/>
          <w:szCs w:val="22"/>
          <w:highlight w:val="none"/>
        </w:rPr>
        <w:t>1从业人员、营业收入、资产总额填报上一年度数据，无上一年度数据的新成立企业可不填报。</w:t>
      </w:r>
    </w:p>
    <w:p w14:paraId="1CA96442">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0B3489E5">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1C14D36">
      <w:pPr>
        <w:pStyle w:val="12"/>
        <w:spacing w:after="0" w:line="360" w:lineRule="auto"/>
        <w:ind w:left="3960" w:right="1808"/>
        <w:contextualSpacing/>
        <w:rPr>
          <w:rFonts w:ascii="宋体" w:hAnsi="宋体" w:cs="宋体"/>
          <w:color w:val="auto"/>
          <w:highlight w:val="none"/>
        </w:rPr>
      </w:pPr>
    </w:p>
    <w:p w14:paraId="00C296EE">
      <w:pPr>
        <w:tabs>
          <w:tab w:val="left" w:pos="7980"/>
        </w:tabs>
        <w:spacing w:line="360" w:lineRule="auto"/>
        <w:contextualSpacing/>
        <w:jc w:val="left"/>
        <w:rPr>
          <w:rFonts w:ascii="宋体" w:hAnsi="宋体" w:cs="宋体"/>
          <w:color w:val="auto"/>
          <w:kern w:val="0"/>
          <w:sz w:val="24"/>
          <w:highlight w:val="none"/>
        </w:rPr>
      </w:pPr>
      <w:r>
        <w:rPr>
          <w:rFonts w:hint="eastAsia" w:ascii="宋体" w:hAnsi="宋体" w:cs="宋体"/>
          <w:color w:val="auto"/>
          <w:sz w:val="24"/>
          <w:highlight w:val="none"/>
        </w:rPr>
        <w:t>注：享受《政府采购促进中小企业发展管理办法》（财库〔2020〕46号）规定的小微企业扶持政策的，采购人、采购代理机构应当随成交结果公开成交供应商的《小微企业声明函》。从业人员、营业收入、资产总额填报上一年度数据，无上一年度数据的新成立企业可不填报。</w:t>
      </w:r>
    </w:p>
    <w:p w14:paraId="72AA67F7">
      <w:pPr>
        <w:snapToGrid w:val="0"/>
        <w:spacing w:before="120" w:beforeLines="50" w:after="50" w:line="360" w:lineRule="auto"/>
        <w:outlineLvl w:val="1"/>
        <w:rPr>
          <w:rFonts w:ascii="宋体" w:hAnsi="宋体" w:cs="宋体"/>
          <w:b/>
          <w:bCs/>
          <w:color w:val="auto"/>
          <w:sz w:val="32"/>
          <w:szCs w:val="32"/>
          <w:highlight w:val="none"/>
        </w:rPr>
        <w:sectPr>
          <w:pgSz w:w="11910" w:h="16840"/>
          <w:pgMar w:top="1440" w:right="1440" w:bottom="1440" w:left="1440" w:header="720" w:footer="720" w:gutter="0"/>
          <w:cols w:space="720" w:num="1"/>
        </w:sectPr>
      </w:pPr>
    </w:p>
    <w:p w14:paraId="14121DE0">
      <w:pPr>
        <w:spacing w:line="520" w:lineRule="exact"/>
        <w:jc w:val="center"/>
        <w:rPr>
          <w:rFonts w:ascii="宋体" w:hAnsi="宋体" w:cs="宋体"/>
          <w:color w:val="auto"/>
          <w:sz w:val="32"/>
          <w:szCs w:val="32"/>
          <w:highlight w:val="none"/>
        </w:rPr>
      </w:pPr>
      <w:r>
        <w:rPr>
          <w:rFonts w:hint="eastAsia" w:ascii="宋体" w:hAnsi="宋体" w:cs="宋体"/>
          <w:color w:val="auto"/>
          <w:sz w:val="44"/>
          <w:szCs w:val="44"/>
          <w:highlight w:val="none"/>
        </w:rPr>
        <w:t>残疾人福利性单位声明函</w:t>
      </w:r>
    </w:p>
    <w:p w14:paraId="6B3975FF">
      <w:pPr>
        <w:spacing w:line="520" w:lineRule="exact"/>
        <w:rPr>
          <w:rFonts w:ascii="宋体" w:hAnsi="宋体" w:cs="宋体"/>
          <w:color w:val="auto"/>
          <w:sz w:val="32"/>
          <w:szCs w:val="32"/>
          <w:highlight w:val="none"/>
        </w:rPr>
      </w:pPr>
    </w:p>
    <w:p w14:paraId="024B6AE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项目采购活动由本单位提供服务。</w:t>
      </w:r>
    </w:p>
    <w:p w14:paraId="2B1C9273">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3793702">
      <w:pPr>
        <w:spacing w:line="360" w:lineRule="auto"/>
        <w:contextualSpacing/>
        <w:rPr>
          <w:rFonts w:ascii="宋体" w:hAnsi="宋体" w:cs="宋体"/>
          <w:color w:val="auto"/>
          <w:sz w:val="24"/>
          <w:highlight w:val="none"/>
        </w:rPr>
      </w:pPr>
    </w:p>
    <w:p w14:paraId="65E9F0C3">
      <w:pPr>
        <w:spacing w:line="360" w:lineRule="auto"/>
        <w:contextualSpacing/>
        <w:rPr>
          <w:rFonts w:ascii="宋体" w:hAnsi="宋体" w:cs="宋体"/>
          <w:color w:val="auto"/>
          <w:sz w:val="24"/>
          <w:highlight w:val="none"/>
        </w:rPr>
      </w:pPr>
    </w:p>
    <w:p w14:paraId="62C50BC7">
      <w:pPr>
        <w:spacing w:line="360" w:lineRule="auto"/>
        <w:contextualSpacing/>
        <w:rPr>
          <w:rFonts w:ascii="宋体" w:hAnsi="宋体" w:cs="宋体"/>
          <w:color w:val="auto"/>
          <w:sz w:val="24"/>
          <w:highlight w:val="none"/>
        </w:rPr>
      </w:pPr>
    </w:p>
    <w:p w14:paraId="6953520B">
      <w:pPr>
        <w:spacing w:line="360" w:lineRule="auto"/>
        <w:ind w:firstLine="2400" w:firstLineChars="1000"/>
        <w:contextualSpacing/>
        <w:rPr>
          <w:rFonts w:ascii="宋体" w:hAnsi="宋体" w:cs="宋体"/>
          <w:color w:val="auto"/>
          <w:sz w:val="24"/>
          <w:highlight w:val="none"/>
        </w:rPr>
      </w:pPr>
      <w:r>
        <w:rPr>
          <w:rFonts w:hint="eastAsia" w:ascii="宋体" w:hAnsi="宋体" w:cs="宋体"/>
          <w:color w:val="auto"/>
          <w:sz w:val="24"/>
          <w:highlight w:val="none"/>
        </w:rPr>
        <w:t>供应商名称（电子签章）：</w:t>
      </w:r>
    </w:p>
    <w:p w14:paraId="7ABD8E00">
      <w:pPr>
        <w:spacing w:line="360" w:lineRule="auto"/>
        <w:ind w:firstLine="4320" w:firstLineChars="1800"/>
        <w:contextualSpacing/>
        <w:rPr>
          <w:rFonts w:ascii="宋体" w:hAnsi="宋体" w:cs="宋体"/>
          <w:color w:val="auto"/>
          <w:sz w:val="24"/>
          <w:highlight w:val="none"/>
        </w:rPr>
      </w:pPr>
      <w:r>
        <w:rPr>
          <w:rFonts w:hint="eastAsia" w:ascii="宋体" w:hAnsi="宋体" w:cs="宋体"/>
          <w:color w:val="auto"/>
          <w:sz w:val="24"/>
          <w:highlight w:val="none"/>
        </w:rPr>
        <w:t>日  期：     年   月   日</w:t>
      </w:r>
    </w:p>
    <w:p w14:paraId="30F864E1">
      <w:pPr>
        <w:spacing w:line="360" w:lineRule="auto"/>
        <w:contextualSpacing/>
        <w:rPr>
          <w:rFonts w:ascii="宋体" w:hAnsi="宋体" w:cs="宋体"/>
          <w:color w:val="auto"/>
          <w:sz w:val="24"/>
          <w:highlight w:val="none"/>
        </w:rPr>
      </w:pPr>
    </w:p>
    <w:p w14:paraId="6F4AA8E9">
      <w:pPr>
        <w:spacing w:line="360" w:lineRule="auto"/>
        <w:contextualSpacing/>
        <w:rPr>
          <w:rFonts w:ascii="宋体" w:hAnsi="宋体" w:cs="宋体"/>
          <w:bCs/>
          <w:color w:val="auto"/>
          <w:sz w:val="30"/>
          <w:szCs w:val="30"/>
          <w:highlight w:val="none"/>
        </w:rPr>
      </w:pPr>
      <w:r>
        <w:rPr>
          <w:rFonts w:hint="eastAsia" w:ascii="宋体" w:hAnsi="宋体" w:cs="宋体"/>
          <w:color w:val="auto"/>
          <w:sz w:val="24"/>
          <w:highlight w:val="none"/>
        </w:rPr>
        <w:t>注：请根据自己的真实情况出具《残疾人福利性单位声明函》。依法享受小微企业优惠政策的，采购人或者采购代理机构在公告中标结果时，同时公告其《残疾人福利性单位声明函》，接受社会监督。</w:t>
      </w:r>
    </w:p>
    <w:p w14:paraId="077AB65B">
      <w:pPr>
        <w:snapToGrid w:val="0"/>
        <w:spacing w:line="360" w:lineRule="auto"/>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九、</w:t>
      </w:r>
      <w:r>
        <w:rPr>
          <w:rFonts w:hint="eastAsia" w:ascii="宋体" w:hAnsi="宋体" w:cs="宋体"/>
          <w:b/>
          <w:color w:val="auto"/>
          <w:sz w:val="30"/>
          <w:szCs w:val="30"/>
          <w:highlight w:val="none"/>
          <w:lang w:val="en-US" w:eastAsia="zh-CN"/>
        </w:rPr>
        <w:t>资格证书：①供应商具备有效的市政公用工程总承包三级(含)或水利水电工程施工总承包三级(含)以上资质证书，同时持有省级及以上建设行政主管部门颁发的安全生产许可证；②拟投入本工程的项目经理须持有二级或二级以上建造师注册证书，专业是市政工程或水利水电工程类专业（以建造师注册证书中“专业 类别”栏所填写的专业为准），同时持有省级或省级以上建设行政主管部门颁发的安全生产考核合格证书（B类）；③拟投入本工程的安全员应持有省级或省级以上建设行政主管部门颁发的安全生产考核合格证书（C类）。（必须提供，否则响应文件按无效响应处理）</w:t>
      </w:r>
      <w:r>
        <w:rPr>
          <w:rFonts w:hint="eastAsia" w:ascii="宋体" w:hAnsi="宋体" w:cs="宋体"/>
          <w:b/>
          <w:color w:val="auto"/>
          <w:sz w:val="30"/>
          <w:szCs w:val="30"/>
          <w:highlight w:val="none"/>
          <w:lang w:eastAsia="zh-CN"/>
        </w:rPr>
        <w:t>。</w:t>
      </w:r>
    </w:p>
    <w:p w14:paraId="2D5B84BD">
      <w:pPr>
        <w:snapToGrid w:val="0"/>
        <w:spacing w:line="360" w:lineRule="auto"/>
        <w:ind w:firstLine="602" w:firstLineChars="200"/>
        <w:rPr>
          <w:rFonts w:ascii="宋体" w:hAnsi="宋体" w:cs="宋体"/>
          <w:b/>
          <w:color w:val="auto"/>
          <w:sz w:val="30"/>
          <w:szCs w:val="30"/>
          <w:highlight w:val="none"/>
        </w:rPr>
      </w:pPr>
    </w:p>
    <w:p w14:paraId="13B77D6E">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5ED0143B">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38C5582F">
      <w:pPr>
        <w:widowControl/>
        <w:spacing w:line="360" w:lineRule="auto"/>
        <w:jc w:val="left"/>
        <w:rPr>
          <w:rFonts w:ascii="宋体" w:hAnsi="宋体" w:cs="宋体"/>
          <w:color w:val="auto"/>
          <w:kern w:val="0"/>
          <w:sz w:val="24"/>
          <w:highlight w:val="none"/>
          <w:lang w:val="zh-CN"/>
        </w:rPr>
        <w:sectPr>
          <w:pgSz w:w="11910" w:h="16840"/>
          <w:pgMar w:top="1340" w:right="1500" w:bottom="280" w:left="1680" w:header="720" w:footer="720" w:gutter="0"/>
          <w:cols w:space="720" w:num="1"/>
        </w:sectPr>
      </w:pPr>
    </w:p>
    <w:p w14:paraId="75750091">
      <w:pPr>
        <w:pStyle w:val="3"/>
        <w:jc w:val="center"/>
        <w:rPr>
          <w:rFonts w:ascii="宋体" w:hAnsi="宋体" w:cs="宋体"/>
          <w:b w:val="0"/>
          <w:color w:val="auto"/>
          <w:highlight w:val="none"/>
        </w:rPr>
      </w:pPr>
      <w:bookmarkStart w:id="80" w:name="_Toc80205940"/>
      <w:bookmarkStart w:id="81" w:name="_Toc10861"/>
      <w:r>
        <w:rPr>
          <w:rFonts w:hint="eastAsia" w:ascii="宋体" w:hAnsi="宋体" w:cs="宋体"/>
          <w:b w:val="0"/>
          <w:bCs w:val="0"/>
          <w:color w:val="auto"/>
          <w:highlight w:val="none"/>
        </w:rPr>
        <w:t xml:space="preserve">第三节 </w:t>
      </w:r>
      <w:r>
        <w:rPr>
          <w:rFonts w:hint="eastAsia" w:ascii="宋体" w:hAnsi="宋体" w:cs="宋体"/>
          <w:b w:val="0"/>
          <w:color w:val="auto"/>
          <w:highlight w:val="none"/>
        </w:rPr>
        <w:t>商务技术文件格式</w:t>
      </w:r>
      <w:bookmarkEnd w:id="80"/>
      <w:bookmarkEnd w:id="81"/>
    </w:p>
    <w:p w14:paraId="35FCE14E">
      <w:pPr>
        <w:snapToGrid w:val="0"/>
        <w:spacing w:before="120"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全流程电子文件</w:t>
      </w:r>
    </w:p>
    <w:p w14:paraId="0A75B168">
      <w:pPr>
        <w:snapToGrid w:val="0"/>
        <w:spacing w:before="120" w:beforeLines="50" w:after="50"/>
        <w:rPr>
          <w:rFonts w:ascii="宋体" w:hAnsi="宋体" w:cs="宋体"/>
          <w:color w:val="auto"/>
          <w:sz w:val="24"/>
          <w:szCs w:val="20"/>
          <w:highlight w:val="none"/>
        </w:rPr>
      </w:pPr>
    </w:p>
    <w:p w14:paraId="549C5D9D">
      <w:pPr>
        <w:snapToGrid w:val="0"/>
        <w:spacing w:before="120" w:beforeLines="50" w:after="50"/>
        <w:rPr>
          <w:rFonts w:ascii="宋体" w:hAnsi="宋体" w:cs="宋体"/>
          <w:color w:val="auto"/>
          <w:sz w:val="24"/>
          <w:szCs w:val="20"/>
          <w:highlight w:val="none"/>
        </w:rPr>
      </w:pPr>
    </w:p>
    <w:p w14:paraId="64DC138B">
      <w:pPr>
        <w:snapToGrid w:val="0"/>
        <w:spacing w:before="120" w:beforeLines="50" w:after="50"/>
        <w:rPr>
          <w:rFonts w:ascii="宋体" w:hAnsi="宋体" w:cs="宋体"/>
          <w:color w:val="auto"/>
          <w:sz w:val="24"/>
          <w:szCs w:val="20"/>
          <w:highlight w:val="none"/>
        </w:rPr>
      </w:pPr>
    </w:p>
    <w:p w14:paraId="59E1D5C4">
      <w:pPr>
        <w:snapToGrid w:val="0"/>
        <w:spacing w:before="120"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商  务  技  术  文  件（封面）</w:t>
      </w:r>
    </w:p>
    <w:p w14:paraId="14CA441A">
      <w:pPr>
        <w:snapToGrid w:val="0"/>
        <w:spacing w:before="120" w:beforeLines="50" w:after="50"/>
        <w:rPr>
          <w:rFonts w:ascii="宋体" w:hAnsi="宋体" w:cs="宋体"/>
          <w:bCs/>
          <w:color w:val="auto"/>
          <w:sz w:val="24"/>
          <w:szCs w:val="20"/>
          <w:highlight w:val="none"/>
        </w:rPr>
      </w:pPr>
    </w:p>
    <w:p w14:paraId="53DEBCC0">
      <w:pPr>
        <w:snapToGrid w:val="0"/>
        <w:spacing w:before="120" w:beforeLines="50" w:after="50"/>
        <w:rPr>
          <w:rFonts w:ascii="宋体" w:hAnsi="宋体" w:cs="宋体"/>
          <w:bCs/>
          <w:color w:val="auto"/>
          <w:sz w:val="24"/>
          <w:szCs w:val="20"/>
          <w:highlight w:val="none"/>
        </w:rPr>
      </w:pPr>
    </w:p>
    <w:p w14:paraId="00C5752D">
      <w:pPr>
        <w:snapToGrid w:val="0"/>
        <w:spacing w:before="120" w:beforeLines="50" w:after="50"/>
        <w:rPr>
          <w:rFonts w:ascii="宋体" w:hAnsi="宋体" w:cs="宋体"/>
          <w:bCs/>
          <w:color w:val="auto"/>
          <w:sz w:val="24"/>
          <w:szCs w:val="20"/>
          <w:highlight w:val="none"/>
        </w:rPr>
      </w:pPr>
    </w:p>
    <w:p w14:paraId="2F540A34">
      <w:pPr>
        <w:snapToGrid w:val="0"/>
        <w:spacing w:before="120" w:beforeLines="50" w:after="50"/>
        <w:rPr>
          <w:rFonts w:ascii="宋体" w:hAnsi="宋体" w:cs="宋体"/>
          <w:bCs/>
          <w:color w:val="auto"/>
          <w:sz w:val="24"/>
          <w:szCs w:val="20"/>
          <w:highlight w:val="none"/>
        </w:rPr>
      </w:pPr>
    </w:p>
    <w:p w14:paraId="28E87A29">
      <w:pPr>
        <w:snapToGrid w:val="0"/>
        <w:spacing w:before="120" w:beforeLines="50" w:after="50"/>
        <w:rPr>
          <w:rFonts w:ascii="宋体" w:hAnsi="宋体" w:cs="宋体"/>
          <w:bCs/>
          <w:color w:val="auto"/>
          <w:sz w:val="24"/>
          <w:szCs w:val="20"/>
          <w:highlight w:val="none"/>
        </w:rPr>
      </w:pPr>
    </w:p>
    <w:p w14:paraId="1D032231">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bookmarkStart w:id="82" w:name="PO_3000001868_PM002_6"/>
      <w:r>
        <w:rPr>
          <w:rFonts w:hint="eastAsia" w:ascii="宋体" w:hAnsi="宋体" w:cs="宋体"/>
          <w:bCs/>
          <w:color w:val="auto"/>
          <w:sz w:val="32"/>
          <w:szCs w:val="32"/>
          <w:highlight w:val="none"/>
        </w:rPr>
        <w:t>[项目名称]</w:t>
      </w:r>
      <w:bookmarkEnd w:id="82"/>
    </w:p>
    <w:p w14:paraId="60DFF26B">
      <w:pPr>
        <w:snapToGrid w:val="0"/>
        <w:spacing w:before="120" w:beforeLines="50" w:after="50"/>
        <w:ind w:firstLine="720" w:firstLineChars="225"/>
        <w:rPr>
          <w:rFonts w:ascii="宋体" w:hAnsi="宋体" w:cs="宋体"/>
          <w:bCs/>
          <w:color w:val="auto"/>
          <w:sz w:val="32"/>
          <w:szCs w:val="32"/>
          <w:highlight w:val="none"/>
        </w:rPr>
      </w:pPr>
    </w:p>
    <w:p w14:paraId="434D3A37">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bookmarkStart w:id="83" w:name="PO_3000001868_PM001_7"/>
      <w:r>
        <w:rPr>
          <w:rFonts w:hint="eastAsia" w:ascii="宋体" w:hAnsi="宋体" w:cs="宋体"/>
          <w:bCs/>
          <w:color w:val="auto"/>
          <w:sz w:val="32"/>
          <w:szCs w:val="32"/>
          <w:highlight w:val="none"/>
        </w:rPr>
        <w:t>[项目编号]</w:t>
      </w:r>
      <w:bookmarkEnd w:id="83"/>
    </w:p>
    <w:p w14:paraId="59843578">
      <w:pPr>
        <w:snapToGrid w:val="0"/>
        <w:spacing w:before="120"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14:paraId="1DAF935C">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4A52EDF6">
      <w:pPr>
        <w:snapToGrid w:val="0"/>
        <w:spacing w:before="120" w:beforeLines="50" w:after="50"/>
        <w:ind w:firstLine="720" w:firstLineChars="225"/>
        <w:rPr>
          <w:rFonts w:ascii="宋体" w:hAnsi="宋体" w:cs="宋体"/>
          <w:bCs/>
          <w:color w:val="auto"/>
          <w:sz w:val="32"/>
          <w:szCs w:val="32"/>
          <w:highlight w:val="none"/>
        </w:rPr>
      </w:pPr>
    </w:p>
    <w:p w14:paraId="2BBE98C0">
      <w:pPr>
        <w:pStyle w:val="9"/>
        <w:snapToGrid w:val="0"/>
        <w:spacing w:before="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12A83011">
      <w:pPr>
        <w:pStyle w:val="9"/>
        <w:snapToGrid w:val="0"/>
        <w:spacing w:before="50" w:after="50"/>
        <w:ind w:firstLine="720" w:firstLineChars="225"/>
        <w:rPr>
          <w:rFonts w:ascii="宋体" w:hAnsi="宋体" w:cs="宋体"/>
          <w:bCs/>
          <w:color w:val="auto"/>
          <w:sz w:val="32"/>
          <w:szCs w:val="32"/>
          <w:highlight w:val="none"/>
        </w:rPr>
      </w:pPr>
    </w:p>
    <w:p w14:paraId="3F43E26F">
      <w:pPr>
        <w:pStyle w:val="9"/>
        <w:snapToGrid w:val="0"/>
        <w:spacing w:before="50" w:after="50"/>
        <w:ind w:firstLine="720" w:firstLineChars="225"/>
        <w:rPr>
          <w:rFonts w:ascii="宋体" w:hAnsi="宋体" w:cs="宋体"/>
          <w:bCs/>
          <w:color w:val="auto"/>
          <w:sz w:val="32"/>
          <w:szCs w:val="32"/>
          <w:highlight w:val="none"/>
        </w:rPr>
      </w:pPr>
    </w:p>
    <w:p w14:paraId="07F2B811">
      <w:pPr>
        <w:pStyle w:val="9"/>
        <w:snapToGrid w:val="0"/>
        <w:spacing w:before="50" w:after="50"/>
        <w:ind w:firstLine="1280" w:firstLineChars="400"/>
        <w:rPr>
          <w:rFonts w:ascii="宋体" w:hAnsi="宋体" w:cs="宋体"/>
          <w:bCs/>
          <w:color w:val="auto"/>
          <w:sz w:val="32"/>
          <w:szCs w:val="32"/>
          <w:highlight w:val="none"/>
        </w:rPr>
      </w:pPr>
    </w:p>
    <w:p w14:paraId="392CF277">
      <w:pPr>
        <w:snapToGrid w:val="0"/>
        <w:spacing w:before="120"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1F1611D8">
      <w:pPr>
        <w:widowControl/>
        <w:spacing w:line="360" w:lineRule="auto"/>
        <w:jc w:val="left"/>
        <w:rPr>
          <w:rFonts w:ascii="宋体" w:hAnsi="宋体" w:cs="宋体"/>
          <w:b/>
          <w:bCs/>
          <w:color w:val="auto"/>
          <w:sz w:val="32"/>
          <w:szCs w:val="32"/>
          <w:highlight w:val="none"/>
        </w:rPr>
        <w:sectPr>
          <w:pgSz w:w="11910" w:h="16840"/>
          <w:pgMar w:top="1340" w:right="1500" w:bottom="280" w:left="1680" w:header="720" w:footer="720" w:gutter="0"/>
          <w:cols w:space="720" w:num="1"/>
        </w:sectPr>
      </w:pPr>
    </w:p>
    <w:p w14:paraId="3E6A0F05">
      <w:pPr>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商务技术文件目录</w:t>
      </w:r>
    </w:p>
    <w:p w14:paraId="6C0CB281">
      <w:pPr>
        <w:jc w:val="center"/>
        <w:rPr>
          <w:rFonts w:ascii="宋体" w:hAnsi="宋体" w:cs="宋体"/>
          <w:b/>
          <w:color w:val="auto"/>
          <w:kern w:val="0"/>
          <w:sz w:val="28"/>
          <w:szCs w:val="28"/>
          <w:highlight w:val="none"/>
        </w:rPr>
      </w:pPr>
    </w:p>
    <w:p w14:paraId="2B4F6ECB">
      <w:pPr>
        <w:pStyle w:val="35"/>
        <w:spacing w:line="360" w:lineRule="auto"/>
        <w:rPr>
          <w:rFonts w:ascii="宋体" w:hAnsi="宋体" w:eastAsia="宋体" w:cs="宋体"/>
          <w:color w:val="auto"/>
          <w:highlight w:val="none"/>
        </w:rPr>
      </w:pPr>
      <w:r>
        <w:rPr>
          <w:rFonts w:hint="eastAsia" w:ascii="宋体" w:hAnsi="宋体" w:eastAsia="宋体" w:cs="宋体"/>
          <w:color w:val="auto"/>
          <w:highlight w:val="none"/>
        </w:rPr>
        <w:t>一、无串标行为承诺函………………………………………………………（页码）</w:t>
      </w:r>
    </w:p>
    <w:p w14:paraId="479F19EA">
      <w:pPr>
        <w:pStyle w:val="35"/>
        <w:spacing w:line="360" w:lineRule="auto"/>
        <w:rPr>
          <w:rFonts w:ascii="宋体" w:hAnsi="宋体" w:eastAsia="宋体" w:cs="宋体"/>
          <w:color w:val="auto"/>
          <w:highlight w:val="none"/>
        </w:rPr>
      </w:pPr>
      <w:r>
        <w:rPr>
          <w:rFonts w:hint="eastAsia" w:ascii="宋体" w:hAnsi="宋体" w:eastAsia="宋体" w:cs="宋体"/>
          <w:color w:val="auto"/>
          <w:highlight w:val="none"/>
        </w:rPr>
        <w:t>二、法定代表人身份证明及法定代表人有效身份证正反面复印件………（页码）</w:t>
      </w:r>
    </w:p>
    <w:p w14:paraId="1EA20F9B">
      <w:pPr>
        <w:pStyle w:val="35"/>
        <w:spacing w:line="360" w:lineRule="auto"/>
        <w:rPr>
          <w:rFonts w:ascii="宋体" w:hAnsi="宋体" w:eastAsia="宋体" w:cs="宋体"/>
          <w:color w:val="auto"/>
          <w:highlight w:val="none"/>
        </w:rPr>
      </w:pPr>
      <w:r>
        <w:rPr>
          <w:rFonts w:hint="eastAsia" w:ascii="宋体" w:hAnsi="宋体" w:eastAsia="宋体" w:cs="宋体"/>
          <w:color w:val="auto"/>
          <w:highlight w:val="none"/>
        </w:rPr>
        <w:t>三、法定代表人授权委托书（如有委托时）………………………………（页码）</w:t>
      </w:r>
    </w:p>
    <w:p w14:paraId="68802CE9">
      <w:pPr>
        <w:pStyle w:val="35"/>
        <w:spacing w:line="360" w:lineRule="auto"/>
        <w:rPr>
          <w:rFonts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14:paraId="536A502D">
      <w:pPr>
        <w:pStyle w:val="35"/>
        <w:spacing w:line="360" w:lineRule="auto"/>
        <w:rPr>
          <w:rFonts w:ascii="宋体" w:hAnsi="宋体" w:eastAsia="宋体" w:cs="宋体"/>
          <w:color w:val="auto"/>
          <w:highlight w:val="none"/>
        </w:rPr>
      </w:pPr>
      <w:bookmarkStart w:id="84" w:name="OLE_LINK6"/>
      <w:bookmarkStart w:id="85" w:name="OLE_LINK7"/>
      <w:bookmarkStart w:id="86" w:name="OLE_LINK5"/>
      <w:r>
        <w:rPr>
          <w:rFonts w:hint="eastAsia" w:ascii="宋体" w:hAnsi="宋体" w:eastAsia="宋体" w:cs="宋体"/>
          <w:color w:val="auto"/>
          <w:highlight w:val="none"/>
        </w:rPr>
        <w:t>五、竞标人情况介绍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00C37B33">
      <w:pPr>
        <w:pStyle w:val="35"/>
        <w:spacing w:line="360" w:lineRule="auto"/>
        <w:rPr>
          <w:rFonts w:ascii="宋体" w:hAnsi="宋体" w:eastAsia="宋体" w:cs="宋体"/>
          <w:color w:val="auto"/>
          <w:highlight w:val="none"/>
        </w:rPr>
      </w:pPr>
      <w:r>
        <w:rPr>
          <w:rFonts w:hint="eastAsia" w:ascii="宋体" w:hAnsi="宋体" w:eastAsia="宋体" w:cs="宋体"/>
          <w:color w:val="auto"/>
          <w:highlight w:val="none"/>
        </w:rPr>
        <w:t>六、供应商类似业绩的证明文件（如有要求）</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84"/>
      <w:bookmarkEnd w:id="85"/>
    </w:p>
    <w:bookmarkEnd w:id="86"/>
    <w:p w14:paraId="3E95A42D">
      <w:pPr>
        <w:pStyle w:val="35"/>
        <w:spacing w:line="360" w:lineRule="auto"/>
        <w:rPr>
          <w:rFonts w:ascii="宋体" w:hAnsi="宋体" w:eastAsia="宋体" w:cs="宋体"/>
          <w:color w:val="auto"/>
          <w:highlight w:val="none"/>
        </w:rPr>
      </w:pPr>
      <w:r>
        <w:rPr>
          <w:rFonts w:hint="eastAsia" w:ascii="宋体" w:hAnsi="宋体" w:eastAsia="宋体" w:cs="宋体"/>
          <w:color w:val="auto"/>
          <w:highlight w:val="none"/>
        </w:rPr>
        <w:t>七、服务需求偏离表…………………………………………………………（页码）</w:t>
      </w:r>
    </w:p>
    <w:p w14:paraId="24FE6646">
      <w:pPr>
        <w:pStyle w:val="35"/>
        <w:spacing w:line="360" w:lineRule="auto"/>
        <w:rPr>
          <w:rFonts w:ascii="宋体" w:hAnsi="宋体" w:eastAsia="宋体" w:cs="宋体"/>
          <w:color w:val="auto"/>
          <w:highlight w:val="none"/>
        </w:rPr>
      </w:pPr>
      <w:r>
        <w:rPr>
          <w:rFonts w:hint="eastAsia" w:ascii="宋体" w:hAnsi="宋体" w:eastAsia="宋体" w:cs="宋体"/>
          <w:color w:val="auto"/>
          <w:highlight w:val="none"/>
        </w:rPr>
        <w:t>八、</w:t>
      </w:r>
      <w:r>
        <w:rPr>
          <w:rFonts w:hint="eastAsia" w:ascii="宋体" w:hAnsi="宋体" w:eastAsia="宋体" w:cs="宋体"/>
          <w:color w:val="auto"/>
          <w:highlight w:val="none"/>
          <w:lang w:eastAsia="zh-CN"/>
        </w:rPr>
        <w:t>施工组织设计</w:t>
      </w:r>
      <w:r>
        <w:rPr>
          <w:rFonts w:hint="eastAsia" w:ascii="宋体" w:hAnsi="宋体" w:eastAsia="宋体" w:cs="宋体"/>
          <w:color w:val="auto"/>
          <w:highlight w:val="none"/>
        </w:rPr>
        <w:t>……………………………………………………………（页码）</w:t>
      </w:r>
    </w:p>
    <w:p w14:paraId="3609708A">
      <w:pPr>
        <w:pStyle w:val="35"/>
        <w:spacing w:line="360" w:lineRule="auto"/>
        <w:rPr>
          <w:rFonts w:ascii="宋体" w:hAnsi="宋体" w:eastAsia="宋体" w:cs="宋体"/>
          <w:color w:val="auto"/>
          <w:highlight w:val="none"/>
        </w:rPr>
      </w:pPr>
      <w:r>
        <w:rPr>
          <w:rFonts w:hint="eastAsia" w:ascii="宋体" w:hAnsi="宋体" w:eastAsia="宋体" w:cs="宋体"/>
          <w:color w:val="auto"/>
          <w:highlight w:val="none"/>
        </w:rPr>
        <w:t>九、售后服务方案………………………………</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71A8CA0B">
      <w:pPr>
        <w:pStyle w:val="35"/>
        <w:spacing w:line="360" w:lineRule="auto"/>
        <w:rPr>
          <w:rFonts w:ascii="宋体" w:hAnsi="宋体" w:eastAsia="宋体" w:cs="宋体"/>
          <w:color w:val="auto"/>
          <w:highlight w:val="none"/>
        </w:rPr>
      </w:pPr>
      <w:r>
        <w:rPr>
          <w:rFonts w:hint="eastAsia" w:ascii="宋体" w:hAnsi="宋体" w:eastAsia="宋体" w:cs="宋体"/>
          <w:color w:val="auto"/>
          <w:highlight w:val="none"/>
        </w:rPr>
        <w:t>十、</w:t>
      </w:r>
      <w:r>
        <w:rPr>
          <w:rFonts w:hint="eastAsia" w:ascii="宋体" w:hAnsi="宋体" w:eastAsia="宋体" w:cs="宋体"/>
          <w:color w:val="auto"/>
          <w:highlight w:val="none"/>
          <w:lang w:val="zh-CN"/>
        </w:rPr>
        <w:t>项目实施人员一览表………………………………</w:t>
      </w:r>
      <w:r>
        <w:rPr>
          <w:rFonts w:hint="eastAsia" w:ascii="宋体" w:hAnsi="宋体" w:eastAsia="宋体" w:cs="宋体"/>
          <w:color w:val="auto"/>
          <w:highlight w:val="none"/>
        </w:rPr>
        <w:t>……………………（页码）</w:t>
      </w:r>
    </w:p>
    <w:p w14:paraId="0C96A5CF">
      <w:pPr>
        <w:pStyle w:val="35"/>
        <w:spacing w:line="360" w:lineRule="auto"/>
        <w:rPr>
          <w:rFonts w:ascii="宋体" w:hAnsi="宋体" w:eastAsia="宋体" w:cs="宋体"/>
          <w:color w:val="auto"/>
          <w:highlight w:val="none"/>
        </w:rPr>
      </w:pPr>
      <w:r>
        <w:rPr>
          <w:rFonts w:hint="eastAsia" w:ascii="宋体" w:hAnsi="宋体" w:eastAsia="宋体" w:cs="宋体"/>
          <w:color w:val="auto"/>
          <w:highlight w:val="none"/>
        </w:rPr>
        <w:t>十一、服务需求、商务条款要求提供的其他材料</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61E70843">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注：以上目录是基本格式要求，各供应商可根据自身情况进一步向下增加内容或细化。</w:t>
      </w:r>
    </w:p>
    <w:p w14:paraId="582CDFAC">
      <w:pPr>
        <w:spacing w:line="400" w:lineRule="exact"/>
        <w:rPr>
          <w:rFonts w:ascii="宋体" w:hAnsi="宋体" w:cs="宋体"/>
          <w:color w:val="auto"/>
          <w:sz w:val="32"/>
          <w:szCs w:val="32"/>
          <w:highlight w:val="none"/>
        </w:rPr>
      </w:pPr>
    </w:p>
    <w:p w14:paraId="6BD63C0E">
      <w:pPr>
        <w:spacing w:line="520" w:lineRule="exact"/>
        <w:ind w:firstLine="880" w:firstLineChars="200"/>
        <w:rPr>
          <w:rFonts w:ascii="宋体" w:hAnsi="宋体" w:cs="宋体"/>
          <w:color w:val="auto"/>
          <w:sz w:val="44"/>
          <w:szCs w:val="44"/>
          <w:highlight w:val="none"/>
        </w:rPr>
      </w:pPr>
      <w:r>
        <w:rPr>
          <w:rFonts w:hint="eastAsia" w:ascii="宋体" w:hAnsi="宋体" w:cs="宋体"/>
          <w:color w:val="auto"/>
          <w:sz w:val="44"/>
          <w:szCs w:val="44"/>
          <w:highlight w:val="none"/>
        </w:rPr>
        <w:br w:type="page"/>
      </w:r>
      <w:r>
        <w:rPr>
          <w:rFonts w:hint="eastAsia" w:ascii="宋体" w:hAnsi="宋体" w:cs="宋体"/>
          <w:b/>
          <w:color w:val="auto"/>
          <w:sz w:val="30"/>
          <w:szCs w:val="30"/>
          <w:highlight w:val="none"/>
        </w:rPr>
        <w:t>一、无串标行为承诺函</w:t>
      </w:r>
    </w:p>
    <w:p w14:paraId="338FEAF0">
      <w:pPr>
        <w:spacing w:line="520" w:lineRule="exact"/>
        <w:jc w:val="center"/>
        <w:rPr>
          <w:rFonts w:ascii="宋体" w:hAnsi="宋体" w:cs="宋体"/>
          <w:color w:val="auto"/>
          <w:sz w:val="44"/>
          <w:szCs w:val="44"/>
          <w:highlight w:val="none"/>
        </w:rPr>
      </w:pPr>
    </w:p>
    <w:p w14:paraId="64C7A283">
      <w:pPr>
        <w:spacing w:line="520" w:lineRule="exact"/>
        <w:jc w:val="center"/>
        <w:rPr>
          <w:rFonts w:ascii="宋体" w:hAnsi="宋体" w:cs="宋体"/>
          <w:color w:val="auto"/>
          <w:sz w:val="32"/>
          <w:szCs w:val="32"/>
          <w:highlight w:val="none"/>
        </w:rPr>
      </w:pPr>
      <w:r>
        <w:rPr>
          <w:rFonts w:hint="eastAsia" w:ascii="宋体" w:hAnsi="宋体" w:cs="宋体"/>
          <w:color w:val="auto"/>
          <w:sz w:val="44"/>
          <w:szCs w:val="44"/>
          <w:highlight w:val="none"/>
        </w:rPr>
        <w:t>无串通竞标行为的承诺函</w:t>
      </w:r>
    </w:p>
    <w:p w14:paraId="7CF4EF77">
      <w:pPr>
        <w:spacing w:line="520" w:lineRule="exact"/>
        <w:ind w:firstLine="640" w:firstLineChars="200"/>
        <w:rPr>
          <w:rFonts w:ascii="宋体" w:hAnsi="宋体" w:cs="宋体"/>
          <w:color w:val="auto"/>
          <w:sz w:val="32"/>
          <w:szCs w:val="32"/>
          <w:highlight w:val="none"/>
        </w:rPr>
      </w:pPr>
    </w:p>
    <w:p w14:paraId="56F0B58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一、我方承诺无下列相互串通竞标的情形：</w:t>
      </w:r>
    </w:p>
    <w:p w14:paraId="56AD7AD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1.不同供应商的响应文件由同一单位或者个人编制；或者不同供应商报名的IP地址一致的；或者编制响应文件硬件设备CPU编号、硬盘编号、网卡地址一致的情况。  </w:t>
      </w:r>
    </w:p>
    <w:p w14:paraId="256350C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2.不同供应商委托同一单位或者个人办理竞标事宜；</w:t>
      </w:r>
    </w:p>
    <w:p w14:paraId="3CB8EE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3.不同供应商的响应文件载明的项目管理员为同一个人；</w:t>
      </w:r>
    </w:p>
    <w:p w14:paraId="4F56ADD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4.不</w:t>
      </w:r>
      <w:r>
        <w:rPr>
          <w:rFonts w:hint="eastAsia" w:ascii="宋体" w:hAnsi="宋体" w:cs="宋体"/>
          <w:color w:val="auto"/>
          <w:spacing w:val="-6"/>
          <w:sz w:val="24"/>
          <w:highlight w:val="none"/>
        </w:rPr>
        <w:t>同供应商的响应文件异常一致或者响应报价呈规律性差异；</w:t>
      </w:r>
    </w:p>
    <w:p w14:paraId="41E3872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5.不同供应商的响应文件相互混装；</w:t>
      </w:r>
    </w:p>
    <w:p w14:paraId="40DB20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6.不同供应商的磋商保证金从同一单位或者个人账户转出。</w:t>
      </w:r>
    </w:p>
    <w:p w14:paraId="690C125C">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二、我方承诺无下列恶意串通的情形：</w:t>
      </w:r>
    </w:p>
    <w:p w14:paraId="797953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1.供应商直接或者间接从采购人或者采购代理机构处获得其他供应商的相关信息并修改其响应文件；</w:t>
      </w:r>
    </w:p>
    <w:p w14:paraId="1CADA4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2.供应商按照采购人或者采购代理机构的授意撤换、修改响应文件；</w:t>
      </w:r>
    </w:p>
    <w:p w14:paraId="5CBA73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w:t>
      </w:r>
      <w:r>
        <w:rPr>
          <w:rFonts w:hint="eastAsia" w:ascii="宋体" w:hAnsi="宋体" w:cs="宋体"/>
          <w:color w:val="auto"/>
          <w:spacing w:val="-6"/>
          <w:sz w:val="24"/>
          <w:highlight w:val="none"/>
        </w:rPr>
        <w:t>应商之间协商报价、技术方案等响应文件的实质性内容；</w:t>
      </w:r>
    </w:p>
    <w:p w14:paraId="52C73F3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4.属于同一集团、协会、商会等组织成员的供应商按照该组织要求协同参加政府采购活动；</w:t>
      </w:r>
    </w:p>
    <w:p w14:paraId="6C46808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14:paraId="248F36C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6.供应商之间商定部分供应商放弃参加政府采购活动或者放弃成交；</w:t>
      </w:r>
    </w:p>
    <w:p w14:paraId="701F1E1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7.供应商与采购人或者采购代理机构之间、供应商相互之间，为</w:t>
      </w:r>
      <w:r>
        <w:rPr>
          <w:rFonts w:hint="eastAsia" w:ascii="宋体" w:hAnsi="宋体" w:cs="宋体"/>
          <w:color w:val="auto"/>
          <w:spacing w:val="-6"/>
          <w:sz w:val="24"/>
          <w:highlight w:val="none"/>
        </w:rPr>
        <w:t>谋求特定供应商成交或者排斥其他供应商的其他串通行为。</w:t>
      </w:r>
    </w:p>
    <w:p w14:paraId="4C4AE2A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以上情形一经核查属实，接受政府采购监管部门对我方认定存在围标串标行为，我方愿意承担一切后果，并不再寻求任何旨在减轻或者免除法律责任的辩解。</w:t>
      </w:r>
    </w:p>
    <w:p w14:paraId="1576A9B9">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2201BBF7">
      <w:pPr>
        <w:spacing w:line="520" w:lineRule="exact"/>
        <w:ind w:left="239" w:leftChars="114" w:firstLine="6120" w:firstLineChars="2550"/>
        <w:jc w:val="left"/>
        <w:rPr>
          <w:rFonts w:ascii="宋体" w:hAnsi="宋体" w:cs="宋体"/>
          <w:bCs/>
          <w:color w:val="auto"/>
          <w:sz w:val="44"/>
          <w:szCs w:val="44"/>
          <w:highlight w:val="none"/>
        </w:rPr>
      </w:pPr>
      <w:r>
        <w:rPr>
          <w:rFonts w:hint="eastAsia" w:ascii="宋体" w:hAnsi="宋体" w:cs="宋体"/>
          <w:color w:val="auto"/>
          <w:kern w:val="0"/>
          <w:sz w:val="24"/>
          <w:highlight w:val="none"/>
          <w:lang w:val="zh-CN"/>
        </w:rPr>
        <w:t xml:space="preserve">日期：  年  月   日   </w:t>
      </w:r>
      <w:r>
        <w:rPr>
          <w:rFonts w:hint="eastAsia" w:ascii="宋体" w:hAnsi="宋体" w:cs="宋体"/>
          <w:b/>
          <w:bCs/>
          <w:color w:val="auto"/>
          <w:sz w:val="32"/>
          <w:szCs w:val="32"/>
          <w:highlight w:val="none"/>
        </w:rPr>
        <w:br w:type="page"/>
      </w:r>
      <w:r>
        <w:rPr>
          <w:rFonts w:hint="eastAsia" w:ascii="宋体" w:hAnsi="宋体" w:cs="宋体"/>
          <w:b/>
          <w:color w:val="auto"/>
          <w:sz w:val="30"/>
          <w:szCs w:val="30"/>
          <w:highlight w:val="none"/>
        </w:rPr>
        <w:t>二、法定代表人身份证明及法定代表人有效身份证正反面复印件</w:t>
      </w:r>
    </w:p>
    <w:p w14:paraId="5D672D47">
      <w:pPr>
        <w:spacing w:line="520" w:lineRule="exact"/>
        <w:jc w:val="center"/>
        <w:rPr>
          <w:rFonts w:ascii="宋体" w:hAnsi="宋体" w:cs="宋体"/>
          <w:color w:val="auto"/>
          <w:sz w:val="32"/>
          <w:szCs w:val="32"/>
          <w:highlight w:val="none"/>
        </w:rPr>
      </w:pPr>
      <w:r>
        <w:rPr>
          <w:rFonts w:hint="eastAsia" w:ascii="宋体" w:hAnsi="宋体" w:cs="宋体"/>
          <w:bCs/>
          <w:color w:val="auto"/>
          <w:sz w:val="44"/>
          <w:szCs w:val="44"/>
          <w:highlight w:val="none"/>
        </w:rPr>
        <w:t>法定代表人证明书</w:t>
      </w:r>
    </w:p>
    <w:p w14:paraId="61341915">
      <w:pPr>
        <w:spacing w:line="360" w:lineRule="auto"/>
        <w:ind w:left="540"/>
        <w:contextualSpacing/>
        <w:rPr>
          <w:rFonts w:ascii="宋体" w:hAnsi="宋体" w:cs="宋体"/>
          <w:color w:val="auto"/>
          <w:sz w:val="32"/>
          <w:szCs w:val="32"/>
          <w:highlight w:val="none"/>
        </w:rPr>
      </w:pPr>
    </w:p>
    <w:p w14:paraId="4103845B">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p>
    <w:p w14:paraId="06609DDD">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37B9E307">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     别：</w:t>
      </w:r>
      <w:r>
        <w:rPr>
          <w:rFonts w:hint="eastAsia" w:ascii="宋体" w:hAnsi="宋体" w:cs="宋体"/>
          <w:color w:val="auto"/>
          <w:sz w:val="24"/>
          <w:highlight w:val="none"/>
          <w:u w:val="single"/>
        </w:rPr>
        <w:t xml:space="preserve">                </w:t>
      </w:r>
    </w:p>
    <w:p w14:paraId="722140B2">
      <w:pPr>
        <w:spacing w:line="360" w:lineRule="auto"/>
        <w:ind w:left="540"/>
        <w:contextualSpacing/>
        <w:rPr>
          <w:rFonts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7220E29E">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2B47FC7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的法定代表人。</w:t>
      </w:r>
    </w:p>
    <w:p w14:paraId="07DFAB28">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特此证明。</w:t>
      </w:r>
    </w:p>
    <w:p w14:paraId="1EBE3CEE">
      <w:pPr>
        <w:spacing w:line="360" w:lineRule="auto"/>
        <w:ind w:left="540"/>
        <w:contextualSpacing/>
        <w:rPr>
          <w:rFonts w:ascii="宋体" w:hAnsi="宋体" w:cs="宋体"/>
          <w:color w:val="auto"/>
          <w:sz w:val="24"/>
          <w:highlight w:val="none"/>
        </w:rPr>
      </w:pPr>
    </w:p>
    <w:p w14:paraId="7354608A">
      <w:pPr>
        <w:spacing w:line="360" w:lineRule="auto"/>
        <w:ind w:left="540"/>
        <w:contextualSpacing/>
        <w:rPr>
          <w:rFonts w:ascii="宋体" w:hAnsi="宋体" w:cs="宋体"/>
          <w:color w:val="auto"/>
          <w:sz w:val="24"/>
          <w:highlight w:val="none"/>
        </w:rPr>
      </w:pPr>
    </w:p>
    <w:p w14:paraId="41BD48C7">
      <w:pPr>
        <w:spacing w:line="360" w:lineRule="auto"/>
        <w:ind w:left="540"/>
        <w:contextualSpacing/>
        <w:rPr>
          <w:rFonts w:ascii="宋体" w:hAnsi="宋体" w:cs="宋体"/>
          <w:color w:val="auto"/>
          <w:sz w:val="24"/>
          <w:highlight w:val="none"/>
        </w:rPr>
      </w:pPr>
    </w:p>
    <w:p w14:paraId="3E1F26EA">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14:paraId="7C537DDB">
      <w:pPr>
        <w:spacing w:line="360" w:lineRule="auto"/>
        <w:ind w:left="540"/>
        <w:contextualSpacing/>
        <w:rPr>
          <w:rFonts w:ascii="宋体" w:hAnsi="宋体" w:cs="宋体"/>
          <w:color w:val="auto"/>
          <w:sz w:val="24"/>
          <w:highlight w:val="none"/>
        </w:rPr>
      </w:pPr>
    </w:p>
    <w:p w14:paraId="360020CB">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08BFABDF">
      <w:pPr>
        <w:spacing w:line="360" w:lineRule="auto"/>
        <w:jc w:val="center"/>
        <w:rPr>
          <w:rFonts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14:paraId="11A8D5A8">
      <w:pPr>
        <w:spacing w:line="360" w:lineRule="auto"/>
        <w:jc w:val="left"/>
        <w:rPr>
          <w:rFonts w:ascii="宋体" w:hAnsi="宋体" w:cs="宋体"/>
          <w:color w:val="auto"/>
          <w:sz w:val="24"/>
          <w:highlight w:val="none"/>
        </w:rPr>
      </w:pPr>
    </w:p>
    <w:p w14:paraId="174BDADE">
      <w:pPr>
        <w:spacing w:line="360" w:lineRule="auto"/>
        <w:jc w:val="left"/>
        <w:rPr>
          <w:rFonts w:ascii="宋体" w:hAnsi="宋体" w:cs="宋体"/>
          <w:color w:val="auto"/>
          <w:sz w:val="24"/>
          <w:highlight w:val="none"/>
        </w:rPr>
      </w:pPr>
      <w:r>
        <w:rPr>
          <w:rFonts w:hint="eastAsia" w:ascii="宋体" w:hAnsi="宋体" w:cs="宋体"/>
          <w:color w:val="auto"/>
          <w:sz w:val="24"/>
          <w:highlight w:val="none"/>
        </w:rPr>
        <w:t>注：1.自然人竞标的无需提供，联合体竞标的只需牵头人出具。</w:t>
      </w:r>
    </w:p>
    <w:p w14:paraId="26D2E13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F3A8CD9">
      <w:pPr>
        <w:widowControl/>
        <w:spacing w:line="360" w:lineRule="auto"/>
        <w:jc w:val="left"/>
        <w:rPr>
          <w:rFonts w:ascii="宋体" w:hAnsi="宋体" w:cs="宋体"/>
          <w:color w:val="auto"/>
          <w:sz w:val="24"/>
          <w:highlight w:val="none"/>
        </w:rPr>
        <w:sectPr>
          <w:pgSz w:w="11910" w:h="16840"/>
          <w:pgMar w:top="1340" w:right="1500" w:bottom="280" w:left="1680" w:header="720" w:footer="720" w:gutter="0"/>
          <w:cols w:space="720" w:num="1"/>
        </w:sectPr>
      </w:pPr>
    </w:p>
    <w:tbl>
      <w:tblPr>
        <w:tblStyle w:val="25"/>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33902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0" w:type="dxa"/>
            <w:tcBorders>
              <w:top w:val="single" w:color="auto" w:sz="4" w:space="0"/>
              <w:left w:val="single" w:color="auto" w:sz="4" w:space="0"/>
              <w:bottom w:val="single" w:color="auto" w:sz="4" w:space="0"/>
              <w:right w:val="single" w:color="auto" w:sz="4" w:space="0"/>
            </w:tcBorders>
          </w:tcPr>
          <w:p w14:paraId="312C2580">
            <w:pPr>
              <w:spacing w:line="360" w:lineRule="auto"/>
              <w:jc w:val="center"/>
              <w:rPr>
                <w:rFonts w:ascii="宋体" w:hAnsi="宋体" w:cs="宋体"/>
                <w:b/>
                <w:color w:val="auto"/>
                <w:sz w:val="24"/>
                <w:highlight w:val="none"/>
              </w:rPr>
            </w:pPr>
          </w:p>
          <w:p w14:paraId="3E51A19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法定代表身份证复印件粘帖处（正、反面）</w:t>
            </w:r>
          </w:p>
        </w:tc>
      </w:tr>
    </w:tbl>
    <w:p w14:paraId="166CBF1E">
      <w:pPr>
        <w:spacing w:line="360" w:lineRule="auto"/>
        <w:ind w:firstLine="482" w:firstLineChars="200"/>
        <w:jc w:val="left"/>
        <w:rPr>
          <w:rFonts w:ascii="宋体" w:hAnsi="宋体" w:cs="宋体"/>
          <w:b/>
          <w:color w:val="auto"/>
          <w:sz w:val="32"/>
          <w:szCs w:val="32"/>
          <w:highlight w:val="none"/>
        </w:rPr>
      </w:pPr>
      <w:r>
        <w:rPr>
          <w:rFonts w:hint="eastAsia" w:ascii="宋体" w:hAnsi="宋体" w:cs="宋体"/>
          <w:b/>
          <w:color w:val="auto"/>
          <w:sz w:val="24"/>
          <w:highlight w:val="none"/>
        </w:rPr>
        <w:t>附件：</w:t>
      </w:r>
    </w:p>
    <w:p w14:paraId="0F256EF2">
      <w:pPr>
        <w:adjustRightInd w:val="0"/>
        <w:snapToGrid w:val="0"/>
        <w:spacing w:line="300" w:lineRule="auto"/>
        <w:jc w:val="left"/>
        <w:rPr>
          <w:rFonts w:ascii="宋体" w:hAnsi="宋体" w:cs="宋体"/>
          <w:b/>
          <w:color w:val="auto"/>
          <w:szCs w:val="21"/>
          <w:highlight w:val="none"/>
        </w:rPr>
      </w:pPr>
    </w:p>
    <w:p w14:paraId="5E89FD12">
      <w:pPr>
        <w:spacing w:line="520" w:lineRule="exact"/>
        <w:ind w:firstLine="880"/>
        <w:jc w:val="left"/>
        <w:rPr>
          <w:rFonts w:ascii="宋体" w:hAnsi="宋体" w:cs="宋体"/>
          <w:bCs/>
          <w:color w:val="auto"/>
          <w:sz w:val="44"/>
          <w:szCs w:val="44"/>
          <w:highlight w:val="none"/>
        </w:rPr>
      </w:pPr>
      <w:r>
        <w:rPr>
          <w:rFonts w:hint="eastAsia" w:ascii="宋体" w:hAnsi="宋体" w:cs="宋体"/>
          <w:color w:val="auto"/>
          <w:sz w:val="44"/>
          <w:szCs w:val="44"/>
          <w:highlight w:val="none"/>
        </w:rPr>
        <w:br w:type="page"/>
      </w:r>
      <w:r>
        <w:rPr>
          <w:rFonts w:hint="eastAsia" w:ascii="宋体" w:hAnsi="宋体" w:cs="宋体"/>
          <w:b/>
          <w:color w:val="auto"/>
          <w:sz w:val="30"/>
          <w:szCs w:val="30"/>
          <w:highlight w:val="none"/>
        </w:rPr>
        <w:t>三、法定代表人授权委托书</w:t>
      </w:r>
    </w:p>
    <w:p w14:paraId="4FF8C586">
      <w:pPr>
        <w:spacing w:line="500" w:lineRule="exact"/>
        <w:jc w:val="center"/>
        <w:rPr>
          <w:rFonts w:ascii="宋体" w:hAnsi="宋体" w:cs="宋体"/>
          <w:color w:val="auto"/>
          <w:sz w:val="44"/>
          <w:szCs w:val="44"/>
          <w:highlight w:val="none"/>
        </w:rPr>
      </w:pPr>
    </w:p>
    <w:p w14:paraId="6EF98A25">
      <w:pPr>
        <w:spacing w:line="520" w:lineRule="exact"/>
        <w:jc w:val="center"/>
        <w:rPr>
          <w:rFonts w:ascii="宋体" w:hAnsi="宋体" w:cs="宋体"/>
          <w:color w:val="auto"/>
          <w:sz w:val="44"/>
          <w:szCs w:val="44"/>
          <w:highlight w:val="none"/>
        </w:rPr>
      </w:pPr>
      <w:r>
        <w:rPr>
          <w:rFonts w:hint="eastAsia" w:ascii="宋体" w:hAnsi="宋体" w:cs="宋体"/>
          <w:color w:val="auto"/>
          <w:sz w:val="44"/>
          <w:szCs w:val="44"/>
          <w:highlight w:val="none"/>
        </w:rPr>
        <w:t>授权委托书（非联合体竞标格式）</w:t>
      </w:r>
    </w:p>
    <w:p w14:paraId="6C6BBA1C">
      <w:pPr>
        <w:spacing w:line="520" w:lineRule="exact"/>
        <w:jc w:val="center"/>
        <w:rPr>
          <w:rFonts w:ascii="宋体" w:hAnsi="宋体" w:cs="宋体"/>
          <w:color w:val="auto"/>
          <w:sz w:val="44"/>
          <w:szCs w:val="44"/>
          <w:highlight w:val="none"/>
        </w:rPr>
      </w:pPr>
      <w:r>
        <w:rPr>
          <w:rFonts w:hint="eastAsia" w:ascii="宋体" w:hAnsi="宋体" w:cs="宋体"/>
          <w:color w:val="auto"/>
          <w:sz w:val="44"/>
          <w:szCs w:val="44"/>
          <w:highlight w:val="none"/>
        </w:rPr>
        <w:t>（如有委托时）</w:t>
      </w:r>
    </w:p>
    <w:p w14:paraId="4D1086AC">
      <w:pPr>
        <w:spacing w:line="520" w:lineRule="exact"/>
        <w:rPr>
          <w:rFonts w:ascii="宋体" w:hAnsi="宋体" w:cs="宋体"/>
          <w:color w:val="auto"/>
          <w:sz w:val="32"/>
          <w:szCs w:val="32"/>
          <w:highlight w:val="none"/>
        </w:rPr>
      </w:pPr>
    </w:p>
    <w:p w14:paraId="6E1B33B8">
      <w:pPr>
        <w:spacing w:line="360" w:lineRule="auto"/>
        <w:rPr>
          <w:rFonts w:ascii="宋体" w:hAnsi="宋体" w:cs="宋体"/>
          <w:color w:val="auto"/>
          <w:sz w:val="24"/>
          <w:highlight w:val="none"/>
        </w:rPr>
      </w:pPr>
      <w:r>
        <w:rPr>
          <w:rFonts w:hint="eastAsia" w:ascii="宋体" w:hAnsi="宋体" w:cs="宋体"/>
          <w:color w:val="auto"/>
          <w:sz w:val="24"/>
          <w:highlight w:val="none"/>
        </w:rPr>
        <w:t>致：</w:t>
      </w:r>
      <w:bookmarkStart w:id="87" w:name="PO_3000001868_PM031_7"/>
      <w:r>
        <w:rPr>
          <w:rFonts w:hint="eastAsia" w:ascii="宋体" w:hAnsi="宋体" w:cs="宋体"/>
          <w:color w:val="auto"/>
          <w:sz w:val="24"/>
          <w:highlight w:val="none"/>
          <w:u w:val="single"/>
        </w:rPr>
        <w:t>[采购组织机构]</w:t>
      </w:r>
      <w:bookmarkEnd w:id="87"/>
      <w:r>
        <w:rPr>
          <w:rFonts w:hint="eastAsia" w:ascii="宋体" w:hAnsi="宋体" w:cs="宋体"/>
          <w:color w:val="auto"/>
          <w:sz w:val="24"/>
          <w:highlight w:val="none"/>
        </w:rPr>
        <w:t>：</w:t>
      </w:r>
    </w:p>
    <w:p w14:paraId="3A8340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（供应商名称）  </w:t>
      </w:r>
      <w:r>
        <w:rPr>
          <w:rFonts w:hint="eastAsia" w:ascii="宋体" w:hAnsi="宋体" w:cs="宋体"/>
          <w:color w:val="auto"/>
          <w:sz w:val="24"/>
          <w:highlight w:val="none"/>
        </w:rPr>
        <w:t>的（</w:t>
      </w:r>
      <w:r>
        <w:rPr>
          <w:rFonts w:hint="eastAsia" w:ascii="宋体" w:hAnsi="宋体" w:cs="宋体"/>
          <w:color w:val="auto"/>
          <w:sz w:val="24"/>
          <w:highlight w:val="none"/>
          <w:u w:val="single"/>
        </w:rPr>
        <w:t>□法定代表人/□负责人/□自然人本人</w:t>
      </w:r>
      <w:r>
        <w:rPr>
          <w:rFonts w:hint="eastAsia" w:ascii="宋体" w:hAnsi="宋体" w:cs="宋体"/>
          <w:color w:val="auto"/>
          <w:sz w:val="24"/>
          <w:highlight w:val="none"/>
        </w:rPr>
        <w:t>），现授权</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以我方的名义参加</w:t>
      </w:r>
      <w:bookmarkStart w:id="88" w:name="PO_3000001868_PM002_7"/>
      <w:r>
        <w:rPr>
          <w:rFonts w:hint="eastAsia" w:ascii="宋体" w:hAnsi="宋体" w:cs="宋体"/>
          <w:color w:val="auto"/>
          <w:sz w:val="24"/>
          <w:highlight w:val="none"/>
          <w:u w:val="single"/>
        </w:rPr>
        <w:t>[项目名称]</w:t>
      </w:r>
      <w:bookmarkEnd w:id="88"/>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项目的竞标活动，并代表我方全权办理针对上述项目的所有采购程序和环节的具体事务和签署相关文件。</w:t>
      </w:r>
    </w:p>
    <w:p w14:paraId="533EC0E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我方对委托代理人的签字事项负全部责任。</w:t>
      </w:r>
    </w:p>
    <w:p w14:paraId="7501D5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14:paraId="291876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68E65A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附：法定代表人身份证明书及委托代理人有效身份证正反面复印件</w:t>
      </w:r>
    </w:p>
    <w:p w14:paraId="234EFCBF">
      <w:pPr>
        <w:spacing w:line="360" w:lineRule="auto"/>
        <w:rPr>
          <w:rFonts w:ascii="宋体" w:hAnsi="宋体" w:cs="宋体"/>
          <w:color w:val="auto"/>
          <w:sz w:val="24"/>
          <w:highlight w:val="none"/>
        </w:rPr>
      </w:pPr>
    </w:p>
    <w:p w14:paraId="0EC4CA1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委托代理人（签字）：         法定代表人（签字或盖章）：                    </w:t>
      </w:r>
    </w:p>
    <w:p w14:paraId="204FF7B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委托代理人身份证号码：                              </w:t>
      </w:r>
    </w:p>
    <w:p w14:paraId="4A55684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6E4E42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rPr>
        <w:t>供应商名称（电子签章）：</w:t>
      </w:r>
    </w:p>
    <w:p w14:paraId="7FCE7EE8">
      <w:pPr>
        <w:spacing w:line="360" w:lineRule="auto"/>
        <w:jc w:val="center"/>
        <w:rPr>
          <w:rFonts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14:paraId="7672B1FC">
      <w:pPr>
        <w:spacing w:line="360" w:lineRule="auto"/>
        <w:rPr>
          <w:rFonts w:ascii="宋体" w:hAnsi="宋体" w:cs="宋体"/>
          <w:color w:val="auto"/>
          <w:sz w:val="24"/>
          <w:highlight w:val="none"/>
        </w:rPr>
      </w:pPr>
    </w:p>
    <w:p w14:paraId="1612C5BB">
      <w:pPr>
        <w:spacing w:line="360" w:lineRule="auto"/>
        <w:rPr>
          <w:rFonts w:ascii="宋体" w:hAnsi="宋体" w:cs="宋体"/>
          <w:color w:val="auto"/>
          <w:sz w:val="24"/>
          <w:highlight w:val="none"/>
        </w:rPr>
      </w:pPr>
      <w:r>
        <w:rPr>
          <w:rFonts w:hint="eastAsia" w:ascii="宋体" w:hAnsi="宋体" w:cs="宋体"/>
          <w:color w:val="auto"/>
          <w:sz w:val="24"/>
          <w:highlight w:val="none"/>
        </w:rPr>
        <w:t>注：1. 法定代表人必须在授权委托书上亲笔签字或盖章，委托代理人必须在授权委托书上亲笔签字，</w:t>
      </w:r>
      <w:r>
        <w:rPr>
          <w:rFonts w:hint="eastAsia" w:ascii="宋体" w:hAnsi="宋体" w:cs="宋体"/>
          <w:b/>
          <w:color w:val="auto"/>
          <w:sz w:val="24"/>
          <w:highlight w:val="none"/>
        </w:rPr>
        <w:t>否则其响应文件按无效响应处理。</w:t>
      </w:r>
    </w:p>
    <w:p w14:paraId="4EAFE85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6615DED3">
      <w:pPr>
        <w:spacing w:line="360" w:lineRule="auto"/>
        <w:ind w:firstLine="480" w:firstLineChars="200"/>
        <w:jc w:val="left"/>
        <w:rPr>
          <w:rFonts w:ascii="宋体" w:hAnsi="宋体" w:cs="宋体"/>
          <w:color w:val="auto"/>
          <w:szCs w:val="21"/>
          <w:highlight w:val="none"/>
        </w:rPr>
      </w:pPr>
      <w:r>
        <w:rPr>
          <w:rFonts w:hint="eastAsia" w:ascii="宋体" w:hAnsi="宋体" w:cs="宋体"/>
          <w:color w:val="auto"/>
          <w:sz w:val="24"/>
          <w:highlight w:val="none"/>
        </w:rPr>
        <w:t>3. 法人、其他组织竞标时“我方”是指“我单位”，自然人竞标时“我方”是指“本人”。</w:t>
      </w:r>
    </w:p>
    <w:p w14:paraId="42610704">
      <w:pPr>
        <w:spacing w:line="500" w:lineRule="exact"/>
        <w:jc w:val="center"/>
        <w:rPr>
          <w:rFonts w:ascii="宋体" w:hAnsi="宋体" w:cs="宋体"/>
          <w:color w:val="auto"/>
          <w:sz w:val="44"/>
          <w:szCs w:val="44"/>
          <w:highlight w:val="none"/>
        </w:rPr>
      </w:pPr>
      <w:r>
        <w:rPr>
          <w:rFonts w:hint="eastAsia" w:ascii="宋体" w:hAnsi="宋体" w:cs="宋体"/>
          <w:color w:val="auto"/>
          <w:szCs w:val="21"/>
          <w:highlight w:val="none"/>
        </w:rPr>
        <w:br w:type="page"/>
      </w:r>
      <w:r>
        <w:rPr>
          <w:rFonts w:hint="eastAsia" w:ascii="宋体" w:hAnsi="宋体" w:cs="宋体"/>
          <w:color w:val="auto"/>
          <w:sz w:val="44"/>
          <w:szCs w:val="44"/>
          <w:highlight w:val="none"/>
        </w:rPr>
        <w:t>授权委托书（联合体竞标格式）</w:t>
      </w:r>
    </w:p>
    <w:p w14:paraId="2E059649">
      <w:pPr>
        <w:spacing w:line="500" w:lineRule="exact"/>
        <w:jc w:val="center"/>
        <w:rPr>
          <w:rFonts w:ascii="宋体" w:hAnsi="宋体" w:cs="宋体"/>
          <w:color w:val="auto"/>
          <w:sz w:val="44"/>
          <w:szCs w:val="44"/>
          <w:highlight w:val="none"/>
        </w:rPr>
      </w:pPr>
      <w:r>
        <w:rPr>
          <w:rFonts w:hint="eastAsia" w:ascii="宋体" w:hAnsi="宋体" w:cs="宋体"/>
          <w:color w:val="auto"/>
          <w:sz w:val="44"/>
          <w:szCs w:val="44"/>
          <w:highlight w:val="none"/>
        </w:rPr>
        <w:t>（如有委托时）</w:t>
      </w:r>
    </w:p>
    <w:p w14:paraId="5D5AF917">
      <w:pPr>
        <w:spacing w:line="500" w:lineRule="exact"/>
        <w:jc w:val="center"/>
        <w:rPr>
          <w:rFonts w:ascii="宋体" w:hAnsi="宋体" w:cs="宋体"/>
          <w:color w:val="auto"/>
          <w:sz w:val="44"/>
          <w:szCs w:val="44"/>
          <w:highlight w:val="none"/>
        </w:rPr>
      </w:pPr>
    </w:p>
    <w:p w14:paraId="75FCD37E">
      <w:pPr>
        <w:spacing w:line="500" w:lineRule="exact"/>
        <w:jc w:val="center"/>
        <w:rPr>
          <w:rFonts w:ascii="宋体" w:hAnsi="宋体" w:cs="宋体"/>
          <w:color w:val="auto"/>
          <w:sz w:val="32"/>
          <w:szCs w:val="32"/>
          <w:highlight w:val="none"/>
        </w:rPr>
      </w:pPr>
    </w:p>
    <w:p w14:paraId="0D7DF4C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本授权委托书声明：根据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（牵头人名称）与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（联合体其他成员名称）签订的《联合体竞标协议书》的内容，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（牵头人名称）的法定代表人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（姓名）现授权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（姓名）为联合委托代理人，并代表我方全权办理针对上述项目的所有采购程序和环节的具体事务和签署相关文件。</w:t>
      </w:r>
    </w:p>
    <w:p w14:paraId="7524F86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我方对委托代理人的签字事项负全部责任。</w:t>
      </w:r>
    </w:p>
    <w:p w14:paraId="493207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14:paraId="43870C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3DFE1F8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026A58EB">
      <w:pPr>
        <w:spacing w:line="360" w:lineRule="auto"/>
        <w:ind w:firstLine="1560" w:firstLineChars="650"/>
        <w:rPr>
          <w:rFonts w:ascii="宋体" w:hAnsi="宋体" w:cs="宋体"/>
          <w:color w:val="auto"/>
          <w:sz w:val="24"/>
          <w:highlight w:val="none"/>
        </w:rPr>
      </w:pPr>
      <w:r>
        <w:rPr>
          <w:rFonts w:hint="eastAsia" w:ascii="宋体" w:hAnsi="宋体" w:cs="宋体"/>
          <w:color w:val="auto"/>
          <w:sz w:val="24"/>
          <w:highlight w:val="none"/>
        </w:rPr>
        <w:t>牵头人法定代表人（签字或盖章）：</w:t>
      </w:r>
    </w:p>
    <w:p w14:paraId="2B9B443E">
      <w:pPr>
        <w:spacing w:line="360" w:lineRule="auto"/>
        <w:ind w:firstLine="3120" w:firstLineChars="1300"/>
        <w:rPr>
          <w:rFonts w:ascii="宋体" w:hAnsi="宋体" w:cs="宋体"/>
          <w:color w:val="auto"/>
          <w:sz w:val="24"/>
          <w:highlight w:val="none"/>
        </w:rPr>
      </w:pPr>
      <w:r>
        <w:rPr>
          <w:rFonts w:hint="eastAsia" w:ascii="宋体" w:hAnsi="宋体" w:cs="宋体"/>
          <w:color w:val="auto"/>
          <w:sz w:val="24"/>
          <w:highlight w:val="none"/>
        </w:rPr>
        <w:t>牵头人（电子签章）：</w:t>
      </w:r>
    </w:p>
    <w:p w14:paraId="25F3235A">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rPr>
        <w:t>日期：    年   月   日</w:t>
      </w:r>
    </w:p>
    <w:p w14:paraId="6581E8D7">
      <w:pPr>
        <w:spacing w:line="360" w:lineRule="auto"/>
        <w:rPr>
          <w:rFonts w:ascii="宋体" w:hAnsi="宋体" w:cs="宋体"/>
          <w:color w:val="auto"/>
          <w:sz w:val="24"/>
          <w:highlight w:val="none"/>
        </w:rPr>
      </w:pPr>
    </w:p>
    <w:p w14:paraId="07B041D2">
      <w:pPr>
        <w:spacing w:line="360" w:lineRule="auto"/>
        <w:ind w:firstLine="3120" w:firstLineChars="1300"/>
        <w:rPr>
          <w:rFonts w:ascii="宋体" w:hAnsi="宋体" w:cs="宋体"/>
          <w:color w:val="auto"/>
          <w:sz w:val="24"/>
          <w:highlight w:val="none"/>
        </w:rPr>
      </w:pPr>
      <w:r>
        <w:rPr>
          <w:rFonts w:hint="eastAsia" w:ascii="宋体" w:hAnsi="宋体" w:cs="宋体"/>
          <w:color w:val="auto"/>
          <w:sz w:val="24"/>
          <w:highlight w:val="none"/>
        </w:rPr>
        <w:t>被授权人（签字）：</w:t>
      </w:r>
    </w:p>
    <w:p w14:paraId="5F84CD9B">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rPr>
        <w:t>日期：    年   月   日</w:t>
      </w:r>
    </w:p>
    <w:p w14:paraId="022188F7">
      <w:pPr>
        <w:spacing w:line="360" w:lineRule="auto"/>
        <w:rPr>
          <w:rFonts w:ascii="宋体" w:hAnsi="宋体" w:cs="宋体"/>
          <w:color w:val="auto"/>
          <w:sz w:val="24"/>
          <w:highlight w:val="none"/>
        </w:rPr>
      </w:pPr>
    </w:p>
    <w:p w14:paraId="6B6498D3">
      <w:pPr>
        <w:spacing w:line="360" w:lineRule="auto"/>
        <w:rPr>
          <w:rFonts w:ascii="宋体" w:hAnsi="宋体" w:cs="宋体"/>
          <w:color w:val="auto"/>
          <w:sz w:val="24"/>
          <w:highlight w:val="none"/>
        </w:rPr>
      </w:pPr>
      <w:r>
        <w:rPr>
          <w:rFonts w:hint="eastAsia" w:ascii="宋体" w:hAnsi="宋体" w:cs="宋体"/>
          <w:color w:val="auto"/>
          <w:sz w:val="24"/>
          <w:highlight w:val="none"/>
        </w:rPr>
        <w:t>注：1. 法定代表人必须在授权委托书上亲笔签字或盖章，委托代理人必须在授权委托书上亲笔签字，</w:t>
      </w:r>
      <w:r>
        <w:rPr>
          <w:rFonts w:hint="eastAsia" w:ascii="宋体" w:hAnsi="宋体" w:cs="宋体"/>
          <w:b/>
          <w:color w:val="auto"/>
          <w:sz w:val="24"/>
          <w:highlight w:val="none"/>
        </w:rPr>
        <w:t>否则其响应文件按无效响应处理。</w:t>
      </w:r>
    </w:p>
    <w:p w14:paraId="5199EEE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2.本授权委托书应由联合体牵头人的法定代表人按上述规定签署。</w:t>
      </w:r>
    </w:p>
    <w:p w14:paraId="4321AF7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31DB58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4.法人、其他组织竞标时“我方”是指“我单位”，自然人竞标时“我方”是指“本人”。</w:t>
      </w:r>
    </w:p>
    <w:p w14:paraId="2CE98E45">
      <w:pPr>
        <w:spacing w:line="360" w:lineRule="auto"/>
        <w:ind w:firstLine="420" w:firstLineChars="200"/>
        <w:jc w:val="left"/>
        <w:rPr>
          <w:rFonts w:ascii="宋体" w:hAnsi="宋体" w:cs="宋体"/>
          <w:color w:val="auto"/>
          <w:szCs w:val="21"/>
          <w:highlight w:val="none"/>
        </w:rPr>
      </w:pPr>
    </w:p>
    <w:p w14:paraId="63FDEDEC">
      <w:pPr>
        <w:spacing w:line="520" w:lineRule="exact"/>
        <w:ind w:firstLine="640" w:firstLineChars="200"/>
        <w:jc w:val="left"/>
        <w:rPr>
          <w:rFonts w:ascii="宋体" w:hAnsi="宋体" w:cs="宋体"/>
          <w:b/>
          <w:color w:val="auto"/>
          <w:sz w:val="30"/>
          <w:szCs w:val="30"/>
          <w:highlight w:val="none"/>
        </w:rPr>
      </w:pPr>
      <w:r>
        <w:rPr>
          <w:rFonts w:hint="eastAsia" w:ascii="宋体" w:hAnsi="宋体" w:cs="宋体"/>
          <w:color w:val="auto"/>
          <w:sz w:val="32"/>
          <w:szCs w:val="32"/>
          <w:highlight w:val="none"/>
        </w:rPr>
        <w:br w:type="page"/>
      </w:r>
      <w:r>
        <w:rPr>
          <w:rFonts w:hint="eastAsia" w:ascii="宋体" w:hAnsi="宋体" w:cs="宋体"/>
          <w:b/>
          <w:color w:val="auto"/>
          <w:sz w:val="30"/>
          <w:szCs w:val="30"/>
          <w:highlight w:val="none"/>
        </w:rPr>
        <w:t>四、商务条款偏离表</w:t>
      </w:r>
    </w:p>
    <w:p w14:paraId="00E23F53">
      <w:pPr>
        <w:spacing w:line="500" w:lineRule="exact"/>
        <w:jc w:val="center"/>
        <w:rPr>
          <w:rFonts w:ascii="宋体" w:hAnsi="宋体" w:cs="宋体"/>
          <w:bCs/>
          <w:color w:val="auto"/>
          <w:sz w:val="44"/>
          <w:szCs w:val="44"/>
          <w:highlight w:val="none"/>
        </w:rPr>
      </w:pPr>
      <w:r>
        <w:rPr>
          <w:rFonts w:hint="eastAsia" w:ascii="宋体" w:hAnsi="宋体" w:cs="宋体"/>
          <w:bCs/>
          <w:color w:val="auto"/>
          <w:sz w:val="44"/>
          <w:szCs w:val="44"/>
          <w:highlight w:val="none"/>
        </w:rPr>
        <w:t>商务条款偏离表</w:t>
      </w:r>
    </w:p>
    <w:p w14:paraId="4A90EFE3">
      <w:pPr>
        <w:spacing w:line="520" w:lineRule="exact"/>
        <w:rPr>
          <w:rFonts w:ascii="宋体" w:hAnsi="宋体" w:cs="宋体"/>
          <w:color w:val="auto"/>
          <w:sz w:val="32"/>
          <w:szCs w:val="32"/>
          <w:highlight w:val="none"/>
        </w:rPr>
      </w:pPr>
    </w:p>
    <w:p w14:paraId="093DDC02">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single"/>
        </w:rPr>
        <w:t xml:space="preserve">  </w:t>
      </w:r>
      <w:bookmarkStart w:id="89" w:name="PO_3000001868_PM001_8"/>
      <w:r>
        <w:rPr>
          <w:rFonts w:hint="eastAsia" w:ascii="宋体" w:hAnsi="宋体" w:cs="宋体"/>
          <w:color w:val="auto"/>
          <w:sz w:val="24"/>
          <w:highlight w:val="none"/>
          <w:u w:val="single"/>
        </w:rPr>
        <w:t>[项目编号]</w:t>
      </w:r>
      <w:bookmarkEnd w:id="89"/>
      <w:r>
        <w:rPr>
          <w:rFonts w:hint="eastAsia" w:ascii="宋体" w:hAnsi="宋体" w:cs="宋体"/>
          <w:color w:val="auto"/>
          <w:sz w:val="24"/>
          <w:highlight w:val="none"/>
          <w:u w:val="single"/>
        </w:rPr>
        <w:t xml:space="preserve">  </w:t>
      </w:r>
    </w:p>
    <w:p w14:paraId="3D17B293">
      <w:pPr>
        <w:spacing w:line="360" w:lineRule="auto"/>
        <w:rPr>
          <w:rFonts w:ascii="宋体" w:hAnsi="宋体" w:cs="宋体"/>
          <w:color w:val="auto"/>
          <w:sz w:val="24"/>
          <w:highlight w:val="none"/>
        </w:rPr>
      </w:pPr>
      <w:r>
        <w:rPr>
          <w:rFonts w:hint="eastAsia" w:ascii="宋体" w:hAnsi="宋体" w:cs="宋体"/>
          <w:color w:val="auto"/>
          <w:sz w:val="24"/>
          <w:highlight w:val="none"/>
        </w:rPr>
        <w:t>采购项目名称：</w:t>
      </w:r>
      <w:r>
        <w:rPr>
          <w:rFonts w:hint="eastAsia" w:ascii="宋体" w:hAnsi="宋体" w:cs="宋体"/>
          <w:color w:val="auto"/>
          <w:sz w:val="24"/>
          <w:highlight w:val="none"/>
          <w:u w:val="single"/>
        </w:rPr>
        <w:t xml:space="preserve"> </w:t>
      </w:r>
      <w:bookmarkStart w:id="90" w:name="PO_3000001868_PM002_8"/>
      <w:r>
        <w:rPr>
          <w:rFonts w:hint="eastAsia" w:ascii="宋体" w:hAnsi="宋体" w:cs="宋体"/>
          <w:color w:val="auto"/>
          <w:sz w:val="24"/>
          <w:highlight w:val="none"/>
          <w:u w:val="single"/>
        </w:rPr>
        <w:t>[项目名称]</w:t>
      </w:r>
      <w:bookmarkEnd w:id="90"/>
      <w:r>
        <w:rPr>
          <w:rFonts w:hint="eastAsia" w:ascii="宋体" w:hAnsi="宋体" w:cs="宋体"/>
          <w:color w:val="auto"/>
          <w:sz w:val="24"/>
          <w:highlight w:val="none"/>
          <w:u w:val="single"/>
        </w:rPr>
        <w:t xml:space="preserve"> </w:t>
      </w:r>
    </w:p>
    <w:p w14:paraId="1239EDE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分标号</w:t>
      </w:r>
      <w:r>
        <w:rPr>
          <w:rFonts w:hint="eastAsia" w:ascii="宋体" w:hAnsi="宋体" w:cs="宋体"/>
          <w:color w:val="auto"/>
          <w:szCs w:val="21"/>
          <w:highlight w:val="none"/>
        </w:rPr>
        <w:t>（此处有分标时填写具体分标号，无分标时填写“无”）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tbl>
      <w:tblPr>
        <w:tblStyle w:val="25"/>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7F61F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14:paraId="22C4434B">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3CCC1812">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竞争性磋商采购文件的商务需求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14:paraId="32461371">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3A1D2BD2">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偏离说明</w:t>
            </w:r>
          </w:p>
        </w:tc>
      </w:tr>
      <w:tr w14:paraId="2D55A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6DB70DC9">
            <w:pPr>
              <w:spacing w:line="340" w:lineRule="exact"/>
              <w:rPr>
                <w:rFonts w:ascii="宋体" w:hAnsi="宋体" w:cs="宋体"/>
                <w:color w:val="auto"/>
                <w:szCs w:val="21"/>
                <w:highlight w:val="none"/>
              </w:rPr>
            </w:pPr>
            <w:r>
              <w:rPr>
                <w:rFonts w:hint="eastAsia" w:ascii="宋体" w:hAnsi="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tcPr>
          <w:p w14:paraId="5D09346A">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14:paraId="5DBD22D4">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768DB94D">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4308DBA4">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14:paraId="2A974E31">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14:paraId="1E3C1110">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2C3F9B53">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518E3A6F">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14:paraId="7FF5D094">
            <w:pPr>
              <w:spacing w:line="300" w:lineRule="exact"/>
              <w:rPr>
                <w:rFonts w:ascii="宋体" w:hAnsi="宋体" w:cs="宋体"/>
                <w:color w:val="auto"/>
                <w:szCs w:val="21"/>
                <w:highlight w:val="none"/>
              </w:rPr>
            </w:pPr>
          </w:p>
        </w:tc>
      </w:tr>
      <w:tr w14:paraId="4D818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6E066A7E">
            <w:pPr>
              <w:spacing w:line="340" w:lineRule="exact"/>
              <w:rPr>
                <w:rFonts w:ascii="宋体" w:hAnsi="宋体" w:cs="宋体"/>
                <w:color w:val="auto"/>
                <w:szCs w:val="21"/>
                <w:highlight w:val="none"/>
              </w:rPr>
            </w:pPr>
            <w:r>
              <w:rPr>
                <w:rFonts w:hint="eastAsia" w:ascii="宋体" w:hAnsi="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tcPr>
          <w:p w14:paraId="2646E6AC">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14:paraId="50FEDD47">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01951837">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48A637EB">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14:paraId="0AB2D3DD">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14:paraId="0019EB61">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63219075">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2A9BF1B5">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14:paraId="59870C06">
            <w:pPr>
              <w:spacing w:line="300" w:lineRule="exact"/>
              <w:rPr>
                <w:rFonts w:ascii="宋体" w:hAnsi="宋体" w:cs="宋体"/>
                <w:color w:val="auto"/>
                <w:szCs w:val="21"/>
                <w:highlight w:val="none"/>
              </w:rPr>
            </w:pPr>
          </w:p>
        </w:tc>
      </w:tr>
      <w:tr w14:paraId="39BDD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14:paraId="5F60F537">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tcPr>
          <w:p w14:paraId="48089C77">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14:paraId="58FAD000">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1D8FB6AE">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7B8DAF42">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14:paraId="4165B6FF">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14:paraId="179CC034">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14:paraId="4A04C4AB">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14:paraId="0C3F5105">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14:paraId="3CF70A43">
            <w:pPr>
              <w:spacing w:line="300" w:lineRule="exact"/>
              <w:rPr>
                <w:rFonts w:ascii="宋体" w:hAnsi="宋体" w:cs="宋体"/>
                <w:color w:val="auto"/>
                <w:szCs w:val="21"/>
                <w:highlight w:val="none"/>
              </w:rPr>
            </w:pPr>
          </w:p>
        </w:tc>
      </w:tr>
    </w:tbl>
    <w:p w14:paraId="0B020843">
      <w:pPr>
        <w:pStyle w:val="13"/>
        <w:spacing w:line="400" w:lineRule="exact"/>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4B8E8322">
      <w:pPr>
        <w:pStyle w:val="13"/>
        <w:spacing w:line="400" w:lineRule="exact"/>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1.说明：应对照磋商文件“第二章 采购需求”中的商务条款逐条作出明确响应，并作出偏离说明。</w:t>
      </w:r>
    </w:p>
    <w:p w14:paraId="5ECC1875">
      <w:pPr>
        <w:pStyle w:val="13"/>
        <w:spacing w:line="400" w:lineRule="exact"/>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2826DD61">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3.表格内容均需按要求填写，不得留空，否则按竞标无效处理。</w:t>
      </w:r>
    </w:p>
    <w:p w14:paraId="09F9C1DC">
      <w:pPr>
        <w:pStyle w:val="16"/>
        <w:spacing w:line="400" w:lineRule="exact"/>
        <w:rPr>
          <w:rFonts w:hAnsi="宋体" w:cs="宋体"/>
          <w:color w:val="auto"/>
          <w:sz w:val="24"/>
          <w:highlight w:val="none"/>
        </w:rPr>
      </w:pPr>
      <w:r>
        <w:rPr>
          <w:rFonts w:hint="eastAsia" w:hAnsi="宋体" w:cs="宋体"/>
          <w:color w:val="auto"/>
          <w:sz w:val="24"/>
          <w:szCs w:val="24"/>
          <w:highlight w:val="none"/>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395F99BA">
      <w:pPr>
        <w:spacing w:line="360" w:lineRule="auto"/>
        <w:ind w:firstLine="3840" w:firstLineChars="1600"/>
        <w:rPr>
          <w:rFonts w:ascii="宋体" w:hAnsi="宋体" w:cs="宋体"/>
          <w:color w:val="auto"/>
          <w:sz w:val="24"/>
          <w:highlight w:val="none"/>
        </w:rPr>
      </w:pPr>
      <w:r>
        <w:rPr>
          <w:rFonts w:hint="eastAsia" w:ascii="宋体" w:hAnsi="宋体" w:cs="宋体"/>
          <w:color w:val="auto"/>
          <w:kern w:val="0"/>
          <w:sz w:val="24"/>
          <w:highlight w:val="none"/>
        </w:rPr>
        <w:t>供应商名称（电子签章）：</w:t>
      </w:r>
    </w:p>
    <w:p w14:paraId="3695CFE2">
      <w:pPr>
        <w:spacing w:line="360" w:lineRule="auto"/>
        <w:jc w:val="center"/>
        <w:rPr>
          <w:rFonts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14:paraId="2782E6FE">
      <w:pPr>
        <w:snapToGrid w:val="0"/>
        <w:spacing w:line="360" w:lineRule="auto"/>
        <w:ind w:firstLine="602" w:firstLineChars="200"/>
        <w:rPr>
          <w:rFonts w:ascii="宋体" w:hAnsi="宋体" w:cs="宋体"/>
          <w:b/>
          <w:color w:val="auto"/>
          <w:sz w:val="30"/>
          <w:szCs w:val="30"/>
          <w:highlight w:val="none"/>
        </w:rPr>
      </w:pPr>
    </w:p>
    <w:p w14:paraId="10D9D62B">
      <w:pPr>
        <w:snapToGrid w:val="0"/>
        <w:spacing w:line="360" w:lineRule="auto"/>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五、竞标人情况介绍</w:t>
      </w:r>
    </w:p>
    <w:p w14:paraId="3252E0C7">
      <w:pPr>
        <w:snapToGrid w:val="0"/>
        <w:spacing w:line="360" w:lineRule="auto"/>
        <w:ind w:firstLine="602" w:firstLineChars="200"/>
        <w:rPr>
          <w:rFonts w:ascii="宋体" w:hAnsi="宋体" w:cs="宋体"/>
          <w:b/>
          <w:color w:val="auto"/>
          <w:sz w:val="30"/>
          <w:szCs w:val="30"/>
          <w:highlight w:val="none"/>
        </w:rPr>
      </w:pPr>
    </w:p>
    <w:p w14:paraId="7A5A13E0">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01C1D730">
      <w:pPr>
        <w:autoSpaceDE w:val="0"/>
        <w:autoSpaceDN w:val="0"/>
        <w:spacing w:line="360" w:lineRule="auto"/>
        <w:ind w:firstLine="6480" w:firstLineChars="270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18A2171B">
      <w:pPr>
        <w:snapToGrid w:val="0"/>
        <w:spacing w:before="120" w:beforeLines="50" w:after="50"/>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六、供应商类似的业绩证明文件</w:t>
      </w:r>
    </w:p>
    <w:p w14:paraId="69C6062D">
      <w:pPr>
        <w:pStyle w:val="21"/>
        <w:snapToGrid w:val="0"/>
        <w:ind w:left="480" w:hanging="480"/>
        <w:rPr>
          <w:rFonts w:ascii="宋体" w:hAnsi="宋体" w:cs="宋体"/>
          <w:color w:val="auto"/>
          <w:sz w:val="24"/>
          <w:highlight w:val="none"/>
        </w:rPr>
      </w:pPr>
    </w:p>
    <w:tbl>
      <w:tblPr>
        <w:tblStyle w:val="25"/>
        <w:tblpPr w:leftFromText="180" w:rightFromText="180" w:vertAnchor="page" w:horzAnchor="margin" w:tblpXSpec="center" w:tblpY="4783"/>
        <w:tblW w:w="1031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3"/>
        <w:gridCol w:w="1842"/>
        <w:gridCol w:w="1134"/>
        <w:gridCol w:w="1134"/>
        <w:gridCol w:w="1700"/>
        <w:gridCol w:w="1276"/>
        <w:gridCol w:w="1841"/>
      </w:tblGrid>
      <w:tr w14:paraId="2E0BFB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383" w:type="dxa"/>
            <w:vMerge w:val="restart"/>
            <w:tcBorders>
              <w:top w:val="single" w:color="auto" w:sz="4" w:space="0"/>
              <w:left w:val="single" w:color="auto" w:sz="4" w:space="0"/>
              <w:bottom w:val="single" w:color="auto" w:sz="4" w:space="0"/>
              <w:right w:val="single" w:color="auto" w:sz="4" w:space="0"/>
            </w:tcBorders>
            <w:vAlign w:val="center"/>
          </w:tcPr>
          <w:p w14:paraId="343E6BB0">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采购人名称</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14:paraId="1BC57388">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620A4953">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合同</w:t>
            </w:r>
          </w:p>
          <w:p w14:paraId="67026C88">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金额</w:t>
            </w:r>
          </w:p>
          <w:p w14:paraId="0A45B127">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（万元）</w:t>
            </w:r>
          </w:p>
        </w:tc>
        <w:tc>
          <w:tcPr>
            <w:tcW w:w="4110" w:type="dxa"/>
            <w:gridSpan w:val="3"/>
            <w:tcBorders>
              <w:top w:val="single" w:color="auto" w:sz="4" w:space="0"/>
              <w:left w:val="single" w:color="auto" w:sz="4" w:space="0"/>
              <w:bottom w:val="single" w:color="auto" w:sz="4" w:space="0"/>
              <w:right w:val="single" w:color="auto" w:sz="4" w:space="0"/>
            </w:tcBorders>
            <w:vAlign w:val="center"/>
          </w:tcPr>
          <w:p w14:paraId="1D2AD9EA">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附件在响应文件中页码</w:t>
            </w:r>
          </w:p>
        </w:tc>
        <w:tc>
          <w:tcPr>
            <w:tcW w:w="1841" w:type="dxa"/>
            <w:vMerge w:val="restart"/>
            <w:tcBorders>
              <w:top w:val="single" w:color="auto" w:sz="4" w:space="0"/>
              <w:left w:val="single" w:color="auto" w:sz="4" w:space="0"/>
              <w:bottom w:val="single" w:color="auto" w:sz="4" w:space="0"/>
              <w:right w:val="single" w:color="auto" w:sz="4" w:space="0"/>
            </w:tcBorders>
            <w:vAlign w:val="center"/>
          </w:tcPr>
          <w:p w14:paraId="751700EC">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采购人联系人及联系电话</w:t>
            </w:r>
          </w:p>
        </w:tc>
      </w:tr>
      <w:tr w14:paraId="723C09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383" w:type="dxa"/>
            <w:vMerge w:val="continue"/>
            <w:tcBorders>
              <w:top w:val="single" w:color="auto" w:sz="4" w:space="0"/>
              <w:left w:val="single" w:color="auto" w:sz="4" w:space="0"/>
              <w:bottom w:val="single" w:color="auto" w:sz="4" w:space="0"/>
              <w:right w:val="single" w:color="auto" w:sz="4" w:space="0"/>
            </w:tcBorders>
            <w:vAlign w:val="center"/>
          </w:tcPr>
          <w:p w14:paraId="0694B36F">
            <w:pPr>
              <w:widowControl/>
              <w:jc w:val="left"/>
              <w:rPr>
                <w:rFonts w:ascii="宋体" w:hAnsi="宋体" w:cs="宋体"/>
                <w:color w:val="auto"/>
                <w:sz w:val="24"/>
                <w:highlight w:val="none"/>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14:paraId="2EA3C93B">
            <w:pPr>
              <w:widowControl/>
              <w:jc w:val="left"/>
              <w:rPr>
                <w:rFonts w:ascii="宋体" w:hAnsi="宋体" w:cs="宋体"/>
                <w:color w:val="auto"/>
                <w:sz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18A4CB0B">
            <w:pPr>
              <w:widowControl/>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7FEF304">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合同</w:t>
            </w:r>
          </w:p>
        </w:tc>
        <w:tc>
          <w:tcPr>
            <w:tcW w:w="1700" w:type="dxa"/>
            <w:tcBorders>
              <w:top w:val="single" w:color="auto" w:sz="4" w:space="0"/>
              <w:left w:val="single" w:color="auto" w:sz="4" w:space="0"/>
              <w:bottom w:val="single" w:color="auto" w:sz="4" w:space="0"/>
              <w:right w:val="single" w:color="auto" w:sz="4" w:space="0"/>
            </w:tcBorders>
            <w:vAlign w:val="center"/>
          </w:tcPr>
          <w:p w14:paraId="36B9F342">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验收报告</w:t>
            </w:r>
          </w:p>
        </w:tc>
        <w:tc>
          <w:tcPr>
            <w:tcW w:w="1276" w:type="dxa"/>
            <w:tcBorders>
              <w:top w:val="single" w:color="auto" w:sz="4" w:space="0"/>
              <w:left w:val="single" w:color="auto" w:sz="4" w:space="0"/>
              <w:bottom w:val="single" w:color="auto" w:sz="4" w:space="0"/>
              <w:right w:val="single" w:color="auto" w:sz="4" w:space="0"/>
            </w:tcBorders>
            <w:vAlign w:val="center"/>
          </w:tcPr>
          <w:p w14:paraId="6416B504">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用户评价</w:t>
            </w:r>
          </w:p>
        </w:tc>
        <w:tc>
          <w:tcPr>
            <w:tcW w:w="1841" w:type="dxa"/>
            <w:vMerge w:val="continue"/>
            <w:tcBorders>
              <w:top w:val="single" w:color="auto" w:sz="4" w:space="0"/>
              <w:left w:val="single" w:color="auto" w:sz="4" w:space="0"/>
              <w:bottom w:val="single" w:color="auto" w:sz="4" w:space="0"/>
              <w:right w:val="single" w:color="auto" w:sz="4" w:space="0"/>
            </w:tcBorders>
            <w:vAlign w:val="center"/>
          </w:tcPr>
          <w:p w14:paraId="750729E9">
            <w:pPr>
              <w:widowControl/>
              <w:jc w:val="left"/>
              <w:rPr>
                <w:rFonts w:ascii="宋体" w:hAnsi="宋体" w:cs="宋体"/>
                <w:color w:val="auto"/>
                <w:sz w:val="24"/>
                <w:highlight w:val="none"/>
              </w:rPr>
            </w:pPr>
          </w:p>
        </w:tc>
      </w:tr>
      <w:tr w14:paraId="0517A7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383" w:type="dxa"/>
            <w:tcBorders>
              <w:top w:val="single" w:color="auto" w:sz="4" w:space="0"/>
              <w:left w:val="single" w:color="auto" w:sz="4" w:space="0"/>
              <w:bottom w:val="single" w:color="auto" w:sz="4" w:space="0"/>
              <w:right w:val="single" w:color="auto" w:sz="4" w:space="0"/>
            </w:tcBorders>
          </w:tcPr>
          <w:p w14:paraId="33AF3D08">
            <w:pPr>
              <w:snapToGrid w:val="0"/>
              <w:spacing w:line="24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4D477536">
            <w:pPr>
              <w:snapToGrid w:val="0"/>
              <w:spacing w:line="24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291AAE55">
            <w:pPr>
              <w:snapToGrid w:val="0"/>
              <w:spacing w:line="24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16176911">
            <w:pPr>
              <w:snapToGrid w:val="0"/>
              <w:spacing w:line="240" w:lineRule="exact"/>
              <w:jc w:val="left"/>
              <w:rPr>
                <w:rFonts w:ascii="宋体" w:hAnsi="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tcPr>
          <w:p w14:paraId="6C6607A9">
            <w:pPr>
              <w:snapToGrid w:val="0"/>
              <w:spacing w:line="24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4804253E">
            <w:pPr>
              <w:snapToGrid w:val="0"/>
              <w:spacing w:line="240" w:lineRule="exact"/>
              <w:jc w:val="left"/>
              <w:rPr>
                <w:rFonts w:ascii="宋体" w:hAnsi="宋体" w:cs="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tcPr>
          <w:p w14:paraId="033813C8">
            <w:pPr>
              <w:snapToGrid w:val="0"/>
              <w:spacing w:line="240" w:lineRule="exact"/>
              <w:jc w:val="left"/>
              <w:rPr>
                <w:rFonts w:ascii="宋体" w:hAnsi="宋体" w:cs="宋体"/>
                <w:color w:val="auto"/>
                <w:sz w:val="24"/>
                <w:highlight w:val="none"/>
              </w:rPr>
            </w:pPr>
          </w:p>
        </w:tc>
      </w:tr>
      <w:tr w14:paraId="753AB7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14:paraId="54540014">
            <w:pPr>
              <w:snapToGrid w:val="0"/>
              <w:spacing w:before="50" w:after="120" w:afterLines="50" w:line="40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60B77065">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53DF1801">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5D2D0D46">
            <w:pPr>
              <w:snapToGrid w:val="0"/>
              <w:spacing w:before="50" w:after="120" w:afterLines="50" w:line="400" w:lineRule="exact"/>
              <w:jc w:val="left"/>
              <w:rPr>
                <w:rFonts w:ascii="宋体" w:hAnsi="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tcPr>
          <w:p w14:paraId="381D6413">
            <w:pPr>
              <w:snapToGrid w:val="0"/>
              <w:spacing w:before="50" w:after="120" w:afterLines="50" w:line="40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258049AC">
            <w:pPr>
              <w:snapToGrid w:val="0"/>
              <w:spacing w:before="50" w:after="120" w:afterLines="50" w:line="400" w:lineRule="exact"/>
              <w:jc w:val="left"/>
              <w:rPr>
                <w:rFonts w:ascii="宋体" w:hAnsi="宋体" w:cs="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tcPr>
          <w:p w14:paraId="69C048CF">
            <w:pPr>
              <w:snapToGrid w:val="0"/>
              <w:spacing w:before="50" w:after="120" w:afterLines="50" w:line="400" w:lineRule="exact"/>
              <w:jc w:val="left"/>
              <w:rPr>
                <w:rFonts w:ascii="宋体" w:hAnsi="宋体" w:cs="宋体"/>
                <w:color w:val="auto"/>
                <w:sz w:val="24"/>
                <w:highlight w:val="none"/>
              </w:rPr>
            </w:pPr>
          </w:p>
        </w:tc>
      </w:tr>
      <w:tr w14:paraId="1ADA42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83" w:type="dxa"/>
            <w:tcBorders>
              <w:top w:val="single" w:color="auto" w:sz="4" w:space="0"/>
              <w:left w:val="single" w:color="auto" w:sz="4" w:space="0"/>
              <w:bottom w:val="single" w:color="auto" w:sz="4" w:space="0"/>
              <w:right w:val="single" w:color="auto" w:sz="4" w:space="0"/>
            </w:tcBorders>
          </w:tcPr>
          <w:p w14:paraId="3FCD0CA6">
            <w:pPr>
              <w:snapToGrid w:val="0"/>
              <w:spacing w:before="50" w:after="120" w:afterLines="50" w:line="40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4489635D">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36F49D6C">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19788306">
            <w:pPr>
              <w:snapToGrid w:val="0"/>
              <w:spacing w:before="50" w:after="120" w:afterLines="50" w:line="400" w:lineRule="exact"/>
              <w:jc w:val="left"/>
              <w:rPr>
                <w:rFonts w:ascii="宋体" w:hAnsi="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tcPr>
          <w:p w14:paraId="3302FE81">
            <w:pPr>
              <w:snapToGrid w:val="0"/>
              <w:spacing w:before="50" w:after="120" w:afterLines="50" w:line="40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35701157">
            <w:pPr>
              <w:snapToGrid w:val="0"/>
              <w:spacing w:before="50" w:after="120" w:afterLines="50" w:line="400" w:lineRule="exact"/>
              <w:jc w:val="left"/>
              <w:rPr>
                <w:rFonts w:ascii="宋体" w:hAnsi="宋体" w:cs="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tcPr>
          <w:p w14:paraId="74612CCE">
            <w:pPr>
              <w:snapToGrid w:val="0"/>
              <w:spacing w:before="50" w:after="120" w:afterLines="50" w:line="400" w:lineRule="exact"/>
              <w:jc w:val="left"/>
              <w:rPr>
                <w:rFonts w:ascii="宋体" w:hAnsi="宋体" w:cs="宋体"/>
                <w:color w:val="auto"/>
                <w:sz w:val="24"/>
                <w:highlight w:val="none"/>
              </w:rPr>
            </w:pPr>
          </w:p>
        </w:tc>
      </w:tr>
      <w:tr w14:paraId="645E03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14:paraId="6079DEC3">
            <w:pPr>
              <w:snapToGrid w:val="0"/>
              <w:spacing w:before="50" w:after="120" w:afterLines="50" w:line="40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6B0A424F">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403B7980">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514664A0">
            <w:pPr>
              <w:snapToGrid w:val="0"/>
              <w:spacing w:before="50" w:after="120" w:afterLines="50" w:line="400" w:lineRule="exact"/>
              <w:jc w:val="left"/>
              <w:rPr>
                <w:rFonts w:ascii="宋体" w:hAnsi="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tcPr>
          <w:p w14:paraId="6C22DB94">
            <w:pPr>
              <w:snapToGrid w:val="0"/>
              <w:spacing w:before="50" w:after="120" w:afterLines="50" w:line="40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6A93A54D">
            <w:pPr>
              <w:snapToGrid w:val="0"/>
              <w:spacing w:before="50" w:after="120" w:afterLines="50" w:line="400" w:lineRule="exact"/>
              <w:jc w:val="left"/>
              <w:rPr>
                <w:rFonts w:ascii="宋体" w:hAnsi="宋体" w:cs="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tcPr>
          <w:p w14:paraId="63389549">
            <w:pPr>
              <w:snapToGrid w:val="0"/>
              <w:spacing w:before="50" w:after="120" w:afterLines="50" w:line="400" w:lineRule="exact"/>
              <w:jc w:val="left"/>
              <w:rPr>
                <w:rFonts w:ascii="宋体" w:hAnsi="宋体" w:cs="宋体"/>
                <w:color w:val="auto"/>
                <w:sz w:val="24"/>
                <w:highlight w:val="none"/>
              </w:rPr>
            </w:pPr>
          </w:p>
        </w:tc>
      </w:tr>
      <w:tr w14:paraId="01DC83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14:paraId="52ED10F0">
            <w:pPr>
              <w:snapToGrid w:val="0"/>
              <w:spacing w:before="50" w:after="120" w:afterLines="50" w:line="40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02974126">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3287330A">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4305BACC">
            <w:pPr>
              <w:snapToGrid w:val="0"/>
              <w:spacing w:before="50" w:after="120" w:afterLines="50" w:line="400" w:lineRule="exact"/>
              <w:jc w:val="left"/>
              <w:rPr>
                <w:rFonts w:ascii="宋体" w:hAnsi="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tcPr>
          <w:p w14:paraId="5687FFC9">
            <w:pPr>
              <w:snapToGrid w:val="0"/>
              <w:spacing w:before="50" w:after="120" w:afterLines="50" w:line="40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395322D1">
            <w:pPr>
              <w:snapToGrid w:val="0"/>
              <w:spacing w:before="50" w:after="120" w:afterLines="50" w:line="400" w:lineRule="exact"/>
              <w:jc w:val="left"/>
              <w:rPr>
                <w:rFonts w:ascii="宋体" w:hAnsi="宋体" w:cs="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tcPr>
          <w:p w14:paraId="10378AA7">
            <w:pPr>
              <w:snapToGrid w:val="0"/>
              <w:spacing w:before="50" w:after="120" w:afterLines="50" w:line="400" w:lineRule="exact"/>
              <w:jc w:val="left"/>
              <w:rPr>
                <w:rFonts w:ascii="宋体" w:hAnsi="宋体" w:cs="宋体"/>
                <w:color w:val="auto"/>
                <w:sz w:val="24"/>
                <w:highlight w:val="none"/>
              </w:rPr>
            </w:pPr>
          </w:p>
        </w:tc>
      </w:tr>
    </w:tbl>
    <w:p w14:paraId="60D68AF5">
      <w:pPr>
        <w:pStyle w:val="21"/>
        <w:snapToGrid w:val="0"/>
        <w:ind w:left="480" w:hanging="480"/>
        <w:rPr>
          <w:rFonts w:ascii="宋体" w:hAnsi="宋体" w:cs="宋体"/>
          <w:color w:val="auto"/>
          <w:sz w:val="24"/>
          <w:highlight w:val="none"/>
        </w:rPr>
      </w:pPr>
    </w:p>
    <w:p w14:paraId="6BFD95F8">
      <w:pPr>
        <w:pStyle w:val="21"/>
        <w:snapToGrid w:val="0"/>
        <w:ind w:left="480" w:hanging="480"/>
        <w:rPr>
          <w:rFonts w:ascii="宋体" w:hAnsi="宋体" w:cs="宋体"/>
          <w:color w:val="auto"/>
          <w:sz w:val="24"/>
          <w:highlight w:val="none"/>
        </w:rPr>
      </w:pPr>
    </w:p>
    <w:p w14:paraId="50892CDF">
      <w:pPr>
        <w:autoSpaceDE w:val="0"/>
        <w:autoSpaceDN w:val="0"/>
        <w:spacing w:line="360" w:lineRule="auto"/>
        <w:ind w:firstLine="120"/>
        <w:rPr>
          <w:rFonts w:ascii="宋体" w:hAnsi="宋体" w:cs="宋体"/>
          <w:color w:val="auto"/>
          <w:sz w:val="24"/>
          <w:highlight w:val="none"/>
        </w:rPr>
      </w:pPr>
      <w:r>
        <w:rPr>
          <w:rFonts w:hint="eastAsia" w:ascii="宋体" w:hAnsi="宋体" w:cs="宋体"/>
          <w:b/>
          <w:color w:val="auto"/>
          <w:sz w:val="24"/>
          <w:highlight w:val="none"/>
        </w:rPr>
        <w:t>附表 :相关项目业绩一览表（供应商同类项目合同复印件、用户验收报告、用户评价意见格式自拟）</w:t>
      </w:r>
    </w:p>
    <w:p w14:paraId="115B3430">
      <w:pPr>
        <w:pStyle w:val="16"/>
        <w:spacing w:line="360" w:lineRule="auto"/>
        <w:ind w:left="72"/>
        <w:rPr>
          <w:rFonts w:hAnsi="宋体" w:cs="宋体"/>
          <w:color w:val="auto"/>
          <w:highlight w:val="none"/>
        </w:rPr>
      </w:pPr>
      <w:r>
        <w:rPr>
          <w:rFonts w:hint="eastAsia" w:hAnsi="宋体" w:cs="宋体"/>
          <w:color w:val="auto"/>
          <w:highlight w:val="none"/>
        </w:rPr>
        <w:t>注：供应商可按上述的格式自行编制，须随表提交相应的合同复印件和用户单位验收证明并注明所在供应商商务技术文件页码。</w:t>
      </w:r>
    </w:p>
    <w:p w14:paraId="6E9687B0">
      <w:pPr>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793A2E6E">
      <w:pPr>
        <w:snapToGrid w:val="0"/>
        <w:spacing w:line="360" w:lineRule="auto"/>
        <w:ind w:firstLine="4935" w:firstLineChars="2350"/>
        <w:rPr>
          <w:rFonts w:ascii="宋体" w:hAnsi="宋体" w:cs="宋体"/>
          <w:color w:val="auto"/>
          <w:szCs w:val="21"/>
          <w:highlight w:val="none"/>
        </w:rPr>
      </w:pPr>
    </w:p>
    <w:p w14:paraId="39162962">
      <w:pPr>
        <w:snapToGrid w:val="0"/>
        <w:spacing w:line="360" w:lineRule="auto"/>
        <w:ind w:left="4410" w:leftChars="2100" w:firstLine="5670" w:firstLineChars="270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供应商名称(电子签章)：</w:t>
      </w:r>
    </w:p>
    <w:p w14:paraId="3B238251">
      <w:pPr>
        <w:spacing w:line="500" w:lineRule="exact"/>
        <w:jc w:val="center"/>
        <w:rPr>
          <w:rFonts w:ascii="宋体" w:hAnsi="宋体" w:cs="宋体"/>
          <w:color w:val="auto"/>
          <w:sz w:val="32"/>
          <w:szCs w:val="32"/>
          <w:highlight w:val="none"/>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D9FA923">
      <w:pPr>
        <w:widowControl/>
        <w:jc w:val="left"/>
        <w:rPr>
          <w:rFonts w:ascii="宋体" w:hAnsi="宋体" w:cs="宋体"/>
          <w:color w:val="auto"/>
          <w:sz w:val="32"/>
          <w:szCs w:val="32"/>
          <w:highlight w:val="none"/>
        </w:rPr>
        <w:sectPr>
          <w:pgSz w:w="11910" w:h="16840"/>
          <w:pgMar w:top="1340" w:right="1500" w:bottom="280" w:left="1680" w:header="720" w:footer="720" w:gutter="0"/>
          <w:cols w:space="720" w:num="1"/>
        </w:sectPr>
      </w:pPr>
    </w:p>
    <w:p w14:paraId="4423F7F5">
      <w:pPr>
        <w:snapToGrid w:val="0"/>
        <w:spacing w:line="360" w:lineRule="auto"/>
        <w:ind w:firstLine="602" w:firstLineChars="200"/>
        <w:rPr>
          <w:rFonts w:ascii="宋体" w:hAnsi="宋体" w:cs="宋体"/>
          <w:color w:val="auto"/>
          <w:sz w:val="32"/>
          <w:szCs w:val="32"/>
          <w:highlight w:val="none"/>
        </w:rPr>
      </w:pPr>
      <w:r>
        <w:rPr>
          <w:rFonts w:hint="eastAsia" w:ascii="宋体" w:hAnsi="宋体" w:cs="宋体"/>
          <w:b/>
          <w:color w:val="auto"/>
          <w:sz w:val="30"/>
          <w:szCs w:val="30"/>
          <w:highlight w:val="none"/>
        </w:rPr>
        <w:t>七、服务需求偏离表</w:t>
      </w:r>
    </w:p>
    <w:p w14:paraId="4CB297E6">
      <w:pPr>
        <w:spacing w:line="500" w:lineRule="exact"/>
        <w:jc w:val="center"/>
        <w:rPr>
          <w:rFonts w:ascii="宋体" w:hAnsi="宋体" w:cs="宋体"/>
          <w:bCs/>
          <w:color w:val="auto"/>
          <w:sz w:val="44"/>
          <w:szCs w:val="44"/>
          <w:highlight w:val="none"/>
        </w:rPr>
      </w:pPr>
      <w:r>
        <w:rPr>
          <w:rFonts w:hint="eastAsia" w:ascii="宋体" w:hAnsi="宋体" w:cs="宋体"/>
          <w:bCs/>
          <w:color w:val="auto"/>
          <w:sz w:val="44"/>
          <w:szCs w:val="44"/>
          <w:highlight w:val="none"/>
        </w:rPr>
        <w:t>竞标产品服务需求偏离表</w:t>
      </w:r>
    </w:p>
    <w:p w14:paraId="5421C526">
      <w:pPr>
        <w:spacing w:line="500" w:lineRule="exact"/>
        <w:jc w:val="center"/>
        <w:rPr>
          <w:rFonts w:ascii="宋体" w:hAnsi="宋体" w:cs="宋体"/>
          <w:b/>
          <w:color w:val="auto"/>
          <w:sz w:val="32"/>
          <w:szCs w:val="32"/>
          <w:highlight w:val="none"/>
        </w:rPr>
      </w:pPr>
      <w:r>
        <w:rPr>
          <w:rFonts w:hint="eastAsia" w:ascii="宋体" w:hAnsi="宋体" w:cs="宋体"/>
          <w:bCs/>
          <w:color w:val="auto"/>
          <w:sz w:val="44"/>
          <w:szCs w:val="44"/>
          <w:highlight w:val="none"/>
        </w:rPr>
        <w:t>(注：按采购需求具体条款修改)</w:t>
      </w:r>
    </w:p>
    <w:p w14:paraId="755A689B">
      <w:pPr>
        <w:spacing w:line="360" w:lineRule="auto"/>
        <w:jc w:val="left"/>
        <w:rPr>
          <w:rFonts w:ascii="宋体" w:hAnsi="宋体" w:cs="宋体"/>
          <w:color w:val="auto"/>
          <w:sz w:val="24"/>
          <w:highlight w:val="none"/>
        </w:rPr>
      </w:pPr>
    </w:p>
    <w:p w14:paraId="09550476">
      <w:pPr>
        <w:pStyle w:val="16"/>
        <w:spacing w:line="360" w:lineRule="auto"/>
        <w:rPr>
          <w:rFonts w:hAnsi="宋体" w:cs="宋体"/>
          <w:color w:val="auto"/>
          <w:sz w:val="24"/>
          <w:szCs w:val="24"/>
          <w:highlight w:val="none"/>
        </w:rPr>
      </w:pPr>
      <w:r>
        <w:rPr>
          <w:rFonts w:hint="eastAsia" w:hAnsi="宋体" w:cs="宋体"/>
          <w:color w:val="auto"/>
          <w:sz w:val="24"/>
          <w:szCs w:val="24"/>
          <w:highlight w:val="none"/>
        </w:rPr>
        <w:t>所竞分标：</w:t>
      </w:r>
      <w:r>
        <w:rPr>
          <w:rFonts w:hint="eastAsia" w:hAnsi="宋体" w:cs="宋体"/>
          <w:color w:val="auto"/>
          <w:sz w:val="24"/>
          <w:szCs w:val="24"/>
          <w:highlight w:val="none"/>
          <w:u w:val="single"/>
        </w:rPr>
        <w:t xml:space="preserve">              </w:t>
      </w:r>
    </w:p>
    <w:tbl>
      <w:tblPr>
        <w:tblStyle w:val="25"/>
        <w:tblW w:w="8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143"/>
        <w:gridCol w:w="736"/>
        <w:gridCol w:w="1577"/>
        <w:gridCol w:w="1141"/>
        <w:gridCol w:w="658"/>
        <w:gridCol w:w="1147"/>
        <w:gridCol w:w="1096"/>
      </w:tblGrid>
      <w:tr w14:paraId="19CAC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2" w:type="dxa"/>
            <w:vMerge w:val="restart"/>
            <w:tcBorders>
              <w:top w:val="single" w:color="auto" w:sz="4" w:space="0"/>
              <w:left w:val="single" w:color="auto" w:sz="4" w:space="0"/>
              <w:bottom w:val="single" w:color="auto" w:sz="4" w:space="0"/>
              <w:right w:val="single" w:color="auto" w:sz="4" w:space="0"/>
            </w:tcBorders>
            <w:vAlign w:val="center"/>
          </w:tcPr>
          <w:p w14:paraId="1533FD13">
            <w:pPr>
              <w:rPr>
                <w:rFonts w:ascii="宋体" w:hAnsi="宋体" w:cs="宋体"/>
                <w:color w:val="auto"/>
                <w:szCs w:val="21"/>
                <w:highlight w:val="none"/>
              </w:rPr>
            </w:pPr>
            <w:r>
              <w:rPr>
                <w:rFonts w:hint="eastAsia" w:ascii="宋体" w:hAnsi="宋体" w:cs="宋体"/>
                <w:color w:val="auto"/>
                <w:szCs w:val="21"/>
                <w:highlight w:val="none"/>
              </w:rPr>
              <w:t>项号</w:t>
            </w:r>
          </w:p>
        </w:tc>
        <w:tc>
          <w:tcPr>
            <w:tcW w:w="3456" w:type="dxa"/>
            <w:gridSpan w:val="3"/>
            <w:tcBorders>
              <w:top w:val="single" w:color="auto" w:sz="4" w:space="0"/>
              <w:left w:val="single" w:color="auto" w:sz="4" w:space="0"/>
              <w:bottom w:val="single" w:color="auto" w:sz="4" w:space="0"/>
              <w:right w:val="single" w:color="auto" w:sz="4" w:space="0"/>
            </w:tcBorders>
            <w:vAlign w:val="center"/>
          </w:tcPr>
          <w:p w14:paraId="069CEBAE">
            <w:pPr>
              <w:jc w:val="center"/>
              <w:rPr>
                <w:rFonts w:ascii="宋体" w:hAnsi="宋体" w:cs="宋体"/>
                <w:color w:val="auto"/>
                <w:szCs w:val="21"/>
                <w:highlight w:val="none"/>
              </w:rPr>
            </w:pPr>
            <w:r>
              <w:rPr>
                <w:rFonts w:hint="eastAsia" w:ascii="宋体" w:hAnsi="宋体" w:cs="宋体"/>
                <w:color w:val="auto"/>
                <w:szCs w:val="21"/>
                <w:highlight w:val="none"/>
              </w:rPr>
              <w:t>竞争性磋商采购文件需求</w:t>
            </w:r>
          </w:p>
        </w:tc>
        <w:tc>
          <w:tcPr>
            <w:tcW w:w="2946" w:type="dxa"/>
            <w:gridSpan w:val="3"/>
            <w:tcBorders>
              <w:top w:val="single" w:color="auto" w:sz="4" w:space="0"/>
              <w:left w:val="single" w:color="auto" w:sz="4" w:space="0"/>
              <w:bottom w:val="single" w:color="auto" w:sz="4" w:space="0"/>
              <w:right w:val="single" w:color="auto" w:sz="4" w:space="0"/>
            </w:tcBorders>
            <w:vAlign w:val="center"/>
          </w:tcPr>
          <w:p w14:paraId="2BACDA8D">
            <w:pPr>
              <w:jc w:val="center"/>
              <w:rPr>
                <w:rFonts w:ascii="宋体" w:hAnsi="宋体" w:cs="宋体"/>
                <w:color w:val="auto"/>
                <w:szCs w:val="21"/>
                <w:highlight w:val="none"/>
              </w:rPr>
            </w:pPr>
            <w:r>
              <w:rPr>
                <w:rFonts w:hint="eastAsia" w:ascii="宋体" w:hAnsi="宋体" w:cs="宋体"/>
                <w:color w:val="auto"/>
                <w:szCs w:val="21"/>
                <w:highlight w:val="none"/>
              </w:rPr>
              <w:t>响应文件承诺</w:t>
            </w:r>
          </w:p>
        </w:tc>
        <w:tc>
          <w:tcPr>
            <w:tcW w:w="1096" w:type="dxa"/>
            <w:vMerge w:val="restart"/>
            <w:tcBorders>
              <w:top w:val="single" w:color="auto" w:sz="4" w:space="0"/>
              <w:left w:val="single" w:color="auto" w:sz="4" w:space="0"/>
              <w:bottom w:val="single" w:color="auto" w:sz="4" w:space="0"/>
              <w:right w:val="single" w:color="auto" w:sz="4" w:space="0"/>
            </w:tcBorders>
            <w:vAlign w:val="center"/>
          </w:tcPr>
          <w:p w14:paraId="6B024EDE">
            <w:pPr>
              <w:rPr>
                <w:rFonts w:ascii="宋体" w:hAnsi="宋体" w:cs="宋体"/>
                <w:color w:val="auto"/>
                <w:szCs w:val="21"/>
                <w:highlight w:val="none"/>
              </w:rPr>
            </w:pPr>
            <w:r>
              <w:rPr>
                <w:rFonts w:hint="eastAsia" w:ascii="宋体" w:hAnsi="宋体" w:cs="宋体"/>
                <w:color w:val="auto"/>
                <w:szCs w:val="21"/>
                <w:highlight w:val="none"/>
              </w:rPr>
              <w:t>偏离说明</w:t>
            </w:r>
          </w:p>
        </w:tc>
      </w:tr>
      <w:tr w14:paraId="284B1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2" w:type="dxa"/>
            <w:vMerge w:val="continue"/>
            <w:tcBorders>
              <w:top w:val="single" w:color="auto" w:sz="4" w:space="0"/>
              <w:left w:val="single" w:color="auto" w:sz="4" w:space="0"/>
              <w:bottom w:val="single" w:color="auto" w:sz="4" w:space="0"/>
              <w:right w:val="single" w:color="auto" w:sz="4" w:space="0"/>
            </w:tcBorders>
            <w:vAlign w:val="center"/>
          </w:tcPr>
          <w:p w14:paraId="3B8C4FF2">
            <w:pPr>
              <w:widowControl/>
              <w:jc w:val="left"/>
              <w:rPr>
                <w:rFonts w:ascii="宋体" w:hAnsi="宋体" w:cs="宋体"/>
                <w:color w:val="auto"/>
                <w:szCs w:val="21"/>
                <w:highlight w:val="none"/>
              </w:rPr>
            </w:pPr>
          </w:p>
        </w:tc>
        <w:tc>
          <w:tcPr>
            <w:tcW w:w="1143" w:type="dxa"/>
            <w:tcBorders>
              <w:top w:val="single" w:color="auto" w:sz="4" w:space="0"/>
              <w:left w:val="single" w:color="auto" w:sz="4" w:space="0"/>
              <w:bottom w:val="single" w:color="auto" w:sz="4" w:space="0"/>
              <w:right w:val="single" w:color="auto" w:sz="4" w:space="0"/>
            </w:tcBorders>
            <w:vAlign w:val="center"/>
          </w:tcPr>
          <w:p w14:paraId="6B6ED909">
            <w:pPr>
              <w:rPr>
                <w:rFonts w:ascii="宋体" w:hAnsi="宋体" w:cs="宋体"/>
                <w:color w:val="auto"/>
                <w:szCs w:val="21"/>
                <w:highlight w:val="none"/>
              </w:rPr>
            </w:pPr>
            <w:r>
              <w:rPr>
                <w:rFonts w:hint="eastAsia" w:ascii="宋体" w:hAnsi="宋体" w:cs="宋体"/>
                <w:color w:val="auto"/>
                <w:szCs w:val="21"/>
                <w:highlight w:val="none"/>
              </w:rPr>
              <w:t>服务名称</w:t>
            </w:r>
          </w:p>
        </w:tc>
        <w:tc>
          <w:tcPr>
            <w:tcW w:w="736" w:type="dxa"/>
            <w:tcBorders>
              <w:top w:val="single" w:color="auto" w:sz="4" w:space="0"/>
              <w:left w:val="single" w:color="auto" w:sz="4" w:space="0"/>
              <w:bottom w:val="single" w:color="auto" w:sz="4" w:space="0"/>
              <w:right w:val="single" w:color="auto" w:sz="4" w:space="0"/>
            </w:tcBorders>
            <w:vAlign w:val="center"/>
          </w:tcPr>
          <w:p w14:paraId="538396F2">
            <w:pPr>
              <w:rPr>
                <w:rFonts w:ascii="宋体" w:hAnsi="宋体" w:cs="宋体"/>
                <w:color w:val="auto"/>
                <w:szCs w:val="21"/>
                <w:highlight w:val="none"/>
              </w:rPr>
            </w:pPr>
            <w:r>
              <w:rPr>
                <w:rFonts w:hint="eastAsia" w:ascii="宋体" w:hAnsi="宋体" w:cs="宋体"/>
                <w:color w:val="auto"/>
                <w:szCs w:val="21"/>
                <w:highlight w:val="none"/>
              </w:rPr>
              <w:t>数量</w:t>
            </w:r>
          </w:p>
        </w:tc>
        <w:tc>
          <w:tcPr>
            <w:tcW w:w="1577" w:type="dxa"/>
            <w:tcBorders>
              <w:top w:val="single" w:color="auto" w:sz="4" w:space="0"/>
              <w:left w:val="single" w:color="auto" w:sz="4" w:space="0"/>
              <w:bottom w:val="single" w:color="auto" w:sz="4" w:space="0"/>
              <w:right w:val="single" w:color="auto" w:sz="4" w:space="0"/>
            </w:tcBorders>
            <w:vAlign w:val="center"/>
          </w:tcPr>
          <w:p w14:paraId="7D8F3230">
            <w:pPr>
              <w:rPr>
                <w:rFonts w:ascii="宋体" w:hAnsi="宋体" w:cs="宋体"/>
                <w:color w:val="auto"/>
                <w:szCs w:val="21"/>
                <w:highlight w:val="none"/>
              </w:rPr>
            </w:pPr>
            <w:r>
              <w:rPr>
                <w:rFonts w:hint="eastAsia" w:ascii="宋体" w:hAnsi="宋体" w:cs="宋体"/>
                <w:color w:val="auto"/>
                <w:szCs w:val="21"/>
                <w:highlight w:val="none"/>
              </w:rPr>
              <w:t>服务参数要求</w:t>
            </w:r>
          </w:p>
        </w:tc>
        <w:tc>
          <w:tcPr>
            <w:tcW w:w="1141" w:type="dxa"/>
            <w:tcBorders>
              <w:top w:val="single" w:color="auto" w:sz="4" w:space="0"/>
              <w:left w:val="single" w:color="auto" w:sz="4" w:space="0"/>
              <w:bottom w:val="single" w:color="auto" w:sz="4" w:space="0"/>
              <w:right w:val="single" w:color="auto" w:sz="4" w:space="0"/>
            </w:tcBorders>
            <w:vAlign w:val="center"/>
          </w:tcPr>
          <w:p w14:paraId="74595C10">
            <w:pPr>
              <w:rPr>
                <w:rFonts w:ascii="宋体" w:hAnsi="宋体" w:cs="宋体"/>
                <w:color w:val="auto"/>
                <w:szCs w:val="21"/>
                <w:highlight w:val="none"/>
              </w:rPr>
            </w:pPr>
            <w:r>
              <w:rPr>
                <w:rFonts w:hint="eastAsia" w:ascii="宋体" w:hAnsi="宋体" w:cs="宋体"/>
                <w:color w:val="auto"/>
                <w:szCs w:val="21"/>
                <w:highlight w:val="none"/>
              </w:rPr>
              <w:t>服务名称</w:t>
            </w:r>
          </w:p>
        </w:tc>
        <w:tc>
          <w:tcPr>
            <w:tcW w:w="658" w:type="dxa"/>
            <w:tcBorders>
              <w:top w:val="single" w:color="auto" w:sz="4" w:space="0"/>
              <w:left w:val="single" w:color="auto" w:sz="4" w:space="0"/>
              <w:bottom w:val="single" w:color="auto" w:sz="4" w:space="0"/>
              <w:right w:val="single" w:color="auto" w:sz="4" w:space="0"/>
            </w:tcBorders>
            <w:vAlign w:val="center"/>
          </w:tcPr>
          <w:p w14:paraId="4CD4670E">
            <w:pPr>
              <w:rPr>
                <w:rFonts w:ascii="宋体" w:hAnsi="宋体" w:cs="宋体"/>
                <w:color w:val="auto"/>
                <w:szCs w:val="21"/>
                <w:highlight w:val="none"/>
              </w:rPr>
            </w:pPr>
            <w:r>
              <w:rPr>
                <w:rFonts w:hint="eastAsia" w:ascii="宋体" w:hAnsi="宋体" w:cs="宋体"/>
                <w:color w:val="auto"/>
                <w:szCs w:val="21"/>
                <w:highlight w:val="none"/>
              </w:rPr>
              <w:t>数量</w:t>
            </w:r>
          </w:p>
        </w:tc>
        <w:tc>
          <w:tcPr>
            <w:tcW w:w="1147" w:type="dxa"/>
            <w:tcBorders>
              <w:top w:val="single" w:color="auto" w:sz="4" w:space="0"/>
              <w:left w:val="single" w:color="auto" w:sz="4" w:space="0"/>
              <w:bottom w:val="single" w:color="auto" w:sz="4" w:space="0"/>
              <w:right w:val="single" w:color="auto" w:sz="4" w:space="0"/>
            </w:tcBorders>
            <w:vAlign w:val="center"/>
          </w:tcPr>
          <w:p w14:paraId="218228E4">
            <w:pPr>
              <w:rPr>
                <w:rFonts w:ascii="宋体" w:hAnsi="宋体" w:cs="宋体"/>
                <w:color w:val="auto"/>
                <w:szCs w:val="21"/>
                <w:highlight w:val="none"/>
              </w:rPr>
            </w:pPr>
            <w:r>
              <w:rPr>
                <w:rFonts w:hint="eastAsia" w:ascii="宋体" w:hAnsi="宋体" w:cs="宋体"/>
                <w:color w:val="auto"/>
                <w:szCs w:val="21"/>
                <w:highlight w:val="none"/>
              </w:rPr>
              <w:t>服务参数</w:t>
            </w:r>
          </w:p>
        </w:tc>
        <w:tc>
          <w:tcPr>
            <w:tcW w:w="1096" w:type="dxa"/>
            <w:vMerge w:val="continue"/>
            <w:tcBorders>
              <w:top w:val="single" w:color="auto" w:sz="4" w:space="0"/>
              <w:left w:val="single" w:color="auto" w:sz="4" w:space="0"/>
              <w:bottom w:val="single" w:color="auto" w:sz="4" w:space="0"/>
              <w:right w:val="single" w:color="auto" w:sz="4" w:space="0"/>
            </w:tcBorders>
            <w:vAlign w:val="center"/>
          </w:tcPr>
          <w:p w14:paraId="788B3E91">
            <w:pPr>
              <w:widowControl/>
              <w:jc w:val="left"/>
              <w:rPr>
                <w:rFonts w:ascii="宋体" w:hAnsi="宋体" w:cs="宋体"/>
                <w:color w:val="auto"/>
                <w:szCs w:val="21"/>
                <w:highlight w:val="none"/>
              </w:rPr>
            </w:pPr>
          </w:p>
        </w:tc>
      </w:tr>
      <w:tr w14:paraId="76E89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449C7931">
            <w:pPr>
              <w:rPr>
                <w:rFonts w:ascii="宋体" w:hAnsi="宋体" w:cs="宋体"/>
                <w:color w:val="auto"/>
                <w:szCs w:val="21"/>
                <w:highlight w:val="none"/>
              </w:rPr>
            </w:pPr>
            <w:r>
              <w:rPr>
                <w:rFonts w:hint="eastAsia" w:ascii="宋体" w:hAnsi="宋体" w:cs="宋体"/>
                <w:color w:val="auto"/>
                <w:szCs w:val="21"/>
                <w:highlight w:val="none"/>
              </w:rPr>
              <w:t>1</w:t>
            </w:r>
          </w:p>
        </w:tc>
        <w:tc>
          <w:tcPr>
            <w:tcW w:w="1143" w:type="dxa"/>
            <w:tcBorders>
              <w:top w:val="single" w:color="auto" w:sz="4" w:space="0"/>
              <w:left w:val="single" w:color="auto" w:sz="4" w:space="0"/>
              <w:bottom w:val="single" w:color="auto" w:sz="4" w:space="0"/>
              <w:right w:val="single" w:color="auto" w:sz="4" w:space="0"/>
            </w:tcBorders>
            <w:vAlign w:val="center"/>
          </w:tcPr>
          <w:p w14:paraId="790112E1">
            <w:pPr>
              <w:rPr>
                <w:rFonts w:ascii="宋体" w:hAnsi="宋体" w:cs="宋体"/>
                <w:color w:val="auto"/>
                <w:szCs w:val="21"/>
                <w:highlight w:val="none"/>
              </w:rPr>
            </w:pPr>
            <w:r>
              <w:rPr>
                <w:rFonts w:hint="eastAsia" w:ascii="宋体" w:hAnsi="宋体" w:cs="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vAlign w:val="center"/>
          </w:tcPr>
          <w:p w14:paraId="6193AAA9">
            <w:pPr>
              <w:rPr>
                <w:rFonts w:ascii="宋体" w:hAnsi="宋体" w:cs="宋体"/>
                <w:color w:val="auto"/>
                <w:szCs w:val="21"/>
                <w:highlight w:val="none"/>
              </w:rPr>
            </w:pPr>
            <w:r>
              <w:rPr>
                <w:rFonts w:hint="eastAsia" w:ascii="宋体" w:hAnsi="宋体" w:cs="宋体"/>
                <w:color w:val="auto"/>
                <w:szCs w:val="21"/>
                <w:highlight w:val="none"/>
              </w:rPr>
              <w:t>…</w:t>
            </w:r>
          </w:p>
        </w:tc>
        <w:tc>
          <w:tcPr>
            <w:tcW w:w="1577" w:type="dxa"/>
            <w:tcBorders>
              <w:top w:val="single" w:color="auto" w:sz="4" w:space="0"/>
              <w:left w:val="single" w:color="auto" w:sz="4" w:space="0"/>
              <w:bottom w:val="single" w:color="auto" w:sz="4" w:space="0"/>
              <w:right w:val="single" w:color="auto" w:sz="4" w:space="0"/>
            </w:tcBorders>
            <w:vAlign w:val="center"/>
          </w:tcPr>
          <w:p w14:paraId="6A1EA1A2">
            <w:pPr>
              <w:rPr>
                <w:rFonts w:ascii="宋体" w:hAnsi="宋体" w:cs="宋体"/>
                <w:color w:val="auto"/>
                <w:szCs w:val="21"/>
                <w:highlight w:val="none"/>
              </w:rPr>
            </w:pPr>
            <w:r>
              <w:rPr>
                <w:rFonts w:hint="eastAsia" w:ascii="宋体" w:hAnsi="宋体" w:cs="宋体"/>
                <w:color w:val="auto"/>
                <w:szCs w:val="21"/>
                <w:highlight w:val="none"/>
              </w:rPr>
              <w:t>1  ……</w:t>
            </w:r>
          </w:p>
          <w:p w14:paraId="3FE71887">
            <w:pPr>
              <w:rPr>
                <w:rFonts w:ascii="宋体" w:hAnsi="宋体" w:cs="宋体"/>
                <w:color w:val="auto"/>
                <w:szCs w:val="21"/>
                <w:highlight w:val="none"/>
              </w:rPr>
            </w:pPr>
            <w:r>
              <w:rPr>
                <w:rFonts w:hint="eastAsia" w:ascii="宋体" w:hAnsi="宋体" w:cs="宋体"/>
                <w:color w:val="auto"/>
                <w:szCs w:val="21"/>
                <w:highlight w:val="none"/>
              </w:rPr>
              <w:t>2  ……</w:t>
            </w:r>
          </w:p>
          <w:p w14:paraId="3D7FA286">
            <w:pPr>
              <w:rPr>
                <w:rFonts w:ascii="宋体" w:hAnsi="宋体" w:cs="宋体"/>
                <w:color w:val="auto"/>
                <w:szCs w:val="21"/>
                <w:highlight w:val="none"/>
              </w:rPr>
            </w:pPr>
            <w:r>
              <w:rPr>
                <w:rFonts w:hint="eastAsia" w:ascii="宋体" w:hAnsi="宋体" w:cs="宋体"/>
                <w:color w:val="auto"/>
                <w:szCs w:val="21"/>
                <w:highlight w:val="none"/>
              </w:rPr>
              <w:t>3  ……</w:t>
            </w:r>
          </w:p>
          <w:p w14:paraId="3886E53F">
            <w:pPr>
              <w:rPr>
                <w:rFonts w:ascii="宋体" w:hAnsi="宋体" w:cs="宋体"/>
                <w:color w:val="auto"/>
                <w:szCs w:val="21"/>
                <w:highlight w:val="none"/>
              </w:rPr>
            </w:pPr>
            <w:r>
              <w:rPr>
                <w:rFonts w:hint="eastAsia" w:ascii="宋体" w:hAnsi="宋体" w:cs="宋体"/>
                <w:color w:val="auto"/>
                <w:szCs w:val="21"/>
                <w:highlight w:val="none"/>
              </w:rPr>
              <w:t>……</w:t>
            </w:r>
          </w:p>
        </w:tc>
        <w:tc>
          <w:tcPr>
            <w:tcW w:w="1141" w:type="dxa"/>
            <w:tcBorders>
              <w:top w:val="single" w:color="auto" w:sz="4" w:space="0"/>
              <w:left w:val="single" w:color="auto" w:sz="4" w:space="0"/>
              <w:bottom w:val="single" w:color="auto" w:sz="4" w:space="0"/>
              <w:right w:val="single" w:color="auto" w:sz="4" w:space="0"/>
            </w:tcBorders>
            <w:vAlign w:val="center"/>
          </w:tcPr>
          <w:p w14:paraId="30AD48A5">
            <w:pPr>
              <w:rPr>
                <w:rFonts w:ascii="宋体" w:hAnsi="宋体" w:cs="宋体"/>
                <w:color w:val="auto"/>
                <w:szCs w:val="21"/>
                <w:highlight w:val="none"/>
              </w:rPr>
            </w:pPr>
            <w:r>
              <w:rPr>
                <w:rFonts w:hint="eastAsia" w:ascii="宋体" w:hAnsi="宋体" w:cs="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vAlign w:val="center"/>
          </w:tcPr>
          <w:p w14:paraId="510DA368">
            <w:pPr>
              <w:rPr>
                <w:rFonts w:ascii="宋体" w:hAnsi="宋体" w:cs="宋体"/>
                <w:color w:val="auto"/>
                <w:szCs w:val="21"/>
                <w:highlight w:val="none"/>
              </w:rPr>
            </w:pPr>
            <w:r>
              <w:rPr>
                <w:rFonts w:hint="eastAsia" w:ascii="宋体" w:hAnsi="宋体" w:cs="宋体"/>
                <w:color w:val="auto"/>
                <w:szCs w:val="21"/>
                <w:highlight w:val="none"/>
              </w:rPr>
              <w:t>…</w:t>
            </w:r>
          </w:p>
        </w:tc>
        <w:tc>
          <w:tcPr>
            <w:tcW w:w="1147" w:type="dxa"/>
            <w:tcBorders>
              <w:top w:val="single" w:color="auto" w:sz="4" w:space="0"/>
              <w:left w:val="single" w:color="auto" w:sz="4" w:space="0"/>
              <w:bottom w:val="single" w:color="auto" w:sz="4" w:space="0"/>
              <w:right w:val="single" w:color="auto" w:sz="4" w:space="0"/>
            </w:tcBorders>
            <w:vAlign w:val="center"/>
          </w:tcPr>
          <w:p w14:paraId="59BE9048">
            <w:pPr>
              <w:rPr>
                <w:rFonts w:ascii="宋体" w:hAnsi="宋体" w:cs="宋体"/>
                <w:color w:val="auto"/>
                <w:szCs w:val="21"/>
                <w:highlight w:val="none"/>
              </w:rPr>
            </w:pPr>
            <w:r>
              <w:rPr>
                <w:rFonts w:hint="eastAsia" w:ascii="宋体" w:hAnsi="宋体" w:cs="宋体"/>
                <w:color w:val="auto"/>
                <w:szCs w:val="21"/>
                <w:highlight w:val="none"/>
              </w:rPr>
              <w:t>1  ……</w:t>
            </w:r>
          </w:p>
          <w:p w14:paraId="088AC287">
            <w:pPr>
              <w:rPr>
                <w:rFonts w:ascii="宋体" w:hAnsi="宋体" w:cs="宋体"/>
                <w:color w:val="auto"/>
                <w:szCs w:val="21"/>
                <w:highlight w:val="none"/>
              </w:rPr>
            </w:pPr>
            <w:r>
              <w:rPr>
                <w:rFonts w:hint="eastAsia" w:ascii="宋体" w:hAnsi="宋体" w:cs="宋体"/>
                <w:color w:val="auto"/>
                <w:szCs w:val="21"/>
                <w:highlight w:val="none"/>
              </w:rPr>
              <w:t>2  ……</w:t>
            </w:r>
          </w:p>
          <w:p w14:paraId="6009C39B">
            <w:pPr>
              <w:rPr>
                <w:rFonts w:ascii="宋体" w:hAnsi="宋体" w:cs="宋体"/>
                <w:color w:val="auto"/>
                <w:szCs w:val="21"/>
                <w:highlight w:val="none"/>
              </w:rPr>
            </w:pPr>
            <w:r>
              <w:rPr>
                <w:rFonts w:hint="eastAsia" w:ascii="宋体" w:hAnsi="宋体" w:cs="宋体"/>
                <w:color w:val="auto"/>
                <w:szCs w:val="21"/>
                <w:highlight w:val="none"/>
              </w:rPr>
              <w:t>3  ……</w:t>
            </w:r>
          </w:p>
          <w:p w14:paraId="4F7FBF7D">
            <w:pPr>
              <w:rPr>
                <w:rFonts w:ascii="宋体" w:hAnsi="宋体" w:cs="宋体"/>
                <w:color w:val="auto"/>
                <w:szCs w:val="21"/>
                <w:highlight w:val="none"/>
              </w:rPr>
            </w:pPr>
            <w:r>
              <w:rPr>
                <w:rFonts w:hint="eastAsia" w:ascii="宋体" w:hAnsi="宋体" w:cs="宋体"/>
                <w:color w:val="auto"/>
                <w:szCs w:val="21"/>
                <w:highlight w:val="none"/>
              </w:rPr>
              <w:t>……</w:t>
            </w:r>
          </w:p>
        </w:tc>
        <w:tc>
          <w:tcPr>
            <w:tcW w:w="1096" w:type="dxa"/>
            <w:tcBorders>
              <w:top w:val="single" w:color="auto" w:sz="4" w:space="0"/>
              <w:left w:val="single" w:color="auto" w:sz="4" w:space="0"/>
              <w:bottom w:val="single" w:color="auto" w:sz="4" w:space="0"/>
              <w:right w:val="single" w:color="auto" w:sz="4" w:space="0"/>
            </w:tcBorders>
            <w:vAlign w:val="center"/>
          </w:tcPr>
          <w:p w14:paraId="45C9B3E4">
            <w:pPr>
              <w:rPr>
                <w:rFonts w:ascii="宋体" w:hAnsi="宋体" w:cs="宋体"/>
                <w:color w:val="auto"/>
                <w:szCs w:val="21"/>
                <w:highlight w:val="none"/>
              </w:rPr>
            </w:pPr>
          </w:p>
        </w:tc>
      </w:tr>
      <w:tr w14:paraId="21D59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423F60AB">
            <w:pPr>
              <w:rPr>
                <w:rFonts w:ascii="宋体" w:hAnsi="宋体" w:cs="宋体"/>
                <w:color w:val="auto"/>
                <w:szCs w:val="21"/>
                <w:highlight w:val="none"/>
              </w:rPr>
            </w:pPr>
            <w:r>
              <w:rPr>
                <w:rFonts w:hint="eastAsia" w:ascii="宋体" w:hAnsi="宋体" w:cs="宋体"/>
                <w:color w:val="auto"/>
                <w:szCs w:val="21"/>
                <w:highlight w:val="none"/>
              </w:rPr>
              <w:t>2</w:t>
            </w:r>
          </w:p>
        </w:tc>
        <w:tc>
          <w:tcPr>
            <w:tcW w:w="1143" w:type="dxa"/>
            <w:tcBorders>
              <w:top w:val="single" w:color="auto" w:sz="4" w:space="0"/>
              <w:left w:val="single" w:color="auto" w:sz="4" w:space="0"/>
              <w:bottom w:val="single" w:color="auto" w:sz="4" w:space="0"/>
              <w:right w:val="single" w:color="auto" w:sz="4" w:space="0"/>
            </w:tcBorders>
            <w:vAlign w:val="center"/>
          </w:tcPr>
          <w:p w14:paraId="2FB1253D">
            <w:pPr>
              <w:rPr>
                <w:rFonts w:ascii="宋体" w:hAnsi="宋体" w:cs="宋体"/>
                <w:color w:val="auto"/>
                <w:szCs w:val="21"/>
                <w:highlight w:val="none"/>
              </w:rPr>
            </w:pPr>
            <w:r>
              <w:rPr>
                <w:rFonts w:hint="eastAsia" w:ascii="宋体" w:hAnsi="宋体" w:cs="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vAlign w:val="center"/>
          </w:tcPr>
          <w:p w14:paraId="32E779D7">
            <w:pPr>
              <w:rPr>
                <w:rFonts w:ascii="宋体" w:hAnsi="宋体" w:cs="宋体"/>
                <w:color w:val="auto"/>
                <w:szCs w:val="21"/>
                <w:highlight w:val="none"/>
              </w:rPr>
            </w:pPr>
            <w:r>
              <w:rPr>
                <w:rFonts w:hint="eastAsia" w:ascii="宋体" w:hAnsi="宋体" w:cs="宋体"/>
                <w:color w:val="auto"/>
                <w:szCs w:val="21"/>
                <w:highlight w:val="none"/>
              </w:rPr>
              <w:t>…</w:t>
            </w:r>
          </w:p>
        </w:tc>
        <w:tc>
          <w:tcPr>
            <w:tcW w:w="1577" w:type="dxa"/>
            <w:tcBorders>
              <w:top w:val="single" w:color="auto" w:sz="4" w:space="0"/>
              <w:left w:val="single" w:color="auto" w:sz="4" w:space="0"/>
              <w:bottom w:val="single" w:color="auto" w:sz="4" w:space="0"/>
              <w:right w:val="single" w:color="auto" w:sz="4" w:space="0"/>
            </w:tcBorders>
            <w:vAlign w:val="center"/>
          </w:tcPr>
          <w:p w14:paraId="5795EDD8">
            <w:pPr>
              <w:rPr>
                <w:rFonts w:ascii="宋体" w:hAnsi="宋体" w:cs="宋体"/>
                <w:color w:val="auto"/>
                <w:szCs w:val="21"/>
                <w:highlight w:val="none"/>
              </w:rPr>
            </w:pPr>
            <w:r>
              <w:rPr>
                <w:rFonts w:hint="eastAsia" w:ascii="宋体" w:hAnsi="宋体" w:cs="宋体"/>
                <w:color w:val="auto"/>
                <w:szCs w:val="21"/>
                <w:highlight w:val="none"/>
              </w:rPr>
              <w:t>1  ……</w:t>
            </w:r>
          </w:p>
          <w:p w14:paraId="70D4948C">
            <w:pPr>
              <w:rPr>
                <w:rFonts w:ascii="宋体" w:hAnsi="宋体" w:cs="宋体"/>
                <w:color w:val="auto"/>
                <w:szCs w:val="21"/>
                <w:highlight w:val="none"/>
              </w:rPr>
            </w:pPr>
            <w:r>
              <w:rPr>
                <w:rFonts w:hint="eastAsia" w:ascii="宋体" w:hAnsi="宋体" w:cs="宋体"/>
                <w:color w:val="auto"/>
                <w:szCs w:val="21"/>
                <w:highlight w:val="none"/>
              </w:rPr>
              <w:t>2  ……</w:t>
            </w:r>
          </w:p>
          <w:p w14:paraId="228398A9">
            <w:pPr>
              <w:rPr>
                <w:rFonts w:ascii="宋体" w:hAnsi="宋体" w:cs="宋体"/>
                <w:color w:val="auto"/>
                <w:szCs w:val="21"/>
                <w:highlight w:val="none"/>
              </w:rPr>
            </w:pPr>
            <w:r>
              <w:rPr>
                <w:rFonts w:hint="eastAsia" w:ascii="宋体" w:hAnsi="宋体" w:cs="宋体"/>
                <w:color w:val="auto"/>
                <w:szCs w:val="21"/>
                <w:highlight w:val="none"/>
              </w:rPr>
              <w:t>3  ……</w:t>
            </w:r>
          </w:p>
          <w:p w14:paraId="0DCE35CF">
            <w:pPr>
              <w:rPr>
                <w:rFonts w:ascii="宋体" w:hAnsi="宋体" w:cs="宋体"/>
                <w:color w:val="auto"/>
                <w:szCs w:val="21"/>
                <w:highlight w:val="none"/>
              </w:rPr>
            </w:pPr>
            <w:r>
              <w:rPr>
                <w:rFonts w:hint="eastAsia" w:ascii="宋体" w:hAnsi="宋体" w:cs="宋体"/>
                <w:color w:val="auto"/>
                <w:szCs w:val="21"/>
                <w:highlight w:val="none"/>
              </w:rPr>
              <w:t>……</w:t>
            </w:r>
          </w:p>
        </w:tc>
        <w:tc>
          <w:tcPr>
            <w:tcW w:w="1141" w:type="dxa"/>
            <w:tcBorders>
              <w:top w:val="single" w:color="auto" w:sz="4" w:space="0"/>
              <w:left w:val="single" w:color="auto" w:sz="4" w:space="0"/>
              <w:bottom w:val="single" w:color="auto" w:sz="4" w:space="0"/>
              <w:right w:val="single" w:color="auto" w:sz="4" w:space="0"/>
            </w:tcBorders>
            <w:vAlign w:val="center"/>
          </w:tcPr>
          <w:p w14:paraId="7A806A29">
            <w:pPr>
              <w:rPr>
                <w:rFonts w:ascii="宋体" w:hAnsi="宋体" w:cs="宋体"/>
                <w:color w:val="auto"/>
                <w:szCs w:val="21"/>
                <w:highlight w:val="none"/>
              </w:rPr>
            </w:pPr>
            <w:r>
              <w:rPr>
                <w:rFonts w:hint="eastAsia" w:ascii="宋体" w:hAnsi="宋体" w:cs="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vAlign w:val="center"/>
          </w:tcPr>
          <w:p w14:paraId="1EFD6986">
            <w:pPr>
              <w:rPr>
                <w:rFonts w:ascii="宋体" w:hAnsi="宋体" w:cs="宋体"/>
                <w:color w:val="auto"/>
                <w:szCs w:val="21"/>
                <w:highlight w:val="none"/>
              </w:rPr>
            </w:pPr>
            <w:r>
              <w:rPr>
                <w:rFonts w:hint="eastAsia" w:ascii="宋体" w:hAnsi="宋体" w:cs="宋体"/>
                <w:color w:val="auto"/>
                <w:szCs w:val="21"/>
                <w:highlight w:val="none"/>
              </w:rPr>
              <w:t>…</w:t>
            </w:r>
          </w:p>
        </w:tc>
        <w:tc>
          <w:tcPr>
            <w:tcW w:w="1147" w:type="dxa"/>
            <w:tcBorders>
              <w:top w:val="single" w:color="auto" w:sz="4" w:space="0"/>
              <w:left w:val="single" w:color="auto" w:sz="4" w:space="0"/>
              <w:bottom w:val="single" w:color="auto" w:sz="4" w:space="0"/>
              <w:right w:val="single" w:color="auto" w:sz="4" w:space="0"/>
            </w:tcBorders>
            <w:vAlign w:val="center"/>
          </w:tcPr>
          <w:p w14:paraId="3590EFC7">
            <w:pPr>
              <w:rPr>
                <w:rFonts w:ascii="宋体" w:hAnsi="宋体" w:cs="宋体"/>
                <w:color w:val="auto"/>
                <w:szCs w:val="21"/>
                <w:highlight w:val="none"/>
              </w:rPr>
            </w:pPr>
            <w:r>
              <w:rPr>
                <w:rFonts w:hint="eastAsia" w:ascii="宋体" w:hAnsi="宋体" w:cs="宋体"/>
                <w:color w:val="auto"/>
                <w:szCs w:val="21"/>
                <w:highlight w:val="none"/>
              </w:rPr>
              <w:t>1  ……</w:t>
            </w:r>
          </w:p>
          <w:p w14:paraId="5C873D74">
            <w:pPr>
              <w:rPr>
                <w:rFonts w:ascii="宋体" w:hAnsi="宋体" w:cs="宋体"/>
                <w:color w:val="auto"/>
                <w:szCs w:val="21"/>
                <w:highlight w:val="none"/>
              </w:rPr>
            </w:pPr>
            <w:r>
              <w:rPr>
                <w:rFonts w:hint="eastAsia" w:ascii="宋体" w:hAnsi="宋体" w:cs="宋体"/>
                <w:color w:val="auto"/>
                <w:szCs w:val="21"/>
                <w:highlight w:val="none"/>
              </w:rPr>
              <w:t>2  ……</w:t>
            </w:r>
          </w:p>
          <w:p w14:paraId="5A3B9154">
            <w:pPr>
              <w:rPr>
                <w:rFonts w:ascii="宋体" w:hAnsi="宋体" w:cs="宋体"/>
                <w:color w:val="auto"/>
                <w:szCs w:val="21"/>
                <w:highlight w:val="none"/>
              </w:rPr>
            </w:pPr>
            <w:r>
              <w:rPr>
                <w:rFonts w:hint="eastAsia" w:ascii="宋体" w:hAnsi="宋体" w:cs="宋体"/>
                <w:color w:val="auto"/>
                <w:szCs w:val="21"/>
                <w:highlight w:val="none"/>
              </w:rPr>
              <w:t>3  ……</w:t>
            </w:r>
          </w:p>
          <w:p w14:paraId="1076328F">
            <w:pPr>
              <w:rPr>
                <w:rFonts w:ascii="宋体" w:hAnsi="宋体" w:cs="宋体"/>
                <w:color w:val="auto"/>
                <w:szCs w:val="21"/>
                <w:highlight w:val="none"/>
              </w:rPr>
            </w:pPr>
            <w:r>
              <w:rPr>
                <w:rFonts w:hint="eastAsia" w:ascii="宋体" w:hAnsi="宋体" w:cs="宋体"/>
                <w:color w:val="auto"/>
                <w:szCs w:val="21"/>
                <w:highlight w:val="none"/>
              </w:rPr>
              <w:t>……</w:t>
            </w:r>
          </w:p>
        </w:tc>
        <w:tc>
          <w:tcPr>
            <w:tcW w:w="1096" w:type="dxa"/>
            <w:tcBorders>
              <w:top w:val="single" w:color="auto" w:sz="4" w:space="0"/>
              <w:left w:val="single" w:color="auto" w:sz="4" w:space="0"/>
              <w:bottom w:val="single" w:color="auto" w:sz="4" w:space="0"/>
              <w:right w:val="single" w:color="auto" w:sz="4" w:space="0"/>
            </w:tcBorders>
            <w:vAlign w:val="center"/>
          </w:tcPr>
          <w:p w14:paraId="6E9FD906">
            <w:pPr>
              <w:rPr>
                <w:rFonts w:ascii="宋体" w:hAnsi="宋体" w:cs="宋体"/>
                <w:color w:val="auto"/>
                <w:szCs w:val="21"/>
                <w:highlight w:val="none"/>
              </w:rPr>
            </w:pPr>
          </w:p>
        </w:tc>
      </w:tr>
      <w:tr w14:paraId="2C31A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4F9524A8">
            <w:pPr>
              <w:rPr>
                <w:rFonts w:ascii="宋体" w:hAnsi="宋体" w:cs="宋体"/>
                <w:color w:val="auto"/>
                <w:szCs w:val="21"/>
                <w:highlight w:val="none"/>
              </w:rPr>
            </w:pPr>
            <w:r>
              <w:rPr>
                <w:rFonts w:hint="eastAsia" w:ascii="宋体" w:hAnsi="宋体" w:cs="宋体"/>
                <w:color w:val="auto"/>
                <w:szCs w:val="21"/>
                <w:highlight w:val="none"/>
              </w:rPr>
              <w:t>...</w:t>
            </w:r>
          </w:p>
        </w:tc>
        <w:tc>
          <w:tcPr>
            <w:tcW w:w="1143" w:type="dxa"/>
            <w:tcBorders>
              <w:top w:val="single" w:color="auto" w:sz="4" w:space="0"/>
              <w:left w:val="single" w:color="auto" w:sz="4" w:space="0"/>
              <w:bottom w:val="single" w:color="auto" w:sz="4" w:space="0"/>
              <w:right w:val="single" w:color="auto" w:sz="4" w:space="0"/>
            </w:tcBorders>
            <w:vAlign w:val="center"/>
          </w:tcPr>
          <w:p w14:paraId="3A7E3EC9">
            <w:pPr>
              <w:rPr>
                <w:rFonts w:ascii="宋体" w:hAnsi="宋体" w:cs="宋体"/>
                <w:color w:val="auto"/>
                <w:szCs w:val="21"/>
                <w:highlight w:val="none"/>
              </w:rPr>
            </w:pPr>
          </w:p>
        </w:tc>
        <w:tc>
          <w:tcPr>
            <w:tcW w:w="736" w:type="dxa"/>
            <w:tcBorders>
              <w:top w:val="single" w:color="auto" w:sz="4" w:space="0"/>
              <w:left w:val="single" w:color="auto" w:sz="4" w:space="0"/>
              <w:bottom w:val="single" w:color="auto" w:sz="4" w:space="0"/>
              <w:right w:val="single" w:color="auto" w:sz="4" w:space="0"/>
            </w:tcBorders>
            <w:vAlign w:val="center"/>
          </w:tcPr>
          <w:p w14:paraId="25C6CD63">
            <w:pPr>
              <w:rPr>
                <w:rFonts w:ascii="宋体" w:hAnsi="宋体" w:cs="宋体"/>
                <w:color w:val="auto"/>
                <w:szCs w:val="21"/>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785D6A2E">
            <w:pPr>
              <w:rPr>
                <w:rFonts w:ascii="宋体" w:hAnsi="宋体" w:cs="宋体"/>
                <w:color w:val="auto"/>
                <w:szCs w:val="21"/>
                <w:highlight w:val="none"/>
              </w:rPr>
            </w:pPr>
          </w:p>
        </w:tc>
        <w:tc>
          <w:tcPr>
            <w:tcW w:w="1141" w:type="dxa"/>
            <w:tcBorders>
              <w:top w:val="single" w:color="auto" w:sz="4" w:space="0"/>
              <w:left w:val="single" w:color="auto" w:sz="4" w:space="0"/>
              <w:bottom w:val="single" w:color="auto" w:sz="4" w:space="0"/>
              <w:right w:val="single" w:color="auto" w:sz="4" w:space="0"/>
            </w:tcBorders>
            <w:vAlign w:val="center"/>
          </w:tcPr>
          <w:p w14:paraId="4DC6D14C">
            <w:pPr>
              <w:rPr>
                <w:rFonts w:ascii="宋体" w:hAnsi="宋体" w:cs="宋体"/>
                <w:color w:val="auto"/>
                <w:szCs w:val="21"/>
                <w:highlight w:val="none"/>
              </w:rPr>
            </w:pPr>
          </w:p>
        </w:tc>
        <w:tc>
          <w:tcPr>
            <w:tcW w:w="658" w:type="dxa"/>
            <w:tcBorders>
              <w:top w:val="single" w:color="auto" w:sz="4" w:space="0"/>
              <w:left w:val="single" w:color="auto" w:sz="4" w:space="0"/>
              <w:bottom w:val="single" w:color="auto" w:sz="4" w:space="0"/>
              <w:right w:val="single" w:color="auto" w:sz="4" w:space="0"/>
            </w:tcBorders>
            <w:vAlign w:val="center"/>
          </w:tcPr>
          <w:p w14:paraId="309EF088">
            <w:pPr>
              <w:rPr>
                <w:rFonts w:ascii="宋体" w:hAnsi="宋体" w:cs="宋体"/>
                <w:color w:val="auto"/>
                <w:szCs w:val="21"/>
                <w:highlight w:val="none"/>
              </w:rPr>
            </w:pPr>
          </w:p>
        </w:tc>
        <w:tc>
          <w:tcPr>
            <w:tcW w:w="1147" w:type="dxa"/>
            <w:tcBorders>
              <w:top w:val="single" w:color="auto" w:sz="4" w:space="0"/>
              <w:left w:val="single" w:color="auto" w:sz="4" w:space="0"/>
              <w:bottom w:val="single" w:color="auto" w:sz="4" w:space="0"/>
              <w:right w:val="single" w:color="auto" w:sz="4" w:space="0"/>
            </w:tcBorders>
            <w:vAlign w:val="center"/>
          </w:tcPr>
          <w:p w14:paraId="1244AD56">
            <w:pPr>
              <w:rPr>
                <w:rFonts w:ascii="宋体" w:hAnsi="宋体" w:cs="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vAlign w:val="center"/>
          </w:tcPr>
          <w:p w14:paraId="7D9C3E38">
            <w:pPr>
              <w:rPr>
                <w:rFonts w:ascii="宋体" w:hAnsi="宋体" w:cs="宋体"/>
                <w:color w:val="auto"/>
                <w:szCs w:val="21"/>
                <w:highlight w:val="none"/>
              </w:rPr>
            </w:pPr>
          </w:p>
        </w:tc>
      </w:tr>
    </w:tbl>
    <w:p w14:paraId="3EF51871">
      <w:pPr>
        <w:pStyle w:val="11"/>
        <w:spacing w:after="0" w:line="360" w:lineRule="auto"/>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注：</w:t>
      </w:r>
    </w:p>
    <w:p w14:paraId="0DAB4EB9">
      <w:pPr>
        <w:pStyle w:val="11"/>
        <w:spacing w:after="0" w:line="360" w:lineRule="auto"/>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1.说明：应对照磋商文件“第二章”中“服务需求一览表”的采购清单及技术参数条款逐条作出明确响应，并作出偏离说明。</w:t>
      </w:r>
    </w:p>
    <w:p w14:paraId="1C644390">
      <w:pPr>
        <w:pStyle w:val="13"/>
        <w:spacing w:line="400" w:lineRule="exact"/>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640F518B">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3.表格内容均需按要求填写并盖章，不得留空，否则按竞标无效处理。</w:t>
      </w:r>
    </w:p>
    <w:p w14:paraId="2E2E0D58">
      <w:pPr>
        <w:pStyle w:val="16"/>
        <w:spacing w:line="400" w:lineRule="exact"/>
        <w:rPr>
          <w:rFonts w:hAnsi="宋体" w:cs="宋体"/>
          <w:color w:val="auto"/>
          <w:sz w:val="21"/>
          <w:highlight w:val="none"/>
        </w:rPr>
      </w:pPr>
      <w:r>
        <w:rPr>
          <w:rFonts w:hint="eastAsia" w:hAnsi="宋体" w:cs="宋体"/>
          <w:color w:val="auto"/>
          <w:sz w:val="21"/>
          <w:highlight w:val="none"/>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14:paraId="70C1B747">
      <w:pPr>
        <w:pStyle w:val="13"/>
        <w:spacing w:line="360" w:lineRule="auto"/>
        <w:ind w:firstLine="0" w:firstLineChars="0"/>
        <w:rPr>
          <w:rFonts w:ascii="宋体" w:hAnsi="宋体" w:eastAsia="宋体" w:cs="宋体"/>
          <w:color w:val="auto"/>
          <w:sz w:val="24"/>
          <w:highlight w:val="none"/>
        </w:rPr>
      </w:pPr>
      <w:r>
        <w:rPr>
          <w:rFonts w:hint="eastAsia" w:ascii="宋体" w:hAnsi="宋体" w:eastAsia="宋体" w:cs="宋体"/>
          <w:color w:val="auto"/>
          <w:sz w:val="21"/>
          <w:szCs w:val="21"/>
          <w:highlight w:val="none"/>
        </w:rPr>
        <w:t>5. 如技术偏离表中的竞标响应与佐证材料不一致的，以佐证材料为准。</w:t>
      </w:r>
    </w:p>
    <w:p w14:paraId="09F5FA17">
      <w:pPr>
        <w:snapToGrid w:val="0"/>
        <w:spacing w:line="360" w:lineRule="auto"/>
        <w:ind w:firstLine="602" w:firstLineChars="200"/>
        <w:rPr>
          <w:rFonts w:ascii="宋体" w:hAnsi="宋体" w:cs="宋体"/>
          <w:b/>
          <w:color w:val="auto"/>
          <w:sz w:val="30"/>
          <w:szCs w:val="30"/>
          <w:highlight w:val="none"/>
        </w:rPr>
      </w:pPr>
    </w:p>
    <w:p w14:paraId="3AFDFACE">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78303977">
      <w:pPr>
        <w:autoSpaceDE w:val="0"/>
        <w:autoSpaceDN w:val="0"/>
        <w:spacing w:line="360" w:lineRule="auto"/>
        <w:ind w:firstLine="6480" w:firstLineChars="270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2BB82BC9">
      <w:pPr>
        <w:adjustRightInd w:val="0"/>
        <w:snapToGrid w:val="0"/>
        <w:spacing w:line="520" w:lineRule="exact"/>
        <w:jc w:val="center"/>
        <w:rPr>
          <w:rFonts w:ascii="宋体" w:hAnsi="宋体" w:cs="宋体"/>
          <w:bCs/>
          <w:color w:val="auto"/>
          <w:sz w:val="44"/>
          <w:szCs w:val="44"/>
          <w:highlight w:val="none"/>
        </w:rPr>
      </w:pPr>
    </w:p>
    <w:p w14:paraId="0868DCD7">
      <w:pPr>
        <w:pStyle w:val="33"/>
        <w:rPr>
          <w:rFonts w:ascii="宋体" w:hAnsi="宋体" w:eastAsia="宋体" w:cs="宋体"/>
          <w:color w:val="auto"/>
          <w:highlight w:val="none"/>
        </w:rPr>
      </w:pPr>
    </w:p>
    <w:p w14:paraId="5E0DA8A9">
      <w:pPr>
        <w:snapToGrid w:val="0"/>
        <w:spacing w:line="360" w:lineRule="auto"/>
        <w:ind w:firstLine="602" w:firstLineChars="200"/>
        <w:rPr>
          <w:rFonts w:ascii="宋体" w:hAnsi="宋体" w:cs="宋体"/>
          <w:b/>
          <w:color w:val="auto"/>
          <w:sz w:val="30"/>
          <w:szCs w:val="30"/>
          <w:highlight w:val="none"/>
        </w:rPr>
      </w:pPr>
    </w:p>
    <w:p w14:paraId="661D0C54">
      <w:pPr>
        <w:snapToGrid w:val="0"/>
        <w:spacing w:line="360" w:lineRule="auto"/>
        <w:ind w:firstLine="602" w:firstLineChars="200"/>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八、</w:t>
      </w:r>
      <w:r>
        <w:rPr>
          <w:rFonts w:hint="eastAsia" w:ascii="宋体" w:hAnsi="宋体" w:cs="宋体"/>
          <w:b/>
          <w:color w:val="auto"/>
          <w:sz w:val="30"/>
          <w:szCs w:val="30"/>
          <w:highlight w:val="none"/>
          <w:lang w:eastAsia="zh-CN"/>
        </w:rPr>
        <w:t>施工组织设计</w:t>
      </w:r>
    </w:p>
    <w:p w14:paraId="0DE76C47">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（由供应商根据采购需求及采购文件要求编制）</w:t>
      </w:r>
    </w:p>
    <w:p w14:paraId="11F3DCC3">
      <w:pPr>
        <w:rPr>
          <w:rFonts w:ascii="宋体" w:hAnsi="宋体" w:cs="宋体"/>
          <w:b/>
          <w:bCs/>
          <w:color w:val="auto"/>
          <w:kern w:val="0"/>
          <w:sz w:val="24"/>
          <w:highlight w:val="none"/>
          <w:lang w:val="zh-CN"/>
        </w:rPr>
      </w:pPr>
      <w:bookmarkStart w:id="91" w:name="_Toc78473822"/>
      <w:r>
        <w:rPr>
          <w:rFonts w:hint="eastAsia" w:ascii="宋体" w:hAnsi="宋体" w:cs="宋体"/>
          <w:b/>
          <w:bCs/>
          <w:color w:val="auto"/>
          <w:kern w:val="0"/>
          <w:sz w:val="24"/>
          <w:highlight w:val="none"/>
          <w:lang w:val="zh-CN"/>
        </w:rPr>
        <w:t>附表:项目实施进度计划表</w:t>
      </w:r>
      <w:r>
        <w:rPr>
          <w:rFonts w:hint="eastAsia" w:ascii="宋体" w:hAnsi="宋体" w:cs="宋体"/>
          <w:b/>
          <w:color w:val="auto"/>
          <w:sz w:val="24"/>
          <w:highlight w:val="none"/>
        </w:rPr>
        <w:t>(以生效日算起)</w:t>
      </w:r>
      <w:bookmarkEnd w:id="91"/>
      <w:r>
        <w:rPr>
          <w:rFonts w:hint="eastAsia" w:ascii="宋体" w:hAnsi="宋体" w:cs="宋体"/>
          <w:b/>
          <w:color w:val="auto"/>
          <w:sz w:val="24"/>
          <w:highlight w:val="none"/>
        </w:rPr>
        <w:t xml:space="preserve"> </w:t>
      </w:r>
    </w:p>
    <w:tbl>
      <w:tblPr>
        <w:tblStyle w:val="25"/>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22D9A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tcBorders>
              <w:top w:val="single" w:color="auto" w:sz="4" w:space="0"/>
              <w:left w:val="single" w:color="auto" w:sz="4" w:space="0"/>
              <w:bottom w:val="single" w:color="auto" w:sz="4" w:space="0"/>
              <w:right w:val="single" w:color="auto" w:sz="4" w:space="0"/>
            </w:tcBorders>
            <w:vAlign w:val="center"/>
          </w:tcPr>
          <w:p w14:paraId="30ACF7F9">
            <w:pPr>
              <w:spacing w:line="360" w:lineRule="auto"/>
              <w:rPr>
                <w:rFonts w:ascii="宋体" w:hAnsi="宋体" w:cs="宋体"/>
                <w:color w:val="auto"/>
                <w:sz w:val="24"/>
                <w:highlight w:val="none"/>
              </w:rPr>
            </w:pPr>
            <w:r>
              <w:rPr>
                <w:rFonts w:hint="eastAsia" w:ascii="宋体" w:hAnsi="宋体" w:cs="宋体"/>
                <w:color w:val="auto"/>
                <w:highlight w:val="none"/>
              </w:rPr>
              <mc:AlternateContent>
                <mc:Choice Requires="wpg">
                  <w:drawing>
                    <wp:anchor distT="0" distB="0" distL="114300" distR="114300" simplePos="0" relativeHeight="251661312"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10" name="组合 10"/>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1" name="__TH_L2"/>
                              <wps:cNvCnPr/>
                              <wps:spPr bwMode="auto">
                                <a:xfrm>
                                  <a:off x="0" y="0"/>
                                  <a:ext cx="1178" cy="1860"/>
                                </a:xfrm>
                                <a:prstGeom prst="line">
                                  <a:avLst/>
                                </a:prstGeom>
                                <a:noFill/>
                                <a:ln w="6350">
                                  <a:solidFill>
                                    <a:srgbClr val="000000"/>
                                  </a:solidFill>
                                  <a:round/>
                                </a:ln>
                                <a:effectLst/>
                              </wps:spPr>
                              <wps:bodyPr/>
                            </wps:wsp>
                            <wps:wsp>
                              <wps:cNvPr id="12" name="__TH_B113"/>
                              <wps:cNvSpPr txBox="1">
                                <a:spLocks noChangeArrowheads="1"/>
                              </wps:cNvSpPr>
                              <wps:spPr bwMode="auto">
                                <a:xfrm>
                                  <a:off x="455" y="122"/>
                                  <a:ext cx="253" cy="263"/>
                                </a:xfrm>
                                <a:prstGeom prst="rect">
                                  <a:avLst/>
                                </a:prstGeom>
                                <a:noFill/>
                                <a:ln>
                                  <a:noFill/>
                                </a:ln>
                                <a:effectLst/>
                              </wps:spPr>
                              <wps:txbx>
                                <w:txbxContent>
                                  <w:p w14:paraId="1A84D089">
                                    <w:pPr>
                                      <w:snapToGrid w:val="0"/>
                                    </w:pPr>
                                    <w:r>
                                      <w:rPr>
                                        <w:rFonts w:hint="eastAsia"/>
                                      </w:rPr>
                                      <w:t>工</w:t>
                                    </w:r>
                                  </w:p>
                                </w:txbxContent>
                              </wps:txbx>
                              <wps:bodyPr rot="0" vert="horz" wrap="square" lIns="0" tIns="0" rIns="0" bIns="0" anchor="t" anchorCtr="0" upright="1">
                                <a:noAutofit/>
                              </wps:bodyPr>
                            </wps:wsp>
                            <wps:wsp>
                              <wps:cNvPr id="13" name="__TH_B124"/>
                              <wps:cNvSpPr txBox="1">
                                <a:spLocks noChangeArrowheads="1"/>
                              </wps:cNvSpPr>
                              <wps:spPr bwMode="auto">
                                <a:xfrm>
                                  <a:off x="643" y="419"/>
                                  <a:ext cx="253" cy="263"/>
                                </a:xfrm>
                                <a:prstGeom prst="rect">
                                  <a:avLst/>
                                </a:prstGeom>
                                <a:noFill/>
                                <a:ln>
                                  <a:noFill/>
                                </a:ln>
                                <a:effectLst/>
                              </wps:spPr>
                              <wps:txbx>
                                <w:txbxContent>
                                  <w:p w14:paraId="17F6BF6B">
                                    <w:pPr>
                                      <w:snapToGrid w:val="0"/>
                                    </w:pPr>
                                    <w:r>
                                      <w:rPr>
                                        <w:rFonts w:hint="eastAsia"/>
                                      </w:rPr>
                                      <w:t>作</w:t>
                                    </w:r>
                                  </w:p>
                                </w:txbxContent>
                              </wps:txbx>
                              <wps:bodyPr rot="0" vert="horz" wrap="square" lIns="0" tIns="0" rIns="0" bIns="0" anchor="t" anchorCtr="0" upright="1">
                                <a:noAutofit/>
                              </wps:bodyPr>
                            </wps:wsp>
                            <wps:wsp>
                              <wps:cNvPr id="14" name="__TH_B135"/>
                              <wps:cNvSpPr txBox="1">
                                <a:spLocks noChangeArrowheads="1"/>
                              </wps:cNvSpPr>
                              <wps:spPr bwMode="auto">
                                <a:xfrm>
                                  <a:off x="831" y="717"/>
                                  <a:ext cx="253" cy="262"/>
                                </a:xfrm>
                                <a:prstGeom prst="rect">
                                  <a:avLst/>
                                </a:prstGeom>
                                <a:noFill/>
                                <a:ln>
                                  <a:noFill/>
                                </a:ln>
                                <a:effectLst/>
                              </wps:spPr>
                              <wps:txbx>
                                <w:txbxContent>
                                  <w:p w14:paraId="0F7D318B">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0pt;height:93pt;width:58.9pt;z-index:251661312;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D1y1ye2AAAAAgBAAAPAAAAAAAAAAEAIAAAACIAAABkcnMvZG93bnJldi54bWxQ&#10;SwECFAAUAAAACACHTuJAOw5pPBQDAABKCwAADgAAAAAAAAABACAAAAAnAQAAZHJzL2Uyb0RvYy54&#10;bWxQSwUGAAAAAAYABgBZAQAArQYAAAAA&#10;">
                      <o:lock v:ext="edit" aspectratio="f"/>
                      <v:line id="__TH_L2" o:spid="_x0000_s1026" o:spt="20" style="position:absolute;left:0;top:0;height:1860;width:1178;" filled="f" stroked="t"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1A84D089">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17F6BF6B">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0F7D318B">
                              <w:pPr>
                                <w:snapToGrid w:val="0"/>
                              </w:pPr>
                              <w:r>
                                <w:rPr>
                                  <w:rFonts w:hint="eastAsia"/>
                                </w:rPr>
                                <w:t>日</w:t>
                              </w:r>
                            </w:p>
                          </w:txbxContent>
                        </v:textbox>
                      </v:shape>
                    </v:group>
                  </w:pict>
                </mc:Fallback>
              </mc:AlternateContent>
            </w:r>
          </w:p>
          <w:p w14:paraId="4B035AE0">
            <w:pPr>
              <w:spacing w:line="360" w:lineRule="auto"/>
              <w:rPr>
                <w:rFonts w:ascii="宋体" w:hAnsi="宋体" w:cs="宋体"/>
                <w:color w:val="auto"/>
                <w:sz w:val="24"/>
                <w:highlight w:val="none"/>
              </w:rPr>
            </w:pPr>
          </w:p>
          <w:p w14:paraId="175496AE">
            <w:pPr>
              <w:spacing w:line="360" w:lineRule="auto"/>
              <w:rPr>
                <w:rFonts w:ascii="宋体" w:hAnsi="宋体" w:cs="宋体"/>
                <w:color w:val="auto"/>
                <w:sz w:val="24"/>
                <w:highlight w:val="none"/>
              </w:rPr>
            </w:pPr>
          </w:p>
          <w:p w14:paraId="1C6789AB">
            <w:pPr>
              <w:spacing w:line="360" w:lineRule="auto"/>
              <w:rPr>
                <w:rFonts w:ascii="宋体" w:hAnsi="宋体" w:cs="宋体"/>
                <w:color w:val="auto"/>
                <w:sz w:val="24"/>
                <w:highlight w:val="none"/>
              </w:rPr>
            </w:pPr>
            <w:r>
              <w:rPr>
                <w:rFonts w:hint="eastAsia" w:ascii="宋体" w:hAnsi="宋体" w:cs="宋体"/>
                <w:color w:val="auto"/>
                <w:sz w:val="24"/>
                <w:highlight w:val="none"/>
              </w:rPr>
              <w:t>内容</w:t>
            </w:r>
          </w:p>
        </w:tc>
        <w:tc>
          <w:tcPr>
            <w:tcW w:w="552" w:type="dxa"/>
            <w:tcBorders>
              <w:top w:val="single" w:color="auto" w:sz="4" w:space="0"/>
              <w:left w:val="single" w:color="auto" w:sz="4" w:space="0"/>
              <w:bottom w:val="single" w:color="auto" w:sz="4" w:space="0"/>
              <w:right w:val="single" w:color="auto" w:sz="4" w:space="0"/>
            </w:tcBorders>
            <w:vAlign w:val="center"/>
          </w:tcPr>
          <w:p w14:paraId="06B777A5">
            <w:pPr>
              <w:spacing w:line="360" w:lineRule="auto"/>
              <w:rPr>
                <w:rFonts w:ascii="宋体" w:hAnsi="宋体" w:cs="宋体"/>
                <w:color w:val="auto"/>
                <w:sz w:val="24"/>
                <w:highlight w:val="none"/>
              </w:rPr>
            </w:pPr>
            <w:r>
              <w:rPr>
                <w:rFonts w:hint="eastAsia" w:ascii="宋体" w:hAnsi="宋体" w:cs="宋体"/>
                <w:color w:val="auto"/>
                <w:sz w:val="24"/>
                <w:highlight w:val="none"/>
              </w:rPr>
              <w:t>1</w:t>
            </w:r>
          </w:p>
        </w:tc>
        <w:tc>
          <w:tcPr>
            <w:tcW w:w="552" w:type="dxa"/>
            <w:tcBorders>
              <w:top w:val="single" w:color="auto" w:sz="4" w:space="0"/>
              <w:left w:val="single" w:color="auto" w:sz="4" w:space="0"/>
              <w:bottom w:val="single" w:color="auto" w:sz="4" w:space="0"/>
              <w:right w:val="single" w:color="auto" w:sz="4" w:space="0"/>
            </w:tcBorders>
            <w:vAlign w:val="center"/>
          </w:tcPr>
          <w:p w14:paraId="55A22653">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552" w:type="dxa"/>
            <w:tcBorders>
              <w:top w:val="single" w:color="auto" w:sz="4" w:space="0"/>
              <w:left w:val="single" w:color="auto" w:sz="4" w:space="0"/>
              <w:bottom w:val="single" w:color="auto" w:sz="4" w:space="0"/>
              <w:right w:val="single" w:color="auto" w:sz="4" w:space="0"/>
            </w:tcBorders>
            <w:vAlign w:val="center"/>
          </w:tcPr>
          <w:p w14:paraId="70F62B23">
            <w:pPr>
              <w:spacing w:line="360" w:lineRule="auto"/>
              <w:rPr>
                <w:rFonts w:ascii="宋体" w:hAnsi="宋体" w:cs="宋体"/>
                <w:color w:val="auto"/>
                <w:sz w:val="24"/>
                <w:highlight w:val="none"/>
              </w:rPr>
            </w:pPr>
            <w:r>
              <w:rPr>
                <w:rFonts w:hint="eastAsia" w:ascii="宋体" w:hAnsi="宋体" w:cs="宋体"/>
                <w:color w:val="auto"/>
                <w:sz w:val="24"/>
                <w:highlight w:val="none"/>
              </w:rPr>
              <w:t>3</w:t>
            </w:r>
          </w:p>
        </w:tc>
        <w:tc>
          <w:tcPr>
            <w:tcW w:w="552" w:type="dxa"/>
            <w:tcBorders>
              <w:top w:val="single" w:color="auto" w:sz="4" w:space="0"/>
              <w:left w:val="single" w:color="auto" w:sz="4" w:space="0"/>
              <w:bottom w:val="single" w:color="auto" w:sz="4" w:space="0"/>
              <w:right w:val="single" w:color="auto" w:sz="4" w:space="0"/>
            </w:tcBorders>
            <w:vAlign w:val="center"/>
          </w:tcPr>
          <w:p w14:paraId="20839318">
            <w:pPr>
              <w:spacing w:line="360" w:lineRule="auto"/>
              <w:rPr>
                <w:rFonts w:ascii="宋体" w:hAnsi="宋体" w:cs="宋体"/>
                <w:color w:val="auto"/>
                <w:sz w:val="24"/>
                <w:highlight w:val="none"/>
              </w:rPr>
            </w:pPr>
            <w:r>
              <w:rPr>
                <w:rFonts w:hint="eastAsia" w:ascii="宋体" w:hAnsi="宋体" w:cs="宋体"/>
                <w:color w:val="auto"/>
                <w:sz w:val="24"/>
                <w:highlight w:val="none"/>
              </w:rPr>
              <w:t>4</w:t>
            </w:r>
          </w:p>
        </w:tc>
        <w:tc>
          <w:tcPr>
            <w:tcW w:w="552" w:type="dxa"/>
            <w:tcBorders>
              <w:top w:val="single" w:color="auto" w:sz="4" w:space="0"/>
              <w:left w:val="single" w:color="auto" w:sz="4" w:space="0"/>
              <w:bottom w:val="single" w:color="auto" w:sz="4" w:space="0"/>
              <w:right w:val="single" w:color="auto" w:sz="4" w:space="0"/>
            </w:tcBorders>
            <w:vAlign w:val="center"/>
          </w:tcPr>
          <w:p w14:paraId="35B519E7">
            <w:pPr>
              <w:spacing w:line="360" w:lineRule="auto"/>
              <w:rPr>
                <w:rFonts w:ascii="宋体" w:hAnsi="宋体" w:cs="宋体"/>
                <w:color w:val="auto"/>
                <w:sz w:val="24"/>
                <w:highlight w:val="none"/>
              </w:rPr>
            </w:pPr>
            <w:r>
              <w:rPr>
                <w:rFonts w:hint="eastAsia" w:ascii="宋体" w:hAnsi="宋体" w:cs="宋体"/>
                <w:color w:val="auto"/>
                <w:sz w:val="24"/>
                <w:highlight w:val="none"/>
              </w:rPr>
              <w:t>5</w:t>
            </w:r>
          </w:p>
        </w:tc>
        <w:tc>
          <w:tcPr>
            <w:tcW w:w="552" w:type="dxa"/>
            <w:tcBorders>
              <w:top w:val="single" w:color="auto" w:sz="4" w:space="0"/>
              <w:left w:val="single" w:color="auto" w:sz="4" w:space="0"/>
              <w:bottom w:val="single" w:color="auto" w:sz="4" w:space="0"/>
              <w:right w:val="single" w:color="auto" w:sz="4" w:space="0"/>
            </w:tcBorders>
            <w:vAlign w:val="center"/>
          </w:tcPr>
          <w:p w14:paraId="2954CC2A">
            <w:pPr>
              <w:spacing w:line="360" w:lineRule="auto"/>
              <w:rPr>
                <w:rFonts w:ascii="宋体" w:hAnsi="宋体" w:cs="宋体"/>
                <w:color w:val="auto"/>
                <w:sz w:val="24"/>
                <w:highlight w:val="none"/>
              </w:rPr>
            </w:pPr>
            <w:r>
              <w:rPr>
                <w:rFonts w:hint="eastAsia" w:ascii="宋体" w:hAnsi="宋体" w:cs="宋体"/>
                <w:color w:val="auto"/>
                <w:sz w:val="24"/>
                <w:highlight w:val="none"/>
              </w:rPr>
              <w:t>6</w:t>
            </w:r>
          </w:p>
        </w:tc>
        <w:tc>
          <w:tcPr>
            <w:tcW w:w="553" w:type="dxa"/>
            <w:tcBorders>
              <w:top w:val="single" w:color="auto" w:sz="4" w:space="0"/>
              <w:left w:val="single" w:color="auto" w:sz="4" w:space="0"/>
              <w:bottom w:val="single" w:color="auto" w:sz="4" w:space="0"/>
              <w:right w:val="single" w:color="auto" w:sz="4" w:space="0"/>
            </w:tcBorders>
            <w:vAlign w:val="center"/>
          </w:tcPr>
          <w:p w14:paraId="6C00A56C">
            <w:pPr>
              <w:spacing w:line="360" w:lineRule="auto"/>
              <w:rPr>
                <w:rFonts w:ascii="宋体" w:hAnsi="宋体" w:cs="宋体"/>
                <w:color w:val="auto"/>
                <w:sz w:val="24"/>
                <w:highlight w:val="none"/>
              </w:rPr>
            </w:pPr>
            <w:r>
              <w:rPr>
                <w:rFonts w:hint="eastAsia" w:ascii="宋体" w:hAnsi="宋体" w:cs="宋体"/>
                <w:color w:val="auto"/>
                <w:sz w:val="24"/>
                <w:highlight w:val="none"/>
              </w:rPr>
              <w:t>7</w:t>
            </w:r>
          </w:p>
        </w:tc>
        <w:tc>
          <w:tcPr>
            <w:tcW w:w="553" w:type="dxa"/>
            <w:tcBorders>
              <w:top w:val="single" w:color="auto" w:sz="4" w:space="0"/>
              <w:left w:val="single" w:color="auto" w:sz="4" w:space="0"/>
              <w:bottom w:val="single" w:color="auto" w:sz="4" w:space="0"/>
              <w:right w:val="single" w:color="auto" w:sz="4" w:space="0"/>
            </w:tcBorders>
            <w:vAlign w:val="center"/>
          </w:tcPr>
          <w:p w14:paraId="1510085E">
            <w:pPr>
              <w:spacing w:line="360" w:lineRule="auto"/>
              <w:rPr>
                <w:rFonts w:ascii="宋体" w:hAnsi="宋体" w:cs="宋体"/>
                <w:color w:val="auto"/>
                <w:sz w:val="24"/>
                <w:highlight w:val="none"/>
              </w:rPr>
            </w:pPr>
            <w:r>
              <w:rPr>
                <w:rFonts w:hint="eastAsia" w:ascii="宋体" w:hAnsi="宋体" w:cs="宋体"/>
                <w:color w:val="auto"/>
                <w:sz w:val="24"/>
                <w:highlight w:val="none"/>
              </w:rPr>
              <w:t>8</w:t>
            </w:r>
          </w:p>
        </w:tc>
        <w:tc>
          <w:tcPr>
            <w:tcW w:w="553" w:type="dxa"/>
            <w:tcBorders>
              <w:top w:val="single" w:color="auto" w:sz="4" w:space="0"/>
              <w:left w:val="single" w:color="auto" w:sz="4" w:space="0"/>
              <w:bottom w:val="single" w:color="auto" w:sz="4" w:space="0"/>
              <w:right w:val="single" w:color="auto" w:sz="4" w:space="0"/>
            </w:tcBorders>
            <w:vAlign w:val="center"/>
          </w:tcPr>
          <w:p w14:paraId="5D90D318">
            <w:pPr>
              <w:spacing w:line="360" w:lineRule="auto"/>
              <w:rPr>
                <w:rFonts w:ascii="宋体" w:hAnsi="宋体" w:cs="宋体"/>
                <w:color w:val="auto"/>
                <w:sz w:val="24"/>
                <w:highlight w:val="none"/>
              </w:rPr>
            </w:pPr>
            <w:r>
              <w:rPr>
                <w:rFonts w:hint="eastAsia" w:ascii="宋体" w:hAnsi="宋体" w:cs="宋体"/>
                <w:color w:val="auto"/>
                <w:sz w:val="24"/>
                <w:highlight w:val="none"/>
              </w:rPr>
              <w:t>9</w:t>
            </w:r>
          </w:p>
        </w:tc>
        <w:tc>
          <w:tcPr>
            <w:tcW w:w="553" w:type="dxa"/>
            <w:tcBorders>
              <w:top w:val="single" w:color="auto" w:sz="4" w:space="0"/>
              <w:left w:val="single" w:color="auto" w:sz="4" w:space="0"/>
              <w:bottom w:val="single" w:color="auto" w:sz="4" w:space="0"/>
              <w:right w:val="single" w:color="auto" w:sz="4" w:space="0"/>
            </w:tcBorders>
            <w:vAlign w:val="center"/>
          </w:tcPr>
          <w:p w14:paraId="0B35AECF">
            <w:pPr>
              <w:spacing w:line="360" w:lineRule="auto"/>
              <w:rPr>
                <w:rFonts w:ascii="宋体" w:hAnsi="宋体" w:cs="宋体"/>
                <w:color w:val="auto"/>
                <w:sz w:val="24"/>
                <w:highlight w:val="none"/>
              </w:rPr>
            </w:pPr>
            <w:r>
              <w:rPr>
                <w:rFonts w:hint="eastAsia" w:ascii="宋体" w:hAnsi="宋体" w:cs="宋体"/>
                <w:color w:val="auto"/>
                <w:sz w:val="24"/>
                <w:highlight w:val="none"/>
              </w:rPr>
              <w:t>10</w:t>
            </w:r>
          </w:p>
        </w:tc>
        <w:tc>
          <w:tcPr>
            <w:tcW w:w="553" w:type="dxa"/>
            <w:tcBorders>
              <w:top w:val="single" w:color="auto" w:sz="4" w:space="0"/>
              <w:left w:val="single" w:color="auto" w:sz="4" w:space="0"/>
              <w:bottom w:val="single" w:color="auto" w:sz="4" w:space="0"/>
              <w:right w:val="single" w:color="auto" w:sz="4" w:space="0"/>
            </w:tcBorders>
            <w:vAlign w:val="center"/>
          </w:tcPr>
          <w:p w14:paraId="690FCC68">
            <w:pPr>
              <w:spacing w:line="360" w:lineRule="auto"/>
              <w:rPr>
                <w:rFonts w:ascii="宋体" w:hAnsi="宋体" w:cs="宋体"/>
                <w:color w:val="auto"/>
                <w:sz w:val="24"/>
                <w:highlight w:val="none"/>
              </w:rPr>
            </w:pPr>
            <w:r>
              <w:rPr>
                <w:rFonts w:hint="eastAsia" w:ascii="宋体" w:hAnsi="宋体" w:cs="宋体"/>
                <w:color w:val="auto"/>
                <w:sz w:val="24"/>
                <w:highlight w:val="none"/>
              </w:rPr>
              <w:t>11</w:t>
            </w:r>
          </w:p>
        </w:tc>
        <w:tc>
          <w:tcPr>
            <w:tcW w:w="553" w:type="dxa"/>
            <w:tcBorders>
              <w:top w:val="single" w:color="auto" w:sz="4" w:space="0"/>
              <w:left w:val="single" w:color="auto" w:sz="4" w:space="0"/>
              <w:bottom w:val="single" w:color="auto" w:sz="4" w:space="0"/>
              <w:right w:val="single" w:color="auto" w:sz="4" w:space="0"/>
            </w:tcBorders>
            <w:vAlign w:val="center"/>
          </w:tcPr>
          <w:p w14:paraId="1BDFD56F">
            <w:pPr>
              <w:spacing w:line="360" w:lineRule="auto"/>
              <w:rPr>
                <w:rFonts w:ascii="宋体" w:hAnsi="宋体" w:cs="宋体"/>
                <w:color w:val="auto"/>
                <w:sz w:val="24"/>
                <w:highlight w:val="none"/>
              </w:rPr>
            </w:pPr>
            <w:r>
              <w:rPr>
                <w:rFonts w:hint="eastAsia" w:ascii="宋体" w:hAnsi="宋体" w:cs="宋体"/>
                <w:color w:val="auto"/>
                <w:sz w:val="24"/>
                <w:highlight w:val="none"/>
              </w:rPr>
              <w:t>12</w:t>
            </w:r>
          </w:p>
        </w:tc>
        <w:tc>
          <w:tcPr>
            <w:tcW w:w="553" w:type="dxa"/>
            <w:tcBorders>
              <w:top w:val="single" w:color="auto" w:sz="4" w:space="0"/>
              <w:left w:val="single" w:color="auto" w:sz="4" w:space="0"/>
              <w:bottom w:val="single" w:color="auto" w:sz="4" w:space="0"/>
              <w:right w:val="single" w:color="auto" w:sz="4" w:space="0"/>
            </w:tcBorders>
            <w:vAlign w:val="center"/>
          </w:tcPr>
          <w:p w14:paraId="45CB3BF5">
            <w:pPr>
              <w:spacing w:line="360" w:lineRule="auto"/>
              <w:rPr>
                <w:rFonts w:ascii="宋体" w:hAnsi="宋体" w:cs="宋体"/>
                <w:color w:val="auto"/>
                <w:sz w:val="24"/>
                <w:highlight w:val="none"/>
              </w:rPr>
            </w:pPr>
            <w:r>
              <w:rPr>
                <w:rFonts w:hint="eastAsia" w:ascii="宋体" w:hAnsi="宋体" w:cs="宋体"/>
                <w:color w:val="auto"/>
                <w:sz w:val="24"/>
                <w:highlight w:val="none"/>
              </w:rPr>
              <w:t>13</w:t>
            </w:r>
          </w:p>
        </w:tc>
        <w:tc>
          <w:tcPr>
            <w:tcW w:w="553" w:type="dxa"/>
            <w:tcBorders>
              <w:top w:val="single" w:color="auto" w:sz="4" w:space="0"/>
              <w:left w:val="single" w:color="auto" w:sz="4" w:space="0"/>
              <w:bottom w:val="single" w:color="auto" w:sz="4" w:space="0"/>
              <w:right w:val="single" w:color="auto" w:sz="4" w:space="0"/>
            </w:tcBorders>
            <w:vAlign w:val="center"/>
          </w:tcPr>
          <w:p w14:paraId="5D094237">
            <w:pPr>
              <w:spacing w:line="360" w:lineRule="auto"/>
              <w:rPr>
                <w:rFonts w:ascii="宋体" w:hAnsi="宋体" w:cs="宋体"/>
                <w:color w:val="auto"/>
                <w:sz w:val="24"/>
                <w:highlight w:val="none"/>
              </w:rPr>
            </w:pPr>
            <w:r>
              <w:rPr>
                <w:rFonts w:hint="eastAsia" w:ascii="宋体" w:hAnsi="宋体" w:cs="宋体"/>
                <w:color w:val="auto"/>
                <w:sz w:val="24"/>
                <w:highlight w:val="none"/>
              </w:rPr>
              <w:t>14</w:t>
            </w:r>
          </w:p>
        </w:tc>
        <w:tc>
          <w:tcPr>
            <w:tcW w:w="553" w:type="dxa"/>
            <w:tcBorders>
              <w:top w:val="single" w:color="auto" w:sz="4" w:space="0"/>
              <w:left w:val="single" w:color="auto" w:sz="4" w:space="0"/>
              <w:bottom w:val="single" w:color="auto" w:sz="4" w:space="0"/>
              <w:right w:val="single" w:color="auto" w:sz="4" w:space="0"/>
            </w:tcBorders>
            <w:vAlign w:val="center"/>
          </w:tcPr>
          <w:p w14:paraId="1644B580">
            <w:pPr>
              <w:spacing w:line="360" w:lineRule="auto"/>
              <w:rPr>
                <w:rFonts w:ascii="宋体" w:hAnsi="宋体" w:cs="宋体"/>
                <w:color w:val="auto"/>
                <w:sz w:val="24"/>
                <w:highlight w:val="none"/>
              </w:rPr>
            </w:pPr>
            <w:r>
              <w:rPr>
                <w:rFonts w:hint="eastAsia" w:ascii="宋体" w:hAnsi="宋体" w:cs="宋体"/>
                <w:color w:val="auto"/>
                <w:sz w:val="24"/>
                <w:highlight w:val="none"/>
              </w:rPr>
              <w:t>15</w:t>
            </w:r>
          </w:p>
        </w:tc>
        <w:tc>
          <w:tcPr>
            <w:tcW w:w="553" w:type="dxa"/>
            <w:tcBorders>
              <w:top w:val="single" w:color="auto" w:sz="4" w:space="0"/>
              <w:left w:val="single" w:color="auto" w:sz="4" w:space="0"/>
              <w:bottom w:val="single" w:color="auto" w:sz="4" w:space="0"/>
              <w:right w:val="single" w:color="auto" w:sz="4" w:space="0"/>
            </w:tcBorders>
            <w:vAlign w:val="center"/>
          </w:tcPr>
          <w:p w14:paraId="28296D60">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226A7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4FDDA7E8">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2F68FF5">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F14D5E0">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144351F">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887CB11">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F18BB06">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EA0703F">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68EE8CA">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A6086B7">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A09A1E1">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1AA319B">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60BBB92">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5B045E7">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38B3B2A">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87710AB">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24D8E52">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2DFE4B8">
            <w:pPr>
              <w:spacing w:line="360" w:lineRule="auto"/>
              <w:rPr>
                <w:rFonts w:ascii="宋体" w:hAnsi="宋体" w:cs="宋体"/>
                <w:color w:val="auto"/>
                <w:sz w:val="24"/>
                <w:highlight w:val="none"/>
              </w:rPr>
            </w:pPr>
          </w:p>
        </w:tc>
      </w:tr>
      <w:tr w14:paraId="21CB7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291083B6">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7CBFB5E">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EA97843">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4F429D8">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47E5E27">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7C2365A">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470C7B4">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4DD1808">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863336F">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763F28B">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EF261E9">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25A68AD">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F850B2C">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5A9DDB3">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7AE75F9">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7FD0182">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1EBDD8D">
            <w:pPr>
              <w:spacing w:line="360" w:lineRule="auto"/>
              <w:rPr>
                <w:rFonts w:ascii="宋体" w:hAnsi="宋体" w:cs="宋体"/>
                <w:color w:val="auto"/>
                <w:sz w:val="24"/>
                <w:highlight w:val="none"/>
              </w:rPr>
            </w:pPr>
          </w:p>
        </w:tc>
      </w:tr>
      <w:tr w14:paraId="10D3D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2AC5CE38">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176B15E">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2F8124F">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71FEA97">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08ED298">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1A9F63C">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FCCBCA5">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B5EA6D3">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35D66CC">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7F75158">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E28D307">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617E7AF">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673A91D">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1356BA8">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33AF532">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5177F47">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A591334">
            <w:pPr>
              <w:spacing w:line="360" w:lineRule="auto"/>
              <w:rPr>
                <w:rFonts w:ascii="宋体" w:hAnsi="宋体" w:cs="宋体"/>
                <w:color w:val="auto"/>
                <w:sz w:val="24"/>
                <w:highlight w:val="none"/>
              </w:rPr>
            </w:pPr>
          </w:p>
        </w:tc>
      </w:tr>
      <w:tr w14:paraId="69718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495C8835">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2400D49">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82A5E43">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27AA0DF">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4990998">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597766C">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2945872">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22C34C6">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E1B58C4">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5E90471">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801B277">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167D42E">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C9D9717">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354865A">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68D2EF4">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455C33A">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5F86D37">
            <w:pPr>
              <w:spacing w:line="360" w:lineRule="auto"/>
              <w:rPr>
                <w:rFonts w:ascii="宋体" w:hAnsi="宋体" w:cs="宋体"/>
                <w:color w:val="auto"/>
                <w:sz w:val="24"/>
                <w:highlight w:val="none"/>
              </w:rPr>
            </w:pPr>
          </w:p>
        </w:tc>
      </w:tr>
      <w:tr w14:paraId="4EA04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769AA85E">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F1929CA">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3A8567B">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D4EA64B">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55ACA9F">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D46AC4A">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9A9F9F0">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84C4862">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234258D">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3614B01">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7D36484">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CFA3534">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B163D75">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66B3CF7">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F06005E">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93854FD">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E47B5D0">
            <w:pPr>
              <w:spacing w:line="360" w:lineRule="auto"/>
              <w:rPr>
                <w:rFonts w:ascii="宋体" w:hAnsi="宋体" w:cs="宋体"/>
                <w:color w:val="auto"/>
                <w:sz w:val="24"/>
                <w:highlight w:val="none"/>
              </w:rPr>
            </w:pPr>
          </w:p>
        </w:tc>
      </w:tr>
      <w:tr w14:paraId="441CD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127D28C6">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A5E7A0A">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D73EF73">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D812810">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8E04426">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854EE0D">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80E203D">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AB3C6B8">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41F1A86">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568DA55">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476DA2C">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6AF270C">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40C9BD6">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61E75BB">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AD1C2CF">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4287B03">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B2B10D9">
            <w:pPr>
              <w:spacing w:line="360" w:lineRule="auto"/>
              <w:rPr>
                <w:rFonts w:ascii="宋体" w:hAnsi="宋体" w:cs="宋体"/>
                <w:color w:val="auto"/>
                <w:sz w:val="24"/>
                <w:highlight w:val="none"/>
              </w:rPr>
            </w:pPr>
          </w:p>
        </w:tc>
      </w:tr>
      <w:tr w14:paraId="114BD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73D0782A">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D923A18">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C8C78F1">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26453B5">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86FFC1A">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1B6C554">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FF25FB2">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FAF824A">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34EEC7C">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31467B7">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7CE41AC">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F9EF513">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CBA644B">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CDDD465">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29A49B0">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C701BB3">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13C3034">
            <w:pPr>
              <w:spacing w:line="360" w:lineRule="auto"/>
              <w:rPr>
                <w:rFonts w:ascii="宋体" w:hAnsi="宋体" w:cs="宋体"/>
                <w:color w:val="auto"/>
                <w:sz w:val="24"/>
                <w:highlight w:val="none"/>
              </w:rPr>
            </w:pPr>
          </w:p>
        </w:tc>
      </w:tr>
      <w:tr w14:paraId="1F70A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08EBBFC8">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19ED296">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7DD2E87">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748FCE1">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6FF93A2">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F05A88F">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880DA78">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3F3C507">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D6A4C88">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33BC64A">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19778A7">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B7B4C89">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FE5084D">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8435DD3">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B18A5BB">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5BF4A37">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F45DA81">
            <w:pPr>
              <w:spacing w:line="360" w:lineRule="auto"/>
              <w:rPr>
                <w:rFonts w:ascii="宋体" w:hAnsi="宋体" w:cs="宋体"/>
                <w:color w:val="auto"/>
                <w:sz w:val="24"/>
                <w:highlight w:val="none"/>
              </w:rPr>
            </w:pPr>
          </w:p>
        </w:tc>
      </w:tr>
      <w:tr w14:paraId="3D0D8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34BFD28D">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9456F00">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A79A77B">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89C842D">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E146DAD">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BD5F327">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58D9654">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961B3B6">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8514546">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5F53276">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3246B75">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6B05411">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F92C807">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C8E0F87">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5E57521">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37D0727">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CE44190">
            <w:pPr>
              <w:spacing w:line="360" w:lineRule="auto"/>
              <w:rPr>
                <w:rFonts w:ascii="宋体" w:hAnsi="宋体" w:cs="宋体"/>
                <w:color w:val="auto"/>
                <w:sz w:val="24"/>
                <w:highlight w:val="none"/>
              </w:rPr>
            </w:pPr>
          </w:p>
        </w:tc>
      </w:tr>
    </w:tbl>
    <w:p w14:paraId="7D8623B1">
      <w:pPr>
        <w:autoSpaceDE w:val="0"/>
        <w:autoSpaceDN w:val="0"/>
        <w:spacing w:line="360" w:lineRule="auto"/>
        <w:rPr>
          <w:rFonts w:ascii="宋体" w:hAnsi="宋体" w:cs="宋体"/>
          <w:color w:val="auto"/>
          <w:kern w:val="0"/>
          <w:sz w:val="24"/>
          <w:highlight w:val="none"/>
        </w:rPr>
      </w:pPr>
      <w:r>
        <w:rPr>
          <w:rFonts w:hint="eastAsia" w:ascii="宋体" w:hAnsi="宋体" w:cs="宋体"/>
          <w:b/>
          <w:color w:val="auto"/>
          <w:sz w:val="24"/>
          <w:highlight w:val="none"/>
        </w:rPr>
        <w:t>注：供应商可按上述时间表的格式自行编制切合实际的具体时间表。</w:t>
      </w:r>
    </w:p>
    <w:p w14:paraId="55C61CF1">
      <w:pPr>
        <w:spacing w:line="500" w:lineRule="exact"/>
        <w:rPr>
          <w:rFonts w:ascii="宋体" w:hAnsi="宋体" w:cs="宋体"/>
          <w:color w:val="auto"/>
          <w:sz w:val="32"/>
          <w:szCs w:val="32"/>
          <w:highlight w:val="none"/>
        </w:rPr>
      </w:pPr>
    </w:p>
    <w:p w14:paraId="4E3B8953">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5EEB81F1">
      <w:pPr>
        <w:autoSpaceDE w:val="0"/>
        <w:autoSpaceDN w:val="0"/>
        <w:spacing w:line="360" w:lineRule="auto"/>
        <w:ind w:firstLine="6480" w:firstLineChars="270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34E682F7">
      <w:pPr>
        <w:spacing w:line="500" w:lineRule="exact"/>
        <w:rPr>
          <w:rFonts w:ascii="宋体" w:hAnsi="宋体" w:cs="宋体"/>
          <w:color w:val="auto"/>
          <w:sz w:val="32"/>
          <w:szCs w:val="32"/>
          <w:highlight w:val="none"/>
        </w:rPr>
      </w:pPr>
    </w:p>
    <w:p w14:paraId="205C50F5">
      <w:pPr>
        <w:snapToGrid w:val="0"/>
        <w:spacing w:before="120" w:beforeLines="50" w:after="50"/>
        <w:ind w:left="143" w:leftChars="68" w:firstLine="596" w:firstLineChars="198"/>
        <w:rPr>
          <w:rFonts w:ascii="宋体" w:hAnsi="宋体" w:cs="宋体"/>
          <w:b/>
          <w:color w:val="auto"/>
          <w:sz w:val="30"/>
          <w:szCs w:val="30"/>
          <w:highlight w:val="none"/>
        </w:rPr>
      </w:pPr>
      <w:r>
        <w:rPr>
          <w:rFonts w:hint="eastAsia" w:ascii="宋体" w:hAnsi="宋体" w:cs="宋体"/>
          <w:b/>
          <w:color w:val="auto"/>
          <w:sz w:val="30"/>
          <w:szCs w:val="30"/>
          <w:highlight w:val="none"/>
        </w:rPr>
        <w:t>九、售后服务方案</w:t>
      </w:r>
    </w:p>
    <w:p w14:paraId="4BCC9A10">
      <w:pPr>
        <w:snapToGrid w:val="0"/>
        <w:spacing w:before="120" w:beforeLines="50" w:after="50"/>
        <w:ind w:left="143" w:leftChars="68" w:firstLine="420" w:firstLineChars="200"/>
        <w:rPr>
          <w:rFonts w:ascii="宋体" w:hAnsi="宋体" w:cs="宋体"/>
          <w:color w:val="auto"/>
          <w:highlight w:val="none"/>
        </w:rPr>
      </w:pPr>
      <w:r>
        <w:rPr>
          <w:rFonts w:hint="eastAsia" w:ascii="宋体" w:hAnsi="宋体" w:cs="宋体"/>
          <w:color w:val="auto"/>
          <w:highlight w:val="none"/>
        </w:rPr>
        <w:t>由竞标人按本项目竞争性磋商采购文件第二章“服务需求一览表”中商务条款部分的售后服务要求自行填写，其中要包含售后服务承诺书。</w:t>
      </w:r>
    </w:p>
    <w:p w14:paraId="0C957E55">
      <w:pPr>
        <w:snapToGrid w:val="0"/>
        <w:spacing w:before="120"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1、售后服务承诺</w:t>
      </w:r>
    </w:p>
    <w:p w14:paraId="6E43B8A9">
      <w:pPr>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附表A:售后服务机构情况表</w:t>
      </w:r>
      <w:r>
        <w:rPr>
          <w:rFonts w:hint="eastAsia" w:ascii="宋体" w:hAnsi="宋体" w:cs="宋体"/>
          <w:color w:val="auto"/>
          <w:sz w:val="24"/>
          <w:highlight w:val="none"/>
        </w:rPr>
        <w:t>（按此格式自制）</w:t>
      </w:r>
    </w:p>
    <w:tbl>
      <w:tblPr>
        <w:tblStyle w:val="25"/>
        <w:tblW w:w="87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30ACA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4E07B189">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340" w:type="dxa"/>
            <w:tcBorders>
              <w:top w:val="single" w:color="auto" w:sz="4" w:space="0"/>
              <w:left w:val="single" w:color="auto" w:sz="4" w:space="0"/>
              <w:bottom w:val="single" w:color="auto" w:sz="4" w:space="0"/>
              <w:right w:val="single" w:color="auto" w:sz="4" w:space="0"/>
            </w:tcBorders>
          </w:tcPr>
          <w:p w14:paraId="022CA504">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机构名称</w:t>
            </w:r>
          </w:p>
        </w:tc>
        <w:tc>
          <w:tcPr>
            <w:tcW w:w="1095" w:type="dxa"/>
            <w:tcBorders>
              <w:top w:val="single" w:color="auto" w:sz="4" w:space="0"/>
              <w:left w:val="single" w:color="auto" w:sz="4" w:space="0"/>
              <w:bottom w:val="single" w:color="auto" w:sz="4" w:space="0"/>
              <w:right w:val="single" w:color="auto" w:sz="4" w:space="0"/>
            </w:tcBorders>
          </w:tcPr>
          <w:p w14:paraId="19082A89">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机构性质</w:t>
            </w:r>
          </w:p>
        </w:tc>
        <w:tc>
          <w:tcPr>
            <w:tcW w:w="1245" w:type="dxa"/>
            <w:tcBorders>
              <w:top w:val="single" w:color="auto" w:sz="4" w:space="0"/>
              <w:left w:val="single" w:color="auto" w:sz="4" w:space="0"/>
              <w:bottom w:val="single" w:color="auto" w:sz="4" w:space="0"/>
              <w:right w:val="single" w:color="auto" w:sz="4" w:space="0"/>
            </w:tcBorders>
          </w:tcPr>
          <w:p w14:paraId="5A8864AB">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注册地址</w:t>
            </w:r>
          </w:p>
        </w:tc>
        <w:tc>
          <w:tcPr>
            <w:tcW w:w="1980" w:type="dxa"/>
            <w:tcBorders>
              <w:top w:val="single" w:color="auto" w:sz="4" w:space="0"/>
              <w:left w:val="single" w:color="auto" w:sz="4" w:space="0"/>
              <w:bottom w:val="single" w:color="auto" w:sz="4" w:space="0"/>
              <w:right w:val="single" w:color="auto" w:sz="4" w:space="0"/>
            </w:tcBorders>
          </w:tcPr>
          <w:p w14:paraId="1A6579E1">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服务技术人员数量</w:t>
            </w:r>
          </w:p>
        </w:tc>
        <w:tc>
          <w:tcPr>
            <w:tcW w:w="1260" w:type="dxa"/>
            <w:tcBorders>
              <w:top w:val="single" w:color="auto" w:sz="4" w:space="0"/>
              <w:left w:val="single" w:color="auto" w:sz="4" w:space="0"/>
              <w:bottom w:val="single" w:color="auto" w:sz="4" w:space="0"/>
              <w:right w:val="single" w:color="auto" w:sz="4" w:space="0"/>
            </w:tcBorders>
          </w:tcPr>
          <w:p w14:paraId="2AEAFA0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联系电话</w:t>
            </w:r>
          </w:p>
        </w:tc>
      </w:tr>
      <w:tr w14:paraId="62B01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69E1F82B">
            <w:pPr>
              <w:autoSpaceDE w:val="0"/>
              <w:autoSpaceDN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5044F731">
            <w:pPr>
              <w:autoSpaceDE w:val="0"/>
              <w:autoSpaceDN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41B934FB">
            <w:pPr>
              <w:autoSpaceDE w:val="0"/>
              <w:autoSpaceDN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7CA5E96A">
            <w:pPr>
              <w:autoSpaceDE w:val="0"/>
              <w:autoSpaceDN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40EFCE9C">
            <w:pPr>
              <w:autoSpaceDE w:val="0"/>
              <w:autoSpaceDN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1E4C8637">
            <w:pPr>
              <w:autoSpaceDE w:val="0"/>
              <w:autoSpaceDN w:val="0"/>
              <w:spacing w:line="360" w:lineRule="auto"/>
              <w:jc w:val="center"/>
              <w:rPr>
                <w:rFonts w:ascii="宋体" w:hAnsi="宋体" w:cs="宋体"/>
                <w:color w:val="auto"/>
                <w:sz w:val="24"/>
                <w:highlight w:val="none"/>
              </w:rPr>
            </w:pPr>
          </w:p>
        </w:tc>
      </w:tr>
      <w:tr w14:paraId="52E6A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0CBF6926">
            <w:pPr>
              <w:autoSpaceDE w:val="0"/>
              <w:autoSpaceDN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7CB2E1CC">
            <w:pPr>
              <w:autoSpaceDE w:val="0"/>
              <w:autoSpaceDN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2961241C">
            <w:pPr>
              <w:autoSpaceDE w:val="0"/>
              <w:autoSpaceDN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422A4234">
            <w:pPr>
              <w:autoSpaceDE w:val="0"/>
              <w:autoSpaceDN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74A13971">
            <w:pPr>
              <w:autoSpaceDE w:val="0"/>
              <w:autoSpaceDN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7AB56125">
            <w:pPr>
              <w:autoSpaceDE w:val="0"/>
              <w:autoSpaceDN w:val="0"/>
              <w:spacing w:line="360" w:lineRule="auto"/>
              <w:jc w:val="center"/>
              <w:rPr>
                <w:rFonts w:ascii="宋体" w:hAnsi="宋体" w:cs="宋体"/>
                <w:color w:val="auto"/>
                <w:sz w:val="24"/>
                <w:highlight w:val="none"/>
              </w:rPr>
            </w:pPr>
          </w:p>
        </w:tc>
      </w:tr>
      <w:tr w14:paraId="7264F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709929C4">
            <w:pPr>
              <w:autoSpaceDE w:val="0"/>
              <w:autoSpaceDN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0C299EA0">
            <w:pPr>
              <w:autoSpaceDE w:val="0"/>
              <w:autoSpaceDN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61C75412">
            <w:pPr>
              <w:autoSpaceDE w:val="0"/>
              <w:autoSpaceDN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1065F4A9">
            <w:pPr>
              <w:autoSpaceDE w:val="0"/>
              <w:autoSpaceDN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69F0E159">
            <w:pPr>
              <w:autoSpaceDE w:val="0"/>
              <w:autoSpaceDN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7B945B10">
            <w:pPr>
              <w:autoSpaceDE w:val="0"/>
              <w:autoSpaceDN w:val="0"/>
              <w:spacing w:line="360" w:lineRule="auto"/>
              <w:jc w:val="center"/>
              <w:rPr>
                <w:rFonts w:ascii="宋体" w:hAnsi="宋体" w:cs="宋体"/>
                <w:color w:val="auto"/>
                <w:sz w:val="24"/>
                <w:highlight w:val="none"/>
              </w:rPr>
            </w:pPr>
          </w:p>
        </w:tc>
      </w:tr>
    </w:tbl>
    <w:p w14:paraId="1C2AB2DE">
      <w:pPr>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注：关于项目涉及的所有售后服务机构均在本表注明，包括供应商本单位和符合条件的第三方服务机构；</w:t>
      </w:r>
    </w:p>
    <w:p w14:paraId="2B6D1D19">
      <w:pPr>
        <w:autoSpaceDE w:val="0"/>
        <w:autoSpaceDN w:val="0"/>
        <w:spacing w:line="360" w:lineRule="auto"/>
        <w:rPr>
          <w:rFonts w:ascii="宋体" w:hAnsi="宋体" w:cs="宋体"/>
          <w:color w:val="auto"/>
          <w:kern w:val="0"/>
          <w:sz w:val="24"/>
          <w:highlight w:val="none"/>
        </w:rPr>
      </w:pPr>
    </w:p>
    <w:p w14:paraId="4CE16A60">
      <w:pPr>
        <w:autoSpaceDE w:val="0"/>
        <w:autoSpaceDN w:val="0"/>
        <w:spacing w:line="360" w:lineRule="auto"/>
        <w:rPr>
          <w:rFonts w:ascii="宋体" w:hAnsi="宋体" w:cs="宋体"/>
          <w:color w:val="auto"/>
          <w:kern w:val="0"/>
          <w:sz w:val="24"/>
          <w:highlight w:val="none"/>
        </w:rPr>
      </w:pPr>
      <w:r>
        <w:rPr>
          <w:rFonts w:hint="eastAsia" w:ascii="宋体" w:hAnsi="宋体" w:cs="宋体"/>
          <w:b/>
          <w:color w:val="auto"/>
          <w:kern w:val="0"/>
          <w:sz w:val="24"/>
          <w:highlight w:val="none"/>
        </w:rPr>
        <w:t>附表B：售后服务人员情况表</w:t>
      </w:r>
      <w:r>
        <w:rPr>
          <w:rFonts w:hint="eastAsia" w:ascii="宋体" w:hAnsi="宋体" w:cs="宋体"/>
          <w:color w:val="auto"/>
          <w:sz w:val="24"/>
          <w:highlight w:val="none"/>
        </w:rPr>
        <w:t>（按此格式自制）</w:t>
      </w:r>
    </w:p>
    <w:tbl>
      <w:tblPr>
        <w:tblStyle w:val="25"/>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74CD292E">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1ECDA667">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p w14:paraId="54FA3AD5">
            <w:pPr>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14:paraId="00DF36DA">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7046F7D8">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716BC941">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777783F2">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7D770C74">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657BA9D0">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42EC30DD">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3104E157">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0394C213">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5A7BD91B">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到达现场时间</w:t>
            </w:r>
          </w:p>
        </w:tc>
      </w:tr>
      <w:tr w14:paraId="666267BB">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14:paraId="11969F59">
            <w:pPr>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15D2E46F">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tcPr>
          <w:p w14:paraId="69660A6E">
            <w:pPr>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7AE4F0ED">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38ECD4B">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AC321CC">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FE1F222">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BAB307E">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AE97208">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418BF22">
            <w:pPr>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4E733648">
            <w:pPr>
              <w:autoSpaceDE w:val="0"/>
              <w:autoSpaceDN w:val="0"/>
              <w:spacing w:line="360" w:lineRule="auto"/>
              <w:rPr>
                <w:rFonts w:ascii="宋体" w:hAnsi="宋体" w:cs="宋体"/>
                <w:color w:val="auto"/>
                <w:sz w:val="24"/>
                <w:highlight w:val="none"/>
              </w:rPr>
            </w:pPr>
          </w:p>
        </w:tc>
      </w:tr>
      <w:tr w14:paraId="21887795">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04330C9D">
            <w:pPr>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1D0A93E5">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tcPr>
          <w:p w14:paraId="012913DA">
            <w:pPr>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7648A8D8">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7D59438">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D1953DB">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51F35E4">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6CD665B">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1821CBA">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3F8C3D4">
            <w:pPr>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4F3B6C3E">
            <w:pPr>
              <w:autoSpaceDE w:val="0"/>
              <w:autoSpaceDN w:val="0"/>
              <w:spacing w:line="360" w:lineRule="auto"/>
              <w:rPr>
                <w:rFonts w:ascii="宋体" w:hAnsi="宋体" w:cs="宋体"/>
                <w:color w:val="auto"/>
                <w:sz w:val="24"/>
                <w:highlight w:val="none"/>
              </w:rPr>
            </w:pPr>
          </w:p>
        </w:tc>
      </w:tr>
      <w:tr w14:paraId="03BC84ED">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359C28D8">
            <w:pPr>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54F00190">
            <w:pPr>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097B6498">
            <w:pPr>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6F3508E">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3203761">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2C86903">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744E0B2">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9511EA6">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D92E39B">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FDC142B">
            <w:pPr>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7C4911E3">
            <w:pPr>
              <w:autoSpaceDE w:val="0"/>
              <w:autoSpaceDN w:val="0"/>
              <w:spacing w:line="360" w:lineRule="auto"/>
              <w:rPr>
                <w:rFonts w:ascii="宋体" w:hAnsi="宋体" w:cs="宋体"/>
                <w:color w:val="auto"/>
                <w:sz w:val="24"/>
                <w:highlight w:val="none"/>
              </w:rPr>
            </w:pPr>
          </w:p>
        </w:tc>
      </w:tr>
      <w:tr w14:paraId="064306C9">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61258966">
            <w:pPr>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241F1544">
            <w:pPr>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BFE4007">
            <w:pPr>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64515D60">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61F7C15">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E87E77B">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9759261">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1633CF4">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F869C36">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ADDE17E">
            <w:pPr>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423443E3">
            <w:pPr>
              <w:autoSpaceDE w:val="0"/>
              <w:autoSpaceDN w:val="0"/>
              <w:spacing w:line="360" w:lineRule="auto"/>
              <w:rPr>
                <w:rFonts w:ascii="宋体" w:hAnsi="宋体" w:cs="宋体"/>
                <w:color w:val="auto"/>
                <w:sz w:val="24"/>
                <w:highlight w:val="none"/>
              </w:rPr>
            </w:pPr>
          </w:p>
        </w:tc>
      </w:tr>
    </w:tbl>
    <w:p w14:paraId="42A2CAE5">
      <w:pPr>
        <w:pStyle w:val="16"/>
        <w:spacing w:line="440" w:lineRule="exact"/>
        <w:ind w:firstLine="396" w:firstLineChars="198"/>
        <w:rPr>
          <w:rFonts w:hAnsi="宋体" w:cs="宋体"/>
          <w:color w:val="auto"/>
          <w:highlight w:val="none"/>
        </w:rPr>
      </w:pPr>
    </w:p>
    <w:p w14:paraId="3C4F0BFB">
      <w:pPr>
        <w:spacing w:line="500" w:lineRule="exact"/>
        <w:rPr>
          <w:rFonts w:ascii="宋体" w:hAnsi="宋体" w:cs="宋体"/>
          <w:color w:val="auto"/>
          <w:sz w:val="32"/>
          <w:szCs w:val="32"/>
          <w:highlight w:val="none"/>
        </w:rPr>
      </w:pPr>
    </w:p>
    <w:p w14:paraId="0F492A7A">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3C5AB691">
      <w:pPr>
        <w:snapToGrid w:val="0"/>
        <w:spacing w:line="360" w:lineRule="auto"/>
        <w:ind w:firstLine="6120" w:firstLineChars="25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C6EF64E">
      <w:pPr>
        <w:snapToGrid w:val="0"/>
        <w:spacing w:line="360" w:lineRule="auto"/>
        <w:ind w:firstLine="602" w:firstLineChars="200"/>
        <w:rPr>
          <w:rFonts w:ascii="宋体" w:hAnsi="宋体" w:cs="宋体"/>
          <w:b/>
          <w:color w:val="auto"/>
          <w:sz w:val="30"/>
          <w:szCs w:val="30"/>
          <w:highlight w:val="none"/>
        </w:rPr>
      </w:pPr>
    </w:p>
    <w:p w14:paraId="3CF853BA">
      <w:pPr>
        <w:snapToGrid w:val="0"/>
        <w:spacing w:line="360" w:lineRule="auto"/>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十、项目实施人员一览表</w:t>
      </w:r>
    </w:p>
    <w:p w14:paraId="6254154C">
      <w:pPr>
        <w:spacing w:line="360" w:lineRule="auto"/>
        <w:jc w:val="center"/>
        <w:rPr>
          <w:rFonts w:ascii="宋体" w:hAnsi="宋体" w:cs="宋体"/>
          <w:b/>
          <w:bCs/>
          <w:color w:val="auto"/>
          <w:sz w:val="24"/>
          <w:highlight w:val="none"/>
        </w:rPr>
      </w:pPr>
      <w:r>
        <w:rPr>
          <w:rFonts w:hint="eastAsia" w:ascii="宋体" w:hAnsi="宋体" w:cs="宋体"/>
          <w:color w:val="auto"/>
          <w:sz w:val="24"/>
          <w:highlight w:val="none"/>
        </w:rPr>
        <w:t>（由供应商根据采购需求及采购文件要求编制）</w:t>
      </w:r>
    </w:p>
    <w:p w14:paraId="4BDC76AF">
      <w:pPr>
        <w:pStyle w:val="16"/>
        <w:rPr>
          <w:rFonts w:hAnsi="宋体" w:cs="宋体"/>
          <w:color w:val="auto"/>
          <w:sz w:val="24"/>
          <w:szCs w:val="24"/>
          <w:highlight w:val="none"/>
        </w:rPr>
      </w:pPr>
      <w:r>
        <w:rPr>
          <w:rFonts w:hint="eastAsia" w:hAnsi="宋体" w:cs="宋体"/>
          <w:color w:val="auto"/>
          <w:sz w:val="24"/>
          <w:szCs w:val="24"/>
          <w:highlight w:val="none"/>
        </w:rPr>
        <w:t>响应分标：</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分标</w:t>
      </w:r>
    </w:p>
    <w:p w14:paraId="2967255D">
      <w:pPr>
        <w:keepNext/>
        <w:autoSpaceDE w:val="0"/>
        <w:autoSpaceDN w:val="0"/>
        <w:spacing w:line="360" w:lineRule="auto"/>
        <w:ind w:firstLine="477"/>
        <w:rPr>
          <w:rFonts w:ascii="宋体" w:hAnsi="宋体" w:cs="宋体"/>
          <w:b/>
          <w:color w:val="auto"/>
          <w:sz w:val="24"/>
          <w:highlight w:val="none"/>
        </w:rPr>
      </w:pPr>
      <w:r>
        <w:rPr>
          <w:rFonts w:hint="eastAsia" w:ascii="宋体" w:hAnsi="宋体" w:cs="宋体"/>
          <w:b/>
          <w:color w:val="auto"/>
          <w:sz w:val="24"/>
          <w:highlight w:val="none"/>
        </w:rPr>
        <w:t>附表A:本项目的项目经理情况表</w:t>
      </w:r>
    </w:p>
    <w:tbl>
      <w:tblPr>
        <w:tblStyle w:val="25"/>
        <w:tblW w:w="8755" w:type="dxa"/>
        <w:tblInd w:w="116" w:type="dxa"/>
        <w:tblLayout w:type="fixed"/>
        <w:tblCellMar>
          <w:top w:w="0" w:type="dxa"/>
          <w:left w:w="108" w:type="dxa"/>
          <w:bottom w:w="0" w:type="dxa"/>
          <w:right w:w="108" w:type="dxa"/>
        </w:tblCellMar>
      </w:tblPr>
      <w:tblGrid>
        <w:gridCol w:w="2061"/>
        <w:gridCol w:w="1287"/>
        <w:gridCol w:w="1260"/>
        <w:gridCol w:w="4147"/>
      </w:tblGrid>
      <w:tr w14:paraId="73621E8A">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08EAC569">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2E58B8B9">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0B08CF3F">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7A767113">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响应截止时间前三年业绩及承担的主要工作情况，曾担任项目经理的项目应列明细</w:t>
            </w:r>
          </w:p>
        </w:tc>
      </w:tr>
      <w:tr w14:paraId="60DA9518">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3E230ABD">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1BB48AD7">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615BB8EF">
            <w:pPr>
              <w:autoSpaceDE w:val="0"/>
              <w:autoSpaceDN w:val="0"/>
              <w:spacing w:line="360" w:lineRule="auto"/>
              <w:jc w:val="center"/>
              <w:rPr>
                <w:rFonts w:ascii="宋体" w:hAnsi="宋体" w:cs="宋体"/>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7B1C2F74">
            <w:pPr>
              <w:autoSpaceDE w:val="0"/>
              <w:autoSpaceDN w:val="0"/>
              <w:spacing w:line="360" w:lineRule="auto"/>
              <w:jc w:val="center"/>
              <w:rPr>
                <w:rFonts w:ascii="宋体" w:hAnsi="宋体" w:cs="宋体"/>
                <w:color w:val="auto"/>
                <w:sz w:val="24"/>
                <w:highlight w:val="none"/>
              </w:rPr>
            </w:pPr>
          </w:p>
        </w:tc>
      </w:tr>
      <w:tr w14:paraId="50EAB861">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0270869F">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50622784">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513D3FEC">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77BA8C2">
            <w:pPr>
              <w:widowControl/>
              <w:jc w:val="left"/>
              <w:rPr>
                <w:rFonts w:ascii="宋体" w:hAnsi="宋体" w:cs="宋体"/>
                <w:color w:val="auto"/>
                <w:sz w:val="24"/>
                <w:highlight w:val="none"/>
              </w:rPr>
            </w:pPr>
          </w:p>
        </w:tc>
      </w:tr>
      <w:tr w14:paraId="3C4FFE03">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474FE38D">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41CE62B4">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7175191C">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97B252C">
            <w:pPr>
              <w:widowControl/>
              <w:jc w:val="left"/>
              <w:rPr>
                <w:rFonts w:ascii="宋体" w:hAnsi="宋体" w:cs="宋体"/>
                <w:color w:val="auto"/>
                <w:sz w:val="24"/>
                <w:highlight w:val="none"/>
              </w:rPr>
            </w:pPr>
          </w:p>
        </w:tc>
      </w:tr>
      <w:tr w14:paraId="285F8090">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4A1F3F55">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6FD1E2AD">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0E6FF54E">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7DFA985">
            <w:pPr>
              <w:widowControl/>
              <w:jc w:val="left"/>
              <w:rPr>
                <w:rFonts w:ascii="宋体" w:hAnsi="宋体" w:cs="宋体"/>
                <w:color w:val="auto"/>
                <w:sz w:val="24"/>
                <w:highlight w:val="none"/>
              </w:rPr>
            </w:pPr>
          </w:p>
        </w:tc>
      </w:tr>
      <w:tr w14:paraId="614C1E7F">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38D0FA88">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1E308636">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3A995CE7">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18E2699">
            <w:pPr>
              <w:widowControl/>
              <w:jc w:val="left"/>
              <w:rPr>
                <w:rFonts w:ascii="宋体" w:hAnsi="宋体" w:cs="宋体"/>
                <w:color w:val="auto"/>
                <w:sz w:val="24"/>
                <w:highlight w:val="none"/>
              </w:rPr>
            </w:pPr>
          </w:p>
        </w:tc>
      </w:tr>
      <w:tr w14:paraId="7E8CFA4A">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434F166B">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3BBCA98E">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600ADFC">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AE8196E">
            <w:pPr>
              <w:widowControl/>
              <w:jc w:val="left"/>
              <w:rPr>
                <w:rFonts w:ascii="宋体" w:hAnsi="宋体" w:cs="宋体"/>
                <w:color w:val="auto"/>
                <w:sz w:val="24"/>
                <w:highlight w:val="none"/>
              </w:rPr>
            </w:pPr>
          </w:p>
        </w:tc>
      </w:tr>
      <w:tr w14:paraId="383D5E28">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23ED2A0C">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4644674A">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27D1F18A">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9915316">
            <w:pPr>
              <w:widowControl/>
              <w:jc w:val="left"/>
              <w:rPr>
                <w:rFonts w:ascii="宋体" w:hAnsi="宋体" w:cs="宋体"/>
                <w:color w:val="auto"/>
                <w:sz w:val="24"/>
                <w:highlight w:val="none"/>
              </w:rPr>
            </w:pPr>
          </w:p>
        </w:tc>
      </w:tr>
      <w:tr w14:paraId="5CB6EA12">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114E6E5D">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32F639B7">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02F031AE">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41BA7C6">
            <w:pPr>
              <w:widowControl/>
              <w:jc w:val="left"/>
              <w:rPr>
                <w:rFonts w:ascii="宋体" w:hAnsi="宋体" w:cs="宋体"/>
                <w:color w:val="auto"/>
                <w:sz w:val="24"/>
                <w:highlight w:val="none"/>
              </w:rPr>
            </w:pPr>
          </w:p>
        </w:tc>
      </w:tr>
      <w:tr w14:paraId="42B73245">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5E47AC81">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625F406D">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5F581CAF">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0DF3156">
            <w:pPr>
              <w:widowControl/>
              <w:jc w:val="left"/>
              <w:rPr>
                <w:rFonts w:ascii="宋体" w:hAnsi="宋体" w:cs="宋体"/>
                <w:color w:val="auto"/>
                <w:sz w:val="24"/>
                <w:highlight w:val="none"/>
              </w:rPr>
            </w:pPr>
          </w:p>
        </w:tc>
      </w:tr>
    </w:tbl>
    <w:p w14:paraId="6C9D1D59">
      <w:pPr>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注：须随表提交相应的证书复印件并注明所在响应技术文件页码。</w:t>
      </w:r>
    </w:p>
    <w:p w14:paraId="4C2ED0BE">
      <w:pPr>
        <w:autoSpaceDE w:val="0"/>
        <w:autoSpaceDN w:val="0"/>
        <w:spacing w:line="360" w:lineRule="auto"/>
        <w:rPr>
          <w:rFonts w:ascii="宋体" w:hAnsi="宋体" w:cs="宋体"/>
          <w:b/>
          <w:color w:val="auto"/>
          <w:sz w:val="24"/>
          <w:highlight w:val="none"/>
        </w:rPr>
      </w:pPr>
    </w:p>
    <w:p w14:paraId="113D256A">
      <w:pPr>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附表B:本项目的项目小组人员情况表</w:t>
      </w:r>
      <w:r>
        <w:rPr>
          <w:rFonts w:hint="eastAsia" w:ascii="宋体" w:hAnsi="宋体" w:cs="宋体"/>
          <w:color w:val="auto"/>
          <w:sz w:val="24"/>
          <w:highlight w:val="none"/>
        </w:rPr>
        <w:t>（按此格式自制）</w:t>
      </w:r>
    </w:p>
    <w:tbl>
      <w:tblPr>
        <w:tblStyle w:val="25"/>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3B471A27">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2FF4674C">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5F7720B0">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5E536EFD">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025BBF00">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7D199ED4">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p w14:paraId="13C05783">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487008F3">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p w14:paraId="40437216">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A0D0693">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p w14:paraId="063E39D9">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2D409585">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4185FE7F">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762CA299">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参与本项目的到位情况</w:t>
            </w:r>
          </w:p>
        </w:tc>
      </w:tr>
      <w:tr w14:paraId="517F6D2A">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1137C8FB">
            <w:pPr>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3268E6B7">
            <w:pPr>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050AE65">
            <w:pPr>
              <w:autoSpaceDE w:val="0"/>
              <w:autoSpaceDN w:val="0"/>
              <w:spacing w:line="360" w:lineRule="auto"/>
              <w:rPr>
                <w:rFonts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1C0AB972">
            <w:pPr>
              <w:autoSpaceDE w:val="0"/>
              <w:autoSpaceDN w:val="0"/>
              <w:spacing w:line="360" w:lineRule="auto"/>
              <w:rPr>
                <w:rFonts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51F7BB4D">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E4EA9D4">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08D4B74">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021907D">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597201E">
            <w:pPr>
              <w:autoSpaceDE w:val="0"/>
              <w:autoSpaceDN w:val="0"/>
              <w:spacing w:line="360" w:lineRule="auto"/>
              <w:rPr>
                <w:rFonts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55413FC4">
            <w:pPr>
              <w:autoSpaceDE w:val="0"/>
              <w:autoSpaceDN w:val="0"/>
              <w:spacing w:line="360" w:lineRule="auto"/>
              <w:rPr>
                <w:rFonts w:ascii="宋体" w:hAnsi="宋体" w:cs="宋体"/>
                <w:color w:val="auto"/>
                <w:sz w:val="24"/>
                <w:highlight w:val="none"/>
              </w:rPr>
            </w:pPr>
          </w:p>
        </w:tc>
      </w:tr>
      <w:tr w14:paraId="18B17293">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06D3E236">
            <w:pPr>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5A45ED40">
            <w:pPr>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08E0C587">
            <w:pPr>
              <w:autoSpaceDE w:val="0"/>
              <w:autoSpaceDN w:val="0"/>
              <w:spacing w:line="360" w:lineRule="auto"/>
              <w:rPr>
                <w:rFonts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24F2D0F7">
            <w:pPr>
              <w:autoSpaceDE w:val="0"/>
              <w:autoSpaceDN w:val="0"/>
              <w:spacing w:line="360" w:lineRule="auto"/>
              <w:rPr>
                <w:rFonts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5335CC1C">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9304B6F">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00033F9">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76F04B3">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FA1A6D6">
            <w:pPr>
              <w:autoSpaceDE w:val="0"/>
              <w:autoSpaceDN w:val="0"/>
              <w:spacing w:line="360" w:lineRule="auto"/>
              <w:rPr>
                <w:rFonts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0226F9CC">
            <w:pPr>
              <w:autoSpaceDE w:val="0"/>
              <w:autoSpaceDN w:val="0"/>
              <w:spacing w:line="360" w:lineRule="auto"/>
              <w:rPr>
                <w:rFonts w:ascii="宋体" w:hAnsi="宋体" w:cs="宋体"/>
                <w:color w:val="auto"/>
                <w:sz w:val="24"/>
                <w:highlight w:val="none"/>
              </w:rPr>
            </w:pPr>
          </w:p>
        </w:tc>
      </w:tr>
    </w:tbl>
    <w:p w14:paraId="3B179A45">
      <w:pPr>
        <w:spacing w:line="360" w:lineRule="auto"/>
        <w:rPr>
          <w:rFonts w:ascii="宋体" w:hAnsi="宋体" w:cs="宋体"/>
          <w:b/>
          <w:bCs/>
          <w:color w:val="auto"/>
          <w:sz w:val="24"/>
          <w:highlight w:val="none"/>
        </w:rPr>
      </w:pPr>
      <w:r>
        <w:rPr>
          <w:rFonts w:hint="eastAsia" w:ascii="宋体" w:hAnsi="宋体" w:cs="宋体"/>
          <w:b/>
          <w:color w:val="auto"/>
          <w:sz w:val="24"/>
          <w:highlight w:val="none"/>
        </w:rPr>
        <w:t>注：供应商可按上述的格式自行编制，须随表提交相应的证书复印件并注明所在响应技术文件页码。</w:t>
      </w:r>
    </w:p>
    <w:p w14:paraId="7D239104">
      <w:pPr>
        <w:spacing w:line="360" w:lineRule="auto"/>
        <w:rPr>
          <w:rFonts w:ascii="宋体" w:hAnsi="宋体" w:cs="宋体"/>
          <w:b/>
          <w:bCs/>
          <w:color w:val="auto"/>
          <w:sz w:val="24"/>
          <w:highlight w:val="none"/>
        </w:rPr>
      </w:pPr>
      <w:r>
        <w:rPr>
          <w:rFonts w:hint="eastAsia" w:ascii="宋体" w:hAnsi="宋体" w:cs="宋体"/>
          <w:b/>
          <w:color w:val="auto"/>
          <w:sz w:val="24"/>
          <w:highlight w:val="none"/>
        </w:rPr>
        <w:t>附表C:本项目的项目经理和小组人员近3个月交纳社保记录情况表</w:t>
      </w:r>
      <w:r>
        <w:rPr>
          <w:rFonts w:hint="eastAsia" w:ascii="宋体" w:hAnsi="宋体" w:cs="宋体"/>
          <w:color w:val="auto"/>
          <w:sz w:val="24"/>
          <w:highlight w:val="none"/>
        </w:rPr>
        <w:t>（以社保局缴纳凭证作附件）</w:t>
      </w:r>
    </w:p>
    <w:p w14:paraId="4AA547AC">
      <w:pPr>
        <w:snapToGrid w:val="0"/>
        <w:spacing w:line="360" w:lineRule="auto"/>
        <w:ind w:firstLine="602" w:firstLineChars="200"/>
        <w:rPr>
          <w:rFonts w:ascii="宋体" w:hAnsi="宋体" w:cs="宋体"/>
          <w:b/>
          <w:color w:val="auto"/>
          <w:sz w:val="30"/>
          <w:szCs w:val="30"/>
          <w:highlight w:val="none"/>
        </w:rPr>
      </w:pPr>
    </w:p>
    <w:p w14:paraId="7E4EA368">
      <w:pPr>
        <w:autoSpaceDE w:val="0"/>
        <w:autoSpaceDN w:val="0"/>
        <w:spacing w:line="360" w:lineRule="auto"/>
        <w:ind w:firstLine="6505" w:firstLineChars="2700"/>
        <w:rPr>
          <w:rFonts w:ascii="宋体" w:hAnsi="宋体" w:cs="宋体"/>
          <w:b/>
          <w:bCs/>
          <w:color w:val="auto"/>
          <w:sz w:val="24"/>
          <w:highlight w:val="none"/>
        </w:rPr>
      </w:pPr>
    </w:p>
    <w:p w14:paraId="7AC61EDA">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5E17E7F2">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5977C1A">
      <w:pPr>
        <w:autoSpaceDE w:val="0"/>
        <w:autoSpaceDN w:val="0"/>
        <w:spacing w:line="360" w:lineRule="auto"/>
        <w:ind w:firstLine="6480" w:firstLineChars="2700"/>
        <w:rPr>
          <w:rFonts w:ascii="宋体" w:hAnsi="宋体" w:cs="宋体"/>
          <w:color w:val="auto"/>
          <w:kern w:val="0"/>
          <w:sz w:val="24"/>
          <w:highlight w:val="none"/>
          <w:lang w:val="zh-CN"/>
        </w:rPr>
      </w:pPr>
    </w:p>
    <w:p w14:paraId="3810F34B">
      <w:pPr>
        <w:snapToGrid w:val="0"/>
        <w:spacing w:line="360" w:lineRule="auto"/>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十一、服务需求、商务条款要求提供的其他材料</w:t>
      </w:r>
    </w:p>
    <w:p w14:paraId="78A90AC9">
      <w:pPr>
        <w:autoSpaceDE w:val="0"/>
        <w:autoSpaceDN w:val="0"/>
        <w:spacing w:line="360" w:lineRule="auto"/>
        <w:ind w:left="4335" w:leftChars="1950" w:hanging="240" w:hangingChars="100"/>
        <w:rPr>
          <w:rFonts w:ascii="宋体" w:hAnsi="宋体" w:cs="宋体"/>
          <w:color w:val="auto"/>
          <w:kern w:val="0"/>
          <w:sz w:val="24"/>
          <w:highlight w:val="none"/>
        </w:rPr>
      </w:pPr>
    </w:p>
    <w:p w14:paraId="5A953F7A">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5EDBC957">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6862790">
      <w:pPr>
        <w:widowControl/>
        <w:spacing w:line="360" w:lineRule="auto"/>
        <w:jc w:val="left"/>
        <w:rPr>
          <w:rFonts w:ascii="宋体" w:hAnsi="宋体" w:cs="宋体"/>
          <w:b/>
          <w:bCs/>
          <w:color w:val="auto"/>
          <w:sz w:val="24"/>
          <w:highlight w:val="none"/>
        </w:rPr>
        <w:sectPr>
          <w:pgSz w:w="11910" w:h="16840"/>
          <w:pgMar w:top="1340" w:right="1500" w:bottom="280" w:left="1680" w:header="720" w:footer="720" w:gutter="0"/>
          <w:cols w:space="720" w:num="1"/>
        </w:sectPr>
      </w:pPr>
    </w:p>
    <w:p w14:paraId="49F81B85">
      <w:pPr>
        <w:autoSpaceDE w:val="0"/>
        <w:autoSpaceDN w:val="0"/>
        <w:spacing w:line="360" w:lineRule="auto"/>
        <w:ind w:firstLine="6505" w:firstLineChars="2700"/>
        <w:rPr>
          <w:rFonts w:ascii="宋体" w:hAnsi="宋体" w:cs="宋体"/>
          <w:b/>
          <w:bCs/>
          <w:color w:val="auto"/>
          <w:sz w:val="24"/>
          <w:highlight w:val="none"/>
        </w:rPr>
      </w:pPr>
    </w:p>
    <w:p w14:paraId="1B48E2D2">
      <w:pPr>
        <w:pStyle w:val="3"/>
        <w:jc w:val="center"/>
        <w:rPr>
          <w:rFonts w:ascii="宋体" w:hAnsi="宋体" w:cs="宋体"/>
          <w:color w:val="auto"/>
          <w:highlight w:val="none"/>
        </w:rPr>
      </w:pPr>
      <w:bookmarkStart w:id="92" w:name="_Toc80205941"/>
      <w:bookmarkStart w:id="93" w:name="_Toc32512"/>
      <w:r>
        <w:rPr>
          <w:rFonts w:hint="eastAsia" w:ascii="宋体" w:hAnsi="宋体" w:cs="宋体"/>
          <w:color w:val="auto"/>
          <w:highlight w:val="none"/>
        </w:rPr>
        <w:t>第四节 报价文件格式</w:t>
      </w:r>
      <w:bookmarkEnd w:id="92"/>
      <w:bookmarkEnd w:id="93"/>
    </w:p>
    <w:p w14:paraId="68E75122">
      <w:pPr>
        <w:snapToGrid w:val="0"/>
        <w:spacing w:before="120"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全流程电子文件</w:t>
      </w:r>
    </w:p>
    <w:p w14:paraId="295E165E">
      <w:pPr>
        <w:snapToGrid w:val="0"/>
        <w:spacing w:before="120" w:beforeLines="50" w:after="50"/>
        <w:rPr>
          <w:rFonts w:ascii="宋体" w:hAnsi="宋体" w:cs="宋体"/>
          <w:color w:val="auto"/>
          <w:sz w:val="24"/>
          <w:szCs w:val="20"/>
          <w:highlight w:val="none"/>
        </w:rPr>
      </w:pPr>
    </w:p>
    <w:p w14:paraId="56544901">
      <w:pPr>
        <w:snapToGrid w:val="0"/>
        <w:spacing w:before="120" w:beforeLines="50" w:after="50"/>
        <w:rPr>
          <w:rFonts w:ascii="宋体" w:hAnsi="宋体" w:cs="宋体"/>
          <w:color w:val="auto"/>
          <w:sz w:val="24"/>
          <w:szCs w:val="20"/>
          <w:highlight w:val="none"/>
        </w:rPr>
      </w:pPr>
    </w:p>
    <w:p w14:paraId="0F7ADC6F">
      <w:pPr>
        <w:snapToGrid w:val="0"/>
        <w:spacing w:before="120" w:beforeLines="50" w:after="50"/>
        <w:rPr>
          <w:rFonts w:ascii="宋体" w:hAnsi="宋体" w:cs="宋体"/>
          <w:color w:val="auto"/>
          <w:sz w:val="24"/>
          <w:szCs w:val="20"/>
          <w:highlight w:val="none"/>
        </w:rPr>
      </w:pPr>
    </w:p>
    <w:p w14:paraId="336CC7E0">
      <w:pPr>
        <w:snapToGrid w:val="0"/>
        <w:spacing w:before="120"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报  价  文  件（封面）</w:t>
      </w:r>
    </w:p>
    <w:p w14:paraId="05D89413">
      <w:pPr>
        <w:snapToGrid w:val="0"/>
        <w:spacing w:before="120" w:beforeLines="50" w:after="50"/>
        <w:rPr>
          <w:rFonts w:ascii="宋体" w:hAnsi="宋体" w:cs="宋体"/>
          <w:bCs/>
          <w:color w:val="auto"/>
          <w:sz w:val="24"/>
          <w:szCs w:val="20"/>
          <w:highlight w:val="none"/>
        </w:rPr>
      </w:pPr>
    </w:p>
    <w:p w14:paraId="33057828">
      <w:pPr>
        <w:snapToGrid w:val="0"/>
        <w:spacing w:before="120" w:beforeLines="50" w:after="50"/>
        <w:rPr>
          <w:rFonts w:ascii="宋体" w:hAnsi="宋体" w:cs="宋体"/>
          <w:bCs/>
          <w:color w:val="auto"/>
          <w:sz w:val="24"/>
          <w:szCs w:val="20"/>
          <w:highlight w:val="none"/>
        </w:rPr>
      </w:pPr>
    </w:p>
    <w:p w14:paraId="750DC2E8">
      <w:pPr>
        <w:snapToGrid w:val="0"/>
        <w:spacing w:before="120" w:beforeLines="50" w:after="50"/>
        <w:rPr>
          <w:rFonts w:ascii="宋体" w:hAnsi="宋体" w:cs="宋体"/>
          <w:bCs/>
          <w:color w:val="auto"/>
          <w:sz w:val="24"/>
          <w:szCs w:val="20"/>
          <w:highlight w:val="none"/>
        </w:rPr>
      </w:pPr>
    </w:p>
    <w:p w14:paraId="726EC873">
      <w:pPr>
        <w:snapToGrid w:val="0"/>
        <w:spacing w:before="120" w:beforeLines="50" w:after="50"/>
        <w:rPr>
          <w:rFonts w:ascii="宋体" w:hAnsi="宋体" w:cs="宋体"/>
          <w:bCs/>
          <w:color w:val="auto"/>
          <w:sz w:val="24"/>
          <w:szCs w:val="20"/>
          <w:highlight w:val="none"/>
        </w:rPr>
      </w:pPr>
    </w:p>
    <w:p w14:paraId="6CBB57FE">
      <w:pPr>
        <w:snapToGrid w:val="0"/>
        <w:spacing w:before="120" w:beforeLines="50" w:after="50"/>
        <w:rPr>
          <w:rFonts w:ascii="宋体" w:hAnsi="宋体" w:cs="宋体"/>
          <w:bCs/>
          <w:color w:val="auto"/>
          <w:sz w:val="24"/>
          <w:szCs w:val="20"/>
          <w:highlight w:val="none"/>
        </w:rPr>
      </w:pPr>
    </w:p>
    <w:p w14:paraId="093851E6">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bookmarkStart w:id="94" w:name="PO_3000001868_PM002_9"/>
      <w:r>
        <w:rPr>
          <w:rFonts w:hint="eastAsia" w:ascii="宋体" w:hAnsi="宋体" w:cs="宋体"/>
          <w:bCs/>
          <w:color w:val="auto"/>
          <w:sz w:val="32"/>
          <w:szCs w:val="32"/>
          <w:highlight w:val="none"/>
        </w:rPr>
        <w:t>[项目名称]</w:t>
      </w:r>
      <w:bookmarkEnd w:id="94"/>
    </w:p>
    <w:p w14:paraId="5141EEB4">
      <w:pPr>
        <w:snapToGrid w:val="0"/>
        <w:spacing w:before="120" w:beforeLines="50" w:after="50"/>
        <w:ind w:firstLine="720" w:firstLineChars="225"/>
        <w:rPr>
          <w:rFonts w:ascii="宋体" w:hAnsi="宋体" w:cs="宋体"/>
          <w:bCs/>
          <w:color w:val="auto"/>
          <w:sz w:val="32"/>
          <w:szCs w:val="32"/>
          <w:highlight w:val="none"/>
        </w:rPr>
      </w:pPr>
    </w:p>
    <w:p w14:paraId="76071C5D">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bookmarkStart w:id="95" w:name="PO_3000001868_PM001_9"/>
      <w:r>
        <w:rPr>
          <w:rFonts w:hint="eastAsia" w:ascii="宋体" w:hAnsi="宋体" w:cs="宋体"/>
          <w:bCs/>
          <w:color w:val="auto"/>
          <w:sz w:val="32"/>
          <w:szCs w:val="32"/>
          <w:highlight w:val="none"/>
        </w:rPr>
        <w:t>[项目编号]</w:t>
      </w:r>
      <w:bookmarkEnd w:id="95"/>
    </w:p>
    <w:p w14:paraId="1D356545">
      <w:pPr>
        <w:snapToGrid w:val="0"/>
        <w:spacing w:before="120"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14:paraId="5777FEA9">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0FF1ACAF">
      <w:pPr>
        <w:snapToGrid w:val="0"/>
        <w:spacing w:before="120" w:beforeLines="50" w:after="50"/>
        <w:ind w:firstLine="720" w:firstLineChars="225"/>
        <w:rPr>
          <w:rFonts w:ascii="宋体" w:hAnsi="宋体" w:cs="宋体"/>
          <w:bCs/>
          <w:color w:val="auto"/>
          <w:sz w:val="32"/>
          <w:szCs w:val="32"/>
          <w:highlight w:val="none"/>
        </w:rPr>
      </w:pPr>
    </w:p>
    <w:p w14:paraId="14995179">
      <w:pPr>
        <w:pStyle w:val="9"/>
        <w:snapToGrid w:val="0"/>
        <w:spacing w:before="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25EA52EE">
      <w:pPr>
        <w:pStyle w:val="9"/>
        <w:snapToGrid w:val="0"/>
        <w:spacing w:before="50" w:after="50"/>
        <w:ind w:firstLine="720" w:firstLineChars="225"/>
        <w:rPr>
          <w:rFonts w:ascii="宋体" w:hAnsi="宋体" w:cs="宋体"/>
          <w:bCs/>
          <w:color w:val="auto"/>
          <w:sz w:val="32"/>
          <w:szCs w:val="32"/>
          <w:highlight w:val="none"/>
        </w:rPr>
      </w:pPr>
    </w:p>
    <w:p w14:paraId="1949CCBF">
      <w:pPr>
        <w:pStyle w:val="9"/>
        <w:snapToGrid w:val="0"/>
        <w:spacing w:before="50" w:after="50"/>
        <w:ind w:firstLine="720" w:firstLineChars="225"/>
        <w:rPr>
          <w:rFonts w:ascii="宋体" w:hAnsi="宋体" w:cs="宋体"/>
          <w:bCs/>
          <w:color w:val="auto"/>
          <w:sz w:val="32"/>
          <w:szCs w:val="32"/>
          <w:highlight w:val="none"/>
        </w:rPr>
      </w:pPr>
    </w:p>
    <w:p w14:paraId="531A980D">
      <w:pPr>
        <w:pStyle w:val="9"/>
        <w:snapToGrid w:val="0"/>
        <w:spacing w:before="50" w:after="50"/>
        <w:ind w:firstLine="1280" w:firstLineChars="400"/>
        <w:rPr>
          <w:rFonts w:ascii="宋体" w:hAnsi="宋体" w:cs="宋体"/>
          <w:bCs/>
          <w:color w:val="auto"/>
          <w:sz w:val="32"/>
          <w:szCs w:val="32"/>
          <w:highlight w:val="none"/>
        </w:rPr>
      </w:pPr>
    </w:p>
    <w:p w14:paraId="588EA423">
      <w:pPr>
        <w:snapToGrid w:val="0"/>
        <w:spacing w:before="120"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683102F7">
      <w:pPr>
        <w:snapToGrid w:val="0"/>
        <w:spacing w:before="120" w:beforeLines="50" w:after="50" w:line="400" w:lineRule="exact"/>
        <w:jc w:val="center"/>
        <w:rPr>
          <w:rFonts w:ascii="宋体" w:hAnsi="宋体" w:cs="宋体"/>
          <w:b/>
          <w:bCs/>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报价文件目录</w:t>
      </w:r>
    </w:p>
    <w:p w14:paraId="22BE5625">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highlight w:val="none"/>
        </w:rPr>
      </w:pPr>
    </w:p>
    <w:p w14:paraId="54774AC4">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一、响应函………………………………………………………（页码）</w:t>
      </w:r>
    </w:p>
    <w:p w14:paraId="09D8718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二、响应报价表…………………………………………………（页码）</w:t>
      </w:r>
    </w:p>
    <w:p w14:paraId="79033EB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三、已标价工程量清单</w:t>
      </w:r>
      <w:r>
        <w:rPr>
          <w:rFonts w:hint="eastAsia" w:ascii="宋体" w:hAnsi="宋体" w:cs="宋体"/>
          <w:color w:val="auto"/>
          <w:kern w:val="0"/>
          <w:sz w:val="24"/>
          <w:highlight w:val="none"/>
        </w:rPr>
        <w:t>…………………………………………………（页码）</w:t>
      </w:r>
    </w:p>
    <w:p w14:paraId="5AFFF466">
      <w:pPr>
        <w:snapToGrid w:val="0"/>
        <w:spacing w:before="120" w:beforeLines="50" w:after="50" w:line="360" w:lineRule="auto"/>
        <w:ind w:left="142" w:firstLine="640" w:firstLineChars="200"/>
        <w:jc w:val="left"/>
        <w:rPr>
          <w:rFonts w:ascii="宋体" w:hAnsi="宋体" w:cs="宋体"/>
          <w:color w:val="auto"/>
          <w:sz w:val="32"/>
          <w:szCs w:val="32"/>
          <w:highlight w:val="none"/>
        </w:rPr>
      </w:pPr>
    </w:p>
    <w:p w14:paraId="5F32625D">
      <w:pPr>
        <w:snapToGrid w:val="0"/>
        <w:spacing w:before="120" w:beforeLines="50" w:after="50" w:line="360" w:lineRule="auto"/>
        <w:ind w:left="142" w:firstLine="480" w:firstLineChars="200"/>
        <w:jc w:val="left"/>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一、响应函</w:t>
      </w:r>
    </w:p>
    <w:p w14:paraId="2D79BE0B">
      <w:pPr>
        <w:pStyle w:val="16"/>
        <w:spacing w:line="500" w:lineRule="exact"/>
        <w:jc w:val="center"/>
        <w:rPr>
          <w:rFonts w:hAnsi="宋体" w:cs="宋体"/>
          <w:b/>
          <w:bCs/>
          <w:color w:val="auto"/>
          <w:sz w:val="30"/>
          <w:szCs w:val="30"/>
          <w:highlight w:val="none"/>
        </w:rPr>
      </w:pPr>
      <w:r>
        <w:rPr>
          <w:rFonts w:hint="eastAsia" w:hAnsi="宋体" w:cs="宋体"/>
          <w:b/>
          <w:bCs/>
          <w:color w:val="auto"/>
          <w:sz w:val="30"/>
          <w:szCs w:val="30"/>
          <w:highlight w:val="none"/>
        </w:rPr>
        <w:t>响应函</w:t>
      </w:r>
    </w:p>
    <w:p w14:paraId="78AC4847">
      <w:pPr>
        <w:pStyle w:val="16"/>
        <w:spacing w:line="360" w:lineRule="auto"/>
        <w:rPr>
          <w:rFonts w:hAnsi="宋体" w:cs="宋体"/>
          <w:color w:val="auto"/>
          <w:szCs w:val="20"/>
          <w:highlight w:val="none"/>
        </w:rPr>
      </w:pPr>
      <w:r>
        <w:rPr>
          <w:rFonts w:hint="eastAsia" w:hAnsi="宋体" w:cs="宋体"/>
          <w:color w:val="auto"/>
          <w:szCs w:val="20"/>
          <w:highlight w:val="none"/>
        </w:rPr>
        <w:t>致：</w:t>
      </w:r>
      <w:r>
        <w:rPr>
          <w:rFonts w:hint="eastAsia" w:hAnsi="宋体" w:cs="宋体"/>
          <w:color w:val="auto"/>
          <w:szCs w:val="20"/>
          <w:highlight w:val="none"/>
          <w:u w:val="single"/>
        </w:rPr>
        <w:t xml:space="preserve"> </w:t>
      </w:r>
      <w:bookmarkStart w:id="96" w:name="PO_3000001868_PM031_4"/>
      <w:r>
        <w:rPr>
          <w:rFonts w:hint="eastAsia" w:hAnsi="宋体" w:cs="宋体"/>
          <w:color w:val="auto"/>
          <w:szCs w:val="20"/>
          <w:highlight w:val="none"/>
          <w:u w:val="single"/>
        </w:rPr>
        <w:t>[采购组织机构]</w:t>
      </w:r>
      <w:bookmarkEnd w:id="96"/>
      <w:r>
        <w:rPr>
          <w:rFonts w:hint="eastAsia" w:hAnsi="宋体" w:cs="宋体"/>
          <w:color w:val="auto"/>
          <w:szCs w:val="20"/>
          <w:highlight w:val="none"/>
          <w:u w:val="single"/>
        </w:rPr>
        <w:t xml:space="preserve"> </w:t>
      </w:r>
    </w:p>
    <w:p w14:paraId="3B9332BD">
      <w:pPr>
        <w:pStyle w:val="16"/>
        <w:spacing w:line="360" w:lineRule="auto"/>
        <w:ind w:firstLine="400" w:firstLineChars="200"/>
        <w:rPr>
          <w:rFonts w:hAnsi="宋体" w:cs="宋体"/>
          <w:color w:val="auto"/>
          <w:szCs w:val="20"/>
          <w:highlight w:val="none"/>
        </w:rPr>
      </w:pPr>
      <w:r>
        <w:rPr>
          <w:rFonts w:hint="eastAsia" w:hAnsi="宋体" w:cs="宋体"/>
          <w:color w:val="auto"/>
          <w:szCs w:val="20"/>
          <w:highlight w:val="none"/>
        </w:rPr>
        <w:t>我方已仔细阅读了贵方组织的</w:t>
      </w:r>
      <w:r>
        <w:rPr>
          <w:rFonts w:hint="eastAsia" w:hAnsi="宋体" w:cs="宋体"/>
          <w:color w:val="auto"/>
          <w:szCs w:val="20"/>
          <w:highlight w:val="none"/>
          <w:u w:val="single"/>
        </w:rPr>
        <w:t xml:space="preserve"> </w:t>
      </w:r>
      <w:bookmarkStart w:id="97" w:name="PO_3000001868_PM002_10"/>
      <w:r>
        <w:rPr>
          <w:rFonts w:hint="eastAsia" w:hAnsi="宋体" w:cs="宋体"/>
          <w:color w:val="auto"/>
          <w:szCs w:val="20"/>
          <w:highlight w:val="none"/>
          <w:u w:val="single"/>
        </w:rPr>
        <w:t>[项目名称]</w:t>
      </w:r>
      <w:bookmarkEnd w:id="97"/>
      <w:r>
        <w:rPr>
          <w:rFonts w:hint="eastAsia" w:hAnsi="宋体" w:cs="宋体"/>
          <w:color w:val="auto"/>
          <w:szCs w:val="20"/>
          <w:highlight w:val="none"/>
          <w:u w:val="single"/>
        </w:rPr>
        <w:t xml:space="preserve">  </w:t>
      </w:r>
      <w:r>
        <w:rPr>
          <w:rFonts w:hint="eastAsia" w:hAnsi="宋体" w:cs="宋体"/>
          <w:color w:val="auto"/>
          <w:szCs w:val="20"/>
          <w:highlight w:val="none"/>
        </w:rPr>
        <w:t>项目（项目编号：</w:t>
      </w:r>
      <w:r>
        <w:rPr>
          <w:rFonts w:hint="eastAsia" w:hAnsi="宋体" w:cs="宋体"/>
          <w:color w:val="auto"/>
          <w:szCs w:val="20"/>
          <w:highlight w:val="none"/>
          <w:u w:val="single"/>
        </w:rPr>
        <w:t xml:space="preserve">  </w:t>
      </w:r>
      <w:bookmarkStart w:id="98" w:name="PO_3000001868_PM001_10"/>
      <w:r>
        <w:rPr>
          <w:rFonts w:hint="eastAsia" w:hAnsi="宋体" w:cs="宋体"/>
          <w:color w:val="auto"/>
          <w:szCs w:val="20"/>
          <w:highlight w:val="none"/>
          <w:u w:val="single"/>
        </w:rPr>
        <w:t>[项目编号]</w:t>
      </w:r>
      <w:bookmarkEnd w:id="98"/>
      <w:r>
        <w:rPr>
          <w:rFonts w:hint="eastAsia" w:hAnsi="宋体" w:cs="宋体"/>
          <w:color w:val="auto"/>
          <w:szCs w:val="20"/>
          <w:highlight w:val="none"/>
          <w:u w:val="single"/>
        </w:rPr>
        <w:t xml:space="preserve"> </w:t>
      </w:r>
      <w:r>
        <w:rPr>
          <w:rFonts w:hint="eastAsia" w:hAnsi="宋体" w:cs="宋体"/>
          <w:color w:val="auto"/>
          <w:szCs w:val="20"/>
          <w:highlight w:val="none"/>
        </w:rPr>
        <w:t xml:space="preserve">）的竞争性磋商采购文件的全部内容，现正式递交下述文件参加贵方组织的本次政府采购活动： </w:t>
      </w:r>
    </w:p>
    <w:p w14:paraId="2AEF4D20">
      <w:pPr>
        <w:pStyle w:val="16"/>
        <w:spacing w:line="360" w:lineRule="auto"/>
        <w:ind w:firstLine="400" w:firstLineChars="200"/>
        <w:rPr>
          <w:rFonts w:hAnsi="宋体" w:cs="宋体"/>
          <w:color w:val="auto"/>
          <w:szCs w:val="20"/>
          <w:highlight w:val="none"/>
        </w:rPr>
      </w:pPr>
      <w:r>
        <w:rPr>
          <w:rFonts w:hint="eastAsia" w:hAnsi="宋体" w:cs="宋体"/>
          <w:color w:val="auto"/>
          <w:szCs w:val="20"/>
          <w:highlight w:val="none"/>
        </w:rPr>
        <w:t>一、首次报价文件电子版</w:t>
      </w:r>
      <w:r>
        <w:rPr>
          <w:rFonts w:hint="eastAsia" w:hAnsi="宋体" w:cs="宋体"/>
          <w:color w:val="auto"/>
          <w:szCs w:val="20"/>
          <w:highlight w:val="none"/>
          <w:u w:val="single"/>
        </w:rPr>
        <w:t xml:space="preserve">   </w:t>
      </w:r>
      <w:r>
        <w:rPr>
          <w:rFonts w:hint="eastAsia" w:hAnsi="宋体" w:cs="宋体"/>
          <w:color w:val="auto"/>
          <w:szCs w:val="20"/>
          <w:highlight w:val="none"/>
        </w:rPr>
        <w:t>份（包含按“第三章 供应商须知”提交的全部文件）；</w:t>
      </w:r>
    </w:p>
    <w:p w14:paraId="5B99DA38">
      <w:pPr>
        <w:pStyle w:val="16"/>
        <w:spacing w:line="360" w:lineRule="auto"/>
        <w:ind w:firstLine="400" w:firstLineChars="200"/>
        <w:rPr>
          <w:rFonts w:hAnsi="宋体" w:cs="宋体"/>
          <w:color w:val="auto"/>
          <w:szCs w:val="20"/>
          <w:highlight w:val="none"/>
        </w:rPr>
      </w:pPr>
      <w:r>
        <w:rPr>
          <w:rFonts w:hint="eastAsia" w:hAnsi="宋体" w:cs="宋体"/>
          <w:color w:val="auto"/>
          <w:szCs w:val="20"/>
          <w:highlight w:val="none"/>
        </w:rPr>
        <w:t>二、技术文件电子版</w:t>
      </w:r>
      <w:r>
        <w:rPr>
          <w:rFonts w:hint="eastAsia" w:hAnsi="宋体" w:cs="宋体"/>
          <w:color w:val="auto"/>
          <w:szCs w:val="20"/>
          <w:highlight w:val="none"/>
          <w:u w:val="single"/>
        </w:rPr>
        <w:t xml:space="preserve">   </w:t>
      </w:r>
      <w:r>
        <w:rPr>
          <w:rFonts w:hint="eastAsia" w:hAnsi="宋体" w:cs="宋体"/>
          <w:color w:val="auto"/>
          <w:szCs w:val="20"/>
          <w:highlight w:val="none"/>
        </w:rPr>
        <w:t>份（包含按“第三章 供应商须知”提交的全部文件）；商务文件电子版</w:t>
      </w:r>
      <w:r>
        <w:rPr>
          <w:rFonts w:hint="eastAsia" w:hAnsi="宋体" w:cs="宋体"/>
          <w:color w:val="auto"/>
          <w:szCs w:val="20"/>
          <w:highlight w:val="none"/>
          <w:u w:val="single"/>
        </w:rPr>
        <w:t xml:space="preserve">   </w:t>
      </w:r>
      <w:r>
        <w:rPr>
          <w:rFonts w:hint="eastAsia" w:hAnsi="宋体" w:cs="宋体"/>
          <w:color w:val="auto"/>
          <w:szCs w:val="20"/>
          <w:highlight w:val="none"/>
        </w:rPr>
        <w:t>份（包含按“第三章 供应商须知”提交的全部文件）；（商务技术文件已合并装订成册）；</w:t>
      </w:r>
    </w:p>
    <w:p w14:paraId="3EC5A237">
      <w:pPr>
        <w:pStyle w:val="16"/>
        <w:spacing w:line="360" w:lineRule="auto"/>
        <w:ind w:firstLine="400" w:firstLineChars="200"/>
        <w:rPr>
          <w:rFonts w:hAnsi="宋体" w:cs="宋体"/>
          <w:color w:val="auto"/>
          <w:szCs w:val="20"/>
          <w:highlight w:val="none"/>
        </w:rPr>
      </w:pPr>
      <w:r>
        <w:rPr>
          <w:rFonts w:hint="eastAsia" w:hAnsi="宋体" w:cs="宋体"/>
          <w:color w:val="auto"/>
          <w:szCs w:val="20"/>
          <w:highlight w:val="none"/>
        </w:rPr>
        <w:t>三、资格证明文件电子版（包含按“第三章供应商须知”提交的全部文件）；</w:t>
      </w:r>
    </w:p>
    <w:p w14:paraId="2D322223">
      <w:pPr>
        <w:pStyle w:val="16"/>
        <w:spacing w:line="360" w:lineRule="auto"/>
        <w:ind w:firstLine="400" w:firstLineChars="200"/>
        <w:rPr>
          <w:rFonts w:hAnsi="宋体" w:cs="宋体"/>
          <w:color w:val="auto"/>
          <w:szCs w:val="20"/>
          <w:highlight w:val="none"/>
        </w:rPr>
      </w:pPr>
      <w:r>
        <w:rPr>
          <w:rFonts w:hint="eastAsia" w:hAnsi="宋体" w:cs="宋体"/>
          <w:color w:val="auto"/>
          <w:szCs w:val="20"/>
          <w:highlight w:val="none"/>
        </w:rPr>
        <w:t>据此函，签字人兹宣布：</w:t>
      </w:r>
    </w:p>
    <w:p w14:paraId="4DB394AB">
      <w:pPr>
        <w:pStyle w:val="16"/>
        <w:spacing w:line="360" w:lineRule="auto"/>
        <w:ind w:firstLine="482"/>
        <w:rPr>
          <w:rFonts w:hAnsi="宋体" w:cs="宋体"/>
          <w:color w:val="auto"/>
          <w:szCs w:val="20"/>
          <w:highlight w:val="none"/>
        </w:rPr>
      </w:pPr>
      <w:r>
        <w:rPr>
          <w:rFonts w:hint="eastAsia" w:hAnsi="宋体" w:cs="宋体"/>
          <w:color w:val="auto"/>
          <w:szCs w:val="20"/>
          <w:highlight w:val="none"/>
        </w:rPr>
        <w:t>1、我方愿意以（</w:t>
      </w:r>
      <w:r>
        <w:rPr>
          <w:rFonts w:hint="eastAsia" w:hAnsi="宋体" w:cs="宋体"/>
          <w:color w:val="auto"/>
          <w:szCs w:val="20"/>
          <w:highlight w:val="none"/>
          <w:lang w:val="en-US" w:eastAsia="zh-CN"/>
        </w:rPr>
        <w:t>大写</w:t>
      </w:r>
      <w:r>
        <w:rPr>
          <w:rFonts w:hint="eastAsia" w:hAnsi="宋体" w:cs="宋体"/>
          <w:color w:val="auto"/>
          <w:szCs w:val="20"/>
          <w:highlight w:val="none"/>
        </w:rPr>
        <w:t>）</w:t>
      </w:r>
      <w:r>
        <w:rPr>
          <w:rFonts w:hint="eastAsia" w:hAnsi="宋体" w:cs="宋体"/>
          <w:color w:val="auto"/>
          <w:szCs w:val="20"/>
          <w:highlight w:val="none"/>
          <w:u w:val="single"/>
        </w:rPr>
        <w:t xml:space="preserve"> </w:t>
      </w:r>
      <w:r>
        <w:rPr>
          <w:rFonts w:hint="eastAsia" w:hAnsi="宋体" w:cs="宋体"/>
          <w:color w:val="auto"/>
          <w:szCs w:val="20"/>
          <w:highlight w:val="none"/>
          <w:u w:val="single"/>
          <w:lang w:val="en-US" w:eastAsia="zh-CN"/>
        </w:rPr>
        <w:t>人民币</w:t>
      </w:r>
      <w:r>
        <w:rPr>
          <w:rFonts w:hint="eastAsia" w:hAnsi="宋体" w:cs="宋体"/>
          <w:color w:val="auto"/>
          <w:szCs w:val="20"/>
          <w:highlight w:val="none"/>
          <w:u w:val="single"/>
        </w:rPr>
        <w:t xml:space="preserve">             </w:t>
      </w:r>
      <w:r>
        <w:rPr>
          <w:rFonts w:hint="eastAsia" w:hAnsi="宋体" w:cs="宋体"/>
          <w:color w:val="auto"/>
          <w:szCs w:val="20"/>
          <w:highlight w:val="none"/>
          <w:u w:val="single"/>
          <w:lang w:eastAsia="zh-CN"/>
        </w:rPr>
        <w:t>（￥</w:t>
      </w:r>
      <w:r>
        <w:rPr>
          <w:rFonts w:hint="eastAsia" w:hAnsi="宋体" w:cs="宋体"/>
          <w:color w:val="auto"/>
          <w:szCs w:val="20"/>
          <w:highlight w:val="none"/>
          <w:u w:val="single"/>
          <w:lang w:val="en-US" w:eastAsia="zh-CN"/>
        </w:rPr>
        <w:t xml:space="preserve">      ）</w:t>
      </w:r>
      <w:r>
        <w:rPr>
          <w:rFonts w:hint="eastAsia" w:hAnsi="宋体" w:cs="宋体"/>
          <w:color w:val="auto"/>
          <w:szCs w:val="20"/>
          <w:highlight w:val="none"/>
        </w:rPr>
        <w:t>的竞标</w:t>
      </w:r>
      <w:r>
        <w:rPr>
          <w:rFonts w:hint="eastAsia" w:hAnsi="宋体" w:cs="宋体"/>
          <w:color w:val="auto"/>
          <w:szCs w:val="20"/>
          <w:highlight w:val="none"/>
          <w:lang w:val="en-US" w:eastAsia="zh-CN"/>
        </w:rPr>
        <w:t>总</w:t>
      </w:r>
      <w:r>
        <w:rPr>
          <w:rFonts w:hint="eastAsia" w:hAnsi="宋体" w:cs="宋体"/>
          <w:color w:val="auto"/>
          <w:szCs w:val="20"/>
          <w:highlight w:val="none"/>
        </w:rPr>
        <w:t>报价，</w:t>
      </w:r>
      <w:r>
        <w:rPr>
          <w:rFonts w:hint="eastAsia" w:hAnsi="宋体" w:cs="宋体"/>
          <w:color w:val="auto"/>
          <w:highlight w:val="none"/>
          <w:lang w:val="en-US" w:eastAsia="zh-CN"/>
        </w:rPr>
        <w:t>工期</w:t>
      </w:r>
      <w:r>
        <w:rPr>
          <w:rFonts w:hint="eastAsia" w:hAnsi="宋体" w:cs="宋体"/>
          <w:color w:val="auto"/>
          <w:szCs w:val="20"/>
          <w:highlight w:val="none"/>
        </w:rPr>
        <w:t>（无分标时填写）：</w:t>
      </w:r>
      <w:r>
        <w:rPr>
          <w:rFonts w:hint="eastAsia" w:hAnsi="宋体" w:cs="宋体"/>
          <w:color w:val="auto"/>
          <w:szCs w:val="20"/>
          <w:highlight w:val="none"/>
          <w:u w:val="single"/>
        </w:rPr>
        <w:t xml:space="preserve">            </w:t>
      </w:r>
      <w:r>
        <w:rPr>
          <w:rFonts w:hint="eastAsia" w:hAnsi="宋体" w:cs="宋体"/>
          <w:color w:val="auto"/>
          <w:szCs w:val="20"/>
          <w:highlight w:val="none"/>
        </w:rPr>
        <w:t>，提供本项目竞争性磋商采购文件第二章“服务需求一览表”中相应的采购内容。</w:t>
      </w:r>
    </w:p>
    <w:p w14:paraId="1568D2D3">
      <w:pPr>
        <w:pStyle w:val="16"/>
        <w:spacing w:line="360" w:lineRule="auto"/>
        <w:ind w:firstLine="482"/>
        <w:rPr>
          <w:rFonts w:hAnsi="宋体" w:cs="宋体"/>
          <w:color w:val="auto"/>
          <w:szCs w:val="20"/>
          <w:highlight w:val="none"/>
        </w:rPr>
      </w:pPr>
      <w:r>
        <w:rPr>
          <w:rFonts w:hint="eastAsia" w:hAnsi="宋体" w:cs="宋体"/>
          <w:color w:val="auto"/>
          <w:szCs w:val="20"/>
          <w:highlight w:val="none"/>
        </w:rPr>
        <w:t>其中（有分标时填写）：</w:t>
      </w:r>
    </w:p>
    <w:p w14:paraId="34EB1581">
      <w:pPr>
        <w:pStyle w:val="16"/>
        <w:spacing w:line="360" w:lineRule="auto"/>
        <w:ind w:firstLine="482"/>
        <w:rPr>
          <w:rFonts w:hAnsi="宋体" w:cs="宋体"/>
          <w:color w:val="auto"/>
          <w:szCs w:val="20"/>
          <w:highlight w:val="none"/>
        </w:rPr>
      </w:pPr>
      <w:r>
        <w:rPr>
          <w:rFonts w:hint="eastAsia" w:hAnsi="宋体" w:cs="宋体"/>
          <w:color w:val="auto"/>
          <w:szCs w:val="20"/>
          <w:highlight w:val="none"/>
          <w:u w:val="single"/>
        </w:rPr>
        <w:t xml:space="preserve">  </w:t>
      </w:r>
      <w:r>
        <w:rPr>
          <w:rFonts w:hAnsi="宋体" w:cs="宋体"/>
          <w:color w:val="auto"/>
          <w:szCs w:val="20"/>
          <w:highlight w:val="none"/>
          <w:u w:val="single"/>
        </w:rPr>
        <w:t>/</w:t>
      </w:r>
      <w:r>
        <w:rPr>
          <w:rFonts w:hint="eastAsia" w:hAnsi="宋体" w:cs="宋体"/>
          <w:color w:val="auto"/>
          <w:szCs w:val="20"/>
          <w:highlight w:val="none"/>
          <w:u w:val="single"/>
        </w:rPr>
        <w:t xml:space="preserve">  </w:t>
      </w:r>
      <w:r>
        <w:rPr>
          <w:rFonts w:hint="eastAsia" w:hAnsi="宋体" w:cs="宋体"/>
          <w:color w:val="auto"/>
          <w:szCs w:val="20"/>
          <w:highlight w:val="none"/>
        </w:rPr>
        <w:t>分标报价为（大写）人民币</w:t>
      </w:r>
      <w:r>
        <w:rPr>
          <w:rFonts w:hint="eastAsia" w:hAnsi="宋体" w:cs="宋体"/>
          <w:color w:val="auto"/>
          <w:szCs w:val="20"/>
          <w:highlight w:val="none"/>
          <w:u w:val="single"/>
        </w:rPr>
        <w:t xml:space="preserve">     </w:t>
      </w:r>
      <w:r>
        <w:rPr>
          <w:rFonts w:hAnsi="宋体" w:cs="宋体"/>
          <w:color w:val="auto"/>
          <w:szCs w:val="20"/>
          <w:highlight w:val="none"/>
          <w:u w:val="single"/>
        </w:rPr>
        <w:t>/</w:t>
      </w:r>
      <w:r>
        <w:rPr>
          <w:rFonts w:hint="eastAsia" w:hAnsi="宋体" w:cs="宋体"/>
          <w:color w:val="auto"/>
          <w:szCs w:val="20"/>
          <w:highlight w:val="none"/>
          <w:u w:val="single"/>
        </w:rPr>
        <w:t xml:space="preserve">          </w:t>
      </w:r>
      <w:r>
        <w:rPr>
          <w:rFonts w:hint="eastAsia" w:hAnsi="宋体" w:cs="宋体"/>
          <w:color w:val="auto"/>
          <w:szCs w:val="20"/>
          <w:highlight w:val="none"/>
        </w:rPr>
        <w:t xml:space="preserve"> (￥</w:t>
      </w:r>
      <w:r>
        <w:rPr>
          <w:rFonts w:hint="eastAsia" w:hAnsi="宋体" w:cs="宋体"/>
          <w:color w:val="auto"/>
          <w:szCs w:val="20"/>
          <w:highlight w:val="none"/>
          <w:u w:val="single"/>
        </w:rPr>
        <w:t xml:space="preserve">    </w:t>
      </w:r>
      <w:r>
        <w:rPr>
          <w:rFonts w:hAnsi="宋体" w:cs="宋体"/>
          <w:color w:val="auto"/>
          <w:szCs w:val="20"/>
          <w:highlight w:val="none"/>
          <w:u w:val="single"/>
        </w:rPr>
        <w:t>/</w:t>
      </w:r>
      <w:r>
        <w:rPr>
          <w:rFonts w:hint="eastAsia" w:hAnsi="宋体" w:cs="宋体"/>
          <w:color w:val="auto"/>
          <w:szCs w:val="20"/>
          <w:highlight w:val="none"/>
          <w:u w:val="single"/>
        </w:rPr>
        <w:t xml:space="preserve">  </w:t>
      </w:r>
      <w:r>
        <w:rPr>
          <w:rFonts w:hint="eastAsia" w:hAnsi="宋体" w:cs="宋体"/>
          <w:color w:val="auto"/>
          <w:szCs w:val="20"/>
          <w:highlight w:val="none"/>
        </w:rPr>
        <w:t>元)，</w:t>
      </w:r>
      <w:r>
        <w:rPr>
          <w:rFonts w:hint="eastAsia" w:hAnsi="宋体" w:cs="宋体"/>
          <w:color w:val="auto"/>
          <w:highlight w:val="none"/>
        </w:rPr>
        <w:t>服务时间</w:t>
      </w:r>
      <w:r>
        <w:rPr>
          <w:rFonts w:hint="eastAsia" w:hAnsi="宋体" w:cs="宋体"/>
          <w:color w:val="auto"/>
          <w:szCs w:val="20"/>
          <w:highlight w:val="none"/>
        </w:rPr>
        <w:t>：</w:t>
      </w:r>
      <w:r>
        <w:rPr>
          <w:rFonts w:hint="eastAsia" w:hAnsi="宋体" w:cs="宋体"/>
          <w:color w:val="auto"/>
          <w:szCs w:val="20"/>
          <w:highlight w:val="none"/>
          <w:u w:val="single"/>
        </w:rPr>
        <w:t xml:space="preserve">   </w:t>
      </w:r>
      <w:r>
        <w:rPr>
          <w:rFonts w:hAnsi="宋体" w:cs="宋体"/>
          <w:color w:val="auto"/>
          <w:szCs w:val="20"/>
          <w:highlight w:val="none"/>
          <w:u w:val="single"/>
        </w:rPr>
        <w:t>/</w:t>
      </w:r>
      <w:r>
        <w:rPr>
          <w:rFonts w:hint="eastAsia" w:hAnsi="宋体" w:cs="宋体"/>
          <w:color w:val="auto"/>
          <w:szCs w:val="20"/>
          <w:highlight w:val="none"/>
          <w:u w:val="single"/>
        </w:rPr>
        <w:t xml:space="preserve">       </w:t>
      </w:r>
      <w:r>
        <w:rPr>
          <w:rFonts w:hint="eastAsia" w:hAnsi="宋体" w:cs="宋体"/>
          <w:color w:val="auto"/>
          <w:szCs w:val="20"/>
          <w:highlight w:val="none"/>
        </w:rPr>
        <w:t>；</w:t>
      </w:r>
    </w:p>
    <w:p w14:paraId="5C7253E3">
      <w:pPr>
        <w:pStyle w:val="16"/>
        <w:spacing w:line="360" w:lineRule="auto"/>
        <w:ind w:firstLine="482"/>
        <w:rPr>
          <w:rFonts w:hAnsi="宋体" w:cs="宋体"/>
          <w:color w:val="auto"/>
          <w:szCs w:val="20"/>
          <w:highlight w:val="none"/>
        </w:rPr>
      </w:pPr>
      <w:r>
        <w:rPr>
          <w:rFonts w:hint="eastAsia" w:hAnsi="宋体" w:cs="宋体"/>
          <w:color w:val="auto"/>
          <w:szCs w:val="20"/>
          <w:highlight w:val="none"/>
          <w:u w:val="single"/>
        </w:rPr>
        <w:t xml:space="preserve">  </w:t>
      </w:r>
      <w:r>
        <w:rPr>
          <w:rFonts w:hAnsi="宋体" w:cs="宋体"/>
          <w:color w:val="auto"/>
          <w:szCs w:val="20"/>
          <w:highlight w:val="none"/>
          <w:u w:val="single"/>
        </w:rPr>
        <w:t>/</w:t>
      </w:r>
      <w:r>
        <w:rPr>
          <w:rFonts w:hint="eastAsia" w:hAnsi="宋体" w:cs="宋体"/>
          <w:color w:val="auto"/>
          <w:szCs w:val="20"/>
          <w:highlight w:val="none"/>
          <w:u w:val="single"/>
        </w:rPr>
        <w:t xml:space="preserve">  </w:t>
      </w:r>
      <w:r>
        <w:rPr>
          <w:rFonts w:hint="eastAsia" w:hAnsi="宋体" w:cs="宋体"/>
          <w:color w:val="auto"/>
          <w:szCs w:val="20"/>
          <w:highlight w:val="none"/>
        </w:rPr>
        <w:t>分标报价为（大写）人民币</w:t>
      </w:r>
      <w:r>
        <w:rPr>
          <w:rFonts w:hint="eastAsia" w:hAnsi="宋体" w:cs="宋体"/>
          <w:color w:val="auto"/>
          <w:szCs w:val="20"/>
          <w:highlight w:val="none"/>
          <w:u w:val="single"/>
        </w:rPr>
        <w:t xml:space="preserve">        </w:t>
      </w:r>
      <w:r>
        <w:rPr>
          <w:rFonts w:hAnsi="宋体" w:cs="宋体"/>
          <w:color w:val="auto"/>
          <w:szCs w:val="20"/>
          <w:highlight w:val="none"/>
          <w:u w:val="single"/>
        </w:rPr>
        <w:t>/</w:t>
      </w:r>
      <w:r>
        <w:rPr>
          <w:rFonts w:hint="eastAsia" w:hAnsi="宋体" w:cs="宋体"/>
          <w:color w:val="auto"/>
          <w:szCs w:val="20"/>
          <w:highlight w:val="none"/>
          <w:u w:val="single"/>
        </w:rPr>
        <w:t xml:space="preserve">       </w:t>
      </w:r>
      <w:r>
        <w:rPr>
          <w:rFonts w:hint="eastAsia" w:hAnsi="宋体" w:cs="宋体"/>
          <w:color w:val="auto"/>
          <w:szCs w:val="20"/>
          <w:highlight w:val="none"/>
        </w:rPr>
        <w:t xml:space="preserve"> (￥</w:t>
      </w:r>
      <w:r>
        <w:rPr>
          <w:rFonts w:hint="eastAsia" w:hAnsi="宋体" w:cs="宋体"/>
          <w:color w:val="auto"/>
          <w:szCs w:val="20"/>
          <w:highlight w:val="none"/>
          <w:u w:val="single"/>
        </w:rPr>
        <w:t xml:space="preserve">     </w:t>
      </w:r>
      <w:r>
        <w:rPr>
          <w:rFonts w:hAnsi="宋体" w:cs="宋体"/>
          <w:color w:val="auto"/>
          <w:szCs w:val="20"/>
          <w:highlight w:val="none"/>
          <w:u w:val="single"/>
        </w:rPr>
        <w:t>/</w:t>
      </w:r>
      <w:r>
        <w:rPr>
          <w:rFonts w:hint="eastAsia" w:hAnsi="宋体" w:cs="宋体"/>
          <w:color w:val="auto"/>
          <w:szCs w:val="20"/>
          <w:highlight w:val="none"/>
          <w:u w:val="single"/>
        </w:rPr>
        <w:t xml:space="preserve">  </w:t>
      </w:r>
      <w:r>
        <w:rPr>
          <w:rFonts w:hint="eastAsia" w:hAnsi="宋体" w:cs="宋体"/>
          <w:color w:val="auto"/>
          <w:szCs w:val="20"/>
          <w:highlight w:val="none"/>
        </w:rPr>
        <w:t>元)，</w:t>
      </w:r>
      <w:r>
        <w:rPr>
          <w:rFonts w:hint="eastAsia" w:hAnsi="宋体" w:cs="宋体"/>
          <w:color w:val="auto"/>
          <w:highlight w:val="none"/>
        </w:rPr>
        <w:t>服务时间</w:t>
      </w:r>
      <w:r>
        <w:rPr>
          <w:rFonts w:hint="eastAsia" w:hAnsi="宋体" w:cs="宋体"/>
          <w:color w:val="auto"/>
          <w:szCs w:val="20"/>
          <w:highlight w:val="none"/>
        </w:rPr>
        <w:t>：</w:t>
      </w:r>
      <w:r>
        <w:rPr>
          <w:rFonts w:hint="eastAsia" w:hAnsi="宋体" w:cs="宋体"/>
          <w:color w:val="auto"/>
          <w:szCs w:val="20"/>
          <w:highlight w:val="none"/>
          <w:u w:val="single"/>
        </w:rPr>
        <w:t xml:space="preserve">    </w:t>
      </w:r>
      <w:r>
        <w:rPr>
          <w:rFonts w:hAnsi="宋体" w:cs="宋体"/>
          <w:color w:val="auto"/>
          <w:szCs w:val="20"/>
          <w:highlight w:val="none"/>
          <w:u w:val="single"/>
        </w:rPr>
        <w:t>/</w:t>
      </w:r>
      <w:r>
        <w:rPr>
          <w:rFonts w:hint="eastAsia" w:hAnsi="宋体" w:cs="宋体"/>
          <w:color w:val="auto"/>
          <w:szCs w:val="20"/>
          <w:highlight w:val="none"/>
          <w:u w:val="single"/>
        </w:rPr>
        <w:t xml:space="preserve">      </w:t>
      </w:r>
      <w:r>
        <w:rPr>
          <w:rFonts w:hint="eastAsia" w:hAnsi="宋体" w:cs="宋体"/>
          <w:color w:val="auto"/>
          <w:szCs w:val="20"/>
          <w:highlight w:val="none"/>
        </w:rPr>
        <w:t>；</w:t>
      </w:r>
    </w:p>
    <w:p w14:paraId="69948FA5">
      <w:pPr>
        <w:pStyle w:val="16"/>
        <w:spacing w:line="360" w:lineRule="auto"/>
        <w:ind w:firstLine="482"/>
        <w:rPr>
          <w:rFonts w:hAnsi="宋体" w:cs="宋体"/>
          <w:color w:val="auto"/>
          <w:szCs w:val="20"/>
          <w:highlight w:val="none"/>
        </w:rPr>
      </w:pPr>
      <w:r>
        <w:rPr>
          <w:rFonts w:hint="eastAsia" w:hAnsi="宋体" w:cs="宋体"/>
          <w:color w:val="auto"/>
          <w:szCs w:val="20"/>
          <w:highlight w:val="none"/>
        </w:rPr>
        <w:t>......</w:t>
      </w:r>
    </w:p>
    <w:p w14:paraId="6F4B76EB">
      <w:pPr>
        <w:pStyle w:val="16"/>
        <w:spacing w:line="360" w:lineRule="auto"/>
        <w:ind w:firstLine="482"/>
        <w:rPr>
          <w:rFonts w:hAnsi="宋体" w:cs="宋体"/>
          <w:color w:val="auto"/>
          <w:szCs w:val="20"/>
          <w:highlight w:val="none"/>
        </w:rPr>
      </w:pPr>
      <w:r>
        <w:rPr>
          <w:rFonts w:hint="eastAsia" w:hAnsi="宋体" w:cs="宋体"/>
          <w:color w:val="auto"/>
          <w:szCs w:val="20"/>
          <w:highlight w:val="none"/>
        </w:rPr>
        <w:t>2、我方同意自本项目竞争性磋商采购文件采购公告规定的递交响应文件截止时间起遵循本响应函，并承诺在“第三章 供应商须知”规定的响应有效期内不修改、撤销响应文件。</w:t>
      </w:r>
    </w:p>
    <w:p w14:paraId="3C6AC4C5">
      <w:pPr>
        <w:pStyle w:val="16"/>
        <w:spacing w:line="360" w:lineRule="auto"/>
        <w:ind w:firstLine="482"/>
        <w:rPr>
          <w:rFonts w:hAnsi="宋体" w:cs="宋体"/>
          <w:color w:val="auto"/>
          <w:szCs w:val="20"/>
          <w:highlight w:val="none"/>
        </w:rPr>
      </w:pPr>
      <w:r>
        <w:rPr>
          <w:rFonts w:hint="eastAsia" w:hAnsi="宋体" w:cs="宋体"/>
          <w:color w:val="auto"/>
          <w:szCs w:val="20"/>
          <w:highlight w:val="none"/>
        </w:rPr>
        <w:t>3、我方在此声明，所递交的响应文件及有关资料内容完整、真实和准确。</w:t>
      </w:r>
    </w:p>
    <w:p w14:paraId="30EE6763">
      <w:pPr>
        <w:pStyle w:val="16"/>
        <w:spacing w:line="360" w:lineRule="auto"/>
        <w:ind w:firstLine="482"/>
        <w:rPr>
          <w:rFonts w:hAnsi="宋体" w:cs="宋体"/>
          <w:color w:val="auto"/>
          <w:szCs w:val="20"/>
          <w:highlight w:val="none"/>
        </w:rPr>
      </w:pPr>
      <w:r>
        <w:rPr>
          <w:rFonts w:hint="eastAsia" w:hAnsi="宋体" w:cs="宋体"/>
          <w:color w:val="auto"/>
          <w:szCs w:val="20"/>
          <w:highlight w:val="none"/>
        </w:rPr>
        <w:t>4、如本项目采购内容涉及须符合国家强制规定的，我方承诺我方本次竞标均符合国家有关强制规定。</w:t>
      </w:r>
    </w:p>
    <w:p w14:paraId="4E896E35">
      <w:pPr>
        <w:pStyle w:val="16"/>
        <w:spacing w:line="360" w:lineRule="auto"/>
        <w:ind w:firstLine="482"/>
        <w:rPr>
          <w:rFonts w:hAnsi="宋体" w:cs="宋体"/>
          <w:color w:val="auto"/>
          <w:szCs w:val="20"/>
          <w:highlight w:val="none"/>
        </w:rPr>
      </w:pPr>
      <w:r>
        <w:rPr>
          <w:rFonts w:hint="eastAsia" w:hAnsi="宋体" w:cs="宋体"/>
          <w:color w:val="auto"/>
          <w:szCs w:val="20"/>
          <w:highlight w:val="none"/>
        </w:rPr>
        <w:t>5、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14:paraId="6C9556EF">
      <w:pPr>
        <w:pStyle w:val="16"/>
        <w:spacing w:line="360" w:lineRule="auto"/>
        <w:ind w:firstLine="482"/>
        <w:rPr>
          <w:rFonts w:hAnsi="宋体" w:cs="宋体"/>
          <w:color w:val="auto"/>
          <w:szCs w:val="20"/>
          <w:highlight w:val="none"/>
        </w:rPr>
      </w:pPr>
      <w:r>
        <w:rPr>
          <w:rFonts w:hint="eastAsia" w:hAnsi="宋体" w:cs="宋体"/>
          <w:color w:val="auto"/>
          <w:szCs w:val="20"/>
          <w:highlight w:val="none"/>
        </w:rPr>
        <w:t>6、我方已详细审核竞争性磋商采购文件，我方知道必须放弃提出含糊不清或误解问题的权利。</w:t>
      </w:r>
    </w:p>
    <w:p w14:paraId="06ED035A">
      <w:pPr>
        <w:pStyle w:val="16"/>
        <w:spacing w:line="360" w:lineRule="auto"/>
        <w:ind w:firstLine="482"/>
        <w:rPr>
          <w:rFonts w:hAnsi="宋体" w:cs="宋体"/>
          <w:color w:val="auto"/>
          <w:szCs w:val="20"/>
          <w:highlight w:val="none"/>
        </w:rPr>
      </w:pPr>
      <w:r>
        <w:rPr>
          <w:rFonts w:hint="eastAsia" w:hAnsi="宋体" w:cs="宋体"/>
          <w:color w:val="auto"/>
          <w:szCs w:val="20"/>
          <w:highlight w:val="none"/>
        </w:rPr>
        <w:t>7、我方承诺满足竞争性磋商采购文件第六章“合同文本”的条款，承担完成合同的责任和义务。</w:t>
      </w:r>
    </w:p>
    <w:p w14:paraId="4E3C2F85">
      <w:pPr>
        <w:pStyle w:val="16"/>
        <w:spacing w:line="360" w:lineRule="auto"/>
        <w:ind w:firstLine="482"/>
        <w:rPr>
          <w:rFonts w:hAnsi="宋体" w:cs="宋体"/>
          <w:color w:val="auto"/>
          <w:szCs w:val="20"/>
          <w:highlight w:val="none"/>
        </w:rPr>
      </w:pPr>
      <w:r>
        <w:rPr>
          <w:rFonts w:hint="eastAsia" w:hAnsi="宋体" w:cs="宋体"/>
          <w:color w:val="auto"/>
          <w:szCs w:val="20"/>
          <w:highlight w:val="none"/>
        </w:rPr>
        <w:t>8、我方同意应贵方要求提供与本竞标有关的任何数据或资料。若贵方需要，我方愿意提供我方作出的一切承诺的证明材料。</w:t>
      </w:r>
    </w:p>
    <w:p w14:paraId="2B71FD3C">
      <w:pPr>
        <w:pStyle w:val="16"/>
        <w:spacing w:line="360" w:lineRule="auto"/>
        <w:ind w:firstLine="482"/>
        <w:rPr>
          <w:rFonts w:hAnsi="宋体" w:cs="宋体"/>
          <w:color w:val="auto"/>
          <w:szCs w:val="20"/>
          <w:highlight w:val="none"/>
        </w:rPr>
      </w:pPr>
      <w:r>
        <w:rPr>
          <w:rFonts w:hint="eastAsia" w:hAnsi="宋体" w:cs="宋体"/>
          <w:color w:val="auto"/>
          <w:szCs w:val="20"/>
          <w:highlight w:val="none"/>
        </w:rPr>
        <w:t>9、我方完全理解贵方不一定接受响应报价最低的竞标人为成交供应商的行为。</w:t>
      </w:r>
    </w:p>
    <w:p w14:paraId="3FFF6610">
      <w:pPr>
        <w:pStyle w:val="16"/>
        <w:spacing w:line="360" w:lineRule="auto"/>
        <w:ind w:firstLine="482"/>
        <w:rPr>
          <w:rFonts w:hAnsi="宋体" w:cs="宋体"/>
          <w:color w:val="auto"/>
          <w:szCs w:val="20"/>
          <w:highlight w:val="none"/>
        </w:rPr>
      </w:pPr>
      <w:r>
        <w:rPr>
          <w:rFonts w:hint="eastAsia" w:hAnsi="宋体" w:cs="宋体"/>
          <w:color w:val="auto"/>
          <w:szCs w:val="20"/>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FCF2CF4">
      <w:pPr>
        <w:pStyle w:val="16"/>
        <w:numPr>
          <w:ilvl w:val="0"/>
          <w:numId w:val="4"/>
        </w:numPr>
        <w:tabs>
          <w:tab w:val="left" w:pos="945"/>
        </w:tabs>
        <w:spacing w:line="360" w:lineRule="auto"/>
        <w:rPr>
          <w:rFonts w:hAnsi="宋体" w:cs="宋体"/>
          <w:color w:val="auto"/>
          <w:szCs w:val="20"/>
          <w:highlight w:val="none"/>
        </w:rPr>
      </w:pPr>
      <w:r>
        <w:rPr>
          <w:rFonts w:hint="eastAsia" w:hAnsi="宋体" w:cs="宋体"/>
          <w:color w:val="auto"/>
          <w:szCs w:val="20"/>
          <w:highlight w:val="none"/>
        </w:rPr>
        <w:t>提供虚假材料谋取中标、成交的；</w:t>
      </w:r>
    </w:p>
    <w:p w14:paraId="716B09EB">
      <w:pPr>
        <w:pStyle w:val="16"/>
        <w:numPr>
          <w:ilvl w:val="0"/>
          <w:numId w:val="4"/>
        </w:numPr>
        <w:tabs>
          <w:tab w:val="left" w:pos="945"/>
        </w:tabs>
        <w:spacing w:line="360" w:lineRule="auto"/>
        <w:rPr>
          <w:rFonts w:hAnsi="宋体" w:cs="宋体"/>
          <w:color w:val="auto"/>
          <w:szCs w:val="20"/>
          <w:highlight w:val="none"/>
        </w:rPr>
      </w:pPr>
      <w:r>
        <w:rPr>
          <w:rFonts w:hint="eastAsia" w:hAnsi="宋体" w:cs="宋体"/>
          <w:color w:val="auto"/>
          <w:szCs w:val="20"/>
          <w:highlight w:val="none"/>
        </w:rPr>
        <w:t>采取不正当手段诋毁、排挤其他供应商的；</w:t>
      </w:r>
    </w:p>
    <w:p w14:paraId="2F6CA35F">
      <w:pPr>
        <w:pStyle w:val="16"/>
        <w:numPr>
          <w:ilvl w:val="0"/>
          <w:numId w:val="4"/>
        </w:numPr>
        <w:tabs>
          <w:tab w:val="left" w:pos="945"/>
        </w:tabs>
        <w:spacing w:line="360" w:lineRule="auto"/>
        <w:rPr>
          <w:rFonts w:hAnsi="宋体" w:cs="宋体"/>
          <w:color w:val="auto"/>
          <w:szCs w:val="20"/>
          <w:highlight w:val="none"/>
        </w:rPr>
      </w:pPr>
      <w:r>
        <w:rPr>
          <w:rFonts w:hint="eastAsia" w:hAnsi="宋体" w:cs="宋体"/>
          <w:color w:val="auto"/>
          <w:szCs w:val="20"/>
          <w:highlight w:val="none"/>
        </w:rPr>
        <w:t>与采购人、其他供应商或者采购代理机构恶意串通的；</w:t>
      </w:r>
    </w:p>
    <w:p w14:paraId="667698FA">
      <w:pPr>
        <w:pStyle w:val="16"/>
        <w:numPr>
          <w:ilvl w:val="0"/>
          <w:numId w:val="4"/>
        </w:numPr>
        <w:tabs>
          <w:tab w:val="left" w:pos="945"/>
        </w:tabs>
        <w:spacing w:line="360" w:lineRule="auto"/>
        <w:rPr>
          <w:rFonts w:hAnsi="宋体" w:cs="宋体"/>
          <w:color w:val="auto"/>
          <w:szCs w:val="20"/>
          <w:highlight w:val="none"/>
        </w:rPr>
      </w:pPr>
      <w:r>
        <w:rPr>
          <w:rFonts w:hint="eastAsia" w:hAnsi="宋体" w:cs="宋体"/>
          <w:color w:val="auto"/>
          <w:szCs w:val="20"/>
          <w:highlight w:val="none"/>
        </w:rPr>
        <w:t>向采购人、采购代理机构行贿或者提供其他不正当利益的；</w:t>
      </w:r>
    </w:p>
    <w:p w14:paraId="502D30AF">
      <w:pPr>
        <w:pStyle w:val="16"/>
        <w:numPr>
          <w:ilvl w:val="0"/>
          <w:numId w:val="4"/>
        </w:numPr>
        <w:tabs>
          <w:tab w:val="left" w:pos="945"/>
        </w:tabs>
        <w:spacing w:line="360" w:lineRule="auto"/>
        <w:rPr>
          <w:rFonts w:hAnsi="宋体" w:cs="宋体"/>
          <w:color w:val="auto"/>
          <w:szCs w:val="20"/>
          <w:highlight w:val="none"/>
        </w:rPr>
      </w:pPr>
      <w:r>
        <w:rPr>
          <w:rFonts w:hint="eastAsia" w:hAnsi="宋体" w:cs="宋体"/>
          <w:color w:val="auto"/>
          <w:szCs w:val="20"/>
          <w:highlight w:val="none"/>
        </w:rPr>
        <w:t>在采购过程中与采购人进行协商谈判的；</w:t>
      </w:r>
    </w:p>
    <w:p w14:paraId="737C2187">
      <w:pPr>
        <w:pStyle w:val="16"/>
        <w:numPr>
          <w:ilvl w:val="0"/>
          <w:numId w:val="4"/>
        </w:numPr>
        <w:tabs>
          <w:tab w:val="left" w:pos="945"/>
        </w:tabs>
        <w:spacing w:line="360" w:lineRule="auto"/>
        <w:rPr>
          <w:rFonts w:hAnsi="宋体" w:cs="宋体"/>
          <w:color w:val="auto"/>
          <w:szCs w:val="20"/>
          <w:highlight w:val="none"/>
        </w:rPr>
      </w:pPr>
      <w:r>
        <w:rPr>
          <w:rFonts w:hint="eastAsia" w:hAnsi="宋体" w:cs="宋体"/>
          <w:color w:val="auto"/>
          <w:szCs w:val="20"/>
          <w:highlight w:val="none"/>
        </w:rPr>
        <w:t>拒绝有关部门监督检查或提供虚假情况的。</w:t>
      </w:r>
    </w:p>
    <w:p w14:paraId="65E470CD">
      <w:pPr>
        <w:pStyle w:val="16"/>
        <w:spacing w:line="360" w:lineRule="auto"/>
        <w:ind w:firstLine="420"/>
        <w:rPr>
          <w:rFonts w:hAnsi="宋体" w:cs="宋体"/>
          <w:color w:val="auto"/>
          <w:szCs w:val="20"/>
          <w:highlight w:val="none"/>
        </w:rPr>
      </w:pPr>
      <w:r>
        <w:rPr>
          <w:rFonts w:hint="eastAsia" w:hAnsi="宋体" w:cs="宋体"/>
          <w:color w:val="auto"/>
          <w:szCs w:val="20"/>
          <w:highlight w:val="none"/>
        </w:rPr>
        <w:t>11.与本磋商有关的一切正式往来信函请寄：</w:t>
      </w:r>
      <w:r>
        <w:rPr>
          <w:rFonts w:hint="eastAsia" w:hAnsi="宋体" w:cs="宋体"/>
          <w:color w:val="auto"/>
          <w:szCs w:val="20"/>
          <w:highlight w:val="none"/>
          <w:u w:val="single"/>
        </w:rPr>
        <w:t xml:space="preserve"> </w:t>
      </w:r>
    </w:p>
    <w:p w14:paraId="69956F04">
      <w:pPr>
        <w:pStyle w:val="16"/>
        <w:spacing w:line="360" w:lineRule="auto"/>
        <w:ind w:firstLine="420"/>
        <w:rPr>
          <w:rFonts w:hAnsi="宋体" w:cs="宋体"/>
          <w:color w:val="auto"/>
          <w:szCs w:val="20"/>
          <w:highlight w:val="none"/>
        </w:rPr>
      </w:pPr>
      <w:r>
        <w:rPr>
          <w:rFonts w:hint="eastAsia" w:hAnsi="宋体" w:cs="宋体"/>
          <w:color w:val="auto"/>
          <w:szCs w:val="20"/>
          <w:highlight w:val="none"/>
        </w:rPr>
        <w:t>地址：</w:t>
      </w:r>
      <w:r>
        <w:rPr>
          <w:rFonts w:hint="eastAsia" w:hAnsi="宋体" w:cs="宋体"/>
          <w:color w:val="auto"/>
          <w:szCs w:val="20"/>
          <w:highlight w:val="none"/>
          <w:u w:val="single"/>
        </w:rPr>
        <w:t xml:space="preserve">                                                        </w:t>
      </w:r>
      <w:r>
        <w:rPr>
          <w:rFonts w:hint="eastAsia" w:hAnsi="宋体" w:cs="宋体"/>
          <w:color w:val="auto"/>
          <w:szCs w:val="20"/>
          <w:highlight w:val="none"/>
        </w:rPr>
        <w:t xml:space="preserve"> </w:t>
      </w:r>
    </w:p>
    <w:p w14:paraId="434F0753">
      <w:pPr>
        <w:pStyle w:val="16"/>
        <w:spacing w:line="360" w:lineRule="auto"/>
        <w:ind w:firstLine="420"/>
        <w:rPr>
          <w:rFonts w:hAnsi="宋体" w:cs="宋体"/>
          <w:color w:val="auto"/>
          <w:szCs w:val="20"/>
          <w:highlight w:val="none"/>
          <w:u w:val="single"/>
        </w:rPr>
      </w:pPr>
      <w:r>
        <w:rPr>
          <w:rFonts w:hint="eastAsia" w:hAnsi="宋体" w:cs="宋体"/>
          <w:color w:val="auto"/>
          <w:szCs w:val="20"/>
          <w:highlight w:val="none"/>
        </w:rPr>
        <w:t>电话：</w:t>
      </w:r>
      <w:r>
        <w:rPr>
          <w:rFonts w:hint="eastAsia" w:hAnsi="宋体" w:cs="宋体"/>
          <w:color w:val="auto"/>
          <w:szCs w:val="20"/>
          <w:highlight w:val="none"/>
          <w:u w:val="single"/>
        </w:rPr>
        <w:t xml:space="preserve">                                      　　　　　　　　　</w:t>
      </w:r>
    </w:p>
    <w:p w14:paraId="48785C6B">
      <w:pPr>
        <w:pStyle w:val="16"/>
        <w:spacing w:line="360" w:lineRule="auto"/>
        <w:ind w:firstLine="420"/>
        <w:rPr>
          <w:rFonts w:hAnsi="宋体" w:cs="宋体"/>
          <w:color w:val="auto"/>
          <w:szCs w:val="20"/>
          <w:highlight w:val="none"/>
        </w:rPr>
      </w:pPr>
      <w:r>
        <w:rPr>
          <w:rFonts w:hint="eastAsia" w:hAnsi="宋体" w:cs="宋体"/>
          <w:color w:val="auto"/>
          <w:szCs w:val="20"/>
          <w:highlight w:val="none"/>
        </w:rPr>
        <w:t>传真：</w:t>
      </w:r>
      <w:r>
        <w:rPr>
          <w:rFonts w:hint="eastAsia" w:hAnsi="宋体" w:cs="宋体"/>
          <w:color w:val="auto"/>
          <w:szCs w:val="20"/>
          <w:highlight w:val="none"/>
          <w:u w:val="single"/>
        </w:rPr>
        <w:t>　　　　　　　　　　　　　　　　　　　　　　　　　　　　</w:t>
      </w:r>
    </w:p>
    <w:p w14:paraId="73DA9067">
      <w:pPr>
        <w:pStyle w:val="16"/>
        <w:spacing w:line="360" w:lineRule="auto"/>
        <w:ind w:firstLine="420"/>
        <w:rPr>
          <w:rFonts w:hAnsi="宋体" w:cs="宋体"/>
          <w:color w:val="auto"/>
          <w:szCs w:val="20"/>
          <w:highlight w:val="none"/>
          <w:u w:val="single"/>
        </w:rPr>
      </w:pPr>
      <w:r>
        <w:rPr>
          <w:rFonts w:hint="eastAsia" w:hAnsi="宋体" w:cs="宋体"/>
          <w:color w:val="auto"/>
          <w:szCs w:val="20"/>
          <w:highlight w:val="none"/>
        </w:rPr>
        <w:t>邮政编码：</w:t>
      </w:r>
      <w:r>
        <w:rPr>
          <w:rFonts w:hint="eastAsia" w:hAnsi="宋体" w:cs="宋体"/>
          <w:color w:val="auto"/>
          <w:szCs w:val="20"/>
          <w:highlight w:val="none"/>
          <w:u w:val="single"/>
        </w:rPr>
        <w:t xml:space="preserve">                                                    </w:t>
      </w:r>
    </w:p>
    <w:p w14:paraId="3301E0A5">
      <w:pPr>
        <w:pStyle w:val="16"/>
        <w:spacing w:line="360" w:lineRule="auto"/>
        <w:ind w:firstLine="420"/>
        <w:rPr>
          <w:rFonts w:hAnsi="宋体" w:cs="宋体"/>
          <w:color w:val="auto"/>
          <w:szCs w:val="20"/>
          <w:highlight w:val="none"/>
          <w:u w:val="single"/>
        </w:rPr>
      </w:pPr>
      <w:r>
        <w:rPr>
          <w:rFonts w:hint="eastAsia" w:hAnsi="宋体" w:cs="宋体"/>
          <w:color w:val="auto"/>
          <w:szCs w:val="20"/>
          <w:highlight w:val="none"/>
        </w:rPr>
        <w:t>开户名称：</w:t>
      </w:r>
      <w:r>
        <w:rPr>
          <w:rFonts w:hint="eastAsia" w:hAnsi="宋体" w:cs="宋体"/>
          <w:color w:val="auto"/>
          <w:szCs w:val="20"/>
          <w:highlight w:val="none"/>
          <w:u w:val="single"/>
        </w:rPr>
        <w:t xml:space="preserve">                                                    </w:t>
      </w:r>
    </w:p>
    <w:p w14:paraId="65FC5833">
      <w:pPr>
        <w:pStyle w:val="16"/>
        <w:spacing w:line="360" w:lineRule="auto"/>
        <w:ind w:firstLine="420"/>
        <w:rPr>
          <w:rFonts w:hAnsi="宋体" w:cs="宋体"/>
          <w:color w:val="auto"/>
          <w:szCs w:val="20"/>
          <w:highlight w:val="none"/>
          <w:u w:val="single"/>
        </w:rPr>
      </w:pPr>
      <w:r>
        <w:rPr>
          <w:rFonts w:hint="eastAsia" w:hAnsi="宋体" w:cs="宋体"/>
          <w:color w:val="auto"/>
          <w:szCs w:val="20"/>
          <w:highlight w:val="none"/>
        </w:rPr>
        <w:t>开户银行：</w:t>
      </w:r>
      <w:r>
        <w:rPr>
          <w:rFonts w:hint="eastAsia" w:hAnsi="宋体" w:cs="宋体"/>
          <w:color w:val="auto"/>
          <w:szCs w:val="20"/>
          <w:highlight w:val="none"/>
          <w:u w:val="single"/>
        </w:rPr>
        <w:t xml:space="preserve">                                                    </w:t>
      </w:r>
    </w:p>
    <w:p w14:paraId="1D105CA9">
      <w:pPr>
        <w:pStyle w:val="16"/>
        <w:spacing w:line="360" w:lineRule="auto"/>
        <w:ind w:firstLine="420"/>
        <w:rPr>
          <w:rFonts w:hAnsi="宋体" w:cs="宋体"/>
          <w:color w:val="auto"/>
          <w:szCs w:val="20"/>
          <w:highlight w:val="none"/>
          <w:u w:val="single"/>
        </w:rPr>
      </w:pPr>
      <w:r>
        <w:rPr>
          <w:rFonts w:hint="eastAsia" w:hAnsi="宋体" w:cs="宋体"/>
          <w:color w:val="auto"/>
          <w:szCs w:val="20"/>
          <w:highlight w:val="none"/>
        </w:rPr>
        <w:t>银行账号：</w:t>
      </w:r>
      <w:r>
        <w:rPr>
          <w:rFonts w:hint="eastAsia" w:hAnsi="宋体" w:cs="宋体"/>
          <w:color w:val="auto"/>
          <w:szCs w:val="20"/>
          <w:highlight w:val="none"/>
          <w:u w:val="single"/>
        </w:rPr>
        <w:t xml:space="preserve">                                                    </w:t>
      </w:r>
    </w:p>
    <w:p w14:paraId="4E7AF24B">
      <w:pPr>
        <w:pStyle w:val="14"/>
        <w:tabs>
          <w:tab w:val="left" w:pos="939"/>
        </w:tabs>
        <w:spacing w:line="360" w:lineRule="auto"/>
        <w:ind w:left="141" w:leftChars="67" w:firstLine="300" w:firstLineChars="150"/>
        <w:rPr>
          <w:rFonts w:ascii="宋体" w:hAnsi="宋体" w:cs="宋体"/>
          <w:color w:val="auto"/>
          <w:sz w:val="20"/>
          <w:szCs w:val="20"/>
          <w:highlight w:val="none"/>
        </w:rPr>
      </w:pPr>
      <w:r>
        <w:rPr>
          <w:rFonts w:hint="eastAsia" w:ascii="宋体" w:hAnsi="宋体" w:cs="宋体"/>
          <w:color w:val="auto"/>
          <w:sz w:val="20"/>
          <w:szCs w:val="20"/>
          <w:highlight w:val="none"/>
        </w:rPr>
        <w:t>特此承诺。</w:t>
      </w:r>
    </w:p>
    <w:p w14:paraId="5D04329C">
      <w:pPr>
        <w:spacing w:line="360" w:lineRule="auto"/>
        <w:jc w:val="left"/>
        <w:rPr>
          <w:rFonts w:ascii="宋体" w:hAnsi="宋体" w:cs="宋体"/>
          <w:color w:val="auto"/>
          <w:szCs w:val="21"/>
          <w:highlight w:val="none"/>
        </w:rPr>
      </w:pPr>
    </w:p>
    <w:p w14:paraId="6E505465">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2CE61DD3">
      <w:pPr>
        <w:autoSpaceDE w:val="0"/>
        <w:autoSpaceDN w:val="0"/>
        <w:spacing w:line="360" w:lineRule="auto"/>
        <w:ind w:firstLine="6480" w:firstLineChars="2700"/>
        <w:rPr>
          <w:rFonts w:ascii="宋体" w:hAnsi="宋体" w:cs="宋体"/>
          <w:color w:val="auto"/>
          <w:kern w:val="0"/>
          <w:sz w:val="24"/>
          <w:highlight w:val="none"/>
          <w:lang w:val="zh-CN"/>
        </w:rPr>
        <w:sectPr>
          <w:pgSz w:w="11910" w:h="16840"/>
          <w:pgMar w:top="1340" w:right="1500" w:bottom="280" w:left="1680" w:header="720" w:footer="720" w:gutter="0"/>
          <w:cols w:space="720" w:num="1"/>
        </w:sectPr>
      </w:pPr>
      <w:r>
        <w:rPr>
          <w:rFonts w:hint="eastAsia" w:ascii="宋体" w:hAnsi="宋体" w:cs="宋体"/>
          <w:color w:val="auto"/>
          <w:kern w:val="0"/>
          <w:sz w:val="24"/>
          <w:highlight w:val="none"/>
          <w:lang w:val="zh-CN"/>
        </w:rPr>
        <w:t>日期：  年  月   日</w:t>
      </w:r>
    </w:p>
    <w:p w14:paraId="163EAEC1">
      <w:pPr>
        <w:spacing w:line="520" w:lineRule="exact"/>
        <w:ind w:firstLine="643" w:firstLineChars="200"/>
        <w:rPr>
          <w:rFonts w:ascii="宋体" w:hAnsi="宋体" w:cs="宋体"/>
          <w:b/>
          <w:bCs/>
          <w:color w:val="auto"/>
          <w:sz w:val="32"/>
          <w:szCs w:val="32"/>
          <w:highlight w:val="none"/>
        </w:rPr>
      </w:pPr>
      <w:r>
        <w:rPr>
          <w:rFonts w:hint="eastAsia" w:ascii="宋体" w:hAnsi="宋体" w:cs="宋体"/>
          <w:b/>
          <w:bCs/>
          <w:color w:val="auto"/>
          <w:sz w:val="32"/>
          <w:szCs w:val="32"/>
          <w:highlight w:val="none"/>
        </w:rPr>
        <w:t>二、响应报价表</w:t>
      </w:r>
    </w:p>
    <w:p w14:paraId="5BC16A77">
      <w:pPr>
        <w:snapToGrid w:val="0"/>
        <w:spacing w:before="50" w:after="50" w:line="360" w:lineRule="auto"/>
        <w:rPr>
          <w:rFonts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bookmarkStart w:id="99" w:name="PO_3000001868_PM002_11"/>
      <w:r>
        <w:rPr>
          <w:rFonts w:hint="eastAsia" w:ascii="宋体" w:hAnsi="宋体" w:cs="宋体"/>
          <w:color w:val="auto"/>
          <w:sz w:val="24"/>
          <w:highlight w:val="none"/>
          <w:u w:val="single"/>
        </w:rPr>
        <w:t>[项目名称]</w:t>
      </w:r>
      <w:bookmarkEnd w:id="99"/>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项目编号：</w:t>
      </w:r>
      <w:r>
        <w:rPr>
          <w:rFonts w:hint="eastAsia" w:ascii="宋体" w:hAnsi="宋体" w:cs="宋体"/>
          <w:color w:val="auto"/>
          <w:sz w:val="24"/>
          <w:highlight w:val="none"/>
          <w:u w:val="single"/>
        </w:rPr>
        <w:t xml:space="preserve">  </w:t>
      </w:r>
      <w:bookmarkStart w:id="100" w:name="PO_3000001868_PM001_11"/>
      <w:r>
        <w:rPr>
          <w:rFonts w:hint="eastAsia" w:ascii="宋体" w:hAnsi="宋体" w:cs="宋体"/>
          <w:color w:val="auto"/>
          <w:sz w:val="24"/>
          <w:highlight w:val="none"/>
          <w:u w:val="single"/>
        </w:rPr>
        <w:t>[项目编号]</w:t>
      </w:r>
      <w:bookmarkEnd w:id="100"/>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08A34367">
      <w:pPr>
        <w:snapToGrid w:val="0"/>
        <w:spacing w:before="50" w:after="50" w:line="360" w:lineRule="auto"/>
        <w:rPr>
          <w:rFonts w:ascii="宋体" w:hAnsi="宋体" w:cs="宋体"/>
          <w:color w:val="auto"/>
          <w:sz w:val="24"/>
          <w:highlight w:val="none"/>
          <w:u w:val="singl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tbl>
      <w:tblPr>
        <w:tblStyle w:val="25"/>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259"/>
        <w:gridCol w:w="2063"/>
        <w:gridCol w:w="1080"/>
        <w:gridCol w:w="1289"/>
        <w:gridCol w:w="1290"/>
        <w:gridCol w:w="1154"/>
        <w:gridCol w:w="957"/>
      </w:tblGrid>
      <w:tr w14:paraId="44135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1B7DA3A0">
            <w:pPr>
              <w:rPr>
                <w:rFonts w:ascii="宋体" w:hAnsi="宋体" w:cs="宋体"/>
                <w:color w:val="auto"/>
                <w:szCs w:val="22"/>
                <w:highlight w:val="none"/>
              </w:rPr>
            </w:pPr>
            <w:r>
              <w:rPr>
                <w:rFonts w:hint="eastAsia" w:ascii="宋体" w:hAnsi="宋体" w:cs="宋体"/>
                <w:color w:val="auto"/>
                <w:szCs w:val="22"/>
                <w:highlight w:val="none"/>
              </w:rPr>
              <w:t>序号</w:t>
            </w:r>
          </w:p>
        </w:tc>
        <w:tc>
          <w:tcPr>
            <w:tcW w:w="1259" w:type="dxa"/>
            <w:tcBorders>
              <w:top w:val="single" w:color="auto" w:sz="4" w:space="0"/>
              <w:left w:val="single" w:color="auto" w:sz="4" w:space="0"/>
              <w:bottom w:val="single" w:color="auto" w:sz="4" w:space="0"/>
              <w:right w:val="single" w:color="auto" w:sz="4" w:space="0"/>
            </w:tcBorders>
            <w:vAlign w:val="center"/>
          </w:tcPr>
          <w:p w14:paraId="47810A47">
            <w:pPr>
              <w:rPr>
                <w:rFonts w:ascii="宋体" w:hAnsi="宋体" w:cs="宋体"/>
                <w:color w:val="auto"/>
                <w:szCs w:val="22"/>
                <w:highlight w:val="none"/>
              </w:rPr>
            </w:pPr>
            <w:r>
              <w:rPr>
                <w:rFonts w:hint="eastAsia" w:ascii="宋体" w:hAnsi="宋体" w:cs="宋体"/>
                <w:color w:val="auto"/>
                <w:szCs w:val="22"/>
                <w:highlight w:val="none"/>
                <w:lang w:val="en-US" w:eastAsia="zh-CN"/>
              </w:rPr>
              <w:t>工程</w:t>
            </w:r>
            <w:r>
              <w:rPr>
                <w:rFonts w:hint="eastAsia" w:ascii="宋体" w:hAnsi="宋体" w:cs="宋体"/>
                <w:color w:val="auto"/>
                <w:szCs w:val="22"/>
                <w:highlight w:val="none"/>
              </w:rPr>
              <w:t>名称</w:t>
            </w:r>
          </w:p>
        </w:tc>
        <w:tc>
          <w:tcPr>
            <w:tcW w:w="2063" w:type="dxa"/>
            <w:tcBorders>
              <w:top w:val="single" w:color="auto" w:sz="4" w:space="0"/>
              <w:left w:val="single" w:color="auto" w:sz="4" w:space="0"/>
              <w:bottom w:val="single" w:color="auto" w:sz="4" w:space="0"/>
              <w:right w:val="single" w:color="auto" w:sz="4" w:space="0"/>
            </w:tcBorders>
            <w:vAlign w:val="center"/>
          </w:tcPr>
          <w:p w14:paraId="29575954">
            <w:pPr>
              <w:jc w:val="center"/>
              <w:rPr>
                <w:rFonts w:ascii="宋体" w:hAnsi="宋体" w:cs="宋体"/>
                <w:color w:val="auto"/>
                <w:szCs w:val="22"/>
                <w:highlight w:val="none"/>
              </w:rPr>
            </w:pPr>
            <w:r>
              <w:rPr>
                <w:rFonts w:hint="eastAsia" w:ascii="宋体" w:hAnsi="宋体" w:cs="宋体"/>
                <w:color w:val="auto"/>
                <w:szCs w:val="22"/>
                <w:highlight w:val="none"/>
                <w:lang w:val="en-US" w:eastAsia="zh-CN"/>
              </w:rPr>
              <w:t>工程</w:t>
            </w:r>
            <w:r>
              <w:rPr>
                <w:rFonts w:hint="eastAsia" w:ascii="宋体" w:hAnsi="宋体" w:cs="宋体"/>
                <w:color w:val="auto"/>
                <w:szCs w:val="22"/>
                <w:highlight w:val="none"/>
              </w:rPr>
              <w:t>内容</w:t>
            </w:r>
          </w:p>
        </w:tc>
        <w:tc>
          <w:tcPr>
            <w:tcW w:w="1080" w:type="dxa"/>
            <w:tcBorders>
              <w:top w:val="single" w:color="auto" w:sz="4" w:space="0"/>
              <w:left w:val="single" w:color="auto" w:sz="4" w:space="0"/>
              <w:bottom w:val="single" w:color="auto" w:sz="4" w:space="0"/>
              <w:right w:val="single" w:color="auto" w:sz="4" w:space="0"/>
            </w:tcBorders>
            <w:vAlign w:val="center"/>
          </w:tcPr>
          <w:p w14:paraId="5B9C76CE">
            <w:pPr>
              <w:jc w:val="center"/>
              <w:rPr>
                <w:rFonts w:ascii="宋体" w:hAnsi="宋体" w:cs="宋体"/>
                <w:color w:val="auto"/>
                <w:szCs w:val="22"/>
                <w:highlight w:val="none"/>
              </w:rPr>
            </w:pPr>
            <w:r>
              <w:rPr>
                <w:rFonts w:hint="eastAsia" w:ascii="宋体" w:hAnsi="宋体" w:cs="宋体"/>
                <w:color w:val="auto"/>
                <w:szCs w:val="22"/>
                <w:highlight w:val="none"/>
              </w:rPr>
              <w:t>数量</w:t>
            </w:r>
          </w:p>
        </w:tc>
        <w:tc>
          <w:tcPr>
            <w:tcW w:w="1289" w:type="dxa"/>
            <w:tcBorders>
              <w:top w:val="single" w:color="auto" w:sz="4" w:space="0"/>
              <w:left w:val="single" w:color="auto" w:sz="4" w:space="0"/>
              <w:bottom w:val="single" w:color="auto" w:sz="4" w:space="0"/>
              <w:right w:val="single" w:color="auto" w:sz="4" w:space="0"/>
            </w:tcBorders>
            <w:vAlign w:val="center"/>
          </w:tcPr>
          <w:p w14:paraId="17C64F68">
            <w:pPr>
              <w:jc w:val="center"/>
              <w:rPr>
                <w:rFonts w:hint="default" w:ascii="宋体" w:hAnsi="宋体" w:eastAsia="宋体" w:cs="宋体"/>
                <w:color w:val="auto"/>
                <w:szCs w:val="22"/>
                <w:highlight w:val="none"/>
                <w:lang w:val="en-US" w:eastAsia="zh-CN"/>
              </w:rPr>
            </w:pPr>
            <w:r>
              <w:rPr>
                <w:rFonts w:hint="eastAsia" w:ascii="宋体" w:hAnsi="宋体" w:cs="宋体"/>
                <w:color w:val="auto"/>
                <w:szCs w:val="22"/>
                <w:highlight w:val="none"/>
                <w:lang w:val="en-US" w:eastAsia="zh-CN"/>
              </w:rPr>
              <w:t>单价（元）</w:t>
            </w:r>
          </w:p>
        </w:tc>
        <w:tc>
          <w:tcPr>
            <w:tcW w:w="1290" w:type="dxa"/>
            <w:tcBorders>
              <w:top w:val="single" w:color="auto" w:sz="4" w:space="0"/>
              <w:left w:val="single" w:color="auto" w:sz="4" w:space="0"/>
              <w:bottom w:val="single" w:color="auto" w:sz="4" w:space="0"/>
              <w:right w:val="single" w:color="auto" w:sz="4" w:space="0"/>
            </w:tcBorders>
            <w:vAlign w:val="center"/>
          </w:tcPr>
          <w:p w14:paraId="15A8C83E">
            <w:pPr>
              <w:jc w:val="center"/>
              <w:rPr>
                <w:rFonts w:hint="eastAsia" w:ascii="宋体" w:hAnsi="宋体" w:cs="宋体"/>
                <w:color w:val="auto"/>
                <w:szCs w:val="22"/>
                <w:highlight w:val="none"/>
              </w:rPr>
            </w:pPr>
            <w:r>
              <w:rPr>
                <w:rFonts w:hint="eastAsia" w:ascii="宋体" w:hAnsi="宋体" w:cs="宋体"/>
                <w:color w:val="auto"/>
                <w:szCs w:val="22"/>
                <w:highlight w:val="none"/>
              </w:rPr>
              <w:t>磋商</w:t>
            </w:r>
            <w:r>
              <w:rPr>
                <w:rFonts w:hint="eastAsia" w:ascii="宋体" w:hAnsi="宋体" w:cs="宋体"/>
                <w:color w:val="auto"/>
                <w:szCs w:val="22"/>
                <w:highlight w:val="none"/>
                <w:lang w:val="en-US" w:eastAsia="zh-CN"/>
              </w:rPr>
              <w:t>总</w:t>
            </w:r>
            <w:r>
              <w:rPr>
                <w:rFonts w:hint="eastAsia" w:ascii="宋体" w:hAnsi="宋体" w:cs="宋体"/>
                <w:color w:val="auto"/>
                <w:szCs w:val="22"/>
                <w:highlight w:val="none"/>
              </w:rPr>
              <w:t>报价</w:t>
            </w:r>
            <w:r>
              <w:rPr>
                <w:rFonts w:hint="eastAsia" w:ascii="宋体" w:hAnsi="宋体" w:cs="宋体"/>
                <w:color w:val="auto"/>
                <w:szCs w:val="22"/>
                <w:highlight w:val="none"/>
                <w:lang w:eastAsia="zh-CN"/>
              </w:rPr>
              <w:t>（</w:t>
            </w:r>
            <w:r>
              <w:rPr>
                <w:rFonts w:hint="eastAsia" w:ascii="宋体" w:hAnsi="宋体" w:cs="宋体"/>
                <w:color w:val="auto"/>
                <w:szCs w:val="22"/>
                <w:highlight w:val="none"/>
                <w:lang w:val="en-US" w:eastAsia="zh-CN"/>
              </w:rPr>
              <w:t>元）</w:t>
            </w:r>
          </w:p>
        </w:tc>
        <w:tc>
          <w:tcPr>
            <w:tcW w:w="1154" w:type="dxa"/>
            <w:tcBorders>
              <w:top w:val="single" w:color="auto" w:sz="4" w:space="0"/>
              <w:left w:val="single" w:color="auto" w:sz="4" w:space="0"/>
              <w:bottom w:val="single" w:color="auto" w:sz="4" w:space="0"/>
              <w:right w:val="single" w:color="auto" w:sz="4" w:space="0"/>
            </w:tcBorders>
            <w:vAlign w:val="center"/>
          </w:tcPr>
          <w:p w14:paraId="0BCD1B12">
            <w:pPr>
              <w:spacing w:line="360" w:lineRule="auto"/>
              <w:jc w:val="center"/>
              <w:rPr>
                <w:rFonts w:hint="eastAsia" w:ascii="宋体" w:hAnsi="宋体" w:eastAsia="宋体" w:cs="宋体"/>
                <w:color w:val="auto"/>
                <w:szCs w:val="22"/>
                <w:highlight w:val="none"/>
                <w:lang w:eastAsia="zh-CN"/>
              </w:rPr>
            </w:pPr>
            <w:r>
              <w:rPr>
                <w:rFonts w:hint="eastAsia" w:ascii="宋体" w:hAnsi="宋体" w:cs="宋体"/>
                <w:color w:val="auto"/>
                <w:szCs w:val="21"/>
                <w:highlight w:val="none"/>
                <w:lang w:val="en-US" w:eastAsia="zh-CN"/>
              </w:rPr>
              <w:t>工期</w:t>
            </w:r>
          </w:p>
        </w:tc>
        <w:tc>
          <w:tcPr>
            <w:tcW w:w="957" w:type="dxa"/>
            <w:tcBorders>
              <w:top w:val="single" w:color="auto" w:sz="4" w:space="0"/>
              <w:left w:val="single" w:color="auto" w:sz="4" w:space="0"/>
              <w:bottom w:val="single" w:color="auto" w:sz="4" w:space="0"/>
              <w:right w:val="single" w:color="auto" w:sz="4" w:space="0"/>
            </w:tcBorders>
            <w:vAlign w:val="center"/>
          </w:tcPr>
          <w:p w14:paraId="7AF03EE9">
            <w:pPr>
              <w:rPr>
                <w:rFonts w:ascii="宋体" w:hAnsi="宋体" w:cs="宋体"/>
                <w:color w:val="auto"/>
                <w:szCs w:val="22"/>
                <w:highlight w:val="none"/>
              </w:rPr>
            </w:pPr>
            <w:r>
              <w:rPr>
                <w:rFonts w:hint="eastAsia" w:ascii="宋体" w:hAnsi="宋体" w:cs="宋体"/>
                <w:color w:val="auto"/>
                <w:szCs w:val="22"/>
                <w:highlight w:val="none"/>
              </w:rPr>
              <w:t>备注</w:t>
            </w:r>
          </w:p>
        </w:tc>
      </w:tr>
      <w:tr w14:paraId="7DAF2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5862B9F0">
            <w:pPr>
              <w:rPr>
                <w:rFonts w:ascii="宋体" w:hAnsi="宋体" w:cs="宋体"/>
                <w:color w:val="auto"/>
                <w:szCs w:val="22"/>
                <w:highlight w:val="none"/>
              </w:rPr>
            </w:pPr>
            <w:r>
              <w:rPr>
                <w:rFonts w:hint="eastAsia" w:ascii="宋体" w:hAnsi="宋体" w:cs="宋体"/>
                <w:color w:val="auto"/>
                <w:szCs w:val="22"/>
                <w:highlight w:val="none"/>
              </w:rPr>
              <w:t>1</w:t>
            </w:r>
          </w:p>
        </w:tc>
        <w:tc>
          <w:tcPr>
            <w:tcW w:w="1259" w:type="dxa"/>
            <w:tcBorders>
              <w:top w:val="single" w:color="auto" w:sz="4" w:space="0"/>
              <w:left w:val="single" w:color="auto" w:sz="4" w:space="0"/>
              <w:bottom w:val="single" w:color="auto" w:sz="4" w:space="0"/>
              <w:right w:val="single" w:color="auto" w:sz="4" w:space="0"/>
            </w:tcBorders>
            <w:vAlign w:val="center"/>
          </w:tcPr>
          <w:p w14:paraId="0E3BA180">
            <w:pPr>
              <w:rPr>
                <w:rFonts w:ascii="宋体" w:hAnsi="宋体" w:cs="宋体"/>
                <w:color w:val="auto"/>
                <w:szCs w:val="22"/>
                <w:highlight w:val="none"/>
              </w:rPr>
            </w:pPr>
          </w:p>
        </w:tc>
        <w:tc>
          <w:tcPr>
            <w:tcW w:w="2063" w:type="dxa"/>
            <w:tcBorders>
              <w:top w:val="single" w:color="auto" w:sz="4" w:space="0"/>
              <w:left w:val="single" w:color="auto" w:sz="4" w:space="0"/>
              <w:bottom w:val="single" w:color="auto" w:sz="4" w:space="0"/>
              <w:right w:val="single" w:color="auto" w:sz="4" w:space="0"/>
            </w:tcBorders>
            <w:vAlign w:val="center"/>
          </w:tcPr>
          <w:p w14:paraId="6FDDE90E">
            <w:pPr>
              <w:rPr>
                <w:rFonts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4AE6D695">
            <w:pPr>
              <w:rPr>
                <w:rFonts w:ascii="宋体" w:hAnsi="宋体" w:cs="宋体"/>
                <w:color w:val="auto"/>
                <w:szCs w:val="22"/>
                <w:highlight w:val="none"/>
              </w:rPr>
            </w:pPr>
            <w:r>
              <w:rPr>
                <w:rFonts w:hint="eastAsia" w:ascii="宋体" w:hAnsi="宋体" w:cs="宋体"/>
                <w:color w:val="auto"/>
                <w:szCs w:val="22"/>
                <w:highlight w:val="none"/>
                <w:lang w:val="en-US" w:eastAsia="zh-CN"/>
              </w:rPr>
              <w:t>详见已标价工程量清单</w:t>
            </w:r>
            <w:r>
              <w:rPr>
                <w:rFonts w:ascii="宋体" w:hAnsi="宋体" w:cs="宋体"/>
                <w:color w:val="auto"/>
                <w:szCs w:val="22"/>
                <w:highlight w:val="none"/>
              </w:rPr>
              <w:t xml:space="preserve">  </w:t>
            </w:r>
          </w:p>
        </w:tc>
        <w:tc>
          <w:tcPr>
            <w:tcW w:w="1289" w:type="dxa"/>
            <w:tcBorders>
              <w:top w:val="single" w:color="auto" w:sz="4" w:space="0"/>
              <w:left w:val="single" w:color="auto" w:sz="4" w:space="0"/>
              <w:bottom w:val="single" w:color="auto" w:sz="4" w:space="0"/>
              <w:right w:val="single" w:color="auto" w:sz="4" w:space="0"/>
            </w:tcBorders>
            <w:vAlign w:val="center"/>
          </w:tcPr>
          <w:p w14:paraId="29C15DFB">
            <w:pPr>
              <w:rPr>
                <w:rFonts w:ascii="宋体" w:hAnsi="宋体" w:cs="宋体"/>
                <w:color w:val="auto"/>
                <w:szCs w:val="22"/>
                <w:highlight w:val="none"/>
              </w:rPr>
            </w:pPr>
            <w:r>
              <w:rPr>
                <w:rFonts w:hint="eastAsia" w:ascii="宋体" w:hAnsi="宋体" w:cs="宋体"/>
                <w:color w:val="auto"/>
                <w:szCs w:val="22"/>
                <w:highlight w:val="none"/>
                <w:lang w:val="en-US" w:eastAsia="zh-CN"/>
              </w:rPr>
              <w:t>详见已标价工程量清单</w:t>
            </w:r>
            <w:r>
              <w:rPr>
                <w:rFonts w:ascii="宋体" w:hAnsi="宋体" w:cs="宋体"/>
                <w:color w:val="auto"/>
                <w:szCs w:val="22"/>
                <w:highlight w:val="none"/>
              </w:rPr>
              <w:t xml:space="preserve">  </w:t>
            </w:r>
          </w:p>
        </w:tc>
        <w:tc>
          <w:tcPr>
            <w:tcW w:w="1290" w:type="dxa"/>
            <w:tcBorders>
              <w:top w:val="single" w:color="auto" w:sz="4" w:space="0"/>
              <w:left w:val="single" w:color="auto" w:sz="4" w:space="0"/>
              <w:bottom w:val="single" w:color="auto" w:sz="4" w:space="0"/>
              <w:right w:val="single" w:color="auto" w:sz="4" w:space="0"/>
            </w:tcBorders>
            <w:vAlign w:val="center"/>
          </w:tcPr>
          <w:p w14:paraId="4075A0D2">
            <w:pPr>
              <w:rPr>
                <w:rFonts w:hint="eastAsia" w:ascii="宋体" w:hAnsi="宋体" w:cs="宋体"/>
                <w:color w:val="auto"/>
                <w:szCs w:val="22"/>
                <w:highlight w:val="none"/>
              </w:rPr>
            </w:pPr>
          </w:p>
        </w:tc>
        <w:tc>
          <w:tcPr>
            <w:tcW w:w="1154" w:type="dxa"/>
            <w:tcBorders>
              <w:top w:val="single" w:color="auto" w:sz="4" w:space="0"/>
              <w:left w:val="single" w:color="auto" w:sz="4" w:space="0"/>
              <w:bottom w:val="single" w:color="auto" w:sz="4" w:space="0"/>
              <w:right w:val="single" w:color="auto" w:sz="4" w:space="0"/>
            </w:tcBorders>
            <w:vAlign w:val="center"/>
          </w:tcPr>
          <w:p w14:paraId="68EDB8A0">
            <w:pPr>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0163C6F1">
            <w:pPr>
              <w:rPr>
                <w:rFonts w:ascii="宋体" w:hAnsi="宋体" w:cs="宋体"/>
                <w:color w:val="auto"/>
                <w:szCs w:val="22"/>
                <w:highlight w:val="none"/>
              </w:rPr>
            </w:pPr>
          </w:p>
        </w:tc>
      </w:tr>
      <w:tr w14:paraId="73201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tcPr>
          <w:p w14:paraId="763A3EBA">
            <w:pPr>
              <w:rPr>
                <w:rFonts w:ascii="宋体" w:hAnsi="宋体" w:cs="宋体"/>
                <w:color w:val="auto"/>
                <w:szCs w:val="22"/>
                <w:highlight w:val="none"/>
              </w:rPr>
            </w:pPr>
            <w:r>
              <w:rPr>
                <w:rFonts w:hint="eastAsia" w:ascii="宋体" w:hAnsi="宋体" w:cs="宋体"/>
                <w:color w:val="auto"/>
                <w:szCs w:val="22"/>
                <w:highlight w:val="none"/>
              </w:rPr>
              <w:t>报价合计（包含税费等所有费用）：</w:t>
            </w:r>
            <w:r>
              <w:rPr>
                <w:rFonts w:hint="eastAsia" w:ascii="宋体" w:hAnsi="宋体" w:cs="宋体"/>
                <w:color w:val="auto"/>
                <w:szCs w:val="22"/>
                <w:highlight w:val="none"/>
                <w:lang w:val="en-US" w:eastAsia="zh-CN"/>
              </w:rPr>
              <w:t>（大写）人民币         （￥       ）</w:t>
            </w:r>
            <w:r>
              <w:rPr>
                <w:rFonts w:hint="eastAsia" w:ascii="宋体" w:hAnsi="宋体" w:cs="宋体"/>
                <w:color w:val="auto"/>
                <w:szCs w:val="22"/>
                <w:highlight w:val="none"/>
              </w:rPr>
              <w:t xml:space="preserve">                               </w:t>
            </w:r>
          </w:p>
        </w:tc>
      </w:tr>
      <w:tr w14:paraId="5F012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tcPr>
          <w:p w14:paraId="11338DFF">
            <w:pPr>
              <w:rPr>
                <w:rFonts w:ascii="宋体" w:hAnsi="宋体" w:cs="宋体"/>
                <w:color w:val="auto"/>
                <w:szCs w:val="22"/>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u w:val="single"/>
                <w:lang w:val="en-US" w:eastAsia="zh-CN"/>
              </w:rPr>
              <w:t>无</w:t>
            </w: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r w14:paraId="4075C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tcPr>
          <w:p w14:paraId="7602904C">
            <w:pPr>
              <w:rPr>
                <w:rFonts w:hint="eastAsia" w:ascii="宋体" w:hAnsi="宋体" w:eastAsia="宋体" w:cs="宋体"/>
                <w:color w:val="auto"/>
                <w:szCs w:val="22"/>
                <w:highlight w:val="none"/>
                <w:lang w:val="en-US" w:eastAsia="zh-CN"/>
              </w:rPr>
            </w:pPr>
            <w:r>
              <w:rPr>
                <w:rFonts w:hint="eastAsia" w:ascii="宋体" w:hAnsi="宋体" w:cs="宋体"/>
                <w:color w:val="auto"/>
                <w:szCs w:val="22"/>
                <w:highlight w:val="none"/>
              </w:rPr>
              <w:t>验收标准：</w:t>
            </w:r>
          </w:p>
        </w:tc>
      </w:tr>
      <w:tr w14:paraId="24CDD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tcPr>
          <w:p w14:paraId="05A95B53">
            <w:pPr>
              <w:rPr>
                <w:rFonts w:ascii="宋体" w:hAnsi="宋体" w:cs="宋体"/>
                <w:color w:val="auto"/>
                <w:szCs w:val="22"/>
                <w:highlight w:val="none"/>
              </w:rPr>
            </w:pPr>
            <w:r>
              <w:rPr>
                <w:rFonts w:hint="eastAsia" w:ascii="宋体" w:hAnsi="宋体" w:cs="宋体"/>
                <w:color w:val="auto"/>
                <w:szCs w:val="22"/>
                <w:highlight w:val="none"/>
              </w:rPr>
              <w:t>优惠及其它</w:t>
            </w:r>
            <w:r>
              <w:rPr>
                <w:rFonts w:hint="eastAsia" w:ascii="宋体" w:hAnsi="宋体" w:cs="宋体"/>
                <w:color w:val="auto"/>
                <w:szCs w:val="22"/>
                <w:highlight w:val="none"/>
                <w:lang w:eastAsia="zh-CN"/>
              </w:rPr>
              <w:t>（</w:t>
            </w:r>
            <w:r>
              <w:rPr>
                <w:rFonts w:hint="eastAsia" w:ascii="宋体" w:hAnsi="宋体" w:cs="宋体"/>
                <w:color w:val="auto"/>
                <w:szCs w:val="22"/>
                <w:highlight w:val="none"/>
                <w:lang w:val="en-US" w:eastAsia="zh-CN"/>
              </w:rPr>
              <w:t>如有，没有写无）</w:t>
            </w:r>
            <w:r>
              <w:rPr>
                <w:rFonts w:hint="eastAsia" w:ascii="宋体" w:hAnsi="宋体" w:cs="宋体"/>
                <w:color w:val="auto"/>
                <w:szCs w:val="22"/>
                <w:highlight w:val="none"/>
              </w:rPr>
              <w:t>：</w:t>
            </w:r>
          </w:p>
        </w:tc>
      </w:tr>
    </w:tbl>
    <w:p w14:paraId="28551165">
      <w:pPr>
        <w:snapToGrid w:val="0"/>
        <w:spacing w:before="50" w:after="50"/>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注： </w:t>
      </w:r>
    </w:p>
    <w:p w14:paraId="7D124276">
      <w:pPr>
        <w:snapToGrid w:val="0"/>
        <w:spacing w:before="50" w:after="50"/>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 供应商需按本表格式填写，不得自行更改，也不得留空, 如有多分标，按分标分别提供响应报价表</w:t>
      </w:r>
      <w:r>
        <w:rPr>
          <w:rFonts w:hint="eastAsia" w:ascii="宋体" w:hAnsi="宋体" w:cs="宋体"/>
          <w:b/>
          <w:color w:val="auto"/>
          <w:kern w:val="0"/>
          <w:sz w:val="24"/>
          <w:highlight w:val="none"/>
          <w:lang w:val="zh-CN"/>
        </w:rPr>
        <w:t>。</w:t>
      </w:r>
    </w:p>
    <w:p w14:paraId="0FA1F3BD">
      <w:pPr>
        <w:snapToGrid w:val="0"/>
        <w:spacing w:before="50" w:after="50"/>
        <w:ind w:firstLine="480" w:firstLineChars="200"/>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2、如为联合体响应的，“供应商名称”处必须列明联合体各方名称，并标注联合体牵头人名称，且盖章处须加盖联合体各方公章，</w:t>
      </w:r>
      <w:r>
        <w:rPr>
          <w:rFonts w:hint="eastAsia" w:ascii="宋体" w:hAnsi="宋体" w:cs="宋体"/>
          <w:b/>
          <w:color w:val="auto"/>
          <w:kern w:val="0"/>
          <w:sz w:val="24"/>
          <w:highlight w:val="none"/>
          <w:lang w:val="zh-CN"/>
        </w:rPr>
        <w:t>否则其响应作无效响应处理。</w:t>
      </w:r>
    </w:p>
    <w:p w14:paraId="6B399F15">
      <w:pPr>
        <w:snapToGrid w:val="0"/>
        <w:spacing w:before="50" w:after="50"/>
        <w:ind w:firstLine="480" w:firstLineChars="200"/>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3、以上表格要求细分项目及报价，在“具体服务内容”一栏中，填写具体服务范围、服务标准。</w:t>
      </w:r>
    </w:p>
    <w:p w14:paraId="51F3A04F">
      <w:pPr>
        <w:snapToGrid w:val="0"/>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4、特别提示：采购机构将对项目名称和项目编号，成交供应商名称、地址和成交金额，主要成交标的的名称、服务范围、服务要求、服务时间、服务标准等予以公示。</w:t>
      </w:r>
    </w:p>
    <w:p w14:paraId="1CCCEC1B">
      <w:pPr>
        <w:snapToGrid w:val="0"/>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szCs w:val="22"/>
          <w:highlight w:val="none"/>
          <w:lang w:val="zh-CN"/>
        </w:rPr>
        <w:t>5、</w:t>
      </w:r>
      <w:r>
        <w:rPr>
          <w:rFonts w:hint="eastAsia" w:ascii="宋体" w:hAnsi="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57B14A8B">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0798541E">
      <w:pPr>
        <w:pStyle w:val="16"/>
        <w:spacing w:line="500" w:lineRule="exact"/>
        <w:ind w:firstLine="6360" w:firstLineChars="2650"/>
        <w:rPr>
          <w:rFonts w:hAnsi="宋体" w:cs="宋体"/>
          <w:color w:val="auto"/>
          <w:sz w:val="24"/>
          <w:highlight w:val="none"/>
          <w:lang w:val="zh-CN"/>
        </w:rPr>
      </w:pPr>
      <w:r>
        <w:rPr>
          <w:rFonts w:hint="eastAsia" w:hAnsi="宋体" w:cs="宋体"/>
          <w:color w:val="auto"/>
          <w:sz w:val="24"/>
          <w:highlight w:val="none"/>
          <w:lang w:val="zh-CN"/>
        </w:rPr>
        <w:t>日期：  年  月   日</w:t>
      </w:r>
    </w:p>
    <w:p w14:paraId="59E7D9FF">
      <w:pPr>
        <w:widowControl/>
        <w:jc w:val="left"/>
        <w:rPr>
          <w:rFonts w:ascii="宋体" w:hAnsi="宋体" w:cs="宋体"/>
          <w:color w:val="auto"/>
          <w:kern w:val="0"/>
          <w:sz w:val="24"/>
          <w:szCs w:val="21"/>
          <w:highlight w:val="none"/>
          <w:lang w:val="zh-CN"/>
        </w:rPr>
      </w:pPr>
    </w:p>
    <w:p w14:paraId="68CE3260">
      <w:pPr>
        <w:spacing w:line="520" w:lineRule="exact"/>
        <w:ind w:firstLine="643" w:firstLineChars="200"/>
        <w:rPr>
          <w:rFonts w:hint="default" w:ascii="宋体" w:hAnsi="宋体" w:eastAsia="宋体" w:cs="宋体"/>
          <w:b/>
          <w:bCs/>
          <w:color w:val="auto"/>
          <w:sz w:val="32"/>
          <w:szCs w:val="32"/>
          <w:highlight w:val="none"/>
          <w:lang w:val="en-US" w:eastAsia="zh-CN"/>
        </w:rPr>
        <w:sectPr>
          <w:pgSz w:w="11910" w:h="16840"/>
          <w:pgMar w:top="1340" w:right="1500" w:bottom="280" w:left="1680" w:header="720" w:footer="720" w:gutter="0"/>
          <w:cols w:space="720" w:num="1"/>
        </w:sectPr>
      </w:pPr>
      <w:r>
        <w:rPr>
          <w:rFonts w:hint="eastAsia" w:ascii="宋体" w:hAnsi="宋体" w:eastAsia="宋体" w:cs="宋体"/>
          <w:b/>
          <w:bCs/>
          <w:color w:val="auto"/>
          <w:sz w:val="32"/>
          <w:szCs w:val="32"/>
          <w:highlight w:val="none"/>
          <w:lang w:val="en-US" w:eastAsia="zh-CN"/>
        </w:rPr>
        <w:t>三、已标价工程量清单</w:t>
      </w:r>
    </w:p>
    <w:p w14:paraId="3A205EF2">
      <w:pPr>
        <w:pStyle w:val="3"/>
        <w:jc w:val="center"/>
        <w:rPr>
          <w:rFonts w:ascii="宋体" w:hAnsi="宋体" w:cs="宋体"/>
          <w:b w:val="0"/>
          <w:color w:val="auto"/>
          <w:highlight w:val="none"/>
        </w:rPr>
      </w:pPr>
      <w:bookmarkStart w:id="101" w:name="_Toc31728084"/>
      <w:bookmarkEnd w:id="101"/>
      <w:bookmarkStart w:id="102" w:name="_Toc35611516"/>
      <w:bookmarkEnd w:id="102"/>
      <w:bookmarkStart w:id="103" w:name="_Toc31723070"/>
      <w:bookmarkEnd w:id="103"/>
      <w:bookmarkStart w:id="104" w:name="_Toc44229899"/>
      <w:bookmarkEnd w:id="104"/>
      <w:bookmarkStart w:id="105" w:name="_Toc35611438"/>
      <w:bookmarkEnd w:id="105"/>
      <w:bookmarkStart w:id="106" w:name="_Toc15428"/>
      <w:bookmarkStart w:id="107" w:name="_Toc80205942"/>
      <w:r>
        <w:rPr>
          <w:rFonts w:hint="eastAsia" w:ascii="宋体" w:hAnsi="宋体" w:cs="宋体"/>
          <w:color w:val="auto"/>
          <w:highlight w:val="none"/>
        </w:rPr>
        <w:t>第五节 其他文书、文件格式</w:t>
      </w:r>
      <w:bookmarkEnd w:id="106"/>
      <w:bookmarkEnd w:id="107"/>
    </w:p>
    <w:p w14:paraId="41315C06">
      <w:pPr>
        <w:jc w:val="center"/>
        <w:rPr>
          <w:rFonts w:ascii="宋体" w:hAnsi="宋体" w:cs="宋体"/>
          <w:b/>
          <w:bCs/>
          <w:color w:val="auto"/>
          <w:sz w:val="32"/>
          <w:szCs w:val="32"/>
          <w:highlight w:val="none"/>
          <w:lang w:val="en"/>
        </w:rPr>
      </w:pPr>
      <w:r>
        <w:rPr>
          <w:rFonts w:hint="eastAsia" w:ascii="宋体" w:hAnsi="宋体" w:cs="宋体"/>
          <w:b/>
          <w:bCs/>
          <w:color w:val="auto"/>
          <w:sz w:val="32"/>
          <w:szCs w:val="32"/>
          <w:highlight w:val="none"/>
          <w:lang w:val="en"/>
        </w:rPr>
        <w:t>知识产权合规性声明</w:t>
      </w:r>
    </w:p>
    <w:p w14:paraId="574AC16A">
      <w:pPr>
        <w:rPr>
          <w:rFonts w:ascii="宋体" w:hAnsi="宋体" w:cs="宋体"/>
          <w:color w:val="auto"/>
          <w:sz w:val="30"/>
          <w:szCs w:val="30"/>
          <w:highlight w:val="none"/>
        </w:rPr>
      </w:pPr>
      <w:r>
        <w:rPr>
          <w:rFonts w:hint="eastAsia" w:ascii="宋体" w:hAnsi="宋体" w:cs="宋体"/>
          <w:color w:val="auto"/>
          <w:sz w:val="30"/>
          <w:szCs w:val="30"/>
          <w:highlight w:val="none"/>
        </w:rPr>
        <w:t xml:space="preserve">    </w:t>
      </w:r>
    </w:p>
    <w:p w14:paraId="071FCF21">
      <w:pPr>
        <w:rPr>
          <w:rFonts w:ascii="宋体" w:hAnsi="宋体" w:cs="宋体"/>
          <w:color w:val="auto"/>
          <w:sz w:val="30"/>
          <w:szCs w:val="30"/>
          <w:highlight w:val="none"/>
          <w:lang w:val="en"/>
        </w:rPr>
      </w:pPr>
      <w:r>
        <w:rPr>
          <w:rFonts w:hint="eastAsia" w:ascii="宋体" w:hAnsi="宋体" w:cs="宋体"/>
          <w:color w:val="auto"/>
          <w:sz w:val="30"/>
          <w:szCs w:val="30"/>
          <w:highlight w:val="none"/>
        </w:rPr>
        <w:t xml:space="preserve">    本</w:t>
      </w:r>
      <w:r>
        <w:rPr>
          <w:rFonts w:hint="eastAsia" w:ascii="宋体" w:hAnsi="宋体" w:cs="宋体"/>
          <w:color w:val="auto"/>
          <w:sz w:val="30"/>
          <w:szCs w:val="30"/>
          <w:highlight w:val="none"/>
          <w:lang w:val="en"/>
        </w:rPr>
        <w:t>企业（单位）自愿参与政府投资政府采购的</w:t>
      </w:r>
      <w:bookmarkStart w:id="108" w:name="PO_3000001868_PM002_14"/>
      <w:r>
        <w:rPr>
          <w:rFonts w:hint="eastAsia" w:ascii="宋体" w:hAnsi="宋体" w:cs="宋体"/>
          <w:color w:val="auto"/>
          <w:sz w:val="30"/>
          <w:szCs w:val="30"/>
          <w:highlight w:val="none"/>
          <w:u w:val="single"/>
          <w:lang w:val="en"/>
        </w:rPr>
        <w:t>[项目名称]</w:t>
      </w:r>
      <w:bookmarkEnd w:id="108"/>
      <w:r>
        <w:rPr>
          <w:rFonts w:hint="eastAsia" w:ascii="宋体" w:hAnsi="宋体" w:cs="宋体"/>
          <w:color w:val="auto"/>
          <w:sz w:val="30"/>
          <w:szCs w:val="30"/>
          <w:highlight w:val="none"/>
          <w:lang w:val="en"/>
        </w:rPr>
        <w:t>项目，</w:t>
      </w:r>
      <w:r>
        <w:rPr>
          <w:rFonts w:hint="eastAsia" w:ascii="宋体" w:hAnsi="宋体" w:cs="宋体"/>
          <w:b/>
          <w:bCs/>
          <w:color w:val="auto"/>
          <w:sz w:val="30"/>
          <w:szCs w:val="30"/>
          <w:highlight w:val="none"/>
          <w:lang w:val="en"/>
        </w:rPr>
        <w:t>在此郑重承诺：</w:t>
      </w:r>
      <w:r>
        <w:rPr>
          <w:rFonts w:hint="eastAsia" w:ascii="宋体" w:hAnsi="宋体" w:cs="宋体"/>
          <w:color w:val="auto"/>
          <w:sz w:val="30"/>
          <w:szCs w:val="30"/>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w:t>
      </w:r>
      <w:r>
        <w:rPr>
          <w:rFonts w:hint="eastAsia" w:ascii="宋体" w:hAnsi="宋体" w:cs="宋体"/>
          <w:color w:val="auto"/>
          <w:sz w:val="30"/>
          <w:szCs w:val="30"/>
          <w:highlight w:val="none"/>
        </w:rPr>
        <w:t>单位</w:t>
      </w:r>
      <w:r>
        <w:rPr>
          <w:rFonts w:hint="eastAsia" w:ascii="宋体" w:hAnsi="宋体" w:cs="宋体"/>
          <w:color w:val="auto"/>
          <w:sz w:val="30"/>
          <w:szCs w:val="30"/>
          <w:highlight w:val="none"/>
          <w:lang w:val="en"/>
        </w:rPr>
        <w:t>）将承担由此产生的全部责任。</w:t>
      </w:r>
    </w:p>
    <w:p w14:paraId="300453DF">
      <w:pPr>
        <w:snapToGrid w:val="0"/>
        <w:spacing w:line="360" w:lineRule="auto"/>
        <w:ind w:left="5137" w:leftChars="1736" w:hanging="1491" w:hangingChars="825"/>
        <w:rPr>
          <w:rFonts w:ascii="宋体" w:hAnsi="宋体" w:cs="宋体"/>
          <w:b/>
          <w:color w:val="auto"/>
          <w:sz w:val="18"/>
          <w:szCs w:val="18"/>
          <w:highlight w:val="none"/>
        </w:rPr>
      </w:pPr>
      <w:r>
        <w:rPr>
          <w:rFonts w:hint="eastAsia" w:ascii="宋体" w:hAnsi="宋体" w:cs="宋体"/>
          <w:b/>
          <w:color w:val="auto"/>
          <w:sz w:val="18"/>
          <w:szCs w:val="18"/>
          <w:highlight w:val="none"/>
        </w:rPr>
        <w:t xml:space="preserve">           </w:t>
      </w:r>
    </w:p>
    <w:p w14:paraId="633BBB40">
      <w:pPr>
        <w:snapToGrid w:val="0"/>
        <w:spacing w:line="360" w:lineRule="auto"/>
        <w:ind w:left="5137" w:leftChars="1736" w:hanging="1491" w:hangingChars="825"/>
        <w:rPr>
          <w:rFonts w:ascii="宋体" w:hAnsi="宋体" w:cs="宋体"/>
          <w:b/>
          <w:color w:val="auto"/>
          <w:sz w:val="18"/>
          <w:szCs w:val="18"/>
          <w:highlight w:val="none"/>
        </w:rPr>
      </w:pPr>
    </w:p>
    <w:p w14:paraId="61D3C663">
      <w:pPr>
        <w:snapToGrid w:val="0"/>
        <w:spacing w:line="360" w:lineRule="auto"/>
        <w:ind w:left="5137" w:leftChars="1736" w:hanging="1491" w:hangingChars="825"/>
        <w:rPr>
          <w:rFonts w:ascii="宋体" w:hAnsi="宋体" w:cs="宋体"/>
          <w:b/>
          <w:color w:val="auto"/>
          <w:sz w:val="18"/>
          <w:szCs w:val="18"/>
          <w:highlight w:val="none"/>
        </w:rPr>
      </w:pPr>
    </w:p>
    <w:p w14:paraId="041CAD1C">
      <w:pPr>
        <w:snapToGrid w:val="0"/>
        <w:spacing w:line="360" w:lineRule="auto"/>
        <w:ind w:left="5137" w:leftChars="1736" w:hanging="1491" w:hangingChars="825"/>
        <w:rPr>
          <w:rFonts w:ascii="宋体" w:hAnsi="宋体" w:cs="宋体"/>
          <w:b/>
          <w:color w:val="auto"/>
          <w:sz w:val="18"/>
          <w:szCs w:val="18"/>
          <w:highlight w:val="none"/>
        </w:rPr>
      </w:pPr>
    </w:p>
    <w:p w14:paraId="457EBBEE">
      <w:pPr>
        <w:snapToGrid w:val="0"/>
        <w:spacing w:line="360" w:lineRule="auto"/>
        <w:ind w:left="5137" w:leftChars="1736" w:hanging="1491" w:hangingChars="825"/>
        <w:rPr>
          <w:rFonts w:ascii="宋体" w:hAnsi="宋体" w:cs="宋体"/>
          <w:color w:val="auto"/>
          <w:kern w:val="0"/>
          <w:sz w:val="24"/>
          <w:highlight w:val="none"/>
        </w:rPr>
      </w:pPr>
      <w:r>
        <w:rPr>
          <w:rFonts w:hint="eastAsia" w:ascii="宋体" w:hAnsi="宋体" w:cs="宋体"/>
          <w:b/>
          <w:color w:val="auto"/>
          <w:sz w:val="18"/>
          <w:szCs w:val="18"/>
          <w:highlight w:val="none"/>
        </w:rPr>
        <w:t xml:space="preserve">      </w:t>
      </w:r>
      <w:r>
        <w:rPr>
          <w:rFonts w:hint="eastAsia" w:ascii="宋体" w:hAnsi="宋体" w:cs="宋体"/>
          <w:color w:val="auto"/>
          <w:kern w:val="0"/>
          <w:sz w:val="24"/>
          <w:highlight w:val="none"/>
          <w:lang w:val="zh-CN"/>
        </w:rPr>
        <w:t>投标人名称(电子签章)：</w:t>
      </w:r>
    </w:p>
    <w:p w14:paraId="63C7363B">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43E75AF">
      <w:pPr>
        <w:widowControl/>
        <w:jc w:val="left"/>
        <w:rPr>
          <w:rFonts w:ascii="宋体" w:hAnsi="宋体" w:cs="宋体"/>
          <w:color w:val="auto"/>
          <w:sz w:val="24"/>
          <w:highlight w:val="none"/>
        </w:rPr>
        <w:sectPr>
          <w:pgSz w:w="11906" w:h="16838"/>
          <w:pgMar w:top="1134" w:right="1134" w:bottom="1134" w:left="1134" w:header="720" w:footer="720" w:gutter="0"/>
          <w:cols w:space="720" w:num="1"/>
          <w:docGrid w:type="lines" w:linePitch="331" w:charSpace="0"/>
        </w:sectPr>
      </w:pPr>
    </w:p>
    <w:p w14:paraId="75C958C3">
      <w:pPr>
        <w:spacing w:line="520" w:lineRule="exact"/>
        <w:jc w:val="center"/>
        <w:rPr>
          <w:rFonts w:ascii="宋体" w:hAnsi="宋体" w:cs="宋体"/>
          <w:color w:val="auto"/>
          <w:sz w:val="24"/>
          <w:highlight w:val="none"/>
        </w:rPr>
      </w:pPr>
    </w:p>
    <w:p w14:paraId="3131FC90">
      <w:pPr>
        <w:spacing w:line="520" w:lineRule="exact"/>
        <w:jc w:val="center"/>
        <w:rPr>
          <w:rFonts w:ascii="宋体" w:hAnsi="宋体" w:cs="宋体"/>
          <w:color w:val="auto"/>
          <w:sz w:val="24"/>
          <w:highlight w:val="none"/>
        </w:rPr>
      </w:pPr>
    </w:p>
    <w:p w14:paraId="655C687E">
      <w:pPr>
        <w:spacing w:line="520" w:lineRule="exact"/>
        <w:jc w:val="center"/>
        <w:rPr>
          <w:rFonts w:ascii="宋体" w:hAnsi="宋体" w:cs="宋体"/>
          <w:color w:val="auto"/>
          <w:sz w:val="24"/>
          <w:highlight w:val="none"/>
        </w:rPr>
      </w:pPr>
    </w:p>
    <w:p w14:paraId="4029CB51">
      <w:pPr>
        <w:spacing w:line="520" w:lineRule="exact"/>
        <w:jc w:val="center"/>
        <w:rPr>
          <w:rFonts w:ascii="宋体" w:hAnsi="宋体" w:cs="宋体"/>
          <w:color w:val="auto"/>
          <w:sz w:val="24"/>
          <w:highlight w:val="none"/>
        </w:rPr>
      </w:pPr>
    </w:p>
    <w:p w14:paraId="797A0FC2">
      <w:pPr>
        <w:spacing w:line="520" w:lineRule="exact"/>
        <w:jc w:val="center"/>
        <w:rPr>
          <w:rFonts w:ascii="宋体" w:hAnsi="宋体" w:cs="宋体"/>
          <w:color w:val="auto"/>
          <w:sz w:val="24"/>
          <w:highlight w:val="none"/>
        </w:rPr>
      </w:pPr>
    </w:p>
    <w:p w14:paraId="3F154CDE">
      <w:pPr>
        <w:pStyle w:val="2"/>
        <w:jc w:val="center"/>
        <w:rPr>
          <w:rFonts w:hint="eastAsia" w:ascii="宋体" w:hAnsi="宋体" w:cs="宋体"/>
          <w:b/>
          <w:bCs/>
          <w:color w:val="auto"/>
          <w:sz w:val="44"/>
          <w:highlight w:val="none"/>
        </w:rPr>
      </w:pPr>
      <w:bookmarkStart w:id="109" w:name="_Toc10609"/>
      <w:r>
        <w:rPr>
          <w:rFonts w:hint="eastAsia" w:ascii="宋体" w:hAnsi="宋体" w:cs="宋体"/>
          <w:b w:val="0"/>
          <w:bCs w:val="0"/>
          <w:color w:val="auto"/>
          <w:highlight w:val="none"/>
        </w:rPr>
        <w:t>第六章  合同文本</w:t>
      </w:r>
      <w:r>
        <w:rPr>
          <w:rFonts w:hint="eastAsia" w:ascii="宋体" w:hAnsi="宋体" w:cs="宋体"/>
          <w:b w:val="0"/>
          <w:bCs w:val="0"/>
          <w:color w:val="auto"/>
          <w:highlight w:val="none"/>
        </w:rPr>
        <w:br w:type="page"/>
      </w:r>
      <w:bookmarkEnd w:id="109"/>
      <w:bookmarkStart w:id="110" w:name="_Toc296148315"/>
      <w:bookmarkStart w:id="111" w:name="bookmark1891"/>
      <w:bookmarkStart w:id="112" w:name="_Toc10268"/>
      <w:bookmarkStart w:id="113" w:name="_Toc4910"/>
      <w:bookmarkStart w:id="114" w:name="bookmark1893"/>
      <w:bookmarkStart w:id="115" w:name="bookmark1892"/>
      <w:bookmarkStart w:id="116" w:name="_Toc14930"/>
    </w:p>
    <w:p w14:paraId="30FF1E0B">
      <w:pPr>
        <w:rPr>
          <w:rFonts w:ascii="宋体" w:hAnsi="宋体" w:cs="宋体"/>
          <w:b/>
          <w:bCs/>
          <w:color w:val="auto"/>
          <w:highlight w:val="none"/>
        </w:rPr>
      </w:pPr>
      <w:r>
        <w:rPr>
          <w:rFonts w:hint="eastAsia" w:ascii="宋体" w:hAnsi="宋体" w:cs="宋体"/>
          <w:b/>
          <w:bCs/>
          <w:color w:val="auto"/>
          <w:sz w:val="24"/>
          <w:highlight w:val="none"/>
        </w:rPr>
        <w:t>“广西政府采购云平台”合同编号：</w:t>
      </w:r>
    </w:p>
    <w:p w14:paraId="61A425FF">
      <w:pPr>
        <w:spacing w:line="360" w:lineRule="auto"/>
        <w:jc w:val="center"/>
        <w:rPr>
          <w:rFonts w:hint="eastAsia" w:ascii="宋体" w:hAnsi="宋体" w:cs="宋体"/>
          <w:b/>
          <w:bCs/>
          <w:color w:val="auto"/>
          <w:sz w:val="52"/>
          <w:highlight w:val="none"/>
        </w:rPr>
      </w:pPr>
    </w:p>
    <w:p w14:paraId="43310A60">
      <w:pPr>
        <w:spacing w:line="360" w:lineRule="auto"/>
        <w:jc w:val="center"/>
        <w:rPr>
          <w:rFonts w:ascii="宋体" w:hAnsi="宋体" w:cs="宋体"/>
          <w:b/>
          <w:bCs/>
          <w:color w:val="auto"/>
          <w:sz w:val="52"/>
          <w:highlight w:val="none"/>
        </w:rPr>
      </w:pPr>
      <w:r>
        <w:rPr>
          <w:rFonts w:hint="eastAsia" w:ascii="宋体" w:hAnsi="宋体" w:cs="宋体"/>
          <w:b/>
          <w:bCs/>
          <w:color w:val="auto"/>
          <w:sz w:val="52"/>
          <w:highlight w:val="none"/>
        </w:rPr>
        <w:t>南 宁 市 政 府 采 购</w:t>
      </w:r>
    </w:p>
    <w:p w14:paraId="185C7526">
      <w:pPr>
        <w:spacing w:line="360" w:lineRule="auto"/>
        <w:ind w:firstLine="420" w:firstLineChars="200"/>
        <w:rPr>
          <w:rFonts w:ascii="宋体" w:hAnsi="宋体" w:cs="宋体"/>
          <w:color w:val="auto"/>
          <w:highlight w:val="none"/>
        </w:rPr>
      </w:pPr>
    </w:p>
    <w:p w14:paraId="1B1EA83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                                                 </w:t>
      </w:r>
    </w:p>
    <w:p w14:paraId="7718766E">
      <w:pPr>
        <w:spacing w:line="360" w:lineRule="auto"/>
        <w:jc w:val="center"/>
        <w:rPr>
          <w:rFonts w:ascii="宋体" w:hAnsi="宋体" w:cs="宋体"/>
          <w:b/>
          <w:bCs/>
          <w:color w:val="auto"/>
          <w:sz w:val="44"/>
          <w:highlight w:val="none"/>
        </w:rPr>
      </w:pPr>
      <w:r>
        <w:rPr>
          <w:rFonts w:hint="eastAsia" w:ascii="宋体" w:hAnsi="宋体" w:cs="宋体"/>
          <w:b/>
          <w:bCs/>
          <w:color w:val="auto"/>
          <w:sz w:val="44"/>
          <w:highlight w:val="none"/>
          <w:u w:val="single"/>
          <w:lang w:val="en-US" w:eastAsia="zh-CN"/>
        </w:rPr>
        <w:t xml:space="preserve">           </w:t>
      </w:r>
      <w:r>
        <w:rPr>
          <w:rFonts w:hint="eastAsia" w:ascii="宋体" w:hAnsi="宋体" w:cs="宋体"/>
          <w:b/>
          <w:bCs/>
          <w:color w:val="auto"/>
          <w:sz w:val="44"/>
          <w:highlight w:val="none"/>
        </w:rPr>
        <w:t>合同</w:t>
      </w:r>
    </w:p>
    <w:p w14:paraId="14969356">
      <w:pPr>
        <w:spacing w:line="360" w:lineRule="auto"/>
        <w:jc w:val="center"/>
        <w:rPr>
          <w:rFonts w:hint="eastAsia" w:ascii="宋体" w:hAnsi="宋体" w:cs="宋体"/>
          <w:b/>
          <w:bCs/>
          <w:color w:val="auto"/>
          <w:sz w:val="44"/>
          <w:highlight w:val="none"/>
          <w:lang w:eastAsia="zh-CN"/>
        </w:rPr>
      </w:pPr>
    </w:p>
    <w:p w14:paraId="2E23FFD5">
      <w:pPr>
        <w:spacing w:line="360" w:lineRule="auto"/>
        <w:jc w:val="center"/>
        <w:rPr>
          <w:rFonts w:hint="default" w:ascii="宋体" w:hAnsi="宋体" w:eastAsia="宋体" w:cs="宋体"/>
          <w:b/>
          <w:bCs/>
          <w:color w:val="auto"/>
          <w:sz w:val="44"/>
          <w:highlight w:val="none"/>
          <w:lang w:val="en-US" w:eastAsia="zh-CN"/>
        </w:rPr>
      </w:pPr>
      <w:r>
        <w:rPr>
          <w:rFonts w:hint="eastAsia" w:ascii="宋体" w:hAnsi="宋体" w:cs="宋体"/>
          <w:b/>
          <w:bCs/>
          <w:color w:val="auto"/>
          <w:sz w:val="44"/>
          <w:highlight w:val="none"/>
          <w:lang w:eastAsia="zh-CN"/>
        </w:rPr>
        <w:t>（</w:t>
      </w:r>
      <w:r>
        <w:rPr>
          <w:rFonts w:hint="eastAsia" w:ascii="宋体" w:hAnsi="宋体" w:cs="宋体"/>
          <w:b/>
          <w:bCs/>
          <w:color w:val="auto"/>
          <w:sz w:val="44"/>
          <w:highlight w:val="none"/>
          <w:lang w:val="en-US" w:eastAsia="zh-CN"/>
        </w:rPr>
        <w:t>正本/副本）</w:t>
      </w:r>
    </w:p>
    <w:p w14:paraId="6CECAD80">
      <w:pPr>
        <w:spacing w:line="360" w:lineRule="auto"/>
        <w:jc w:val="center"/>
        <w:rPr>
          <w:rFonts w:ascii="宋体" w:hAnsi="宋体" w:cs="宋体"/>
          <w:b/>
          <w:bCs/>
          <w:color w:val="auto"/>
          <w:sz w:val="44"/>
          <w:highlight w:val="none"/>
        </w:rPr>
      </w:pPr>
    </w:p>
    <w:p w14:paraId="5B3897AE">
      <w:pPr>
        <w:spacing w:line="360" w:lineRule="auto"/>
        <w:ind w:firstLine="3507" w:firstLineChars="794"/>
        <w:rPr>
          <w:rFonts w:ascii="宋体" w:hAnsi="宋体" w:cs="宋体"/>
          <w:b/>
          <w:bCs/>
          <w:color w:val="auto"/>
          <w:sz w:val="44"/>
          <w:highlight w:val="none"/>
        </w:rPr>
      </w:pPr>
    </w:p>
    <w:p w14:paraId="33E666C7">
      <w:pPr>
        <w:spacing w:line="360" w:lineRule="auto"/>
        <w:ind w:firstLine="3507" w:firstLineChars="794"/>
        <w:rPr>
          <w:rFonts w:ascii="宋体" w:hAnsi="宋体" w:cs="宋体"/>
          <w:b/>
          <w:bCs/>
          <w:color w:val="auto"/>
          <w:sz w:val="44"/>
          <w:highlight w:val="none"/>
        </w:rPr>
      </w:pPr>
    </w:p>
    <w:p w14:paraId="4C81743D">
      <w:pPr>
        <w:ind w:firstLine="1995" w:firstLineChars="552"/>
        <w:rPr>
          <w:rFonts w:hint="eastAsia" w:ascii="宋体" w:hAnsi="宋体" w:eastAsia="宋体" w:cs="宋体"/>
          <w:b/>
          <w:color w:val="auto"/>
          <w:sz w:val="36"/>
          <w:szCs w:val="36"/>
          <w:highlight w:val="none"/>
          <w:lang w:eastAsia="zh-CN"/>
        </w:rPr>
      </w:pPr>
      <w:r>
        <w:rPr>
          <w:rFonts w:hint="eastAsia" w:ascii="宋体" w:hAnsi="宋体" w:cs="宋体"/>
          <w:b/>
          <w:color w:val="auto"/>
          <w:sz w:val="36"/>
          <w:szCs w:val="36"/>
          <w:highlight w:val="none"/>
        </w:rPr>
        <w:t>采购项目编号：</w:t>
      </w:r>
    </w:p>
    <w:p w14:paraId="5261CDD6">
      <w:pPr>
        <w:ind w:firstLine="1995" w:firstLineChars="552"/>
        <w:rPr>
          <w:rFonts w:hint="eastAsia" w:ascii="宋体" w:hAnsi="宋体" w:eastAsia="宋体" w:cs="宋体"/>
          <w:b/>
          <w:color w:val="auto"/>
          <w:sz w:val="36"/>
          <w:szCs w:val="36"/>
          <w:highlight w:val="none"/>
          <w:lang w:eastAsia="zh-CN"/>
        </w:rPr>
      </w:pPr>
      <w:r>
        <w:rPr>
          <w:rFonts w:hint="eastAsia" w:ascii="宋体" w:hAnsi="宋体" w:cs="宋体"/>
          <w:b/>
          <w:color w:val="auto"/>
          <w:sz w:val="36"/>
          <w:szCs w:val="36"/>
          <w:highlight w:val="none"/>
        </w:rPr>
        <w:t>采购计划编号：</w:t>
      </w:r>
    </w:p>
    <w:p w14:paraId="55CD200A">
      <w:pPr>
        <w:ind w:firstLine="1308" w:firstLineChars="545"/>
        <w:rPr>
          <w:rFonts w:ascii="宋体" w:hAnsi="宋体" w:cs="宋体"/>
          <w:color w:val="auto"/>
          <w:sz w:val="24"/>
          <w:highlight w:val="none"/>
        </w:rPr>
      </w:pPr>
    </w:p>
    <w:p w14:paraId="567FC78C">
      <w:pPr>
        <w:ind w:firstLine="1995" w:firstLineChars="552"/>
        <w:rPr>
          <w:rFonts w:ascii="宋体" w:hAnsi="宋体" w:cs="宋体"/>
          <w:b/>
          <w:color w:val="auto"/>
          <w:sz w:val="36"/>
          <w:szCs w:val="36"/>
          <w:highlight w:val="none"/>
          <w:u w:val="single"/>
        </w:rPr>
      </w:pPr>
    </w:p>
    <w:p w14:paraId="7C1703B3">
      <w:pPr>
        <w:ind w:firstLine="1995" w:firstLineChars="552"/>
        <w:rPr>
          <w:rFonts w:ascii="宋体" w:hAnsi="宋体" w:cs="宋体"/>
          <w:b/>
          <w:color w:val="auto"/>
          <w:sz w:val="36"/>
          <w:szCs w:val="36"/>
          <w:highlight w:val="none"/>
          <w:u w:val="single"/>
        </w:rPr>
      </w:pPr>
    </w:p>
    <w:p w14:paraId="2F881B0E">
      <w:pPr>
        <w:tabs>
          <w:tab w:val="left" w:pos="7200"/>
        </w:tabs>
        <w:spacing w:line="360" w:lineRule="auto"/>
        <w:ind w:firstLine="1446" w:firstLineChars="400"/>
        <w:rPr>
          <w:rFonts w:hint="default" w:ascii="宋体" w:hAnsi="宋体" w:cs="宋体"/>
          <w:b/>
          <w:color w:val="auto"/>
          <w:sz w:val="36"/>
          <w:szCs w:val="36"/>
          <w:highlight w:val="none"/>
          <w:u w:val="single"/>
          <w:lang w:val="en-US"/>
        </w:rPr>
      </w:pPr>
      <w:r>
        <w:rPr>
          <w:rFonts w:hint="eastAsia" w:ascii="宋体" w:hAnsi="宋体" w:cs="宋体"/>
          <w:b/>
          <w:color w:val="auto"/>
          <w:sz w:val="36"/>
          <w:szCs w:val="36"/>
          <w:highlight w:val="none"/>
        </w:rPr>
        <w:t>采购人</w:t>
      </w:r>
      <w:r>
        <w:rPr>
          <w:rFonts w:hint="eastAsia" w:ascii="宋体" w:hAnsi="宋体" w:cs="宋体"/>
          <w:b/>
          <w:color w:val="auto"/>
          <w:sz w:val="36"/>
          <w:szCs w:val="36"/>
          <w:highlight w:val="none"/>
          <w:lang w:eastAsia="zh-CN"/>
        </w:rPr>
        <w:t>（</w:t>
      </w:r>
      <w:r>
        <w:rPr>
          <w:rFonts w:hint="eastAsia" w:ascii="宋体" w:hAnsi="宋体" w:cs="宋体"/>
          <w:b/>
          <w:color w:val="auto"/>
          <w:sz w:val="36"/>
          <w:szCs w:val="36"/>
          <w:highlight w:val="none"/>
          <w:lang w:val="en-US" w:eastAsia="zh-CN"/>
        </w:rPr>
        <w:t>发包人）</w:t>
      </w:r>
      <w:r>
        <w:rPr>
          <w:rFonts w:hint="eastAsia" w:ascii="宋体" w:hAnsi="宋体" w:cs="宋体"/>
          <w:b/>
          <w:color w:val="auto"/>
          <w:sz w:val="36"/>
          <w:szCs w:val="36"/>
          <w:highlight w:val="none"/>
        </w:rPr>
        <w:t>：</w:t>
      </w:r>
      <w:r>
        <w:rPr>
          <w:rFonts w:hint="eastAsia" w:ascii="宋体" w:hAnsi="宋体" w:cs="宋体"/>
          <w:b/>
          <w:color w:val="auto"/>
          <w:sz w:val="36"/>
          <w:szCs w:val="36"/>
          <w:highlight w:val="none"/>
          <w:u w:val="single"/>
          <w:lang w:val="en-US" w:eastAsia="zh-CN"/>
        </w:rPr>
        <w:t xml:space="preserve">南宁市青秀区伶俐镇人民政府  </w:t>
      </w:r>
    </w:p>
    <w:p w14:paraId="1E71B443">
      <w:pPr>
        <w:tabs>
          <w:tab w:val="left" w:pos="7380"/>
        </w:tabs>
        <w:spacing w:line="360" w:lineRule="auto"/>
        <w:ind w:firstLine="1446" w:firstLineChars="400"/>
        <w:rPr>
          <w:rFonts w:hint="default" w:ascii="宋体" w:hAnsi="宋体" w:eastAsia="宋体" w:cs="宋体"/>
          <w:b/>
          <w:bCs/>
          <w:color w:val="auto"/>
          <w:sz w:val="44"/>
          <w:highlight w:val="none"/>
          <w:u w:val="single"/>
          <w:lang w:val="en-US" w:eastAsia="zh-CN"/>
        </w:rPr>
      </w:pPr>
      <w:r>
        <w:rPr>
          <w:rFonts w:hint="eastAsia" w:ascii="宋体" w:hAnsi="宋体" w:cs="宋体"/>
          <w:b/>
          <w:color w:val="auto"/>
          <w:sz w:val="36"/>
          <w:szCs w:val="36"/>
          <w:highlight w:val="none"/>
          <w:lang w:val="en-US" w:eastAsia="zh-CN"/>
        </w:rPr>
        <w:t>成交</w:t>
      </w:r>
      <w:r>
        <w:rPr>
          <w:rFonts w:hint="eastAsia" w:ascii="宋体" w:hAnsi="宋体" w:cs="宋体"/>
          <w:b/>
          <w:color w:val="auto"/>
          <w:sz w:val="36"/>
          <w:szCs w:val="36"/>
          <w:highlight w:val="none"/>
        </w:rPr>
        <w:t>供应商</w:t>
      </w:r>
      <w:r>
        <w:rPr>
          <w:rFonts w:hint="eastAsia" w:ascii="宋体" w:hAnsi="宋体" w:cs="宋体"/>
          <w:b/>
          <w:color w:val="auto"/>
          <w:sz w:val="36"/>
          <w:szCs w:val="36"/>
          <w:highlight w:val="none"/>
          <w:lang w:eastAsia="zh-CN"/>
        </w:rPr>
        <w:t>（</w:t>
      </w:r>
      <w:r>
        <w:rPr>
          <w:rFonts w:hint="eastAsia" w:ascii="宋体" w:hAnsi="宋体" w:cs="宋体"/>
          <w:b/>
          <w:color w:val="auto"/>
          <w:sz w:val="36"/>
          <w:szCs w:val="36"/>
          <w:highlight w:val="none"/>
          <w:lang w:val="en-US" w:eastAsia="zh-CN"/>
        </w:rPr>
        <w:t>承包人）</w:t>
      </w:r>
      <w:r>
        <w:rPr>
          <w:rFonts w:hint="eastAsia" w:ascii="宋体" w:hAnsi="宋体" w:cs="宋体"/>
          <w:b/>
          <w:color w:val="auto"/>
          <w:sz w:val="36"/>
          <w:szCs w:val="36"/>
          <w:highlight w:val="none"/>
        </w:rPr>
        <w:t>：</w:t>
      </w:r>
      <w:r>
        <w:rPr>
          <w:rFonts w:hint="eastAsia" w:ascii="宋体" w:hAnsi="宋体" w:cs="宋体"/>
          <w:b/>
          <w:color w:val="auto"/>
          <w:sz w:val="36"/>
          <w:szCs w:val="36"/>
          <w:highlight w:val="none"/>
          <w:u w:val="single"/>
          <w:lang w:val="en-US" w:eastAsia="zh-CN"/>
        </w:rPr>
        <w:t xml:space="preserve">                         </w:t>
      </w:r>
    </w:p>
    <w:p w14:paraId="5685C9D5">
      <w:pPr>
        <w:tabs>
          <w:tab w:val="left" w:pos="7380"/>
        </w:tabs>
        <w:spacing w:line="360" w:lineRule="auto"/>
        <w:rPr>
          <w:rFonts w:ascii="宋体" w:hAnsi="宋体" w:cs="宋体"/>
          <w:b/>
          <w:bCs/>
          <w:color w:val="auto"/>
          <w:sz w:val="44"/>
          <w:highlight w:val="none"/>
        </w:rPr>
      </w:pPr>
    </w:p>
    <w:p w14:paraId="3344BFBC">
      <w:pPr>
        <w:tabs>
          <w:tab w:val="left" w:pos="7380"/>
        </w:tabs>
        <w:spacing w:line="360" w:lineRule="auto"/>
        <w:ind w:firstLine="1446" w:firstLineChars="400"/>
        <w:rPr>
          <w:rFonts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t>签订时间：</w:t>
      </w:r>
      <w:r>
        <w:rPr>
          <w:rFonts w:hint="eastAsia" w:ascii="宋体" w:hAnsi="宋体" w:cs="宋体"/>
          <w:b/>
          <w:bCs/>
          <w:color w:val="auto"/>
          <w:sz w:val="36"/>
          <w:szCs w:val="36"/>
          <w:highlight w:val="none"/>
          <w:u w:val="single"/>
          <w:lang w:val="zh-CN"/>
        </w:rPr>
        <w:t xml:space="preserve">   </w:t>
      </w:r>
      <w:r>
        <w:rPr>
          <w:rFonts w:hint="eastAsia" w:ascii="宋体" w:hAnsi="宋体" w:cs="宋体"/>
          <w:b/>
          <w:bCs/>
          <w:color w:val="auto"/>
          <w:sz w:val="36"/>
          <w:szCs w:val="36"/>
          <w:highlight w:val="none"/>
          <w:u w:val="single"/>
          <w:lang w:val="en-US" w:eastAsia="zh-CN"/>
        </w:rPr>
        <w:t xml:space="preserve"> </w:t>
      </w:r>
      <w:r>
        <w:rPr>
          <w:rFonts w:hint="eastAsia" w:ascii="宋体" w:hAnsi="宋体" w:cs="宋体"/>
          <w:b/>
          <w:bCs/>
          <w:color w:val="auto"/>
          <w:sz w:val="36"/>
          <w:szCs w:val="36"/>
          <w:highlight w:val="none"/>
          <w:u w:val="single"/>
          <w:lang w:val="zh-CN"/>
        </w:rPr>
        <w:t xml:space="preserve">  </w:t>
      </w:r>
      <w:r>
        <w:rPr>
          <w:rFonts w:hint="eastAsia" w:ascii="宋体" w:hAnsi="宋体" w:cs="宋体"/>
          <w:b/>
          <w:bCs/>
          <w:color w:val="auto"/>
          <w:sz w:val="36"/>
          <w:szCs w:val="36"/>
          <w:highlight w:val="none"/>
          <w:lang w:val="zh-CN"/>
        </w:rPr>
        <w:t>年</w:t>
      </w:r>
      <w:r>
        <w:rPr>
          <w:rFonts w:hint="eastAsia" w:ascii="宋体" w:hAnsi="宋体" w:cs="宋体"/>
          <w:b/>
          <w:bCs/>
          <w:color w:val="auto"/>
          <w:sz w:val="36"/>
          <w:szCs w:val="36"/>
          <w:highlight w:val="none"/>
          <w:u w:val="single"/>
          <w:lang w:val="zh-CN"/>
        </w:rPr>
        <w:t xml:space="preserve">   </w:t>
      </w:r>
      <w:r>
        <w:rPr>
          <w:rFonts w:hint="eastAsia" w:ascii="宋体" w:hAnsi="宋体" w:cs="宋体"/>
          <w:b/>
          <w:bCs/>
          <w:color w:val="auto"/>
          <w:sz w:val="36"/>
          <w:szCs w:val="36"/>
          <w:highlight w:val="none"/>
          <w:u w:val="single"/>
          <w:lang w:val="en-US" w:eastAsia="zh-CN"/>
        </w:rPr>
        <w:t xml:space="preserve"> </w:t>
      </w:r>
      <w:r>
        <w:rPr>
          <w:rFonts w:hint="eastAsia" w:ascii="宋体" w:hAnsi="宋体" w:cs="宋体"/>
          <w:b/>
          <w:bCs/>
          <w:color w:val="auto"/>
          <w:sz w:val="36"/>
          <w:szCs w:val="36"/>
          <w:highlight w:val="none"/>
          <w:u w:val="single"/>
          <w:lang w:val="zh-CN"/>
        </w:rPr>
        <w:t xml:space="preserve"> </w:t>
      </w:r>
      <w:r>
        <w:rPr>
          <w:rFonts w:hint="eastAsia" w:ascii="宋体" w:hAnsi="宋体" w:cs="宋体"/>
          <w:b/>
          <w:bCs/>
          <w:color w:val="auto"/>
          <w:sz w:val="36"/>
          <w:szCs w:val="36"/>
          <w:highlight w:val="none"/>
          <w:lang w:val="zh-CN"/>
        </w:rPr>
        <w:t>月</w:t>
      </w:r>
      <w:r>
        <w:rPr>
          <w:rFonts w:hint="eastAsia" w:ascii="宋体" w:hAnsi="宋体" w:cs="宋体"/>
          <w:b/>
          <w:bCs/>
          <w:color w:val="auto"/>
          <w:sz w:val="36"/>
          <w:szCs w:val="36"/>
          <w:highlight w:val="none"/>
          <w:u w:val="single"/>
          <w:lang w:val="zh-CN"/>
        </w:rPr>
        <w:t xml:space="preserve">   </w:t>
      </w:r>
      <w:r>
        <w:rPr>
          <w:rFonts w:hint="eastAsia" w:ascii="宋体" w:hAnsi="宋体" w:cs="宋体"/>
          <w:b/>
          <w:bCs/>
          <w:color w:val="auto"/>
          <w:sz w:val="36"/>
          <w:szCs w:val="36"/>
          <w:highlight w:val="none"/>
          <w:u w:val="single"/>
          <w:lang w:val="en-US" w:eastAsia="zh-CN"/>
        </w:rPr>
        <w:t xml:space="preserve"> </w:t>
      </w:r>
      <w:r>
        <w:rPr>
          <w:rFonts w:hint="eastAsia" w:ascii="宋体" w:hAnsi="宋体" w:cs="宋体"/>
          <w:b/>
          <w:bCs/>
          <w:color w:val="auto"/>
          <w:sz w:val="36"/>
          <w:szCs w:val="36"/>
          <w:highlight w:val="none"/>
          <w:u w:val="single"/>
          <w:lang w:val="zh-CN"/>
        </w:rPr>
        <w:t xml:space="preserve"> </w:t>
      </w:r>
      <w:r>
        <w:rPr>
          <w:rFonts w:hint="eastAsia" w:ascii="宋体" w:hAnsi="宋体" w:cs="宋体"/>
          <w:b/>
          <w:bCs/>
          <w:color w:val="auto"/>
          <w:sz w:val="36"/>
          <w:szCs w:val="36"/>
          <w:highlight w:val="none"/>
          <w:lang w:val="zh-CN"/>
        </w:rPr>
        <w:t>日</w:t>
      </w:r>
    </w:p>
    <w:p w14:paraId="11FE55D7">
      <w:pPr>
        <w:jc w:val="center"/>
        <w:rPr>
          <w:rFonts w:hint="eastAsia" w:ascii="宋体" w:hAnsi="宋体" w:eastAsia="宋体" w:cs="宋体"/>
          <w:b/>
          <w:color w:val="auto"/>
          <w:sz w:val="32"/>
          <w:szCs w:val="32"/>
          <w:highlight w:val="none"/>
          <w:lang w:eastAsia="zh-CN"/>
        </w:rPr>
        <w:sectPr>
          <w:pgSz w:w="11906" w:h="16838"/>
          <w:pgMar w:top="1440" w:right="1080" w:bottom="1440" w:left="1080" w:header="851" w:footer="992" w:gutter="0"/>
          <w:cols w:space="425" w:num="1"/>
          <w:docGrid w:type="lines" w:linePitch="312" w:charSpace="0"/>
        </w:sectPr>
      </w:pPr>
      <w:bookmarkStart w:id="117" w:name="bookmark878"/>
      <w:bookmarkStart w:id="118" w:name="_Toc241946162"/>
      <w:bookmarkStart w:id="119" w:name="bookmark879"/>
      <w:bookmarkStart w:id="120" w:name="bookmark880"/>
      <w:bookmarkStart w:id="121" w:name="_Toc13447"/>
      <w:bookmarkStart w:id="122" w:name="_Toc10535"/>
    </w:p>
    <w:bookmarkEnd w:id="110"/>
    <w:bookmarkEnd w:id="111"/>
    <w:bookmarkEnd w:id="112"/>
    <w:bookmarkEnd w:id="113"/>
    <w:bookmarkEnd w:id="114"/>
    <w:bookmarkEnd w:id="115"/>
    <w:bookmarkEnd w:id="116"/>
    <w:bookmarkEnd w:id="117"/>
    <w:bookmarkEnd w:id="118"/>
    <w:bookmarkEnd w:id="119"/>
    <w:bookmarkEnd w:id="120"/>
    <w:bookmarkEnd w:id="121"/>
    <w:bookmarkEnd w:id="122"/>
    <w:p w14:paraId="5CC102E7">
      <w:pPr>
        <w:keepNext/>
        <w:keepLines/>
        <w:pageBreakBefore w:val="0"/>
        <w:widowControl w:val="0"/>
        <w:kinsoku/>
        <w:wordWrap/>
        <w:overflowPunct/>
        <w:topLinePunct w:val="0"/>
        <w:autoSpaceDE/>
        <w:autoSpaceDN/>
        <w:bidi w:val="0"/>
        <w:adjustRightInd/>
        <w:snapToGrid/>
        <w:spacing w:line="360" w:lineRule="auto"/>
        <w:jc w:val="center"/>
        <w:textAlignment w:val="auto"/>
        <w:outlineLvl w:val="1"/>
        <w:rPr>
          <w:b/>
          <w:bCs/>
          <w:color w:val="auto"/>
          <w:sz w:val="28"/>
          <w:szCs w:val="28"/>
          <w:highlight w:val="none"/>
        </w:rPr>
      </w:pPr>
      <w:r>
        <w:rPr>
          <w:b/>
          <w:bCs/>
          <w:color w:val="auto"/>
          <w:sz w:val="28"/>
          <w:szCs w:val="28"/>
          <w:highlight w:val="none"/>
        </w:rPr>
        <w:t>第一部分</w:t>
      </w:r>
      <w:r>
        <w:rPr>
          <w:rFonts w:hint="eastAsia"/>
          <w:b/>
          <w:bCs/>
          <w:color w:val="auto"/>
          <w:sz w:val="28"/>
          <w:szCs w:val="28"/>
          <w:highlight w:val="none"/>
          <w:lang w:val="en-US" w:eastAsia="zh-CN"/>
        </w:rPr>
        <w:t xml:space="preserve"> </w:t>
      </w:r>
      <w:r>
        <w:rPr>
          <w:b/>
          <w:bCs/>
          <w:color w:val="auto"/>
          <w:sz w:val="28"/>
          <w:szCs w:val="28"/>
          <w:highlight w:val="none"/>
        </w:rPr>
        <w:t>合同协议书</w:t>
      </w:r>
    </w:p>
    <w:p w14:paraId="76D9BCF5">
      <w:pPr>
        <w:tabs>
          <w:tab w:val="left" w:pos="7380"/>
        </w:tabs>
        <w:spacing w:line="360" w:lineRule="auto"/>
        <w:rPr>
          <w:rFonts w:hAnsi="宋体" w:cs="宋体"/>
          <w:color w:val="auto"/>
          <w:highlight w:val="none"/>
          <w:u w:val="single"/>
        </w:rPr>
      </w:pPr>
      <w:r>
        <w:rPr>
          <w:rFonts w:hint="eastAsia" w:hAnsi="宋体" w:cs="宋体"/>
          <w:color w:val="auto"/>
          <w:highlight w:val="none"/>
        </w:rPr>
        <w:t>发包人（全称）：</w:t>
      </w:r>
    </w:p>
    <w:p w14:paraId="49630981">
      <w:pPr>
        <w:tabs>
          <w:tab w:val="left" w:pos="7380"/>
        </w:tabs>
        <w:spacing w:line="360" w:lineRule="auto"/>
        <w:rPr>
          <w:rFonts w:hint="eastAsia" w:ascii="Times New Roman" w:hAnsi="宋体" w:eastAsia="宋体" w:cs="宋体"/>
          <w:color w:val="auto"/>
          <w:highlight w:val="none"/>
        </w:rPr>
      </w:pPr>
      <w:r>
        <w:rPr>
          <w:rFonts w:hint="eastAsia" w:ascii="Times New Roman" w:hAnsi="宋体" w:eastAsia="宋体" w:cs="宋体"/>
          <w:color w:val="auto"/>
          <w:highlight w:val="none"/>
        </w:rPr>
        <w:t>承包人（全称）：</w:t>
      </w:r>
    </w:p>
    <w:p w14:paraId="5192BB4E">
      <w:pPr>
        <w:spacing w:line="440" w:lineRule="exact"/>
        <w:ind w:firstLine="420" w:firstLineChars="200"/>
        <w:rPr>
          <w:rFonts w:hAnsi="宋体"/>
          <w:color w:val="auto"/>
          <w:highlight w:val="none"/>
        </w:rPr>
      </w:pPr>
      <w:r>
        <w:rPr>
          <w:rFonts w:hint="eastAsia" w:hAnsi="宋体" w:cs="宋体"/>
          <w:color w:val="auto"/>
          <w:highlight w:val="none"/>
        </w:rPr>
        <w:t>根据《中华人民共和国民法典》、《中华人民共和国建筑法》及有关法律规定，遵循平等、自愿、公平和诚实信用的原则，双方就</w:t>
      </w:r>
      <w:r>
        <w:rPr>
          <w:rFonts w:hint="eastAsia" w:hAnsi="宋体" w:cs="宋体"/>
          <w:color w:val="auto"/>
          <w:highlight w:val="none"/>
          <w:u w:val="single"/>
          <w:lang w:val="en-US" w:eastAsia="zh-CN"/>
        </w:rPr>
        <w:t xml:space="preserve">      </w:t>
      </w:r>
      <w:r>
        <w:rPr>
          <w:rFonts w:hint="eastAsia" w:hAnsi="宋体" w:cs="宋体"/>
          <w:color w:val="auto"/>
          <w:highlight w:val="none"/>
        </w:rPr>
        <w:t>施工及有关事项协商一致，共同达成如下协议：</w:t>
      </w:r>
      <w:bookmarkStart w:id="123" w:name="_Toc351203481"/>
    </w:p>
    <w:p w14:paraId="7AECEB9E">
      <w:pPr>
        <w:spacing w:line="440" w:lineRule="exact"/>
        <w:ind w:firstLine="422" w:firstLineChars="200"/>
        <w:outlineLvl w:val="0"/>
        <w:rPr>
          <w:b/>
          <w:bCs/>
          <w:color w:val="auto"/>
          <w:highlight w:val="none"/>
        </w:rPr>
      </w:pPr>
      <w:bookmarkStart w:id="124" w:name="_Toc120869339"/>
      <w:r>
        <w:rPr>
          <w:rFonts w:hint="eastAsia" w:hAnsi="宋体" w:cs="宋体"/>
          <w:b/>
          <w:bCs/>
          <w:color w:val="auto"/>
          <w:highlight w:val="none"/>
        </w:rPr>
        <w:t>一、工程概况</w:t>
      </w:r>
      <w:bookmarkEnd w:id="123"/>
      <w:bookmarkEnd w:id="124"/>
    </w:p>
    <w:p w14:paraId="3B5D8EC6">
      <w:pPr>
        <w:spacing w:line="440" w:lineRule="exact"/>
        <w:ind w:firstLine="411" w:firstLineChars="196"/>
        <w:rPr>
          <w:color w:val="auto"/>
          <w:highlight w:val="none"/>
          <w:u w:val="single"/>
        </w:rPr>
      </w:pPr>
      <w:r>
        <w:rPr>
          <w:color w:val="auto"/>
          <w:highlight w:val="none"/>
        </w:rPr>
        <w:t xml:space="preserve">1. </w:t>
      </w:r>
      <w:r>
        <w:rPr>
          <w:rFonts w:hint="eastAsia" w:hAnsi="宋体" w:cs="宋体"/>
          <w:color w:val="auto"/>
          <w:highlight w:val="none"/>
        </w:rPr>
        <w:t>工程名称：</w:t>
      </w:r>
      <w:r>
        <w:rPr>
          <w:rFonts w:hint="eastAsia" w:hAnsi="宋体" w:cs="宋体"/>
          <w:color w:val="auto"/>
          <w:highlight w:val="none"/>
          <w:u w:val="single"/>
          <w:lang w:val="en-US" w:eastAsia="zh-CN"/>
        </w:rPr>
        <w:t xml:space="preserve">       </w:t>
      </w:r>
      <w:r>
        <w:rPr>
          <w:rFonts w:hint="eastAsia" w:hAnsi="宋体" w:cs="宋体"/>
          <w:color w:val="auto"/>
          <w:highlight w:val="none"/>
        </w:rPr>
        <w:t>。</w:t>
      </w:r>
    </w:p>
    <w:p w14:paraId="0CDAAE3B">
      <w:pPr>
        <w:spacing w:line="440" w:lineRule="exact"/>
        <w:ind w:firstLine="411" w:firstLineChars="196"/>
        <w:rPr>
          <w:color w:val="auto"/>
          <w:highlight w:val="none"/>
        </w:rPr>
      </w:pPr>
      <w:r>
        <w:rPr>
          <w:color w:val="auto"/>
          <w:highlight w:val="none"/>
        </w:rPr>
        <w:t xml:space="preserve">2. </w:t>
      </w:r>
      <w:r>
        <w:rPr>
          <w:rFonts w:hint="eastAsia" w:hAnsi="宋体" w:cs="宋体"/>
          <w:color w:val="auto"/>
          <w:highlight w:val="none"/>
        </w:rPr>
        <w:t>工程地点：</w:t>
      </w:r>
      <w:r>
        <w:rPr>
          <w:rFonts w:hint="eastAsia" w:cs="Times New Roman"/>
          <w:b w:val="0"/>
          <w:bCs/>
          <w:color w:val="auto"/>
          <w:highlight w:val="none"/>
          <w:u w:val="single"/>
          <w:lang w:val="en-US" w:eastAsia="zh-CN"/>
        </w:rPr>
        <w:t>伶俐镇</w:t>
      </w:r>
      <w:r>
        <w:rPr>
          <w:rFonts w:hint="eastAsia" w:hAnsi="宋体" w:cs="宋体"/>
          <w:color w:val="auto"/>
          <w:highlight w:val="none"/>
        </w:rPr>
        <w:t>。</w:t>
      </w:r>
    </w:p>
    <w:p w14:paraId="76F97042">
      <w:pPr>
        <w:spacing w:line="440" w:lineRule="exact"/>
        <w:ind w:firstLine="411" w:firstLineChars="196"/>
        <w:rPr>
          <w:color w:val="auto"/>
          <w:highlight w:val="none"/>
        </w:rPr>
      </w:pPr>
      <w:r>
        <w:rPr>
          <w:color w:val="auto"/>
          <w:highlight w:val="none"/>
        </w:rPr>
        <w:t xml:space="preserve">3. </w:t>
      </w:r>
      <w:r>
        <w:rPr>
          <w:rFonts w:hint="eastAsia" w:hAnsi="宋体" w:cs="宋体"/>
          <w:color w:val="auto"/>
          <w:highlight w:val="none"/>
        </w:rPr>
        <w:t>工程立项批准文号：</w:t>
      </w:r>
      <w:r>
        <w:rPr>
          <w:rFonts w:hint="eastAsia" w:hAnsi="宋体" w:cs="宋体"/>
          <w:color w:val="auto"/>
          <w:highlight w:val="none"/>
          <w:u w:val="single"/>
        </w:rPr>
        <w:t xml:space="preserve"> /</w:t>
      </w:r>
      <w:r>
        <w:rPr>
          <w:rFonts w:hint="eastAsia" w:hAnsi="宋体" w:cs="宋体"/>
          <w:color w:val="auto"/>
          <w:highlight w:val="none"/>
        </w:rPr>
        <w:t>。</w:t>
      </w:r>
    </w:p>
    <w:p w14:paraId="58C0249E">
      <w:pPr>
        <w:spacing w:line="440" w:lineRule="exact"/>
        <w:ind w:firstLine="411" w:firstLineChars="196"/>
        <w:rPr>
          <w:color w:val="auto"/>
          <w:highlight w:val="none"/>
        </w:rPr>
      </w:pPr>
      <w:r>
        <w:rPr>
          <w:color w:val="auto"/>
          <w:highlight w:val="none"/>
        </w:rPr>
        <w:t xml:space="preserve">4. </w:t>
      </w:r>
      <w:r>
        <w:rPr>
          <w:rFonts w:hint="eastAsia" w:hAnsi="宋体" w:cs="宋体"/>
          <w:color w:val="auto"/>
          <w:highlight w:val="none"/>
        </w:rPr>
        <w:t>资金来源：</w:t>
      </w:r>
      <w:r>
        <w:rPr>
          <w:rFonts w:hint="eastAsia" w:hAnsi="宋体" w:cs="宋体"/>
          <w:color w:val="auto"/>
          <w:highlight w:val="none"/>
          <w:u w:val="single"/>
          <w:lang w:val="en-US" w:eastAsia="zh-CN"/>
        </w:rPr>
        <w:t xml:space="preserve">  财政资金       </w:t>
      </w:r>
      <w:r>
        <w:rPr>
          <w:rFonts w:hint="eastAsia" w:hAnsi="宋体" w:cs="宋体"/>
          <w:color w:val="auto"/>
          <w:highlight w:val="none"/>
          <w:lang w:val="en-US" w:eastAsia="zh-CN"/>
        </w:rPr>
        <w:t xml:space="preserve"> </w:t>
      </w:r>
      <w:r>
        <w:rPr>
          <w:rFonts w:hint="eastAsia" w:hAnsi="宋体" w:cs="宋体"/>
          <w:color w:val="auto"/>
          <w:highlight w:val="none"/>
        </w:rPr>
        <w:t>。</w:t>
      </w:r>
    </w:p>
    <w:p w14:paraId="353E0C11">
      <w:pPr>
        <w:spacing w:line="440" w:lineRule="exact"/>
        <w:ind w:firstLine="420" w:firstLineChars="200"/>
        <w:contextualSpacing/>
        <w:rPr>
          <w:color w:val="auto"/>
          <w:highlight w:val="none"/>
        </w:rPr>
      </w:pPr>
      <w:r>
        <w:rPr>
          <w:color w:val="auto"/>
          <w:highlight w:val="none"/>
        </w:rPr>
        <w:t xml:space="preserve">5. </w:t>
      </w:r>
      <w:r>
        <w:rPr>
          <w:rFonts w:hint="eastAsia" w:ascii="宋体" w:hAnsi="宋体" w:cs="宋体"/>
          <w:color w:val="auto"/>
          <w:szCs w:val="21"/>
          <w:highlight w:val="none"/>
        </w:rPr>
        <w:t>工程项目概况：</w:t>
      </w:r>
      <w:r>
        <w:rPr>
          <w:rFonts w:hint="eastAsia" w:ascii="宋体" w:hAnsi="宋体" w:cs="宋体"/>
          <w:color w:val="auto"/>
          <w:szCs w:val="21"/>
          <w:highlight w:val="none"/>
          <w:u w:val="single"/>
          <w:lang w:val="en-US" w:eastAsia="zh-CN"/>
        </w:rPr>
        <w:t xml:space="preserve">                         </w:t>
      </w:r>
      <w:r>
        <w:rPr>
          <w:rFonts w:hint="eastAsia" w:ascii="Times New Roman" w:hAnsi="宋体" w:eastAsia="宋体" w:cs="宋体"/>
          <w:color w:val="auto"/>
          <w:highlight w:val="none"/>
          <w:u w:val="single"/>
          <w:lang w:val="en-US" w:eastAsia="zh-CN"/>
        </w:rPr>
        <w:t>。</w:t>
      </w:r>
    </w:p>
    <w:p w14:paraId="0165B6BF">
      <w:pPr>
        <w:spacing w:line="440" w:lineRule="exact"/>
        <w:ind w:firstLine="411" w:firstLineChars="196"/>
        <w:rPr>
          <w:rFonts w:hAnsi="宋体" w:cs="宋体"/>
          <w:color w:val="auto"/>
          <w:highlight w:val="none"/>
        </w:rPr>
      </w:pPr>
      <w:r>
        <w:rPr>
          <w:color w:val="auto"/>
          <w:highlight w:val="none"/>
        </w:rPr>
        <w:t xml:space="preserve">6. </w:t>
      </w:r>
      <w:r>
        <w:rPr>
          <w:rFonts w:hint="eastAsia" w:hAnsi="宋体" w:cs="宋体"/>
          <w:color w:val="auto"/>
          <w:highlight w:val="none"/>
        </w:rPr>
        <w:t>工程承包范围：</w:t>
      </w:r>
      <w:r>
        <w:rPr>
          <w:rFonts w:hint="eastAsia" w:hAnsi="宋体" w:cs="宋体"/>
          <w:color w:val="auto"/>
          <w:highlight w:val="none"/>
          <w:u w:val="single"/>
          <w:lang w:val="en-US" w:eastAsia="zh-CN"/>
        </w:rPr>
        <w:t xml:space="preserve">                               </w:t>
      </w:r>
      <w:r>
        <w:rPr>
          <w:rFonts w:hint="eastAsia" w:hAnsi="宋体" w:cs="宋体"/>
          <w:color w:val="auto"/>
          <w:highlight w:val="none"/>
          <w:u w:val="single"/>
        </w:rPr>
        <w:t>。</w:t>
      </w:r>
    </w:p>
    <w:p w14:paraId="300CF7EC">
      <w:pPr>
        <w:spacing w:line="440" w:lineRule="exact"/>
        <w:ind w:firstLine="420" w:firstLineChars="200"/>
        <w:contextualSpacing/>
        <w:rPr>
          <w:rFonts w:ascii="宋体" w:hAnsi="宋体" w:cs="宋体"/>
          <w:iCs/>
          <w:color w:val="auto"/>
          <w:szCs w:val="21"/>
          <w:highlight w:val="none"/>
        </w:rPr>
      </w:pPr>
      <w:r>
        <w:rPr>
          <w:rFonts w:hint="eastAsia"/>
          <w:color w:val="auto"/>
          <w:highlight w:val="none"/>
        </w:rPr>
        <w:t>7. 工程建设规模：</w:t>
      </w:r>
      <w:r>
        <w:rPr>
          <w:rFonts w:hint="eastAsia"/>
          <w:color w:val="auto"/>
          <w:highlight w:val="none"/>
          <w:u w:val="single"/>
          <w:lang w:val="en-US" w:eastAsia="zh-CN"/>
        </w:rPr>
        <w:t xml:space="preserve">                                </w:t>
      </w:r>
      <w:r>
        <w:rPr>
          <w:rFonts w:hint="eastAsia" w:ascii="宋体" w:hAnsi="宋体" w:cs="宋体"/>
          <w:color w:val="auto"/>
          <w:szCs w:val="21"/>
          <w:highlight w:val="none"/>
          <w:lang w:val="en-US" w:eastAsia="zh-CN"/>
        </w:rPr>
        <w:t>。</w:t>
      </w:r>
    </w:p>
    <w:p w14:paraId="00C7E2E8">
      <w:pPr>
        <w:spacing w:line="440" w:lineRule="exact"/>
        <w:ind w:firstLine="411" w:firstLineChars="196"/>
        <w:rPr>
          <w:color w:val="auto"/>
          <w:highlight w:val="none"/>
          <w:u w:val="single"/>
        </w:rPr>
      </w:pPr>
    </w:p>
    <w:p w14:paraId="66E1BB1A">
      <w:pPr>
        <w:spacing w:line="440" w:lineRule="exact"/>
        <w:ind w:firstLine="407" w:firstLineChars="193"/>
        <w:outlineLvl w:val="0"/>
        <w:rPr>
          <w:b/>
          <w:bCs/>
          <w:color w:val="auto"/>
          <w:highlight w:val="none"/>
        </w:rPr>
      </w:pPr>
      <w:bookmarkStart w:id="125" w:name="_Toc351203482"/>
      <w:bookmarkStart w:id="126" w:name="_Toc120869340"/>
      <w:r>
        <w:rPr>
          <w:rFonts w:hint="eastAsia" w:hAnsi="宋体" w:cs="宋体"/>
          <w:b/>
          <w:bCs/>
          <w:color w:val="auto"/>
          <w:highlight w:val="none"/>
        </w:rPr>
        <w:t>二、合同工期</w:t>
      </w:r>
      <w:bookmarkEnd w:id="125"/>
      <w:bookmarkEnd w:id="126"/>
    </w:p>
    <w:p w14:paraId="559ABC2A">
      <w:pPr>
        <w:spacing w:line="440" w:lineRule="exact"/>
        <w:ind w:firstLine="459"/>
        <w:rPr>
          <w:rFonts w:hint="eastAsia" w:ascii="宋体" w:hAnsi="宋体" w:eastAsia="宋体" w:cs="宋体"/>
          <w:color w:val="auto"/>
          <w:highlight w:val="none"/>
        </w:rPr>
      </w:pPr>
      <w:r>
        <w:rPr>
          <w:rFonts w:hint="eastAsia" w:hAnsi="宋体" w:cs="宋体"/>
          <w:color w:val="auto"/>
          <w:highlight w:val="none"/>
        </w:rPr>
        <w:t>计划开工日期：</w:t>
      </w:r>
      <w:r>
        <w:rPr>
          <w:rFonts w:hint="eastAsia" w:ascii="宋体" w:hAnsi="宋体" w:eastAsia="宋体" w:cs="宋体"/>
          <w:color w:val="auto"/>
          <w:highlight w:val="none"/>
          <w:u w:val="single"/>
        </w:rPr>
        <w:t>2024</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日。（具体以发包人书面通知为准）</w:t>
      </w:r>
    </w:p>
    <w:p w14:paraId="40A68BB4">
      <w:pPr>
        <w:spacing w:line="440" w:lineRule="exact"/>
        <w:ind w:firstLine="459"/>
        <w:rPr>
          <w:rFonts w:hint="eastAsia" w:ascii="宋体" w:hAnsi="宋体" w:eastAsia="宋体" w:cs="宋体"/>
          <w:color w:val="auto"/>
          <w:highlight w:val="none"/>
        </w:rPr>
      </w:pPr>
      <w:r>
        <w:rPr>
          <w:rFonts w:hint="eastAsia" w:ascii="宋体" w:hAnsi="宋体" w:eastAsia="宋体" w:cs="宋体"/>
          <w:color w:val="auto"/>
          <w:highlight w:val="none"/>
        </w:rPr>
        <w:t>计划竣工日期：</w:t>
      </w:r>
      <w:r>
        <w:rPr>
          <w:rFonts w:hint="eastAsia" w:ascii="宋体" w:hAnsi="宋体" w:eastAsia="宋体" w:cs="宋体"/>
          <w:color w:val="auto"/>
          <w:highlight w:val="none"/>
          <w:u w:val="single"/>
        </w:rPr>
        <w:t>2024</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日。</w:t>
      </w:r>
    </w:p>
    <w:p w14:paraId="16B46A8A">
      <w:pPr>
        <w:spacing w:line="440" w:lineRule="exact"/>
        <w:ind w:firstLine="459"/>
        <w:rPr>
          <w:rFonts w:hAnsi="宋体"/>
          <w:color w:val="auto"/>
          <w:highlight w:val="none"/>
        </w:rPr>
      </w:pPr>
      <w:r>
        <w:rPr>
          <w:rFonts w:hint="eastAsia" w:ascii="宋体" w:hAnsi="宋体" w:eastAsia="宋体" w:cs="宋体"/>
          <w:color w:val="auto"/>
          <w:highlight w:val="none"/>
        </w:rPr>
        <w:t>工期总日历天数：</w:t>
      </w:r>
      <w:r>
        <w:rPr>
          <w:rFonts w:hint="eastAsia" w:ascii="宋体" w:hAnsi="宋体" w:cs="宋体"/>
          <w:color w:val="auto"/>
          <w:highlight w:val="none"/>
          <w:u w:val="single"/>
          <w:lang w:val="en-US" w:eastAsia="zh-CN"/>
        </w:rPr>
        <w:t>30个</w:t>
      </w:r>
      <w:r>
        <w:rPr>
          <w:rFonts w:hint="eastAsia" w:ascii="宋体" w:hAnsi="宋体" w:eastAsia="宋体" w:cs="宋体"/>
          <w:color w:val="auto"/>
          <w:highlight w:val="none"/>
          <w:u w:val="single"/>
        </w:rPr>
        <w:t>日历日</w:t>
      </w:r>
      <w:r>
        <w:rPr>
          <w:rFonts w:hint="eastAsia" w:ascii="宋体" w:hAnsi="宋体" w:eastAsia="宋体" w:cs="宋体"/>
          <w:color w:val="auto"/>
          <w:highlight w:val="none"/>
        </w:rPr>
        <w:t>。</w:t>
      </w:r>
      <w:r>
        <w:rPr>
          <w:rFonts w:hint="eastAsia" w:hAnsi="宋体" w:cs="宋体"/>
          <w:color w:val="auto"/>
          <w:highlight w:val="none"/>
        </w:rPr>
        <w:t>工期总日历天数与根据前述计划开竣工日期计算的工期天数不一致的，以工期总日历天数为准。</w:t>
      </w:r>
    </w:p>
    <w:p w14:paraId="5E9BDD91">
      <w:pPr>
        <w:spacing w:line="440" w:lineRule="exact"/>
        <w:ind w:firstLine="459"/>
        <w:outlineLvl w:val="0"/>
        <w:rPr>
          <w:b/>
          <w:bCs/>
          <w:color w:val="auto"/>
          <w:highlight w:val="none"/>
        </w:rPr>
      </w:pPr>
      <w:bookmarkStart w:id="127" w:name="_Toc120869341"/>
      <w:bookmarkStart w:id="128" w:name="_Toc351203483"/>
      <w:r>
        <w:rPr>
          <w:rFonts w:hint="eastAsia" w:hAnsi="宋体" w:cs="宋体"/>
          <w:b/>
          <w:bCs/>
          <w:color w:val="auto"/>
          <w:highlight w:val="none"/>
        </w:rPr>
        <w:t>三、质量标准</w:t>
      </w:r>
      <w:bookmarkEnd w:id="127"/>
      <w:bookmarkEnd w:id="128"/>
    </w:p>
    <w:p w14:paraId="7F74BD65">
      <w:pPr>
        <w:spacing w:line="440" w:lineRule="exact"/>
        <w:ind w:firstLine="459"/>
        <w:rPr>
          <w:rFonts w:hAnsi="宋体"/>
          <w:color w:val="auto"/>
          <w:highlight w:val="none"/>
        </w:rPr>
      </w:pPr>
      <w:r>
        <w:rPr>
          <w:rFonts w:hint="eastAsia" w:hAnsi="宋体" w:cs="宋体"/>
          <w:color w:val="auto"/>
          <w:highlight w:val="none"/>
        </w:rPr>
        <w:t>工程质量符合</w:t>
      </w:r>
      <w:r>
        <w:rPr>
          <w:rFonts w:hint="eastAsia" w:ascii="宋体" w:hAnsi="宋体" w:cs="宋体"/>
          <w:color w:val="auto"/>
          <w:highlight w:val="none"/>
          <w:u w:val="single"/>
        </w:rPr>
        <w:t>合格</w:t>
      </w:r>
      <w:r>
        <w:rPr>
          <w:rFonts w:hint="eastAsia" w:hAnsi="宋体" w:cs="宋体"/>
          <w:color w:val="auto"/>
          <w:highlight w:val="none"/>
        </w:rPr>
        <w:t>标准。</w:t>
      </w:r>
    </w:p>
    <w:p w14:paraId="607B130C">
      <w:pPr>
        <w:spacing w:line="440" w:lineRule="exact"/>
        <w:ind w:firstLine="459"/>
        <w:outlineLvl w:val="0"/>
        <w:rPr>
          <w:rFonts w:hAnsi="宋体"/>
          <w:b/>
          <w:bCs/>
          <w:color w:val="auto"/>
          <w:highlight w:val="none"/>
        </w:rPr>
      </w:pPr>
      <w:bookmarkStart w:id="129" w:name="_Toc351203484"/>
      <w:bookmarkStart w:id="130" w:name="_Toc120869342"/>
      <w:r>
        <w:rPr>
          <w:rFonts w:hint="eastAsia" w:hAnsi="宋体" w:cs="宋体"/>
          <w:b/>
          <w:bCs/>
          <w:color w:val="auto"/>
          <w:highlight w:val="none"/>
        </w:rPr>
        <w:t>四、签约合同价与合同价格形式</w:t>
      </w:r>
      <w:bookmarkEnd w:id="129"/>
      <w:bookmarkEnd w:id="130"/>
    </w:p>
    <w:p w14:paraId="28ACEF7D">
      <w:pPr>
        <w:spacing w:line="440" w:lineRule="exact"/>
        <w:ind w:firstLine="459"/>
        <w:rPr>
          <w:color w:val="auto"/>
          <w:highlight w:val="none"/>
        </w:rPr>
      </w:pPr>
      <w:bookmarkStart w:id="131" w:name="_Toc351203485"/>
      <w:bookmarkStart w:id="132" w:name="_Toc120869343"/>
      <w:r>
        <w:rPr>
          <w:color w:val="auto"/>
          <w:highlight w:val="none"/>
        </w:rPr>
        <w:t xml:space="preserve">1. </w:t>
      </w:r>
      <w:r>
        <w:rPr>
          <w:rFonts w:hint="eastAsia" w:hAnsi="宋体" w:cs="宋体"/>
          <w:color w:val="auto"/>
          <w:highlight w:val="none"/>
        </w:rPr>
        <w:t>签约合同价为：</w:t>
      </w:r>
    </w:p>
    <w:p w14:paraId="3EED0186">
      <w:pPr>
        <w:spacing w:line="440" w:lineRule="exact"/>
        <w:ind w:firstLine="525" w:firstLineChars="250"/>
        <w:rPr>
          <w:rFonts w:hAnsi="宋体"/>
          <w:color w:val="auto"/>
          <w:highlight w:val="none"/>
        </w:rPr>
      </w:pPr>
      <w:r>
        <w:rPr>
          <w:rFonts w:hint="eastAsia" w:hAnsi="宋体" w:cs="宋体"/>
          <w:color w:val="auto"/>
          <w:highlight w:val="none"/>
        </w:rPr>
        <w:t>人民币（大写）</w:t>
      </w:r>
      <w:r>
        <w:rPr>
          <w:rFonts w:hint="eastAsia"/>
          <w:color w:val="auto"/>
          <w:highlight w:val="none"/>
        </w:rPr>
        <w:t>（</w:t>
      </w:r>
      <w:r>
        <w:rPr>
          <w:color w:val="auto"/>
          <w:highlight w:val="none"/>
        </w:rPr>
        <w:t>¥</w:t>
      </w:r>
      <w:r>
        <w:rPr>
          <w:rFonts w:hint="eastAsia" w:hAnsi="宋体"/>
          <w:color w:val="auto"/>
          <w:highlight w:val="none"/>
        </w:rPr>
        <w:t>元</w:t>
      </w:r>
      <w:r>
        <w:rPr>
          <w:rFonts w:hint="eastAsia"/>
          <w:color w:val="auto"/>
          <w:highlight w:val="none"/>
        </w:rPr>
        <w:t>）</w:t>
      </w:r>
      <w:r>
        <w:rPr>
          <w:rFonts w:hint="eastAsia" w:hAnsi="宋体" w:cs="宋体"/>
          <w:color w:val="auto"/>
          <w:highlight w:val="none"/>
        </w:rPr>
        <w:t>；</w:t>
      </w:r>
    </w:p>
    <w:p w14:paraId="785F30E1">
      <w:pPr>
        <w:spacing w:line="440" w:lineRule="exact"/>
        <w:ind w:firstLine="525" w:firstLineChars="250"/>
        <w:rPr>
          <w:rFonts w:hAnsi="宋体"/>
          <w:color w:val="auto"/>
          <w:highlight w:val="none"/>
        </w:rPr>
      </w:pPr>
      <w:r>
        <w:rPr>
          <w:rFonts w:hint="eastAsia" w:hAnsi="宋体" w:cs="宋体"/>
          <w:color w:val="auto"/>
          <w:highlight w:val="none"/>
        </w:rPr>
        <w:t>其中：</w:t>
      </w:r>
    </w:p>
    <w:p w14:paraId="0E79A3B0">
      <w:pPr>
        <w:spacing w:line="440" w:lineRule="exact"/>
        <w:ind w:firstLine="420" w:firstLineChars="200"/>
        <w:rPr>
          <w:color w:val="auto"/>
          <w:highlight w:val="none"/>
        </w:rPr>
      </w:pPr>
      <w:r>
        <w:rPr>
          <w:rFonts w:hint="eastAsia" w:hAnsi="宋体" w:cs="宋体"/>
          <w:color w:val="auto"/>
          <w:highlight w:val="none"/>
        </w:rPr>
        <w:t>（</w:t>
      </w:r>
      <w:r>
        <w:rPr>
          <w:rFonts w:hAnsi="宋体"/>
          <w:color w:val="auto"/>
          <w:highlight w:val="none"/>
        </w:rPr>
        <w:t>1</w:t>
      </w:r>
      <w:r>
        <w:rPr>
          <w:rFonts w:hint="eastAsia" w:hAnsi="宋体" w:cs="宋体"/>
          <w:color w:val="auto"/>
          <w:highlight w:val="none"/>
        </w:rPr>
        <w:t>）安全文明施工费：</w:t>
      </w:r>
    </w:p>
    <w:p w14:paraId="1797FD11">
      <w:pPr>
        <w:spacing w:line="440" w:lineRule="exact"/>
        <w:ind w:left="420" w:leftChars="200" w:firstLine="525" w:firstLineChars="250"/>
        <w:rPr>
          <w:rFonts w:hAnsi="宋体"/>
          <w:color w:val="auto"/>
          <w:highlight w:val="none"/>
        </w:rPr>
      </w:pPr>
      <w:r>
        <w:rPr>
          <w:rFonts w:hint="eastAsia" w:hAnsi="宋体" w:cs="宋体"/>
          <w:color w:val="auto"/>
          <w:highlight w:val="none"/>
        </w:rPr>
        <w:t>人民币（大写）</w:t>
      </w:r>
      <w:r>
        <w:rPr>
          <w:rFonts w:hint="eastAsia"/>
          <w:color w:val="auto"/>
          <w:highlight w:val="none"/>
        </w:rPr>
        <w:t>（</w:t>
      </w:r>
      <w:r>
        <w:rPr>
          <w:color w:val="auto"/>
          <w:highlight w:val="none"/>
        </w:rPr>
        <w:t>¥</w:t>
      </w:r>
      <w:r>
        <w:rPr>
          <w:rFonts w:hint="eastAsia" w:hAnsi="宋体"/>
          <w:color w:val="auto"/>
          <w:highlight w:val="none"/>
        </w:rPr>
        <w:t>元</w:t>
      </w:r>
      <w:r>
        <w:rPr>
          <w:rFonts w:hint="eastAsia"/>
          <w:color w:val="auto"/>
          <w:highlight w:val="none"/>
        </w:rPr>
        <w:t>）</w:t>
      </w:r>
      <w:r>
        <w:rPr>
          <w:rFonts w:hint="eastAsia" w:hAnsi="宋体" w:cs="宋体"/>
          <w:color w:val="auto"/>
          <w:highlight w:val="none"/>
        </w:rPr>
        <w:t>；</w:t>
      </w:r>
    </w:p>
    <w:p w14:paraId="1BC223AE">
      <w:pPr>
        <w:spacing w:line="440" w:lineRule="exact"/>
        <w:ind w:firstLine="420" w:firstLineChars="200"/>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）材料和工程设备暂估价金额：</w:t>
      </w:r>
    </w:p>
    <w:p w14:paraId="6FB1337D">
      <w:pPr>
        <w:spacing w:line="440" w:lineRule="exact"/>
        <w:ind w:firstLine="945" w:firstLineChars="450"/>
        <w:rPr>
          <w:color w:val="auto"/>
          <w:highlight w:val="none"/>
        </w:rPr>
      </w:pPr>
      <w:r>
        <w:rPr>
          <w:rFonts w:hint="eastAsia" w:hAnsi="宋体" w:cs="宋体"/>
          <w:color w:val="auto"/>
          <w:highlight w:val="none"/>
        </w:rPr>
        <w:t>人民币（大写）</w:t>
      </w:r>
      <w:r>
        <w:rPr>
          <w:rFonts w:hint="eastAsia"/>
          <w:color w:val="auto"/>
          <w:highlight w:val="none"/>
        </w:rPr>
        <w:t>（</w:t>
      </w:r>
      <w:r>
        <w:rPr>
          <w:color w:val="auto"/>
          <w:highlight w:val="none"/>
        </w:rPr>
        <w:t>¥</w:t>
      </w:r>
      <w:r>
        <w:rPr>
          <w:rFonts w:hint="eastAsia" w:hAnsi="宋体"/>
          <w:color w:val="auto"/>
          <w:highlight w:val="none"/>
        </w:rPr>
        <w:t>元</w:t>
      </w:r>
      <w:r>
        <w:rPr>
          <w:rFonts w:hint="eastAsia"/>
          <w:color w:val="auto"/>
          <w:highlight w:val="none"/>
        </w:rPr>
        <w:t>）</w:t>
      </w:r>
      <w:r>
        <w:rPr>
          <w:rFonts w:hint="eastAsia" w:hAnsi="宋体" w:cs="宋体"/>
          <w:color w:val="auto"/>
          <w:highlight w:val="none"/>
        </w:rPr>
        <w:t>；</w:t>
      </w:r>
    </w:p>
    <w:p w14:paraId="3C4B8E11">
      <w:pPr>
        <w:spacing w:line="440" w:lineRule="exact"/>
        <w:ind w:firstLine="420" w:firstLineChars="200"/>
        <w:rPr>
          <w:color w:val="auto"/>
          <w:highlight w:val="none"/>
        </w:rPr>
      </w:pPr>
      <w:r>
        <w:rPr>
          <w:rFonts w:hint="eastAsia" w:hAnsi="宋体" w:cs="宋体"/>
          <w:color w:val="auto"/>
          <w:highlight w:val="none"/>
        </w:rPr>
        <w:t>（</w:t>
      </w:r>
      <w:r>
        <w:rPr>
          <w:color w:val="auto"/>
          <w:highlight w:val="none"/>
        </w:rPr>
        <w:t>3</w:t>
      </w:r>
      <w:r>
        <w:rPr>
          <w:rFonts w:hint="eastAsia" w:hAnsi="宋体" w:cs="宋体"/>
          <w:color w:val="auto"/>
          <w:highlight w:val="none"/>
        </w:rPr>
        <w:t>）专业工程暂估价金额：</w:t>
      </w:r>
    </w:p>
    <w:p w14:paraId="42CC8318">
      <w:pPr>
        <w:spacing w:line="440" w:lineRule="exact"/>
        <w:ind w:firstLine="945" w:firstLineChars="450"/>
        <w:rPr>
          <w:color w:val="auto"/>
          <w:highlight w:val="none"/>
        </w:rPr>
      </w:pPr>
      <w:r>
        <w:rPr>
          <w:rFonts w:hint="eastAsia" w:hAnsi="宋体" w:cs="宋体"/>
          <w:color w:val="auto"/>
          <w:highlight w:val="none"/>
        </w:rPr>
        <w:t>人民币（大写）</w:t>
      </w:r>
      <w:r>
        <w:rPr>
          <w:rFonts w:hint="eastAsia"/>
          <w:color w:val="auto"/>
          <w:highlight w:val="none"/>
        </w:rPr>
        <w:t>（</w:t>
      </w:r>
      <w:r>
        <w:rPr>
          <w:color w:val="auto"/>
          <w:highlight w:val="none"/>
        </w:rPr>
        <w:t>¥</w:t>
      </w:r>
      <w:r>
        <w:rPr>
          <w:rFonts w:hint="eastAsia" w:hAnsi="宋体"/>
          <w:color w:val="auto"/>
          <w:highlight w:val="none"/>
        </w:rPr>
        <w:t>元</w:t>
      </w:r>
      <w:r>
        <w:rPr>
          <w:rFonts w:hint="eastAsia"/>
          <w:color w:val="auto"/>
          <w:highlight w:val="none"/>
        </w:rPr>
        <w:t>）</w:t>
      </w:r>
      <w:r>
        <w:rPr>
          <w:rFonts w:hint="eastAsia" w:hAnsi="宋体" w:cs="宋体"/>
          <w:color w:val="auto"/>
          <w:highlight w:val="none"/>
        </w:rPr>
        <w:t>；</w:t>
      </w:r>
    </w:p>
    <w:p w14:paraId="50B436E5">
      <w:pPr>
        <w:spacing w:line="440" w:lineRule="exact"/>
        <w:ind w:firstLine="420" w:firstLineChars="200"/>
        <w:rPr>
          <w:color w:val="auto"/>
          <w:highlight w:val="none"/>
        </w:rPr>
      </w:pPr>
      <w:r>
        <w:rPr>
          <w:rFonts w:hint="eastAsia" w:hAnsi="宋体" w:cs="宋体"/>
          <w:color w:val="auto"/>
          <w:highlight w:val="none"/>
        </w:rPr>
        <w:t>（</w:t>
      </w:r>
      <w:r>
        <w:rPr>
          <w:color w:val="auto"/>
          <w:highlight w:val="none"/>
        </w:rPr>
        <w:t>4</w:t>
      </w:r>
      <w:r>
        <w:rPr>
          <w:rFonts w:hint="eastAsia" w:hAnsi="宋体" w:cs="宋体"/>
          <w:color w:val="auto"/>
          <w:highlight w:val="none"/>
        </w:rPr>
        <w:t>）暂列金额：</w:t>
      </w:r>
    </w:p>
    <w:p w14:paraId="53D3E61B">
      <w:pPr>
        <w:spacing w:line="440" w:lineRule="exact"/>
        <w:ind w:firstLine="945" w:firstLineChars="450"/>
        <w:rPr>
          <w:rFonts w:hAnsi="宋体"/>
          <w:color w:val="auto"/>
          <w:highlight w:val="none"/>
        </w:rPr>
      </w:pPr>
      <w:r>
        <w:rPr>
          <w:rFonts w:hint="eastAsia" w:hAnsi="宋体" w:cs="宋体"/>
          <w:color w:val="auto"/>
          <w:highlight w:val="none"/>
        </w:rPr>
        <w:t>人民币（大写）</w:t>
      </w:r>
      <w:r>
        <w:rPr>
          <w:rFonts w:hint="eastAsia"/>
          <w:color w:val="auto"/>
          <w:highlight w:val="none"/>
        </w:rPr>
        <w:t>（</w:t>
      </w:r>
      <w:r>
        <w:rPr>
          <w:color w:val="auto"/>
          <w:highlight w:val="none"/>
        </w:rPr>
        <w:t>¥</w:t>
      </w:r>
      <w:r>
        <w:rPr>
          <w:rFonts w:hint="eastAsia" w:hAnsi="宋体"/>
          <w:color w:val="auto"/>
          <w:highlight w:val="none"/>
        </w:rPr>
        <w:t>元</w:t>
      </w:r>
      <w:r>
        <w:rPr>
          <w:rFonts w:hint="eastAsia"/>
          <w:color w:val="auto"/>
          <w:highlight w:val="none"/>
        </w:rPr>
        <w:t>）</w:t>
      </w:r>
      <w:r>
        <w:rPr>
          <w:rFonts w:hint="eastAsia" w:hAnsi="宋体" w:cs="宋体"/>
          <w:color w:val="auto"/>
          <w:highlight w:val="none"/>
        </w:rPr>
        <w:t>。</w:t>
      </w:r>
    </w:p>
    <w:p w14:paraId="23334F3A">
      <w:pPr>
        <w:spacing w:line="440" w:lineRule="exact"/>
        <w:ind w:firstLine="420" w:firstLineChars="200"/>
        <w:rPr>
          <w:rFonts w:hAnsi="宋体"/>
          <w:color w:val="auto"/>
          <w:highlight w:val="none"/>
        </w:rPr>
      </w:pPr>
      <w:r>
        <w:rPr>
          <w:color w:val="auto"/>
          <w:highlight w:val="none"/>
        </w:rPr>
        <w:t xml:space="preserve">2. </w:t>
      </w:r>
      <w:r>
        <w:rPr>
          <w:rFonts w:hint="eastAsia" w:hAnsi="宋体" w:cs="宋体"/>
          <w:color w:val="auto"/>
          <w:highlight w:val="none"/>
        </w:rPr>
        <w:t>合同价格形式：</w:t>
      </w:r>
      <w:r>
        <w:rPr>
          <w:rFonts w:hint="eastAsia" w:hAnsi="宋体" w:cs="宋体"/>
          <w:color w:val="auto"/>
          <w:highlight w:val="none"/>
          <w:u w:val="single"/>
          <w:lang w:val="en-US" w:eastAsia="zh-CN"/>
        </w:rPr>
        <w:t>固定综合</w:t>
      </w:r>
      <w:r>
        <w:rPr>
          <w:rFonts w:hint="eastAsia"/>
          <w:color w:val="auto"/>
          <w:highlight w:val="none"/>
          <w:u w:val="single"/>
        </w:rPr>
        <w:t>单价合同</w:t>
      </w:r>
      <w:r>
        <w:rPr>
          <w:rFonts w:hint="eastAsia" w:hAnsi="宋体" w:cs="宋体"/>
          <w:color w:val="auto"/>
          <w:highlight w:val="none"/>
        </w:rPr>
        <w:t>。</w:t>
      </w:r>
    </w:p>
    <w:p w14:paraId="21F0D09F">
      <w:pPr>
        <w:spacing w:line="440" w:lineRule="exact"/>
        <w:ind w:firstLine="422" w:firstLineChars="200"/>
        <w:outlineLvl w:val="0"/>
        <w:rPr>
          <w:b/>
          <w:bCs/>
          <w:color w:val="auto"/>
          <w:highlight w:val="none"/>
        </w:rPr>
      </w:pPr>
      <w:r>
        <w:rPr>
          <w:rFonts w:hint="eastAsia" w:hAnsi="宋体" w:cs="宋体"/>
          <w:b/>
          <w:bCs/>
          <w:color w:val="auto"/>
          <w:highlight w:val="none"/>
        </w:rPr>
        <w:t>五、</w:t>
      </w:r>
      <w:bookmarkEnd w:id="131"/>
      <w:r>
        <w:rPr>
          <w:rFonts w:hint="eastAsia" w:hAnsi="宋体" w:cs="宋体"/>
          <w:b/>
          <w:bCs/>
          <w:color w:val="auto"/>
          <w:highlight w:val="none"/>
        </w:rPr>
        <w:t>项目经理</w:t>
      </w:r>
      <w:bookmarkEnd w:id="132"/>
    </w:p>
    <w:p w14:paraId="31CA92DA">
      <w:pPr>
        <w:spacing w:line="440" w:lineRule="exact"/>
        <w:ind w:firstLine="420" w:firstLineChars="200"/>
        <w:rPr>
          <w:rFonts w:hAnsi="宋体"/>
          <w:color w:val="auto"/>
          <w:highlight w:val="none"/>
        </w:rPr>
      </w:pPr>
      <w:r>
        <w:rPr>
          <w:rFonts w:hint="eastAsia" w:hAnsi="宋体" w:cs="宋体"/>
          <w:color w:val="auto"/>
          <w:highlight w:val="none"/>
        </w:rPr>
        <w:t>承包人项目经理：。</w:t>
      </w:r>
      <w:r>
        <w:rPr>
          <w:rFonts w:hint="eastAsia" w:hAnsi="宋体"/>
          <w:color w:val="auto"/>
          <w:highlight w:val="none"/>
        </w:rPr>
        <w:t>承包人须向发包人提供该项目经理的资格证、职称证及身份证复印件作为留存（复印件需加盖承包人原色公章）</w:t>
      </w:r>
    </w:p>
    <w:p w14:paraId="1EB3085B">
      <w:pPr>
        <w:spacing w:line="440" w:lineRule="exact"/>
        <w:ind w:firstLine="422" w:firstLineChars="200"/>
        <w:outlineLvl w:val="0"/>
        <w:rPr>
          <w:b/>
          <w:bCs/>
          <w:color w:val="auto"/>
          <w:highlight w:val="none"/>
        </w:rPr>
      </w:pPr>
      <w:bookmarkStart w:id="133" w:name="_Toc120869344"/>
      <w:bookmarkStart w:id="134" w:name="_Toc351203486"/>
      <w:r>
        <w:rPr>
          <w:rFonts w:hint="eastAsia" w:hAnsi="宋体" w:cs="宋体"/>
          <w:b/>
          <w:bCs/>
          <w:color w:val="auto"/>
          <w:highlight w:val="none"/>
        </w:rPr>
        <w:t>六、合同文件构成</w:t>
      </w:r>
      <w:bookmarkEnd w:id="133"/>
      <w:bookmarkEnd w:id="134"/>
    </w:p>
    <w:p w14:paraId="18B4F905">
      <w:pPr>
        <w:spacing w:line="440" w:lineRule="exact"/>
        <w:ind w:firstLine="420" w:firstLineChars="200"/>
        <w:rPr>
          <w:color w:val="auto"/>
          <w:highlight w:val="none"/>
        </w:rPr>
      </w:pPr>
      <w:r>
        <w:rPr>
          <w:rFonts w:hint="eastAsia" w:hAnsi="宋体" w:cs="宋体"/>
          <w:color w:val="auto"/>
          <w:highlight w:val="none"/>
        </w:rPr>
        <w:t>本协议书与下列文件一起构成合同文件：</w:t>
      </w:r>
    </w:p>
    <w:p w14:paraId="1E3ED832">
      <w:pPr>
        <w:autoSpaceDE w:val="0"/>
        <w:autoSpaceDN w:val="0"/>
        <w:adjustRightInd w:val="0"/>
        <w:spacing w:line="440" w:lineRule="exact"/>
        <w:ind w:firstLine="420" w:firstLineChars="200"/>
        <w:jc w:val="left"/>
        <w:rPr>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）成交通知书（如有）；</w:t>
      </w:r>
    </w:p>
    <w:p w14:paraId="12B1D09B">
      <w:pPr>
        <w:autoSpaceDE w:val="0"/>
        <w:autoSpaceDN w:val="0"/>
        <w:adjustRightInd w:val="0"/>
        <w:spacing w:line="440" w:lineRule="exact"/>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）响应函；</w:t>
      </w:r>
    </w:p>
    <w:p w14:paraId="455505E9">
      <w:pPr>
        <w:autoSpaceDE w:val="0"/>
        <w:autoSpaceDN w:val="0"/>
        <w:adjustRightInd w:val="0"/>
        <w:spacing w:line="440" w:lineRule="exact"/>
        <w:ind w:firstLine="420" w:firstLineChars="200"/>
        <w:jc w:val="left"/>
        <w:rPr>
          <w:color w:val="auto"/>
          <w:highlight w:val="none"/>
        </w:rPr>
      </w:pPr>
      <w:r>
        <w:rPr>
          <w:rFonts w:hint="eastAsia" w:hAnsi="宋体" w:cs="宋体"/>
          <w:color w:val="auto"/>
          <w:highlight w:val="none"/>
        </w:rPr>
        <w:t>（</w:t>
      </w:r>
      <w:r>
        <w:rPr>
          <w:color w:val="auto"/>
          <w:highlight w:val="none"/>
        </w:rPr>
        <w:t>3</w:t>
      </w:r>
      <w:r>
        <w:rPr>
          <w:rFonts w:hint="eastAsia" w:hAnsi="宋体" w:cs="宋体"/>
          <w:color w:val="auto"/>
          <w:highlight w:val="none"/>
        </w:rPr>
        <w:t>）专用合同条款及其附件；</w:t>
      </w:r>
    </w:p>
    <w:p w14:paraId="48EB1CEB">
      <w:pPr>
        <w:autoSpaceDE w:val="0"/>
        <w:autoSpaceDN w:val="0"/>
        <w:adjustRightInd w:val="0"/>
        <w:spacing w:line="440" w:lineRule="exact"/>
        <w:ind w:firstLine="420" w:firstLineChars="200"/>
        <w:jc w:val="left"/>
        <w:rPr>
          <w:color w:val="auto"/>
          <w:highlight w:val="none"/>
        </w:rPr>
      </w:pPr>
      <w:r>
        <w:rPr>
          <w:rFonts w:hint="eastAsia" w:hAnsi="宋体" w:cs="宋体"/>
          <w:color w:val="auto"/>
          <w:highlight w:val="none"/>
        </w:rPr>
        <w:t>（</w:t>
      </w:r>
      <w:r>
        <w:rPr>
          <w:color w:val="auto"/>
          <w:highlight w:val="none"/>
        </w:rPr>
        <w:t>4</w:t>
      </w:r>
      <w:r>
        <w:rPr>
          <w:rFonts w:hint="eastAsia" w:hAnsi="宋体" w:cs="宋体"/>
          <w:color w:val="auto"/>
          <w:highlight w:val="none"/>
        </w:rPr>
        <w:t>）通用合同条款；</w:t>
      </w:r>
    </w:p>
    <w:p w14:paraId="67A1106B">
      <w:pPr>
        <w:autoSpaceDE w:val="0"/>
        <w:autoSpaceDN w:val="0"/>
        <w:adjustRightInd w:val="0"/>
        <w:spacing w:line="440" w:lineRule="exact"/>
        <w:ind w:firstLine="420" w:firstLineChars="200"/>
        <w:jc w:val="left"/>
        <w:rPr>
          <w:color w:val="auto"/>
          <w:highlight w:val="none"/>
        </w:rPr>
      </w:pPr>
      <w:r>
        <w:rPr>
          <w:rFonts w:hint="eastAsia" w:hAnsi="宋体" w:cs="宋体"/>
          <w:color w:val="auto"/>
          <w:highlight w:val="none"/>
        </w:rPr>
        <w:t>（</w:t>
      </w:r>
      <w:r>
        <w:rPr>
          <w:color w:val="auto"/>
          <w:highlight w:val="none"/>
        </w:rPr>
        <w:t>5</w:t>
      </w:r>
      <w:r>
        <w:rPr>
          <w:rFonts w:hint="eastAsia" w:hAnsi="宋体" w:cs="宋体"/>
          <w:color w:val="auto"/>
          <w:highlight w:val="none"/>
        </w:rPr>
        <w:t>）</w:t>
      </w:r>
      <w:r>
        <w:rPr>
          <w:rFonts w:hint="eastAsia" w:hAnsi="宋体"/>
          <w:color w:val="auto"/>
          <w:highlight w:val="none"/>
          <w:u w:val="single"/>
        </w:rPr>
        <w:t>技术标准和要求</w:t>
      </w:r>
      <w:r>
        <w:rPr>
          <w:rFonts w:hint="eastAsia" w:hAnsi="宋体" w:cs="宋体"/>
          <w:color w:val="auto"/>
          <w:highlight w:val="none"/>
        </w:rPr>
        <w:t>；</w:t>
      </w:r>
    </w:p>
    <w:p w14:paraId="0EF803D9">
      <w:pPr>
        <w:autoSpaceDE w:val="0"/>
        <w:autoSpaceDN w:val="0"/>
        <w:adjustRightInd w:val="0"/>
        <w:spacing w:line="440" w:lineRule="exact"/>
        <w:ind w:firstLine="420" w:firstLineChars="200"/>
        <w:jc w:val="left"/>
        <w:rPr>
          <w:color w:val="auto"/>
          <w:highlight w:val="none"/>
        </w:rPr>
      </w:pPr>
      <w:r>
        <w:rPr>
          <w:rFonts w:hint="eastAsia" w:hAnsi="宋体" w:cs="宋体"/>
          <w:color w:val="auto"/>
          <w:highlight w:val="none"/>
        </w:rPr>
        <w:t>（</w:t>
      </w:r>
      <w:r>
        <w:rPr>
          <w:color w:val="auto"/>
          <w:highlight w:val="none"/>
        </w:rPr>
        <w:t>6</w:t>
      </w:r>
      <w:r>
        <w:rPr>
          <w:rFonts w:hint="eastAsia" w:hAnsi="宋体" w:cs="宋体"/>
          <w:color w:val="auto"/>
          <w:highlight w:val="none"/>
        </w:rPr>
        <w:t>）</w:t>
      </w:r>
      <w:r>
        <w:rPr>
          <w:rFonts w:hint="eastAsia" w:hAnsi="宋体"/>
          <w:color w:val="auto"/>
          <w:highlight w:val="none"/>
          <w:u w:val="single"/>
        </w:rPr>
        <w:t>已标价工程量清单或预算书</w:t>
      </w:r>
      <w:r>
        <w:rPr>
          <w:rFonts w:hint="eastAsia" w:hAnsi="宋体" w:cs="宋体"/>
          <w:color w:val="auto"/>
          <w:highlight w:val="none"/>
        </w:rPr>
        <w:t>；</w:t>
      </w:r>
    </w:p>
    <w:p w14:paraId="660D0C27">
      <w:pPr>
        <w:autoSpaceDE w:val="0"/>
        <w:autoSpaceDN w:val="0"/>
        <w:adjustRightInd w:val="0"/>
        <w:spacing w:line="440" w:lineRule="exact"/>
        <w:ind w:firstLine="420" w:firstLineChars="200"/>
        <w:jc w:val="left"/>
        <w:rPr>
          <w:color w:val="auto"/>
          <w:highlight w:val="none"/>
        </w:rPr>
      </w:pPr>
      <w:r>
        <w:rPr>
          <w:rFonts w:hint="eastAsia" w:hAnsi="宋体" w:cs="宋体"/>
          <w:color w:val="auto"/>
          <w:highlight w:val="none"/>
        </w:rPr>
        <w:t>（</w:t>
      </w:r>
      <w:r>
        <w:rPr>
          <w:color w:val="auto"/>
          <w:highlight w:val="none"/>
        </w:rPr>
        <w:t>7</w:t>
      </w:r>
      <w:r>
        <w:rPr>
          <w:rFonts w:hint="eastAsia" w:hAnsi="宋体" w:cs="宋体"/>
          <w:color w:val="auto"/>
          <w:highlight w:val="none"/>
        </w:rPr>
        <w:t>）</w:t>
      </w:r>
      <w:r>
        <w:rPr>
          <w:rFonts w:hint="eastAsia" w:hAnsi="宋体"/>
          <w:color w:val="auto"/>
          <w:highlight w:val="none"/>
          <w:u w:val="single"/>
        </w:rPr>
        <w:t>图纸</w:t>
      </w:r>
      <w:r>
        <w:rPr>
          <w:rFonts w:hint="eastAsia" w:hAnsi="宋体" w:cs="宋体"/>
          <w:color w:val="auto"/>
          <w:highlight w:val="none"/>
        </w:rPr>
        <w:t>；</w:t>
      </w:r>
    </w:p>
    <w:p w14:paraId="1F97AC32">
      <w:pPr>
        <w:autoSpaceDE w:val="0"/>
        <w:autoSpaceDN w:val="0"/>
        <w:adjustRightInd w:val="0"/>
        <w:spacing w:line="440" w:lineRule="exact"/>
        <w:ind w:firstLine="420" w:firstLineChars="200"/>
        <w:jc w:val="left"/>
        <w:rPr>
          <w:color w:val="auto"/>
          <w:highlight w:val="none"/>
        </w:rPr>
      </w:pPr>
      <w:r>
        <w:rPr>
          <w:rFonts w:hint="eastAsia" w:hAnsi="宋体" w:cs="宋体"/>
          <w:color w:val="auto"/>
          <w:highlight w:val="none"/>
        </w:rPr>
        <w:t>（</w:t>
      </w:r>
      <w:r>
        <w:rPr>
          <w:color w:val="auto"/>
          <w:highlight w:val="none"/>
        </w:rPr>
        <w:t>8</w:t>
      </w:r>
      <w:r>
        <w:rPr>
          <w:rFonts w:hint="eastAsia" w:hAnsi="宋体" w:cs="宋体"/>
          <w:color w:val="auto"/>
          <w:highlight w:val="none"/>
        </w:rPr>
        <w:t>）其他合同文件：</w:t>
      </w:r>
    </w:p>
    <w:p w14:paraId="18280A35">
      <w:pPr>
        <w:autoSpaceDE w:val="0"/>
        <w:autoSpaceDN w:val="0"/>
        <w:adjustRightInd w:val="0"/>
        <w:spacing w:line="440" w:lineRule="exact"/>
        <w:ind w:firstLine="420" w:firstLineChars="200"/>
        <w:jc w:val="left"/>
        <w:rPr>
          <w:rFonts w:hAnsi="宋体"/>
          <w:color w:val="auto"/>
          <w:highlight w:val="none"/>
        </w:rPr>
      </w:pPr>
      <w:r>
        <w:rPr>
          <w:rFonts w:hint="eastAsia" w:hAnsi="宋体" w:cs="宋体"/>
          <w:color w:val="auto"/>
          <w:highlight w:val="none"/>
        </w:rPr>
        <w:t>上述各项合同文件包括合同当事人就该项合同文件所作出的补充和修改，属于同一类内容的文件，应以最新签署的为准（违反招标文件</w:t>
      </w:r>
      <w:r>
        <w:rPr>
          <w:rFonts w:hAnsi="宋体" w:cs="宋体"/>
          <w:color w:val="auto"/>
          <w:highlight w:val="none"/>
        </w:rPr>
        <w:t>实质性内容的约定除外</w:t>
      </w:r>
      <w:r>
        <w:rPr>
          <w:rFonts w:hint="eastAsia" w:hAnsi="宋体" w:cs="宋体"/>
          <w:color w:val="auto"/>
          <w:highlight w:val="none"/>
        </w:rPr>
        <w:t>）。专用合同条款及其附件须经合同当事人签字或盖章。</w:t>
      </w:r>
    </w:p>
    <w:p w14:paraId="11F85E50">
      <w:pPr>
        <w:autoSpaceDE w:val="0"/>
        <w:autoSpaceDN w:val="0"/>
        <w:adjustRightInd w:val="0"/>
        <w:spacing w:line="440" w:lineRule="exact"/>
        <w:ind w:firstLine="422" w:firstLineChars="200"/>
        <w:jc w:val="left"/>
        <w:outlineLvl w:val="0"/>
        <w:rPr>
          <w:b/>
          <w:bCs/>
          <w:color w:val="auto"/>
          <w:highlight w:val="none"/>
        </w:rPr>
      </w:pPr>
      <w:bookmarkStart w:id="135" w:name="_Toc351203487"/>
      <w:bookmarkStart w:id="136" w:name="_Toc120869345"/>
      <w:r>
        <w:rPr>
          <w:rFonts w:hint="eastAsia" w:hAnsi="宋体" w:cs="宋体"/>
          <w:b/>
          <w:bCs/>
          <w:color w:val="auto"/>
          <w:highlight w:val="none"/>
        </w:rPr>
        <w:t>七、承诺</w:t>
      </w:r>
      <w:bookmarkEnd w:id="135"/>
      <w:bookmarkEnd w:id="136"/>
    </w:p>
    <w:p w14:paraId="083AC607">
      <w:pPr>
        <w:spacing w:line="440" w:lineRule="exact"/>
        <w:ind w:firstLine="420" w:firstLineChars="200"/>
        <w:rPr>
          <w:color w:val="auto"/>
          <w:highlight w:val="none"/>
        </w:rPr>
      </w:pPr>
      <w:r>
        <w:rPr>
          <w:color w:val="auto"/>
          <w:highlight w:val="none"/>
        </w:rPr>
        <w:t xml:space="preserve">1. </w:t>
      </w:r>
      <w:r>
        <w:rPr>
          <w:rFonts w:hint="eastAsia" w:hAnsi="宋体" w:cs="宋体"/>
          <w:color w:val="auto"/>
          <w:highlight w:val="none"/>
        </w:rPr>
        <w:t>发包人承诺按照法律规定履行项目审批手续、筹集工程建设资金并按照合同约定的期限和方式支付合同价款。</w:t>
      </w:r>
    </w:p>
    <w:p w14:paraId="04D4FC1B">
      <w:pPr>
        <w:spacing w:line="440" w:lineRule="exact"/>
        <w:ind w:firstLine="420" w:firstLineChars="200"/>
        <w:rPr>
          <w:color w:val="auto"/>
          <w:highlight w:val="none"/>
        </w:rPr>
      </w:pPr>
      <w:r>
        <w:rPr>
          <w:color w:val="auto"/>
          <w:highlight w:val="none"/>
        </w:rPr>
        <w:t xml:space="preserve">2. </w:t>
      </w:r>
      <w:r>
        <w:rPr>
          <w:rFonts w:hint="eastAsia" w:hAnsi="宋体" w:cs="宋体"/>
          <w:color w:val="auto"/>
          <w:highlight w:val="none"/>
        </w:rPr>
        <w:t>承包人承诺按照法律规定及合同约定组织完成工程施工，确保工程质量和安全，不进行转包及违法分包，并在缺陷责任期及保修期内承担相应的工程维修责任。</w:t>
      </w:r>
    </w:p>
    <w:p w14:paraId="687BB690">
      <w:pPr>
        <w:spacing w:line="440" w:lineRule="exact"/>
        <w:ind w:firstLine="420" w:firstLineChars="200"/>
        <w:rPr>
          <w:rFonts w:hAnsi="宋体"/>
          <w:color w:val="auto"/>
          <w:highlight w:val="none"/>
        </w:rPr>
      </w:pPr>
      <w:r>
        <w:rPr>
          <w:color w:val="auto"/>
          <w:highlight w:val="none"/>
        </w:rPr>
        <w:t xml:space="preserve">3. </w:t>
      </w:r>
      <w:r>
        <w:rPr>
          <w:rFonts w:hint="eastAsia" w:hAnsi="宋体" w:cs="宋体"/>
          <w:color w:val="auto"/>
          <w:highlight w:val="none"/>
        </w:rPr>
        <w:t>发包人和承包人通过招投标形式签订合同的，双方理解并承诺不再就同一工程另行签订与合同实质性内容相背离的协议。</w:t>
      </w:r>
      <w:bookmarkStart w:id="137" w:name="_Toc351203488"/>
    </w:p>
    <w:p w14:paraId="5BD65053">
      <w:pPr>
        <w:spacing w:line="440" w:lineRule="exact"/>
        <w:ind w:firstLine="422" w:firstLineChars="200"/>
        <w:outlineLvl w:val="0"/>
        <w:rPr>
          <w:b/>
          <w:bCs/>
          <w:color w:val="auto"/>
          <w:highlight w:val="none"/>
        </w:rPr>
      </w:pPr>
      <w:bookmarkStart w:id="138" w:name="_Toc120869346"/>
      <w:r>
        <w:rPr>
          <w:rFonts w:hint="eastAsia" w:hAnsi="宋体" w:cs="宋体"/>
          <w:b/>
          <w:bCs/>
          <w:color w:val="auto"/>
          <w:highlight w:val="none"/>
        </w:rPr>
        <w:t>八、词语含义</w:t>
      </w:r>
      <w:bookmarkEnd w:id="137"/>
      <w:bookmarkEnd w:id="138"/>
    </w:p>
    <w:p w14:paraId="6CDD01F1">
      <w:pPr>
        <w:spacing w:line="440" w:lineRule="exact"/>
        <w:ind w:firstLine="420" w:firstLineChars="200"/>
        <w:rPr>
          <w:rFonts w:hAnsi="宋体"/>
          <w:color w:val="auto"/>
          <w:highlight w:val="none"/>
        </w:rPr>
      </w:pPr>
      <w:r>
        <w:rPr>
          <w:rFonts w:hint="eastAsia" w:hAnsi="宋体" w:cs="宋体"/>
          <w:color w:val="auto"/>
          <w:highlight w:val="none"/>
        </w:rPr>
        <w:t>本协议书中词语含义与第二部分通用合同条款中赋予的含义相同。</w:t>
      </w:r>
    </w:p>
    <w:p w14:paraId="0F71CD8D">
      <w:pPr>
        <w:spacing w:line="440" w:lineRule="exact"/>
        <w:ind w:firstLine="422" w:firstLineChars="200"/>
        <w:outlineLvl w:val="0"/>
        <w:rPr>
          <w:b/>
          <w:bCs/>
          <w:color w:val="auto"/>
          <w:highlight w:val="none"/>
        </w:rPr>
      </w:pPr>
      <w:bookmarkStart w:id="139" w:name="_Toc351203489"/>
      <w:bookmarkStart w:id="140" w:name="_Toc120869347"/>
      <w:r>
        <w:rPr>
          <w:rFonts w:hint="eastAsia" w:hAnsi="宋体" w:cs="宋体"/>
          <w:b/>
          <w:bCs/>
          <w:color w:val="auto"/>
          <w:highlight w:val="none"/>
        </w:rPr>
        <w:t>九、签订时间</w:t>
      </w:r>
      <w:bookmarkEnd w:id="139"/>
      <w:bookmarkEnd w:id="140"/>
    </w:p>
    <w:p w14:paraId="21274B96">
      <w:pPr>
        <w:spacing w:line="440" w:lineRule="exact"/>
        <w:ind w:firstLine="420" w:firstLineChars="200"/>
        <w:outlineLvl w:val="0"/>
        <w:rPr>
          <w:rFonts w:hAnsi="宋体" w:cs="宋体"/>
          <w:color w:val="auto"/>
          <w:highlight w:val="none"/>
        </w:rPr>
      </w:pPr>
      <w:bookmarkStart w:id="141" w:name="_Toc351203490"/>
      <w:bookmarkStart w:id="142" w:name="_Toc120869348"/>
      <w:r>
        <w:rPr>
          <w:rFonts w:hint="eastAsia" w:hAnsi="宋体" w:cs="宋体"/>
          <w:color w:val="auto"/>
          <w:highlight w:val="none"/>
        </w:rPr>
        <w:t>本合同于年月日签订。</w:t>
      </w:r>
    </w:p>
    <w:p w14:paraId="5A96D2AF">
      <w:pPr>
        <w:spacing w:line="440" w:lineRule="exact"/>
        <w:ind w:firstLine="422" w:firstLineChars="200"/>
        <w:outlineLvl w:val="0"/>
        <w:rPr>
          <w:b/>
          <w:bCs/>
          <w:color w:val="auto"/>
          <w:highlight w:val="none"/>
        </w:rPr>
      </w:pPr>
      <w:r>
        <w:rPr>
          <w:rFonts w:hint="eastAsia" w:hAnsi="宋体" w:cs="宋体"/>
          <w:b/>
          <w:bCs/>
          <w:color w:val="auto"/>
          <w:highlight w:val="none"/>
        </w:rPr>
        <w:t>十、签订地点</w:t>
      </w:r>
      <w:bookmarkEnd w:id="141"/>
      <w:bookmarkEnd w:id="142"/>
    </w:p>
    <w:p w14:paraId="5DC2F73C">
      <w:pPr>
        <w:spacing w:line="440" w:lineRule="exact"/>
        <w:ind w:firstLine="420" w:firstLineChars="200"/>
        <w:rPr>
          <w:rFonts w:hAnsi="宋体"/>
          <w:color w:val="auto"/>
          <w:highlight w:val="none"/>
        </w:rPr>
      </w:pPr>
      <w:r>
        <w:rPr>
          <w:rFonts w:hint="eastAsia" w:hAnsi="宋体" w:cs="宋体"/>
          <w:color w:val="auto"/>
          <w:highlight w:val="none"/>
        </w:rPr>
        <w:t>本合同在签订。</w:t>
      </w:r>
    </w:p>
    <w:p w14:paraId="6D0D8579">
      <w:pPr>
        <w:spacing w:line="440" w:lineRule="exact"/>
        <w:ind w:firstLine="422" w:firstLineChars="200"/>
        <w:outlineLvl w:val="0"/>
        <w:rPr>
          <w:b/>
          <w:bCs/>
          <w:color w:val="auto"/>
          <w:highlight w:val="none"/>
        </w:rPr>
      </w:pPr>
      <w:bookmarkStart w:id="143" w:name="_Toc351203491"/>
      <w:bookmarkStart w:id="144" w:name="_Toc120869349"/>
      <w:r>
        <w:rPr>
          <w:rFonts w:hint="eastAsia" w:hAnsi="宋体" w:cs="宋体"/>
          <w:b/>
          <w:bCs/>
          <w:color w:val="auto"/>
          <w:highlight w:val="none"/>
        </w:rPr>
        <w:t>十一、补充协议</w:t>
      </w:r>
      <w:bookmarkEnd w:id="143"/>
      <w:bookmarkEnd w:id="144"/>
    </w:p>
    <w:p w14:paraId="3F94430D">
      <w:pPr>
        <w:spacing w:line="440" w:lineRule="exact"/>
        <w:ind w:firstLine="420" w:firstLineChars="200"/>
        <w:rPr>
          <w:rFonts w:hAnsi="宋体"/>
          <w:color w:val="auto"/>
          <w:highlight w:val="none"/>
        </w:rPr>
      </w:pPr>
      <w:r>
        <w:rPr>
          <w:rFonts w:hint="eastAsia" w:hAnsi="宋体" w:cs="宋体"/>
          <w:color w:val="auto"/>
          <w:highlight w:val="none"/>
        </w:rPr>
        <w:t>合同未尽事宜，合同当事人另行签订补充协议，补充协议是合同的组成部分。</w:t>
      </w:r>
    </w:p>
    <w:p w14:paraId="3AA94765">
      <w:pPr>
        <w:spacing w:line="440" w:lineRule="exact"/>
        <w:ind w:firstLine="422" w:firstLineChars="200"/>
        <w:outlineLvl w:val="0"/>
        <w:rPr>
          <w:b/>
          <w:bCs/>
          <w:color w:val="auto"/>
          <w:highlight w:val="none"/>
        </w:rPr>
      </w:pPr>
      <w:bookmarkStart w:id="145" w:name="_Toc120869350"/>
      <w:bookmarkStart w:id="146" w:name="_Toc351203492"/>
      <w:r>
        <w:rPr>
          <w:rFonts w:hint="eastAsia" w:hAnsi="宋体" w:cs="宋体"/>
          <w:b/>
          <w:bCs/>
          <w:color w:val="auto"/>
          <w:highlight w:val="none"/>
        </w:rPr>
        <w:t>十二、合同生效</w:t>
      </w:r>
      <w:bookmarkEnd w:id="145"/>
      <w:bookmarkEnd w:id="146"/>
    </w:p>
    <w:p w14:paraId="5F3682E0">
      <w:pPr>
        <w:spacing w:line="440" w:lineRule="exact"/>
        <w:ind w:firstLine="420" w:firstLineChars="200"/>
        <w:rPr>
          <w:rFonts w:hAnsi="宋体"/>
          <w:color w:val="auto"/>
          <w:highlight w:val="none"/>
        </w:rPr>
      </w:pPr>
      <w:r>
        <w:rPr>
          <w:rFonts w:hint="eastAsia" w:hAnsi="宋体" w:cs="宋体"/>
          <w:color w:val="auto"/>
          <w:highlight w:val="none"/>
        </w:rPr>
        <w:t>本合同自</w:t>
      </w:r>
      <w:r>
        <w:rPr>
          <w:rFonts w:hint="eastAsia"/>
          <w:bCs/>
          <w:color w:val="auto"/>
          <w:highlight w:val="none"/>
          <w:u w:val="single"/>
        </w:rPr>
        <w:t>双方法定代表人或其委托代理人签字或盖章并加盖单位公章之日起</w:t>
      </w:r>
      <w:r>
        <w:rPr>
          <w:rFonts w:hint="eastAsia" w:hAnsi="宋体" w:cs="宋体"/>
          <w:color w:val="auto"/>
          <w:highlight w:val="none"/>
        </w:rPr>
        <w:t>生效。</w:t>
      </w:r>
    </w:p>
    <w:p w14:paraId="54667FCD">
      <w:pPr>
        <w:spacing w:line="440" w:lineRule="exact"/>
        <w:ind w:firstLine="422" w:firstLineChars="200"/>
        <w:outlineLvl w:val="0"/>
        <w:rPr>
          <w:b/>
          <w:bCs/>
          <w:color w:val="auto"/>
          <w:highlight w:val="none"/>
        </w:rPr>
      </w:pPr>
      <w:bookmarkStart w:id="147" w:name="_Toc351203493"/>
      <w:bookmarkStart w:id="148" w:name="_Toc120869351"/>
      <w:r>
        <w:rPr>
          <w:rFonts w:hint="eastAsia" w:hAnsi="宋体" w:cs="宋体"/>
          <w:b/>
          <w:bCs/>
          <w:color w:val="auto"/>
          <w:highlight w:val="none"/>
        </w:rPr>
        <w:t>十三、合同份数</w:t>
      </w:r>
      <w:bookmarkEnd w:id="147"/>
      <w:bookmarkEnd w:id="148"/>
    </w:p>
    <w:p w14:paraId="14421D85">
      <w:pPr>
        <w:pStyle w:val="23"/>
        <w:spacing w:line="440" w:lineRule="exact"/>
        <w:ind w:firstLine="420" w:firstLineChars="200"/>
        <w:rPr>
          <w:color w:val="auto"/>
          <w:szCs w:val="21"/>
          <w:highlight w:val="none"/>
        </w:rPr>
      </w:pPr>
      <w:r>
        <w:rPr>
          <w:rFonts w:hint="eastAsia" w:ascii="Times New Roman" w:hAnsi="Times New Roman" w:cs="宋体"/>
          <w:color w:val="auto"/>
          <w:sz w:val="21"/>
          <w:szCs w:val="21"/>
          <w:highlight w:val="none"/>
        </w:rPr>
        <w:t>本合同一式</w:t>
      </w:r>
      <w:r>
        <w:rPr>
          <w:rFonts w:ascii="Times New Roman" w:hAnsi="Times New Roman"/>
          <w:color w:val="auto"/>
          <w:sz w:val="21"/>
          <w:szCs w:val="21"/>
          <w:highlight w:val="none"/>
          <w:u w:val="single"/>
        </w:rPr>
        <w:t>_</w:t>
      </w:r>
      <w:r>
        <w:rPr>
          <w:rFonts w:hint="eastAsia" w:ascii="Times New Roman" w:hAnsi="Times New Roman" w:cs="宋体"/>
          <w:color w:val="auto"/>
          <w:sz w:val="21"/>
          <w:szCs w:val="21"/>
          <w:highlight w:val="none"/>
          <w:u w:val="single"/>
          <w:lang w:val="en-US" w:eastAsia="zh-CN"/>
        </w:rPr>
        <w:t xml:space="preserve">陆 </w:t>
      </w:r>
      <w:r>
        <w:rPr>
          <w:rFonts w:hint="eastAsia" w:ascii="Times New Roman" w:hAnsi="Times New Roman" w:cs="宋体"/>
          <w:color w:val="auto"/>
          <w:sz w:val="21"/>
          <w:szCs w:val="21"/>
          <w:highlight w:val="none"/>
        </w:rPr>
        <w:t>份，均具有同等法律效力，发包人执</w:t>
      </w:r>
      <w:r>
        <w:rPr>
          <w:rFonts w:hint="eastAsia" w:ascii="Times New Roman" w:hAnsi="Times New Roman" w:cs="宋体"/>
          <w:color w:val="auto"/>
          <w:sz w:val="21"/>
          <w:szCs w:val="21"/>
          <w:highlight w:val="none"/>
          <w:u w:val="single"/>
          <w:lang w:val="en-US" w:eastAsia="zh-CN"/>
        </w:rPr>
        <w:t>叁</w:t>
      </w:r>
      <w:r>
        <w:rPr>
          <w:rFonts w:hint="eastAsia" w:ascii="Times New Roman" w:hAnsi="Times New Roman" w:cs="宋体"/>
          <w:color w:val="auto"/>
          <w:sz w:val="21"/>
          <w:szCs w:val="21"/>
          <w:highlight w:val="none"/>
        </w:rPr>
        <w:t>份，承包人执</w:t>
      </w:r>
      <w:r>
        <w:rPr>
          <w:rFonts w:hint="eastAsia" w:ascii="Times New Roman" w:hAnsi="Times New Roman" w:cs="宋体"/>
          <w:color w:val="auto"/>
          <w:sz w:val="21"/>
          <w:szCs w:val="21"/>
          <w:highlight w:val="none"/>
          <w:u w:val="single"/>
        </w:rPr>
        <w:t>叁</w:t>
      </w:r>
      <w:r>
        <w:rPr>
          <w:rFonts w:hint="eastAsia" w:ascii="Times New Roman" w:hAnsi="Times New Roman" w:cs="宋体"/>
          <w:color w:val="auto"/>
          <w:sz w:val="21"/>
          <w:szCs w:val="21"/>
          <w:highlight w:val="none"/>
        </w:rPr>
        <w:t>份。</w:t>
      </w:r>
    </w:p>
    <w:p w14:paraId="27AE7A80">
      <w:pPr>
        <w:rPr>
          <w:color w:val="auto"/>
          <w:highlight w:val="none"/>
        </w:rPr>
      </w:pPr>
    </w:p>
    <w:p w14:paraId="1F48BA0D">
      <w:pPr>
        <w:spacing w:line="360" w:lineRule="auto"/>
        <w:rPr>
          <w:color w:val="auto"/>
          <w:highlight w:val="none"/>
          <w:u w:val="single"/>
        </w:rPr>
      </w:pPr>
      <w:bookmarkStart w:id="149" w:name="_Toc383182198"/>
      <w:bookmarkStart w:id="150" w:name="_Toc376121759"/>
      <w:bookmarkStart w:id="151" w:name="_Toc456084081"/>
      <w:bookmarkStart w:id="152" w:name="_Toc28303"/>
      <w:bookmarkStart w:id="153" w:name="_Toc373227553"/>
      <w:bookmarkStart w:id="154" w:name="_Toc437516223"/>
      <w:bookmarkStart w:id="155" w:name="_Toc351203494"/>
      <w:bookmarkStart w:id="156" w:name="_Toc81837450"/>
    </w:p>
    <w:p w14:paraId="2F193128">
      <w:pPr>
        <w:spacing w:line="360" w:lineRule="auto"/>
        <w:rPr>
          <w:color w:val="auto"/>
          <w:highlight w:val="none"/>
          <w:u w:val="single"/>
        </w:rPr>
      </w:pPr>
      <w:r>
        <w:rPr>
          <w:rFonts w:hint="eastAsia" w:hAnsi="宋体"/>
          <w:color w:val="auto"/>
          <w:highlight w:val="none"/>
        </w:rPr>
        <w:t>发包人：</w:t>
      </w:r>
      <w:r>
        <w:rPr>
          <w:rFonts w:hint="eastAsia"/>
          <w:color w:val="auto"/>
          <w:highlight w:val="none"/>
        </w:rPr>
        <w:t>（</w:t>
      </w:r>
      <w:r>
        <w:rPr>
          <w:rFonts w:hint="eastAsia" w:hAnsi="宋体"/>
          <w:color w:val="auto"/>
          <w:highlight w:val="none"/>
        </w:rPr>
        <w:t>公章</w:t>
      </w:r>
      <w:r>
        <w:rPr>
          <w:rFonts w:hint="eastAsia"/>
          <w:color w:val="auto"/>
          <w:highlight w:val="none"/>
        </w:rPr>
        <w:t>）</w:t>
      </w:r>
      <w:r>
        <w:rPr>
          <w:rFonts w:hint="eastAsia"/>
          <w:color w:val="auto"/>
          <w:highlight w:val="none"/>
          <w:u w:val="single"/>
          <w:lang w:val="en-US" w:eastAsia="zh-CN"/>
        </w:rPr>
        <w:t xml:space="preserve">                    </w:t>
      </w:r>
      <w:r>
        <w:rPr>
          <w:rFonts w:hint="eastAsia"/>
          <w:color w:val="auto"/>
          <w:highlight w:val="none"/>
          <w:lang w:val="en-US" w:eastAsia="zh-CN"/>
        </w:rPr>
        <w:t xml:space="preserve">        </w:t>
      </w:r>
      <w:r>
        <w:rPr>
          <w:rFonts w:hint="eastAsia" w:hAnsi="宋体"/>
          <w:color w:val="auto"/>
          <w:highlight w:val="none"/>
        </w:rPr>
        <w:t>承包人：</w:t>
      </w:r>
      <w:r>
        <w:rPr>
          <w:rFonts w:hint="eastAsia"/>
          <w:color w:val="auto"/>
          <w:highlight w:val="none"/>
        </w:rPr>
        <w:t>（</w:t>
      </w:r>
      <w:r>
        <w:rPr>
          <w:rFonts w:hint="eastAsia" w:hAnsi="宋体"/>
          <w:color w:val="auto"/>
          <w:highlight w:val="none"/>
        </w:rPr>
        <w:t>公章</w:t>
      </w:r>
      <w:r>
        <w:rPr>
          <w:rFonts w:hint="eastAsia"/>
          <w:color w:val="auto"/>
          <w:highlight w:val="none"/>
        </w:rPr>
        <w:t>）</w:t>
      </w:r>
      <w:r>
        <w:rPr>
          <w:rFonts w:hint="eastAsia"/>
          <w:color w:val="auto"/>
          <w:highlight w:val="none"/>
          <w:u w:val="single"/>
          <w:lang w:val="en-US" w:eastAsia="zh-CN"/>
        </w:rPr>
        <w:t xml:space="preserve">                 </w:t>
      </w:r>
    </w:p>
    <w:p w14:paraId="5CB4DA91">
      <w:pPr>
        <w:spacing w:line="360" w:lineRule="auto"/>
        <w:rPr>
          <w:color w:val="auto"/>
          <w:highlight w:val="none"/>
        </w:rPr>
      </w:pPr>
      <w:r>
        <w:rPr>
          <w:rFonts w:hint="eastAsia" w:hAnsi="宋体"/>
          <w:color w:val="auto"/>
          <w:highlight w:val="none"/>
        </w:rPr>
        <w:t>法定代表人或其委托代理人：</w:t>
      </w:r>
      <w:r>
        <w:rPr>
          <w:rFonts w:hint="eastAsia"/>
          <w:color w:val="auto"/>
          <w:highlight w:val="none"/>
          <w:u w:val="single"/>
          <w:lang w:val="en-US" w:eastAsia="zh-CN"/>
        </w:rPr>
        <w:t xml:space="preserve">                </w:t>
      </w:r>
      <w:r>
        <w:rPr>
          <w:rFonts w:hint="eastAsia" w:hAnsi="宋体"/>
          <w:color w:val="auto"/>
          <w:highlight w:val="none"/>
          <w:lang w:val="en-US" w:eastAsia="zh-CN"/>
        </w:rPr>
        <w:t xml:space="preserve">  </w:t>
      </w:r>
      <w:r>
        <w:rPr>
          <w:rFonts w:hint="eastAsia" w:hAnsi="宋体"/>
          <w:color w:val="auto"/>
          <w:highlight w:val="none"/>
        </w:rPr>
        <w:t>法定代表人或其委托代理人：</w:t>
      </w:r>
      <w:r>
        <w:rPr>
          <w:rFonts w:hint="eastAsia"/>
          <w:color w:val="auto"/>
          <w:highlight w:val="none"/>
          <w:u w:val="single"/>
          <w:lang w:val="en-US" w:eastAsia="zh-CN"/>
        </w:rPr>
        <w:t xml:space="preserve">              </w:t>
      </w:r>
    </w:p>
    <w:p w14:paraId="722CB6BC">
      <w:pPr>
        <w:spacing w:line="360" w:lineRule="auto"/>
        <w:rPr>
          <w:color w:val="auto"/>
          <w:highlight w:val="none"/>
          <w:u w:val="single"/>
        </w:rPr>
      </w:pPr>
      <w:r>
        <w:rPr>
          <w:rFonts w:hint="eastAsia" w:hAnsi="宋体"/>
          <w:color w:val="auto"/>
          <w:highlight w:val="none"/>
        </w:rPr>
        <w:t>（签字）</w:t>
      </w:r>
      <w:r>
        <w:rPr>
          <w:rFonts w:hint="eastAsia" w:hAnsi="宋体"/>
          <w:color w:val="auto"/>
          <w:highlight w:val="none"/>
          <w:lang w:val="en-US" w:eastAsia="zh-CN"/>
        </w:rPr>
        <w:t xml:space="preserve">                                   </w:t>
      </w:r>
      <w:r>
        <w:rPr>
          <w:rFonts w:hint="eastAsia" w:hAnsi="宋体"/>
          <w:color w:val="auto"/>
          <w:highlight w:val="none"/>
        </w:rPr>
        <w:t>（签字）</w:t>
      </w:r>
    </w:p>
    <w:p w14:paraId="238F4929">
      <w:pPr>
        <w:tabs>
          <w:tab w:val="left" w:pos="4410"/>
        </w:tabs>
        <w:spacing w:line="360" w:lineRule="auto"/>
        <w:rPr>
          <w:color w:val="auto"/>
          <w:highlight w:val="none"/>
        </w:rPr>
      </w:pPr>
      <w:r>
        <w:rPr>
          <w:rFonts w:hint="eastAsia" w:hAnsi="宋体" w:cs="宋体"/>
          <w:color w:val="auto"/>
          <w:szCs w:val="22"/>
          <w:highlight w:val="none"/>
        </w:rPr>
        <w:t>统一</w:t>
      </w:r>
      <w:r>
        <w:rPr>
          <w:rFonts w:hint="eastAsia" w:hAnsi="宋体"/>
          <w:color w:val="auto"/>
          <w:highlight w:val="none"/>
        </w:rPr>
        <w:t>社会信用代码：</w:t>
      </w:r>
      <w:r>
        <w:rPr>
          <w:rFonts w:hint="eastAsia"/>
          <w:color w:val="auto"/>
          <w:highlight w:val="none"/>
          <w:u w:val="single"/>
          <w:lang w:val="en-US" w:eastAsia="zh-CN"/>
        </w:rPr>
        <w:t xml:space="preserve">                    </w:t>
      </w:r>
      <w:r>
        <w:rPr>
          <w:rFonts w:hint="eastAsia" w:hAnsi="宋体"/>
          <w:color w:val="auto"/>
          <w:highlight w:val="none"/>
          <w:lang w:val="en-US" w:eastAsia="zh-CN"/>
        </w:rPr>
        <w:t xml:space="preserve">       </w:t>
      </w:r>
      <w:r>
        <w:rPr>
          <w:rFonts w:hint="eastAsia" w:hAnsi="宋体" w:cs="宋体"/>
          <w:color w:val="auto"/>
          <w:szCs w:val="22"/>
          <w:highlight w:val="none"/>
        </w:rPr>
        <w:t>统一</w:t>
      </w:r>
      <w:r>
        <w:rPr>
          <w:rFonts w:hint="eastAsia" w:hAnsi="宋体"/>
          <w:color w:val="auto"/>
          <w:highlight w:val="none"/>
        </w:rPr>
        <w:t>社会信用代码：</w:t>
      </w:r>
      <w:r>
        <w:rPr>
          <w:rFonts w:hint="eastAsia"/>
          <w:color w:val="auto"/>
          <w:highlight w:val="none"/>
          <w:u w:val="single"/>
          <w:lang w:val="en-US" w:eastAsia="zh-CN"/>
        </w:rPr>
        <w:t xml:space="preserve">                    </w:t>
      </w:r>
    </w:p>
    <w:p w14:paraId="53F63277">
      <w:pPr>
        <w:spacing w:line="360" w:lineRule="auto"/>
        <w:rPr>
          <w:color w:val="auto"/>
          <w:highlight w:val="none"/>
          <w:u w:val="single"/>
        </w:rPr>
      </w:pPr>
      <w:r>
        <w:rPr>
          <w:rFonts w:hint="eastAsia" w:hAnsi="宋体"/>
          <w:color w:val="auto"/>
          <w:highlight w:val="none"/>
        </w:rPr>
        <w:t>地址：</w:t>
      </w:r>
      <w:r>
        <w:rPr>
          <w:rFonts w:hint="eastAsia"/>
          <w:color w:val="auto"/>
          <w:highlight w:val="none"/>
          <w:u w:val="single"/>
          <w:lang w:val="en-US" w:eastAsia="zh-CN"/>
        </w:rPr>
        <w:t xml:space="preserve">                    </w:t>
      </w:r>
      <w:r>
        <w:rPr>
          <w:rFonts w:hint="eastAsia" w:hAnsi="宋体"/>
          <w:color w:val="auto"/>
          <w:highlight w:val="none"/>
          <w:lang w:val="en-US" w:eastAsia="zh-CN"/>
        </w:rPr>
        <w:t xml:space="preserve">                   </w:t>
      </w:r>
      <w:r>
        <w:rPr>
          <w:rFonts w:hint="eastAsia" w:hAnsi="宋体"/>
          <w:color w:val="auto"/>
          <w:highlight w:val="none"/>
        </w:rPr>
        <w:t>地址：</w:t>
      </w:r>
      <w:r>
        <w:rPr>
          <w:rFonts w:hint="eastAsia"/>
          <w:color w:val="auto"/>
          <w:highlight w:val="none"/>
          <w:u w:val="single"/>
          <w:lang w:val="en-US" w:eastAsia="zh-CN"/>
        </w:rPr>
        <w:t xml:space="preserve">                    </w:t>
      </w:r>
    </w:p>
    <w:p w14:paraId="5E03FF76">
      <w:pPr>
        <w:spacing w:line="360" w:lineRule="auto"/>
        <w:rPr>
          <w:color w:val="auto"/>
          <w:highlight w:val="none"/>
        </w:rPr>
      </w:pPr>
      <w:r>
        <w:rPr>
          <w:rFonts w:hint="eastAsia" w:hAnsi="宋体"/>
          <w:color w:val="auto"/>
          <w:highlight w:val="none"/>
        </w:rPr>
        <w:t>邮政编码：</w:t>
      </w:r>
      <w:r>
        <w:rPr>
          <w:rFonts w:hint="eastAsia"/>
          <w:color w:val="auto"/>
          <w:highlight w:val="none"/>
          <w:u w:val="single"/>
          <w:lang w:val="en-US" w:eastAsia="zh-CN"/>
        </w:rPr>
        <w:t xml:space="preserve">                    </w:t>
      </w:r>
      <w:r>
        <w:rPr>
          <w:rFonts w:hint="eastAsia" w:hAnsi="宋体"/>
          <w:color w:val="auto"/>
          <w:highlight w:val="none"/>
          <w:lang w:val="en-US" w:eastAsia="zh-CN"/>
        </w:rPr>
        <w:t xml:space="preserve">               </w:t>
      </w:r>
      <w:r>
        <w:rPr>
          <w:rFonts w:hint="eastAsia" w:hAnsi="宋体"/>
          <w:color w:val="auto"/>
          <w:highlight w:val="none"/>
        </w:rPr>
        <w:t>邮政编码：</w:t>
      </w:r>
      <w:r>
        <w:rPr>
          <w:rFonts w:hint="eastAsia"/>
          <w:color w:val="auto"/>
          <w:highlight w:val="none"/>
          <w:u w:val="single"/>
          <w:lang w:val="en-US" w:eastAsia="zh-CN"/>
        </w:rPr>
        <w:t xml:space="preserve">                    </w:t>
      </w:r>
    </w:p>
    <w:p w14:paraId="0D8F768B">
      <w:pPr>
        <w:spacing w:line="360" w:lineRule="auto"/>
        <w:rPr>
          <w:color w:val="auto"/>
          <w:highlight w:val="none"/>
        </w:rPr>
      </w:pPr>
      <w:r>
        <w:rPr>
          <w:rFonts w:hint="eastAsia" w:hAnsi="宋体"/>
          <w:color w:val="auto"/>
          <w:highlight w:val="none"/>
        </w:rPr>
        <w:t>法定代表人：</w:t>
      </w:r>
      <w:r>
        <w:rPr>
          <w:rFonts w:hint="eastAsia"/>
          <w:color w:val="auto"/>
          <w:highlight w:val="none"/>
          <w:u w:val="single"/>
          <w:lang w:val="en-US" w:eastAsia="zh-CN"/>
        </w:rPr>
        <w:t xml:space="preserve">                    </w:t>
      </w:r>
      <w:r>
        <w:rPr>
          <w:rFonts w:hint="eastAsia" w:hAnsi="宋体"/>
          <w:color w:val="auto"/>
          <w:highlight w:val="none"/>
          <w:lang w:val="en-US" w:eastAsia="zh-CN"/>
        </w:rPr>
        <w:t xml:space="preserve">            </w:t>
      </w:r>
      <w:r>
        <w:rPr>
          <w:rFonts w:hint="eastAsia" w:hAnsi="宋体"/>
          <w:color w:val="auto"/>
          <w:highlight w:val="none"/>
        </w:rPr>
        <w:t>法定代表人：</w:t>
      </w:r>
      <w:r>
        <w:rPr>
          <w:rFonts w:hint="eastAsia"/>
          <w:color w:val="auto"/>
          <w:highlight w:val="none"/>
          <w:u w:val="single"/>
          <w:lang w:val="en-US" w:eastAsia="zh-CN"/>
        </w:rPr>
        <w:t xml:space="preserve">                    </w:t>
      </w:r>
    </w:p>
    <w:p w14:paraId="0979D34F">
      <w:pPr>
        <w:spacing w:line="360" w:lineRule="auto"/>
        <w:rPr>
          <w:color w:val="auto"/>
          <w:highlight w:val="none"/>
        </w:rPr>
      </w:pPr>
      <w:r>
        <w:rPr>
          <w:rFonts w:hint="eastAsia" w:hAnsi="宋体"/>
          <w:color w:val="auto"/>
          <w:highlight w:val="none"/>
        </w:rPr>
        <w:t>委托代理人：</w:t>
      </w:r>
      <w:r>
        <w:rPr>
          <w:rFonts w:hint="eastAsia"/>
          <w:color w:val="auto"/>
          <w:highlight w:val="none"/>
          <w:u w:val="single"/>
          <w:lang w:val="en-US" w:eastAsia="zh-CN"/>
        </w:rPr>
        <w:t xml:space="preserve">                    </w:t>
      </w:r>
      <w:r>
        <w:rPr>
          <w:rFonts w:hint="eastAsia" w:hAnsi="宋体"/>
          <w:color w:val="auto"/>
          <w:highlight w:val="none"/>
          <w:lang w:val="en-US" w:eastAsia="zh-CN"/>
        </w:rPr>
        <w:t xml:space="preserve">             </w:t>
      </w:r>
      <w:r>
        <w:rPr>
          <w:rFonts w:hint="eastAsia" w:hAnsi="宋体"/>
          <w:color w:val="auto"/>
          <w:highlight w:val="none"/>
        </w:rPr>
        <w:t>委托代理人：</w:t>
      </w:r>
      <w:r>
        <w:rPr>
          <w:rFonts w:hint="eastAsia"/>
          <w:color w:val="auto"/>
          <w:highlight w:val="none"/>
          <w:u w:val="single"/>
          <w:lang w:val="en-US" w:eastAsia="zh-CN"/>
        </w:rPr>
        <w:t xml:space="preserve">                    </w:t>
      </w:r>
    </w:p>
    <w:p w14:paraId="345C681E">
      <w:pPr>
        <w:spacing w:line="360" w:lineRule="auto"/>
        <w:rPr>
          <w:color w:val="auto"/>
          <w:highlight w:val="none"/>
        </w:rPr>
      </w:pPr>
      <w:r>
        <w:rPr>
          <w:rFonts w:hint="eastAsia" w:hAnsi="宋体"/>
          <w:color w:val="auto"/>
          <w:highlight w:val="none"/>
        </w:rPr>
        <w:t>电话：</w:t>
      </w:r>
      <w:r>
        <w:rPr>
          <w:rFonts w:hint="eastAsia"/>
          <w:color w:val="auto"/>
          <w:highlight w:val="none"/>
          <w:u w:val="single"/>
          <w:lang w:val="en-US" w:eastAsia="zh-CN"/>
        </w:rPr>
        <w:t xml:space="preserve">                      </w:t>
      </w:r>
      <w:r>
        <w:rPr>
          <w:rFonts w:hint="eastAsia" w:hAnsi="宋体"/>
          <w:color w:val="auto"/>
          <w:highlight w:val="none"/>
          <w:lang w:val="en-US" w:eastAsia="zh-CN"/>
        </w:rPr>
        <w:t xml:space="preserve">                 </w:t>
      </w:r>
      <w:r>
        <w:rPr>
          <w:rFonts w:hint="eastAsia" w:hAnsi="宋体"/>
          <w:color w:val="auto"/>
          <w:highlight w:val="none"/>
        </w:rPr>
        <w:t>电话：</w:t>
      </w:r>
      <w:r>
        <w:rPr>
          <w:rFonts w:hint="eastAsia"/>
          <w:color w:val="auto"/>
          <w:highlight w:val="none"/>
          <w:u w:val="single"/>
          <w:lang w:val="en-US" w:eastAsia="zh-CN"/>
        </w:rPr>
        <w:t xml:space="preserve">                    </w:t>
      </w:r>
    </w:p>
    <w:p w14:paraId="1379FA81">
      <w:pPr>
        <w:spacing w:line="360" w:lineRule="auto"/>
        <w:rPr>
          <w:color w:val="auto"/>
          <w:highlight w:val="none"/>
        </w:rPr>
      </w:pPr>
      <w:r>
        <w:rPr>
          <w:rFonts w:hint="eastAsia" w:hAnsi="宋体"/>
          <w:color w:val="auto"/>
          <w:highlight w:val="none"/>
        </w:rPr>
        <w:t>传真：</w:t>
      </w:r>
      <w:r>
        <w:rPr>
          <w:rFonts w:hint="eastAsia"/>
          <w:color w:val="auto"/>
          <w:highlight w:val="none"/>
          <w:u w:val="single"/>
          <w:lang w:val="en-US" w:eastAsia="zh-CN"/>
        </w:rPr>
        <w:t xml:space="preserve">                    </w:t>
      </w:r>
      <w:r>
        <w:rPr>
          <w:rFonts w:hint="eastAsia" w:hAnsi="宋体"/>
          <w:color w:val="auto"/>
          <w:highlight w:val="none"/>
          <w:lang w:val="en-US" w:eastAsia="zh-CN"/>
        </w:rPr>
        <w:t xml:space="preserve">                   </w:t>
      </w:r>
      <w:r>
        <w:rPr>
          <w:rFonts w:hint="eastAsia" w:hAnsi="宋体"/>
          <w:color w:val="auto"/>
          <w:highlight w:val="none"/>
        </w:rPr>
        <w:t>传真：</w:t>
      </w:r>
      <w:r>
        <w:rPr>
          <w:rFonts w:hint="eastAsia"/>
          <w:color w:val="auto"/>
          <w:highlight w:val="none"/>
          <w:u w:val="single"/>
          <w:lang w:val="en-US" w:eastAsia="zh-CN"/>
        </w:rPr>
        <w:t xml:space="preserve">                    </w:t>
      </w:r>
    </w:p>
    <w:p w14:paraId="0E8BA55F">
      <w:pPr>
        <w:spacing w:line="360" w:lineRule="auto"/>
        <w:rPr>
          <w:color w:val="auto"/>
          <w:highlight w:val="none"/>
        </w:rPr>
      </w:pPr>
      <w:r>
        <w:rPr>
          <w:rFonts w:hint="eastAsia" w:hAnsi="宋体"/>
          <w:color w:val="auto"/>
          <w:highlight w:val="none"/>
        </w:rPr>
        <w:t>电子信箱：</w:t>
      </w:r>
      <w:r>
        <w:rPr>
          <w:rFonts w:hint="eastAsia"/>
          <w:color w:val="auto"/>
          <w:highlight w:val="none"/>
          <w:u w:val="single"/>
          <w:lang w:val="en-US" w:eastAsia="zh-CN"/>
        </w:rPr>
        <w:t xml:space="preserve">                    </w:t>
      </w:r>
      <w:r>
        <w:rPr>
          <w:rFonts w:hint="eastAsia" w:hAnsi="宋体"/>
          <w:color w:val="auto"/>
          <w:highlight w:val="none"/>
          <w:lang w:val="en-US" w:eastAsia="zh-CN"/>
        </w:rPr>
        <w:t xml:space="preserve">               </w:t>
      </w:r>
      <w:r>
        <w:rPr>
          <w:rFonts w:hint="eastAsia" w:hAnsi="宋体"/>
          <w:color w:val="auto"/>
          <w:highlight w:val="none"/>
        </w:rPr>
        <w:t>电子信箱：</w:t>
      </w:r>
      <w:r>
        <w:rPr>
          <w:rFonts w:hint="eastAsia"/>
          <w:color w:val="auto"/>
          <w:highlight w:val="none"/>
          <w:u w:val="single"/>
          <w:lang w:val="en-US" w:eastAsia="zh-CN"/>
        </w:rPr>
        <w:t xml:space="preserve">                    </w:t>
      </w:r>
    </w:p>
    <w:p w14:paraId="5DBF352E">
      <w:pPr>
        <w:spacing w:line="360" w:lineRule="auto"/>
        <w:rPr>
          <w:color w:val="auto"/>
          <w:highlight w:val="none"/>
        </w:rPr>
      </w:pPr>
      <w:r>
        <w:rPr>
          <w:rFonts w:hint="eastAsia" w:hAnsi="宋体"/>
          <w:color w:val="auto"/>
          <w:highlight w:val="none"/>
        </w:rPr>
        <w:t>开户银行：</w:t>
      </w:r>
      <w:r>
        <w:rPr>
          <w:rFonts w:hint="eastAsia"/>
          <w:color w:val="auto"/>
          <w:highlight w:val="none"/>
          <w:u w:val="single"/>
          <w:lang w:val="en-US" w:eastAsia="zh-CN"/>
        </w:rPr>
        <w:t xml:space="preserve">                    </w:t>
      </w:r>
      <w:r>
        <w:rPr>
          <w:rFonts w:hint="eastAsia" w:hAnsi="宋体"/>
          <w:color w:val="auto"/>
          <w:highlight w:val="none"/>
          <w:lang w:val="en-US" w:eastAsia="zh-CN"/>
        </w:rPr>
        <w:t xml:space="preserve">                </w:t>
      </w:r>
      <w:r>
        <w:rPr>
          <w:rFonts w:hint="eastAsia" w:hAnsi="宋体"/>
          <w:color w:val="auto"/>
          <w:highlight w:val="none"/>
        </w:rPr>
        <w:t>开户银行：</w:t>
      </w:r>
      <w:r>
        <w:rPr>
          <w:rFonts w:hint="eastAsia"/>
          <w:color w:val="auto"/>
          <w:highlight w:val="none"/>
          <w:u w:val="single"/>
          <w:lang w:val="en-US" w:eastAsia="zh-CN"/>
        </w:rPr>
        <w:t xml:space="preserve">                    </w:t>
      </w:r>
    </w:p>
    <w:p w14:paraId="6F80E56A">
      <w:pPr>
        <w:rPr>
          <w:color w:val="auto"/>
          <w:szCs w:val="22"/>
          <w:highlight w:val="none"/>
        </w:rPr>
      </w:pPr>
      <w:r>
        <w:rPr>
          <w:rFonts w:hint="eastAsia" w:hAnsi="宋体"/>
          <w:color w:val="auto"/>
          <w:highlight w:val="none"/>
        </w:rPr>
        <w:t>账号：</w:t>
      </w:r>
      <w:r>
        <w:rPr>
          <w:rFonts w:hint="eastAsia"/>
          <w:color w:val="auto"/>
          <w:highlight w:val="none"/>
          <w:u w:val="single"/>
          <w:lang w:val="en-US" w:eastAsia="zh-CN"/>
        </w:rPr>
        <w:t xml:space="preserve">                    </w:t>
      </w:r>
      <w:r>
        <w:rPr>
          <w:rFonts w:hint="eastAsia" w:hAnsi="宋体"/>
          <w:color w:val="auto"/>
          <w:highlight w:val="none"/>
          <w:lang w:val="en-US" w:eastAsia="zh-CN"/>
        </w:rPr>
        <w:t xml:space="preserve">                    </w:t>
      </w:r>
      <w:r>
        <w:rPr>
          <w:rFonts w:hint="eastAsia" w:hAnsi="宋体"/>
          <w:color w:val="auto"/>
          <w:highlight w:val="none"/>
        </w:rPr>
        <w:t>账号：</w:t>
      </w:r>
      <w:r>
        <w:rPr>
          <w:rFonts w:hint="eastAsia"/>
          <w:color w:val="auto"/>
          <w:highlight w:val="none"/>
          <w:u w:val="single"/>
          <w:lang w:val="en-US" w:eastAsia="zh-CN"/>
        </w:rPr>
        <w:t xml:space="preserve">                    </w:t>
      </w:r>
    </w:p>
    <w:p w14:paraId="6CB5528B">
      <w:pPr>
        <w:pStyle w:val="23"/>
        <w:spacing w:line="360" w:lineRule="auto"/>
        <w:rPr>
          <w:rFonts w:ascii="宋体" w:hAnsi="宋体" w:cs="宋体"/>
          <w:color w:val="auto"/>
          <w:kern w:val="2"/>
          <w:sz w:val="21"/>
          <w:szCs w:val="21"/>
          <w:highlight w:val="none"/>
        </w:rPr>
      </w:pPr>
    </w:p>
    <w:p w14:paraId="786C2C74">
      <w:pPr>
        <w:pStyle w:val="23"/>
        <w:spacing w:line="360" w:lineRule="auto"/>
        <w:rPr>
          <w:rFonts w:ascii="宋体" w:hAnsi="宋体" w:cs="宋体"/>
          <w:color w:val="auto"/>
          <w:kern w:val="2"/>
          <w:sz w:val="21"/>
          <w:szCs w:val="21"/>
          <w:highlight w:val="none"/>
        </w:rPr>
      </w:pPr>
    </w:p>
    <w:p w14:paraId="259CBF29">
      <w:pPr>
        <w:keepNext/>
        <w:keepLines/>
        <w:spacing w:before="260" w:after="260" w:line="415" w:lineRule="auto"/>
        <w:jc w:val="center"/>
        <w:outlineLvl w:val="1"/>
        <w:rPr>
          <w:rFonts w:eastAsia="黑体"/>
          <w:b/>
          <w:bCs/>
          <w:color w:val="auto"/>
          <w:sz w:val="32"/>
          <w:szCs w:val="32"/>
          <w:highlight w:val="none"/>
        </w:rPr>
      </w:pPr>
      <w:r>
        <w:rPr>
          <w:rFonts w:hint="eastAsia" w:ascii="Arial" w:hAnsi="Arial" w:eastAsia="黑体"/>
          <w:b/>
          <w:bCs/>
          <w:color w:val="auto"/>
          <w:sz w:val="32"/>
          <w:szCs w:val="32"/>
          <w:highlight w:val="none"/>
        </w:rPr>
        <w:br w:type="page"/>
      </w:r>
      <w:r>
        <w:rPr>
          <w:rFonts w:hint="eastAsia" w:ascii="Arial" w:hAnsi="Arial" w:eastAsia="黑体"/>
          <w:b/>
          <w:bCs/>
          <w:color w:val="auto"/>
          <w:sz w:val="32"/>
          <w:szCs w:val="32"/>
          <w:highlight w:val="none"/>
        </w:rPr>
        <w:t>第二部分通用合同条款</w:t>
      </w:r>
      <w:bookmarkEnd w:id="149"/>
      <w:bookmarkEnd w:id="150"/>
      <w:bookmarkEnd w:id="151"/>
      <w:bookmarkEnd w:id="152"/>
      <w:bookmarkEnd w:id="153"/>
      <w:bookmarkEnd w:id="154"/>
      <w:bookmarkEnd w:id="155"/>
      <w:bookmarkEnd w:id="156"/>
    </w:p>
    <w:p w14:paraId="340D8526">
      <w:pPr>
        <w:jc w:val="center"/>
        <w:rPr>
          <w:rFonts w:ascii="宋体" w:hAnsi="Courier New"/>
          <w:b/>
          <w:color w:val="auto"/>
          <w:sz w:val="32"/>
          <w:szCs w:val="32"/>
          <w:highlight w:val="none"/>
        </w:rPr>
      </w:pPr>
      <w:r>
        <w:rPr>
          <w:rFonts w:hint="eastAsia" w:ascii="宋体" w:hAnsi="Courier New"/>
          <w:b/>
          <w:color w:val="auto"/>
          <w:sz w:val="32"/>
          <w:szCs w:val="32"/>
          <w:highlight w:val="none"/>
        </w:rPr>
        <w:t>采用《建设工程施工合同（示范文本）（</w:t>
      </w:r>
      <w:r>
        <w:rPr>
          <w:rFonts w:ascii="宋体" w:hAnsi="Courier New"/>
          <w:b/>
          <w:color w:val="auto"/>
          <w:sz w:val="32"/>
          <w:szCs w:val="32"/>
          <w:highlight w:val="none"/>
        </w:rPr>
        <w:t>GF-201</w:t>
      </w:r>
      <w:r>
        <w:rPr>
          <w:rFonts w:hint="eastAsia" w:ascii="宋体" w:hAnsi="Courier New"/>
          <w:b/>
          <w:color w:val="auto"/>
          <w:sz w:val="32"/>
          <w:szCs w:val="32"/>
          <w:highlight w:val="none"/>
        </w:rPr>
        <w:t>7</w:t>
      </w:r>
      <w:r>
        <w:rPr>
          <w:rFonts w:ascii="宋体" w:hAnsi="Courier New"/>
          <w:b/>
          <w:color w:val="auto"/>
          <w:sz w:val="32"/>
          <w:szCs w:val="32"/>
          <w:highlight w:val="none"/>
        </w:rPr>
        <w:t>-0201</w:t>
      </w:r>
      <w:r>
        <w:rPr>
          <w:rFonts w:hint="eastAsia" w:ascii="宋体" w:hAnsi="Courier New"/>
          <w:b/>
          <w:color w:val="auto"/>
          <w:sz w:val="32"/>
          <w:szCs w:val="32"/>
          <w:highlight w:val="none"/>
        </w:rPr>
        <w:t>）》通用合同条款</w:t>
      </w:r>
    </w:p>
    <w:p w14:paraId="3E5CD011">
      <w:pPr>
        <w:keepNext/>
        <w:keepLines/>
        <w:spacing w:before="260" w:after="260" w:line="415" w:lineRule="auto"/>
        <w:ind w:firstLine="251"/>
        <w:jc w:val="center"/>
        <w:outlineLvl w:val="1"/>
        <w:rPr>
          <w:rFonts w:ascii="Arial" w:hAnsi="Arial" w:eastAsia="黑体"/>
          <w:b/>
          <w:bCs/>
          <w:color w:val="auto"/>
          <w:sz w:val="32"/>
          <w:szCs w:val="32"/>
          <w:highlight w:val="none"/>
        </w:rPr>
      </w:pPr>
      <w:bookmarkStart w:id="157" w:name="_Toc383182219"/>
      <w:bookmarkStart w:id="158" w:name="_Toc18897"/>
      <w:bookmarkStart w:id="159" w:name="_Toc81837451"/>
      <w:bookmarkStart w:id="160" w:name="_Toc31670"/>
      <w:bookmarkStart w:id="161" w:name="_Toc15111"/>
      <w:r>
        <w:rPr>
          <w:rFonts w:hint="eastAsia" w:ascii="Arial" w:hAnsi="Arial" w:eastAsia="黑体"/>
          <w:b/>
          <w:bCs/>
          <w:color w:val="auto"/>
          <w:sz w:val="32"/>
          <w:szCs w:val="32"/>
          <w:highlight w:val="none"/>
        </w:rPr>
        <w:t>第三部分专用合同条款</w:t>
      </w:r>
      <w:bookmarkEnd w:id="157"/>
      <w:bookmarkEnd w:id="158"/>
      <w:bookmarkEnd w:id="159"/>
      <w:bookmarkEnd w:id="160"/>
      <w:bookmarkEnd w:id="161"/>
    </w:p>
    <w:p w14:paraId="3FD0DEC7">
      <w:pPr>
        <w:spacing w:line="360" w:lineRule="auto"/>
        <w:jc w:val="center"/>
        <w:rPr>
          <w:rFonts w:hAnsi="宋体"/>
          <w:b/>
          <w:bCs/>
          <w:color w:val="auto"/>
          <w:kern w:val="0"/>
          <w:highlight w:val="none"/>
        </w:rPr>
      </w:pPr>
      <w:r>
        <w:rPr>
          <w:rFonts w:hint="eastAsia" w:hAnsi="宋体" w:cs="宋体"/>
          <w:b/>
          <w:bCs/>
          <w:color w:val="auto"/>
          <w:kern w:val="0"/>
          <w:highlight w:val="none"/>
        </w:rPr>
        <w:t>（注：专用合同条款每一条均应填写完整！）</w:t>
      </w:r>
    </w:p>
    <w:p w14:paraId="6ECE6C20">
      <w:pPr>
        <w:keepNext/>
        <w:keepLines/>
        <w:spacing w:before="260" w:after="260" w:line="413" w:lineRule="auto"/>
        <w:outlineLvl w:val="1"/>
        <w:rPr>
          <w:rFonts w:ascii="Arial" w:hAnsi="Arial" w:eastAsia="黑体"/>
          <w:b/>
          <w:bCs/>
          <w:color w:val="auto"/>
          <w:sz w:val="32"/>
          <w:szCs w:val="32"/>
          <w:highlight w:val="none"/>
        </w:rPr>
      </w:pPr>
      <w:bookmarkStart w:id="162" w:name="_Toc373478339"/>
      <w:bookmarkStart w:id="163" w:name="_Toc1516097295"/>
      <w:bookmarkStart w:id="164" w:name="_Toc389065258"/>
      <w:bookmarkStart w:id="165" w:name="_Toc407135194"/>
      <w:bookmarkStart w:id="166" w:name="_Toc78449780"/>
      <w:bookmarkStart w:id="167" w:name="_Toc1013968286"/>
      <w:bookmarkStart w:id="168" w:name="_Toc373227692"/>
      <w:bookmarkStart w:id="169" w:name="_Toc351203633"/>
      <w:r>
        <w:rPr>
          <w:rFonts w:ascii="Arial" w:hAnsi="Arial" w:eastAsia="黑体"/>
          <w:b/>
          <w:bCs/>
          <w:color w:val="auto"/>
          <w:sz w:val="32"/>
          <w:szCs w:val="32"/>
          <w:highlight w:val="none"/>
        </w:rPr>
        <w:t>1</w:t>
      </w:r>
      <w:bookmarkStart w:id="170" w:name="_Toc297120456"/>
      <w:bookmarkStart w:id="171" w:name="_Toc296944495"/>
      <w:bookmarkStart w:id="172" w:name="_Toc292559361"/>
      <w:bookmarkStart w:id="173" w:name="_Toc296346657"/>
      <w:bookmarkStart w:id="174" w:name="_Toc292559866"/>
      <w:bookmarkStart w:id="175" w:name="_Toc296503156"/>
      <w:bookmarkStart w:id="176" w:name="_Toc296891196"/>
      <w:bookmarkStart w:id="177" w:name="_Toc297048342"/>
      <w:bookmarkStart w:id="178" w:name="_Toc296347155"/>
      <w:bookmarkStart w:id="179" w:name="_Toc296890984"/>
      <w:r>
        <w:rPr>
          <w:rFonts w:ascii="Arial" w:hAnsi="Arial" w:eastAsia="黑体"/>
          <w:b/>
          <w:bCs/>
          <w:color w:val="auto"/>
          <w:sz w:val="32"/>
          <w:szCs w:val="32"/>
          <w:highlight w:val="none"/>
        </w:rPr>
        <w:t xml:space="preserve">. </w:t>
      </w:r>
      <w:r>
        <w:rPr>
          <w:rFonts w:hint="eastAsia" w:ascii="Arial" w:hAnsi="宋体" w:eastAsia="黑体" w:cs="黑体"/>
          <w:b/>
          <w:bCs/>
          <w:color w:val="auto"/>
          <w:sz w:val="32"/>
          <w:szCs w:val="32"/>
          <w:highlight w:val="none"/>
        </w:rPr>
        <w:t>一般约定</w:t>
      </w:r>
      <w:bookmarkEnd w:id="162"/>
      <w:bookmarkEnd w:id="163"/>
      <w:bookmarkEnd w:id="164"/>
      <w:bookmarkEnd w:id="165"/>
      <w:bookmarkEnd w:id="166"/>
      <w:bookmarkEnd w:id="167"/>
      <w:bookmarkEnd w:id="168"/>
      <w:bookmarkEnd w:id="169"/>
    </w:p>
    <w:bookmarkEnd w:id="170"/>
    <w:bookmarkEnd w:id="171"/>
    <w:bookmarkEnd w:id="172"/>
    <w:bookmarkEnd w:id="173"/>
    <w:bookmarkEnd w:id="174"/>
    <w:bookmarkEnd w:id="175"/>
    <w:bookmarkEnd w:id="176"/>
    <w:bookmarkEnd w:id="177"/>
    <w:bookmarkEnd w:id="178"/>
    <w:bookmarkEnd w:id="179"/>
    <w:p w14:paraId="18BC9554">
      <w:pPr>
        <w:keepNext/>
        <w:keepLines/>
        <w:spacing w:line="600" w:lineRule="exact"/>
        <w:ind w:firstLine="643" w:firstLineChars="200"/>
        <w:outlineLvl w:val="2"/>
        <w:rPr>
          <w:b/>
          <w:bCs/>
          <w:color w:val="auto"/>
          <w:sz w:val="32"/>
          <w:szCs w:val="32"/>
          <w:highlight w:val="none"/>
        </w:rPr>
      </w:pPr>
      <w:bookmarkStart w:id="180" w:name="_Toc1618220701"/>
      <w:bookmarkStart w:id="181" w:name="_Toc373227693"/>
      <w:bookmarkStart w:id="182" w:name="_Toc407135195"/>
      <w:bookmarkStart w:id="183" w:name="_Toc155697041"/>
      <w:bookmarkStart w:id="184" w:name="_Toc373478340"/>
      <w:bookmarkStart w:id="185" w:name="_Toc78449781"/>
      <w:bookmarkStart w:id="186" w:name="_Toc389065259"/>
      <w:r>
        <w:rPr>
          <w:b/>
          <w:bCs/>
          <w:color w:val="auto"/>
          <w:sz w:val="32"/>
          <w:szCs w:val="32"/>
          <w:highlight w:val="none"/>
        </w:rPr>
        <w:t xml:space="preserve">1.1 </w:t>
      </w:r>
      <w:r>
        <w:rPr>
          <w:rFonts w:hint="eastAsia" w:hAnsi="宋体" w:cs="黑体"/>
          <w:b/>
          <w:bCs/>
          <w:color w:val="auto"/>
          <w:sz w:val="32"/>
          <w:szCs w:val="32"/>
          <w:highlight w:val="none"/>
        </w:rPr>
        <w:t>词语定义</w:t>
      </w:r>
      <w:bookmarkEnd w:id="180"/>
      <w:bookmarkEnd w:id="181"/>
      <w:bookmarkEnd w:id="182"/>
      <w:bookmarkEnd w:id="183"/>
      <w:bookmarkEnd w:id="184"/>
      <w:bookmarkEnd w:id="185"/>
      <w:bookmarkEnd w:id="186"/>
    </w:p>
    <w:p w14:paraId="2EE33770">
      <w:pPr>
        <w:spacing w:line="360" w:lineRule="auto"/>
        <w:ind w:firstLine="420" w:firstLineChars="200"/>
        <w:rPr>
          <w:color w:val="auto"/>
          <w:kern w:val="0"/>
          <w:highlight w:val="none"/>
        </w:rPr>
      </w:pPr>
      <w:r>
        <w:rPr>
          <w:color w:val="auto"/>
          <w:kern w:val="0"/>
          <w:highlight w:val="none"/>
        </w:rPr>
        <w:t xml:space="preserve">1.1.1 </w:t>
      </w:r>
      <w:r>
        <w:rPr>
          <w:rFonts w:hint="eastAsia" w:hAnsi="宋体" w:cs="宋体"/>
          <w:color w:val="auto"/>
          <w:kern w:val="0"/>
          <w:highlight w:val="none"/>
        </w:rPr>
        <w:t>合同</w:t>
      </w:r>
    </w:p>
    <w:p w14:paraId="22E42831">
      <w:pPr>
        <w:spacing w:line="360" w:lineRule="auto"/>
        <w:rPr>
          <w:color w:val="auto"/>
          <w:kern w:val="0"/>
          <w:highlight w:val="none"/>
        </w:rPr>
      </w:pPr>
      <w:r>
        <w:rPr>
          <w:color w:val="auto"/>
          <w:kern w:val="0"/>
          <w:highlight w:val="none"/>
        </w:rPr>
        <w:t xml:space="preserve">1.1.1.10 </w:t>
      </w:r>
      <w:r>
        <w:rPr>
          <w:rFonts w:hint="eastAsia" w:hAnsi="宋体" w:cs="宋体"/>
          <w:color w:val="auto"/>
          <w:kern w:val="0"/>
          <w:highlight w:val="none"/>
        </w:rPr>
        <w:t>其他合同文件包括：</w:t>
      </w:r>
      <w:r>
        <w:rPr>
          <w:rFonts w:hint="eastAsia" w:ascii="Calibri" w:hAnsi="Calibri"/>
          <w:color w:val="auto"/>
          <w:highlight w:val="none"/>
          <w:u w:val="single"/>
        </w:rPr>
        <w:t>施工组织设计、成交通知书、投标文件（含投标文件补充文件）、招标文件（含招标文件补充文件）、经合同双方当事人确认构成合同文件的其他文件，包括合同履行中，发包人承包人有关工程的洽谈、设计变更、通知确认书、图纸会审、合同补充协议；工程会议纪要、例会纪要等书面协议或文件</w:t>
      </w:r>
      <w:r>
        <w:rPr>
          <w:rFonts w:hint="eastAsia" w:hAnsi="宋体" w:cs="宋体"/>
          <w:color w:val="auto"/>
          <w:highlight w:val="none"/>
        </w:rPr>
        <w:t>。</w:t>
      </w:r>
    </w:p>
    <w:p w14:paraId="00543CCC">
      <w:pPr>
        <w:spacing w:line="360" w:lineRule="auto"/>
        <w:ind w:firstLine="420" w:firstLineChars="200"/>
        <w:rPr>
          <w:color w:val="auto"/>
          <w:highlight w:val="none"/>
        </w:rPr>
      </w:pPr>
      <w:r>
        <w:rPr>
          <w:color w:val="auto"/>
          <w:highlight w:val="none"/>
        </w:rPr>
        <w:t xml:space="preserve">1.1.2 </w:t>
      </w:r>
      <w:r>
        <w:rPr>
          <w:rFonts w:hint="eastAsia" w:hAnsi="宋体" w:cs="宋体"/>
          <w:color w:val="auto"/>
          <w:highlight w:val="none"/>
        </w:rPr>
        <w:t>合同当事人及其他相关方</w:t>
      </w:r>
    </w:p>
    <w:p w14:paraId="2D76D5E6">
      <w:pPr>
        <w:spacing w:line="360" w:lineRule="auto"/>
        <w:ind w:firstLine="420" w:firstLineChars="200"/>
        <w:outlineLvl w:val="0"/>
        <w:rPr>
          <w:color w:val="auto"/>
          <w:highlight w:val="none"/>
        </w:rPr>
      </w:pPr>
      <w:r>
        <w:rPr>
          <w:color w:val="auto"/>
          <w:highlight w:val="none"/>
        </w:rPr>
        <w:t xml:space="preserve">1.1.2.4 </w:t>
      </w:r>
      <w:r>
        <w:rPr>
          <w:rFonts w:hint="eastAsia" w:hAnsi="宋体" w:cs="宋体"/>
          <w:color w:val="auto"/>
          <w:highlight w:val="none"/>
        </w:rPr>
        <w:t>监理人：</w:t>
      </w:r>
    </w:p>
    <w:p w14:paraId="56CE615E">
      <w:pPr>
        <w:spacing w:line="360" w:lineRule="auto"/>
        <w:ind w:firstLine="420" w:firstLineChars="200"/>
        <w:rPr>
          <w:color w:val="auto"/>
          <w:highlight w:val="none"/>
        </w:rPr>
      </w:pPr>
      <w:r>
        <w:rPr>
          <w:rFonts w:hint="eastAsia" w:hAnsi="宋体" w:cs="宋体"/>
          <w:color w:val="auto"/>
          <w:highlight w:val="none"/>
        </w:rPr>
        <w:t>名称： ；</w:t>
      </w:r>
    </w:p>
    <w:p w14:paraId="13B5BAAD">
      <w:pPr>
        <w:spacing w:line="360" w:lineRule="auto"/>
        <w:ind w:firstLine="420" w:firstLineChars="200"/>
        <w:rPr>
          <w:color w:val="auto"/>
          <w:highlight w:val="none"/>
        </w:rPr>
      </w:pPr>
      <w:r>
        <w:rPr>
          <w:rFonts w:hint="eastAsia" w:hAnsi="宋体" w:cs="宋体"/>
          <w:color w:val="auto"/>
          <w:highlight w:val="none"/>
        </w:rPr>
        <w:t>资质类别和等级：；</w:t>
      </w:r>
    </w:p>
    <w:p w14:paraId="5D055110">
      <w:pPr>
        <w:spacing w:line="360" w:lineRule="auto"/>
        <w:ind w:firstLine="420" w:firstLineChars="200"/>
        <w:rPr>
          <w:color w:val="auto"/>
          <w:highlight w:val="none"/>
        </w:rPr>
      </w:pPr>
      <w:r>
        <w:rPr>
          <w:rFonts w:hint="eastAsia" w:hAnsi="宋体" w:cs="宋体"/>
          <w:color w:val="auto"/>
          <w:highlight w:val="none"/>
        </w:rPr>
        <w:t>联系电话：；</w:t>
      </w:r>
    </w:p>
    <w:p w14:paraId="159EDF69">
      <w:pPr>
        <w:spacing w:line="360" w:lineRule="auto"/>
        <w:ind w:firstLine="420" w:firstLineChars="200"/>
        <w:rPr>
          <w:color w:val="auto"/>
          <w:highlight w:val="none"/>
        </w:rPr>
      </w:pPr>
      <w:r>
        <w:rPr>
          <w:rFonts w:hint="eastAsia" w:hAnsi="宋体" w:cs="宋体"/>
          <w:color w:val="auto"/>
          <w:highlight w:val="none"/>
        </w:rPr>
        <w:t>电子信箱：；</w:t>
      </w:r>
    </w:p>
    <w:p w14:paraId="5F301826">
      <w:pPr>
        <w:spacing w:line="360" w:lineRule="auto"/>
        <w:ind w:firstLine="420" w:firstLineChars="200"/>
        <w:rPr>
          <w:color w:val="auto"/>
          <w:highlight w:val="none"/>
        </w:rPr>
      </w:pPr>
      <w:r>
        <w:rPr>
          <w:rFonts w:hint="eastAsia" w:hAnsi="宋体" w:cs="宋体"/>
          <w:color w:val="auto"/>
          <w:highlight w:val="none"/>
        </w:rPr>
        <w:t>通信地址：。</w:t>
      </w:r>
    </w:p>
    <w:p w14:paraId="588EDD9C">
      <w:pPr>
        <w:spacing w:line="360" w:lineRule="auto"/>
        <w:ind w:firstLine="420" w:firstLineChars="200"/>
        <w:outlineLvl w:val="0"/>
        <w:rPr>
          <w:color w:val="auto"/>
          <w:highlight w:val="none"/>
        </w:rPr>
      </w:pPr>
      <w:r>
        <w:rPr>
          <w:color w:val="auto"/>
          <w:highlight w:val="none"/>
        </w:rPr>
        <w:t xml:space="preserve">1.1.2.5 </w:t>
      </w:r>
      <w:r>
        <w:rPr>
          <w:rFonts w:hint="eastAsia" w:hAnsi="宋体" w:cs="宋体"/>
          <w:color w:val="auto"/>
          <w:highlight w:val="none"/>
        </w:rPr>
        <w:t>设计人：</w:t>
      </w:r>
    </w:p>
    <w:p w14:paraId="133FB50C">
      <w:pPr>
        <w:spacing w:line="360" w:lineRule="auto"/>
        <w:ind w:firstLine="420" w:firstLineChars="200"/>
        <w:rPr>
          <w:color w:val="auto"/>
          <w:highlight w:val="none"/>
        </w:rPr>
      </w:pPr>
      <w:r>
        <w:rPr>
          <w:rFonts w:hint="eastAsia" w:hAnsi="宋体" w:cs="宋体"/>
          <w:color w:val="auto"/>
          <w:highlight w:val="none"/>
        </w:rPr>
        <w:t>名称：；</w:t>
      </w:r>
    </w:p>
    <w:p w14:paraId="31A9ECE6">
      <w:pPr>
        <w:spacing w:line="360" w:lineRule="auto"/>
        <w:ind w:firstLine="420" w:firstLineChars="200"/>
        <w:rPr>
          <w:color w:val="auto"/>
          <w:highlight w:val="none"/>
        </w:rPr>
      </w:pPr>
      <w:r>
        <w:rPr>
          <w:rFonts w:hint="eastAsia" w:hAnsi="宋体" w:cs="宋体"/>
          <w:color w:val="auto"/>
          <w:highlight w:val="none"/>
        </w:rPr>
        <w:t>资质类别和等级：；</w:t>
      </w:r>
    </w:p>
    <w:p w14:paraId="730A7D0F">
      <w:pPr>
        <w:spacing w:line="360" w:lineRule="auto"/>
        <w:ind w:firstLine="420" w:firstLineChars="200"/>
        <w:rPr>
          <w:color w:val="auto"/>
          <w:highlight w:val="none"/>
        </w:rPr>
      </w:pPr>
      <w:r>
        <w:rPr>
          <w:rFonts w:hint="eastAsia" w:hAnsi="宋体" w:cs="宋体"/>
          <w:color w:val="auto"/>
          <w:highlight w:val="none"/>
        </w:rPr>
        <w:t>联系电话：；</w:t>
      </w:r>
    </w:p>
    <w:p w14:paraId="7C42AA68">
      <w:pPr>
        <w:spacing w:line="360" w:lineRule="auto"/>
        <w:ind w:firstLine="420" w:firstLineChars="200"/>
        <w:rPr>
          <w:color w:val="auto"/>
          <w:highlight w:val="none"/>
        </w:rPr>
      </w:pPr>
      <w:r>
        <w:rPr>
          <w:rFonts w:hint="eastAsia" w:hAnsi="宋体" w:cs="宋体"/>
          <w:color w:val="auto"/>
          <w:highlight w:val="none"/>
        </w:rPr>
        <w:t>电子信箱：；</w:t>
      </w:r>
    </w:p>
    <w:p w14:paraId="53E0BF0B">
      <w:pPr>
        <w:spacing w:line="360" w:lineRule="auto"/>
        <w:ind w:firstLine="420" w:firstLineChars="200"/>
        <w:rPr>
          <w:color w:val="auto"/>
          <w:highlight w:val="none"/>
        </w:rPr>
      </w:pPr>
      <w:r>
        <w:rPr>
          <w:rFonts w:hint="eastAsia" w:hAnsi="宋体" w:cs="宋体"/>
          <w:color w:val="auto"/>
          <w:highlight w:val="none"/>
        </w:rPr>
        <w:t>通信地址：。</w:t>
      </w:r>
    </w:p>
    <w:p w14:paraId="70BB2FAF">
      <w:pPr>
        <w:spacing w:line="360" w:lineRule="auto"/>
        <w:ind w:firstLine="420" w:firstLineChars="200"/>
        <w:rPr>
          <w:color w:val="auto"/>
          <w:highlight w:val="none"/>
        </w:rPr>
      </w:pPr>
      <w:r>
        <w:rPr>
          <w:color w:val="auto"/>
          <w:highlight w:val="none"/>
        </w:rPr>
        <w:t xml:space="preserve">1.1.3 </w:t>
      </w:r>
      <w:r>
        <w:rPr>
          <w:rFonts w:hint="eastAsia" w:hAnsi="宋体" w:cs="宋体"/>
          <w:color w:val="auto"/>
          <w:highlight w:val="none"/>
        </w:rPr>
        <w:t>工程和设备</w:t>
      </w:r>
    </w:p>
    <w:p w14:paraId="62AF5A3F">
      <w:pPr>
        <w:spacing w:line="360" w:lineRule="auto"/>
        <w:ind w:firstLine="420" w:firstLineChars="200"/>
        <w:outlineLvl w:val="0"/>
        <w:rPr>
          <w:rFonts w:hAnsi="宋体"/>
          <w:color w:val="auto"/>
          <w:highlight w:val="none"/>
        </w:rPr>
      </w:pPr>
      <w:r>
        <w:rPr>
          <w:color w:val="auto"/>
          <w:highlight w:val="none"/>
        </w:rPr>
        <w:t xml:space="preserve">1.1.3.7 </w:t>
      </w:r>
      <w:r>
        <w:rPr>
          <w:rFonts w:hint="eastAsia" w:hAnsi="宋体" w:cs="宋体"/>
          <w:color w:val="auto"/>
          <w:highlight w:val="none"/>
        </w:rPr>
        <w:t>作为施工现场组成部分的其他场所包括：</w:t>
      </w:r>
    </w:p>
    <w:p w14:paraId="2A71ECA5">
      <w:pPr>
        <w:spacing w:line="360" w:lineRule="auto"/>
        <w:ind w:firstLine="420" w:firstLineChars="200"/>
        <w:rPr>
          <w:color w:val="auto"/>
          <w:highlight w:val="none"/>
        </w:rPr>
      </w:pPr>
      <w:r>
        <w:rPr>
          <w:rFonts w:hint="eastAsia" w:ascii="Calibri" w:hAnsi="Calibri"/>
          <w:color w:val="auto"/>
          <w:highlight w:val="none"/>
          <w:u w:val="single"/>
        </w:rPr>
        <w:t>永久占地和临时占地（用于工程施工的场所，包括永久占用地和临时占用地）</w:t>
      </w:r>
      <w:r>
        <w:rPr>
          <w:rFonts w:hint="eastAsia" w:hAnsi="宋体" w:cs="宋体"/>
          <w:color w:val="auto"/>
          <w:highlight w:val="none"/>
        </w:rPr>
        <w:t>。</w:t>
      </w:r>
    </w:p>
    <w:p w14:paraId="6781EA1F">
      <w:pPr>
        <w:spacing w:line="360" w:lineRule="auto"/>
        <w:ind w:firstLine="420" w:firstLineChars="200"/>
        <w:jc w:val="left"/>
        <w:rPr>
          <w:color w:val="auto"/>
          <w:kern w:val="0"/>
          <w:highlight w:val="none"/>
        </w:rPr>
      </w:pPr>
      <w:r>
        <w:rPr>
          <w:color w:val="auto"/>
          <w:kern w:val="0"/>
          <w:highlight w:val="none"/>
        </w:rPr>
        <w:t xml:space="preserve">1.1.3.9 </w:t>
      </w:r>
      <w:r>
        <w:rPr>
          <w:rFonts w:hint="eastAsia" w:hAnsi="宋体" w:cs="宋体"/>
          <w:color w:val="auto"/>
          <w:kern w:val="0"/>
          <w:highlight w:val="none"/>
        </w:rPr>
        <w:t>永久占地包括：</w:t>
      </w:r>
      <w:r>
        <w:rPr>
          <w:rFonts w:hint="eastAsia" w:ascii="Calibri" w:hAnsi="Calibri"/>
          <w:color w:val="auto"/>
          <w:highlight w:val="none"/>
          <w:u w:val="single"/>
        </w:rPr>
        <w:t>按照设计图纸确定</w:t>
      </w:r>
      <w:r>
        <w:rPr>
          <w:rFonts w:hint="eastAsia" w:hAnsi="宋体" w:cs="宋体"/>
          <w:color w:val="auto"/>
          <w:kern w:val="0"/>
          <w:highlight w:val="none"/>
        </w:rPr>
        <w:t>。</w:t>
      </w:r>
    </w:p>
    <w:p w14:paraId="5E1421AC">
      <w:pPr>
        <w:spacing w:line="360" w:lineRule="auto"/>
        <w:ind w:firstLine="420" w:firstLineChars="200"/>
        <w:jc w:val="left"/>
        <w:rPr>
          <w:color w:val="auto"/>
          <w:highlight w:val="none"/>
        </w:rPr>
      </w:pPr>
      <w:r>
        <w:rPr>
          <w:color w:val="auto"/>
          <w:kern w:val="0"/>
          <w:highlight w:val="none"/>
        </w:rPr>
        <w:t xml:space="preserve">1.1.3.10 </w:t>
      </w:r>
      <w:r>
        <w:rPr>
          <w:rFonts w:hint="eastAsia" w:hAnsi="宋体" w:cs="宋体"/>
          <w:color w:val="auto"/>
          <w:kern w:val="0"/>
          <w:highlight w:val="none"/>
        </w:rPr>
        <w:t>临时占地包括：</w:t>
      </w:r>
      <w:r>
        <w:rPr>
          <w:rFonts w:hint="eastAsia" w:ascii="宋体" w:hAnsi="宋体"/>
          <w:color w:val="auto"/>
          <w:highlight w:val="none"/>
          <w:u w:val="single"/>
        </w:rPr>
        <w:t>临时设施（脚手架、模板及支架、围栏、便道等工程）所需场地（为实施工程需要临时占用地土地）</w:t>
      </w:r>
      <w:r>
        <w:rPr>
          <w:rFonts w:hint="eastAsia" w:hAnsi="宋体" w:cs="宋体"/>
          <w:color w:val="auto"/>
          <w:kern w:val="0"/>
          <w:highlight w:val="none"/>
        </w:rPr>
        <w:t>。</w:t>
      </w:r>
    </w:p>
    <w:p w14:paraId="278B011C">
      <w:pPr>
        <w:keepNext/>
        <w:keepLines/>
        <w:spacing w:line="600" w:lineRule="exact"/>
        <w:ind w:firstLine="643" w:firstLineChars="200"/>
        <w:outlineLvl w:val="2"/>
        <w:rPr>
          <w:b/>
          <w:bCs/>
          <w:color w:val="auto"/>
          <w:sz w:val="32"/>
          <w:szCs w:val="32"/>
          <w:highlight w:val="none"/>
        </w:rPr>
      </w:pPr>
      <w:bookmarkStart w:id="187" w:name="_Toc389065260"/>
      <w:bookmarkStart w:id="188" w:name="_Toc1182598796"/>
      <w:bookmarkStart w:id="189" w:name="_Toc407135196"/>
      <w:bookmarkStart w:id="190" w:name="_Toc373478341"/>
      <w:bookmarkStart w:id="191" w:name="_Toc78449782"/>
      <w:bookmarkStart w:id="192" w:name="_Toc1162259329"/>
      <w:bookmarkStart w:id="193" w:name="_Toc373227694"/>
      <w:r>
        <w:rPr>
          <w:b/>
          <w:bCs/>
          <w:color w:val="auto"/>
          <w:sz w:val="32"/>
          <w:szCs w:val="32"/>
          <w:highlight w:val="none"/>
        </w:rPr>
        <w:t xml:space="preserve">1.3 </w:t>
      </w:r>
      <w:r>
        <w:rPr>
          <w:rFonts w:hint="eastAsia" w:hAnsi="宋体" w:cs="黑体"/>
          <w:b/>
          <w:bCs/>
          <w:color w:val="auto"/>
          <w:sz w:val="32"/>
          <w:szCs w:val="32"/>
          <w:highlight w:val="none"/>
        </w:rPr>
        <w:t>法律</w:t>
      </w:r>
      <w:bookmarkEnd w:id="187"/>
      <w:bookmarkEnd w:id="188"/>
      <w:bookmarkEnd w:id="189"/>
      <w:bookmarkEnd w:id="190"/>
      <w:bookmarkEnd w:id="191"/>
      <w:bookmarkEnd w:id="192"/>
      <w:bookmarkEnd w:id="193"/>
    </w:p>
    <w:p w14:paraId="51D3BCAC">
      <w:pPr>
        <w:autoSpaceDE w:val="0"/>
        <w:autoSpaceDN w:val="0"/>
        <w:adjustRightInd w:val="0"/>
        <w:spacing w:line="360" w:lineRule="auto"/>
        <w:jc w:val="left"/>
        <w:rPr>
          <w:color w:val="auto"/>
          <w:highlight w:val="none"/>
        </w:rPr>
      </w:pPr>
      <w:r>
        <w:rPr>
          <w:rFonts w:hint="eastAsia" w:hAnsi="宋体" w:cs="宋体"/>
          <w:color w:val="auto"/>
          <w:highlight w:val="none"/>
        </w:rPr>
        <w:t>适用于合同的其他规范性文件：</w:t>
      </w:r>
      <w:r>
        <w:rPr>
          <w:rFonts w:hint="eastAsia" w:ascii="Calibri" w:hAnsi="宋体"/>
          <w:color w:val="auto"/>
          <w:highlight w:val="none"/>
          <w:u w:val="single"/>
        </w:rPr>
        <w:t>《中华人民共和国民法典》、《中华人民共和国建筑法》、《中华人民共和国招标投标法》、《中华人民共和国安全生产法》《建筑工程质量管理条例》，以及其他有关法律、法规</w:t>
      </w:r>
      <w:r>
        <w:rPr>
          <w:rFonts w:hint="eastAsia" w:hAnsi="宋体" w:cs="宋体"/>
          <w:color w:val="auto"/>
          <w:highlight w:val="none"/>
        </w:rPr>
        <w:t>。</w:t>
      </w:r>
    </w:p>
    <w:p w14:paraId="33C79378">
      <w:pPr>
        <w:keepNext/>
        <w:keepLines/>
        <w:spacing w:line="600" w:lineRule="exact"/>
        <w:ind w:firstLine="643" w:firstLineChars="200"/>
        <w:outlineLvl w:val="2"/>
        <w:rPr>
          <w:b/>
          <w:bCs/>
          <w:color w:val="auto"/>
          <w:sz w:val="32"/>
          <w:szCs w:val="32"/>
          <w:highlight w:val="none"/>
        </w:rPr>
      </w:pPr>
      <w:bookmarkStart w:id="194" w:name="_Toc407135197"/>
      <w:bookmarkStart w:id="195" w:name="_Toc389065261"/>
      <w:bookmarkStart w:id="196" w:name="_Toc373227695"/>
      <w:bookmarkStart w:id="197" w:name="_Toc373478342"/>
      <w:bookmarkStart w:id="198" w:name="_Toc78449783"/>
      <w:bookmarkStart w:id="199" w:name="_Toc1569433547"/>
      <w:bookmarkStart w:id="200" w:name="_Toc1694357896"/>
      <w:r>
        <w:rPr>
          <w:b/>
          <w:bCs/>
          <w:color w:val="auto"/>
          <w:sz w:val="32"/>
          <w:szCs w:val="32"/>
          <w:highlight w:val="none"/>
        </w:rPr>
        <w:t xml:space="preserve">1.4 </w:t>
      </w:r>
      <w:r>
        <w:rPr>
          <w:rFonts w:hint="eastAsia" w:hAnsi="宋体" w:cs="黑体"/>
          <w:b/>
          <w:bCs/>
          <w:color w:val="auto"/>
          <w:sz w:val="32"/>
          <w:szCs w:val="32"/>
          <w:highlight w:val="none"/>
        </w:rPr>
        <w:t>标准和规范</w:t>
      </w:r>
      <w:bookmarkEnd w:id="194"/>
      <w:bookmarkEnd w:id="195"/>
      <w:bookmarkEnd w:id="196"/>
      <w:bookmarkEnd w:id="197"/>
      <w:bookmarkEnd w:id="198"/>
      <w:bookmarkEnd w:id="199"/>
      <w:bookmarkEnd w:id="200"/>
    </w:p>
    <w:p w14:paraId="051718D1">
      <w:pPr>
        <w:spacing w:line="360" w:lineRule="auto"/>
        <w:ind w:firstLine="420" w:firstLineChars="200"/>
        <w:rPr>
          <w:rFonts w:hAnsi="宋体" w:cs="宋体"/>
          <w:color w:val="auto"/>
          <w:highlight w:val="none"/>
        </w:rPr>
      </w:pPr>
      <w:r>
        <w:rPr>
          <w:color w:val="auto"/>
          <w:highlight w:val="none"/>
        </w:rPr>
        <w:t xml:space="preserve">1.4.1 </w:t>
      </w:r>
      <w:r>
        <w:rPr>
          <w:rFonts w:hint="eastAsia" w:hAnsi="宋体" w:cs="宋体"/>
          <w:color w:val="auto"/>
          <w:highlight w:val="none"/>
        </w:rPr>
        <w:t>适用于工程的标准规范包括：</w:t>
      </w:r>
    </w:p>
    <w:p w14:paraId="04F3A4EF">
      <w:pPr>
        <w:spacing w:line="360" w:lineRule="auto"/>
        <w:ind w:firstLine="420" w:firstLineChars="200"/>
        <w:rPr>
          <w:rFonts w:ascii="Calibri" w:hAnsi="宋体"/>
          <w:color w:val="auto"/>
          <w:highlight w:val="none"/>
        </w:rPr>
      </w:pPr>
      <w:r>
        <w:rPr>
          <w:rFonts w:hint="eastAsia" w:ascii="Calibri" w:hAnsi="宋体"/>
          <w:color w:val="auto"/>
          <w:highlight w:val="none"/>
        </w:rPr>
        <w:t>1.4.1.1本工程设计文件指定的标准、规范；</w:t>
      </w:r>
    </w:p>
    <w:p w14:paraId="58D5DA11">
      <w:pPr>
        <w:spacing w:line="360" w:lineRule="auto"/>
        <w:ind w:firstLine="420" w:firstLineChars="200"/>
        <w:rPr>
          <w:rFonts w:ascii="Calibri" w:hAnsi="宋体"/>
          <w:color w:val="auto"/>
          <w:highlight w:val="none"/>
        </w:rPr>
      </w:pPr>
      <w:r>
        <w:rPr>
          <w:rFonts w:hint="eastAsia" w:ascii="Calibri" w:hAnsi="宋体"/>
          <w:color w:val="auto"/>
          <w:highlight w:val="none"/>
        </w:rPr>
        <w:t>1.4.1.2与国家标准、规范无冲突的工程相应的行业标准、规范；</w:t>
      </w:r>
    </w:p>
    <w:p w14:paraId="78302833">
      <w:pPr>
        <w:spacing w:line="360" w:lineRule="auto"/>
        <w:ind w:firstLine="420" w:firstLineChars="200"/>
        <w:rPr>
          <w:rFonts w:ascii="Calibri" w:hAnsi="宋体"/>
          <w:color w:val="auto"/>
          <w:highlight w:val="none"/>
        </w:rPr>
      </w:pPr>
      <w:r>
        <w:rPr>
          <w:rFonts w:hint="eastAsia" w:ascii="Calibri" w:hAnsi="宋体"/>
          <w:color w:val="auto"/>
          <w:highlight w:val="none"/>
        </w:rPr>
        <w:t>1.4.1.3 工程所在地建设工程地方标准、规范；</w:t>
      </w:r>
    </w:p>
    <w:p w14:paraId="7B26BB89">
      <w:pPr>
        <w:spacing w:line="360" w:lineRule="auto"/>
        <w:ind w:firstLine="420" w:firstLineChars="200"/>
        <w:rPr>
          <w:rFonts w:ascii="Calibri" w:hAnsi="宋体"/>
          <w:color w:val="auto"/>
          <w:highlight w:val="none"/>
        </w:rPr>
      </w:pPr>
      <w:r>
        <w:rPr>
          <w:rFonts w:hint="eastAsia" w:ascii="Calibri" w:hAnsi="宋体"/>
          <w:color w:val="auto"/>
          <w:highlight w:val="none"/>
        </w:rPr>
        <w:t>1.4.1.4经发包人认可的承包人提供的施工操作标准、规范；</w:t>
      </w:r>
    </w:p>
    <w:p w14:paraId="45B027E2">
      <w:pPr>
        <w:spacing w:line="360" w:lineRule="auto"/>
        <w:ind w:firstLine="420" w:firstLineChars="200"/>
        <w:rPr>
          <w:rFonts w:ascii="Calibri" w:hAnsi="宋体"/>
          <w:color w:val="auto"/>
          <w:highlight w:val="none"/>
        </w:rPr>
      </w:pPr>
      <w:r>
        <w:rPr>
          <w:rFonts w:hint="eastAsia" w:ascii="Calibri" w:hAnsi="宋体"/>
          <w:color w:val="auto"/>
          <w:highlight w:val="none"/>
        </w:rPr>
        <w:t>1.4.1.5发包人提供的施工技术工艺要求；</w:t>
      </w:r>
    </w:p>
    <w:p w14:paraId="5EB55D27">
      <w:pPr>
        <w:spacing w:line="360" w:lineRule="auto"/>
        <w:rPr>
          <w:color w:val="auto"/>
          <w:highlight w:val="none"/>
        </w:rPr>
      </w:pPr>
      <w:r>
        <w:rPr>
          <w:rFonts w:hint="eastAsia" w:ascii="Calibri" w:hAnsi="宋体"/>
          <w:color w:val="auto"/>
          <w:highlight w:val="none"/>
        </w:rPr>
        <w:t xml:space="preserve">    1.4.1.6在施工期间，国家现行的《建筑工程施工质量验收统一标准》及该标准系列的专业质量验收规范</w:t>
      </w:r>
      <w:r>
        <w:rPr>
          <w:rFonts w:hint="eastAsia" w:hAnsi="宋体" w:cs="宋体"/>
          <w:color w:val="auto"/>
          <w:highlight w:val="none"/>
        </w:rPr>
        <w:t>。</w:t>
      </w:r>
    </w:p>
    <w:p w14:paraId="417D56F8">
      <w:pPr>
        <w:spacing w:line="360" w:lineRule="auto"/>
        <w:rPr>
          <w:color w:val="auto"/>
          <w:kern w:val="0"/>
          <w:highlight w:val="none"/>
        </w:rPr>
      </w:pPr>
      <w:r>
        <w:rPr>
          <w:color w:val="auto"/>
          <w:kern w:val="0"/>
          <w:highlight w:val="none"/>
        </w:rPr>
        <w:t xml:space="preserve">1.4.2 </w:t>
      </w:r>
      <w:r>
        <w:rPr>
          <w:rFonts w:hint="eastAsia" w:hAnsi="宋体" w:cs="宋体"/>
          <w:color w:val="auto"/>
          <w:kern w:val="0"/>
          <w:highlight w:val="none"/>
        </w:rPr>
        <w:t>发包人提供国外标准、规范的名称：</w:t>
      </w:r>
      <w:r>
        <w:rPr>
          <w:rFonts w:hint="eastAsia" w:ascii="Calibri" w:hAnsi="宋体"/>
          <w:color w:val="auto"/>
          <w:kern w:val="0"/>
          <w:highlight w:val="none"/>
          <w:u w:val="single"/>
        </w:rPr>
        <w:t>无</w:t>
      </w:r>
      <w:r>
        <w:rPr>
          <w:rFonts w:hint="eastAsia" w:hAnsi="宋体" w:cs="宋体"/>
          <w:color w:val="auto"/>
          <w:highlight w:val="none"/>
        </w:rPr>
        <w:t>；</w:t>
      </w:r>
    </w:p>
    <w:p w14:paraId="567E4097">
      <w:pPr>
        <w:spacing w:line="360" w:lineRule="auto"/>
        <w:ind w:firstLine="420" w:firstLineChars="200"/>
        <w:rPr>
          <w:color w:val="auto"/>
          <w:kern w:val="0"/>
          <w:highlight w:val="none"/>
        </w:rPr>
      </w:pPr>
      <w:r>
        <w:rPr>
          <w:rFonts w:hint="eastAsia" w:hAnsi="宋体" w:cs="宋体"/>
          <w:color w:val="auto"/>
          <w:kern w:val="0"/>
          <w:highlight w:val="none"/>
        </w:rPr>
        <w:t>发包人提供国外标准、规范的份数：</w:t>
      </w:r>
      <w:r>
        <w:rPr>
          <w:rFonts w:hint="eastAsia" w:ascii="Calibri" w:hAnsi="宋体"/>
          <w:color w:val="auto"/>
          <w:kern w:val="0"/>
          <w:highlight w:val="none"/>
          <w:u w:val="single"/>
        </w:rPr>
        <w:t>无</w:t>
      </w:r>
      <w:r>
        <w:rPr>
          <w:rFonts w:hint="eastAsia" w:hAnsi="宋体" w:cs="宋体"/>
          <w:color w:val="auto"/>
          <w:kern w:val="0"/>
          <w:highlight w:val="none"/>
        </w:rPr>
        <w:t>；</w:t>
      </w:r>
    </w:p>
    <w:p w14:paraId="434B7B7A">
      <w:pPr>
        <w:spacing w:line="360" w:lineRule="auto"/>
        <w:ind w:firstLine="420" w:firstLineChars="200"/>
        <w:rPr>
          <w:color w:val="auto"/>
          <w:highlight w:val="none"/>
        </w:rPr>
      </w:pPr>
      <w:r>
        <w:rPr>
          <w:rFonts w:hint="eastAsia" w:hAnsi="宋体" w:cs="宋体"/>
          <w:color w:val="auto"/>
          <w:kern w:val="0"/>
          <w:highlight w:val="none"/>
        </w:rPr>
        <w:t>发包人提供国外标准、规范的名称：</w:t>
      </w:r>
      <w:r>
        <w:rPr>
          <w:rFonts w:hint="eastAsia" w:ascii="Calibri" w:hAnsi="宋体"/>
          <w:color w:val="auto"/>
          <w:kern w:val="0"/>
          <w:highlight w:val="none"/>
          <w:u w:val="single"/>
        </w:rPr>
        <w:t>无</w:t>
      </w:r>
      <w:r>
        <w:rPr>
          <w:rFonts w:hint="eastAsia" w:hAnsi="宋体" w:cs="宋体"/>
          <w:color w:val="auto"/>
          <w:kern w:val="0"/>
          <w:highlight w:val="none"/>
        </w:rPr>
        <w:t>。</w:t>
      </w:r>
    </w:p>
    <w:p w14:paraId="0ED895B9">
      <w:pPr>
        <w:spacing w:line="360" w:lineRule="auto"/>
        <w:ind w:firstLine="420" w:firstLineChars="200"/>
        <w:rPr>
          <w:color w:val="auto"/>
          <w:highlight w:val="none"/>
        </w:rPr>
      </w:pPr>
      <w:r>
        <w:rPr>
          <w:color w:val="auto"/>
          <w:highlight w:val="none"/>
        </w:rPr>
        <w:t xml:space="preserve">1.4.3 </w:t>
      </w:r>
      <w:r>
        <w:rPr>
          <w:rFonts w:hint="eastAsia" w:hAnsi="宋体" w:cs="宋体"/>
          <w:color w:val="auto"/>
          <w:highlight w:val="none"/>
        </w:rPr>
        <w:t>发包人对工程的技术标准和功能要求的特殊要求：</w:t>
      </w:r>
      <w:r>
        <w:rPr>
          <w:rFonts w:hint="eastAsia" w:ascii="Calibri" w:hAnsi="宋体"/>
          <w:color w:val="auto"/>
          <w:highlight w:val="none"/>
          <w:u w:val="single"/>
        </w:rPr>
        <w:t>按中华人民共和国现行的标准、行业标准或地方标准执行</w:t>
      </w:r>
      <w:r>
        <w:rPr>
          <w:rFonts w:hint="eastAsia" w:hAnsi="宋体" w:cs="宋体"/>
          <w:color w:val="auto"/>
          <w:highlight w:val="none"/>
        </w:rPr>
        <w:t>。</w:t>
      </w:r>
    </w:p>
    <w:p w14:paraId="0986E667">
      <w:pPr>
        <w:keepNext/>
        <w:keepLines/>
        <w:spacing w:line="600" w:lineRule="exact"/>
        <w:ind w:firstLine="643" w:firstLineChars="200"/>
        <w:outlineLvl w:val="2"/>
        <w:rPr>
          <w:b/>
          <w:bCs/>
          <w:color w:val="auto"/>
          <w:sz w:val="32"/>
          <w:szCs w:val="32"/>
          <w:highlight w:val="none"/>
        </w:rPr>
      </w:pPr>
      <w:bookmarkStart w:id="201" w:name="_Toc373227696"/>
      <w:bookmarkStart w:id="202" w:name="_Toc407135198"/>
      <w:bookmarkStart w:id="203" w:name="_Toc78449784"/>
      <w:bookmarkStart w:id="204" w:name="_Toc373478343"/>
      <w:bookmarkStart w:id="205" w:name="_Toc188277238"/>
      <w:bookmarkStart w:id="206" w:name="_Toc24431861"/>
      <w:bookmarkStart w:id="207" w:name="_Toc389065262"/>
      <w:r>
        <w:rPr>
          <w:b/>
          <w:bCs/>
          <w:color w:val="auto"/>
          <w:sz w:val="32"/>
          <w:szCs w:val="32"/>
          <w:highlight w:val="none"/>
        </w:rPr>
        <w:t xml:space="preserve">1.5 </w:t>
      </w:r>
      <w:r>
        <w:rPr>
          <w:rFonts w:hint="eastAsia" w:cs="黑体"/>
          <w:b/>
          <w:bCs/>
          <w:color w:val="auto"/>
          <w:sz w:val="32"/>
          <w:szCs w:val="32"/>
          <w:highlight w:val="none"/>
        </w:rPr>
        <w:t>合同文件的优先顺序</w:t>
      </w:r>
      <w:bookmarkEnd w:id="201"/>
      <w:bookmarkEnd w:id="202"/>
      <w:bookmarkEnd w:id="203"/>
      <w:bookmarkEnd w:id="204"/>
      <w:bookmarkEnd w:id="205"/>
      <w:bookmarkEnd w:id="206"/>
      <w:bookmarkEnd w:id="207"/>
    </w:p>
    <w:p w14:paraId="1DB66D57">
      <w:pPr>
        <w:spacing w:line="360" w:lineRule="auto"/>
        <w:ind w:firstLine="420" w:firstLineChars="200"/>
        <w:rPr>
          <w:rFonts w:hAnsi="宋体" w:cs="宋体"/>
          <w:color w:val="auto"/>
          <w:kern w:val="0"/>
          <w:highlight w:val="none"/>
        </w:rPr>
      </w:pPr>
      <w:r>
        <w:rPr>
          <w:rFonts w:hint="eastAsia" w:hAnsi="宋体" w:cs="宋体"/>
          <w:color w:val="auto"/>
          <w:highlight w:val="none"/>
        </w:rPr>
        <w:t>合同文件组成及优先顺序为：</w:t>
      </w:r>
    </w:p>
    <w:p w14:paraId="5923666B">
      <w:pPr>
        <w:spacing w:line="360" w:lineRule="auto"/>
        <w:ind w:firstLine="420" w:firstLineChars="200"/>
        <w:rPr>
          <w:rFonts w:hAnsi="宋体" w:cs="宋体"/>
          <w:color w:val="auto"/>
          <w:kern w:val="0"/>
          <w:highlight w:val="none"/>
        </w:rPr>
      </w:pPr>
      <w:r>
        <w:rPr>
          <w:rFonts w:hint="eastAsia" w:hAnsi="宋体" w:cs="宋体"/>
          <w:color w:val="auto"/>
          <w:kern w:val="0"/>
          <w:highlight w:val="none"/>
        </w:rPr>
        <w:t>（1）合同协议书；</w:t>
      </w:r>
    </w:p>
    <w:p w14:paraId="1497415F">
      <w:pPr>
        <w:spacing w:line="360" w:lineRule="auto"/>
        <w:ind w:firstLine="420" w:firstLineChars="200"/>
        <w:rPr>
          <w:rFonts w:hAnsi="宋体" w:cs="宋体"/>
          <w:color w:val="auto"/>
          <w:kern w:val="0"/>
          <w:highlight w:val="none"/>
        </w:rPr>
      </w:pPr>
      <w:bookmarkStart w:id="208" w:name="bookmark916"/>
      <w:bookmarkEnd w:id="208"/>
      <w:r>
        <w:rPr>
          <w:rFonts w:hint="eastAsia" w:hAnsi="宋体" w:cs="宋体"/>
          <w:color w:val="auto"/>
          <w:kern w:val="0"/>
          <w:highlight w:val="none"/>
        </w:rPr>
        <w:t>（2）成交通知书；</w:t>
      </w:r>
    </w:p>
    <w:p w14:paraId="167FCB04">
      <w:pPr>
        <w:spacing w:line="360" w:lineRule="auto"/>
        <w:ind w:firstLine="420" w:firstLineChars="200"/>
        <w:rPr>
          <w:rFonts w:hAnsi="宋体" w:cs="宋体"/>
          <w:color w:val="auto"/>
          <w:kern w:val="0"/>
          <w:highlight w:val="none"/>
        </w:rPr>
      </w:pPr>
      <w:bookmarkStart w:id="209" w:name="bookmark917"/>
      <w:bookmarkEnd w:id="209"/>
      <w:r>
        <w:rPr>
          <w:rFonts w:hint="eastAsia" w:hAnsi="宋体" w:cs="宋体"/>
          <w:color w:val="auto"/>
          <w:kern w:val="0"/>
          <w:highlight w:val="none"/>
        </w:rPr>
        <w:t>（3）响应函；</w:t>
      </w:r>
    </w:p>
    <w:p w14:paraId="1B6F3F4C">
      <w:pPr>
        <w:spacing w:line="360" w:lineRule="auto"/>
        <w:ind w:firstLine="420" w:firstLineChars="200"/>
        <w:rPr>
          <w:rFonts w:hAnsi="宋体" w:cs="宋体"/>
          <w:color w:val="auto"/>
          <w:kern w:val="0"/>
          <w:highlight w:val="none"/>
        </w:rPr>
      </w:pPr>
      <w:bookmarkStart w:id="210" w:name="bookmark918"/>
      <w:bookmarkEnd w:id="210"/>
      <w:r>
        <w:rPr>
          <w:rFonts w:hint="eastAsia" w:hAnsi="宋体" w:cs="宋体"/>
          <w:color w:val="auto"/>
          <w:kern w:val="0"/>
          <w:highlight w:val="none"/>
        </w:rPr>
        <w:t>（4）专用合同条款；</w:t>
      </w:r>
    </w:p>
    <w:p w14:paraId="1B89A0C5">
      <w:pPr>
        <w:spacing w:line="360" w:lineRule="auto"/>
        <w:ind w:firstLine="420" w:firstLineChars="200"/>
        <w:rPr>
          <w:rFonts w:hAnsi="宋体" w:cs="宋体"/>
          <w:color w:val="auto"/>
          <w:kern w:val="0"/>
          <w:highlight w:val="none"/>
        </w:rPr>
      </w:pPr>
      <w:bookmarkStart w:id="211" w:name="bookmark919"/>
      <w:bookmarkEnd w:id="211"/>
      <w:r>
        <w:rPr>
          <w:rFonts w:hint="eastAsia" w:hAnsi="宋体" w:cs="宋体"/>
          <w:color w:val="auto"/>
          <w:kern w:val="0"/>
          <w:highlight w:val="none"/>
        </w:rPr>
        <w:t>（5）通用合同条款；</w:t>
      </w:r>
    </w:p>
    <w:p w14:paraId="7C9B63A9">
      <w:pPr>
        <w:spacing w:line="360" w:lineRule="auto"/>
        <w:ind w:firstLine="420" w:firstLineChars="200"/>
        <w:rPr>
          <w:rFonts w:hAnsi="宋体" w:cs="宋体"/>
          <w:color w:val="auto"/>
          <w:kern w:val="0"/>
          <w:highlight w:val="none"/>
        </w:rPr>
      </w:pPr>
      <w:bookmarkStart w:id="212" w:name="bookmark920"/>
      <w:bookmarkEnd w:id="212"/>
      <w:r>
        <w:rPr>
          <w:rFonts w:hint="eastAsia" w:hAnsi="宋体" w:cs="宋体"/>
          <w:color w:val="auto"/>
          <w:kern w:val="0"/>
          <w:highlight w:val="none"/>
        </w:rPr>
        <w:t>（6）技术标准和要求</w:t>
      </w:r>
      <w:r>
        <w:rPr>
          <w:rFonts w:hint="eastAsia" w:ascii="Calibri" w:hAnsi="宋体"/>
          <w:color w:val="auto"/>
          <w:kern w:val="0"/>
          <w:highlight w:val="none"/>
          <w:u w:val="single"/>
        </w:rPr>
        <w:t>及经批准的施工组织设计、施工方案</w:t>
      </w:r>
      <w:r>
        <w:rPr>
          <w:rFonts w:hint="eastAsia" w:hAnsi="宋体" w:cs="宋体"/>
          <w:color w:val="auto"/>
          <w:kern w:val="0"/>
          <w:highlight w:val="none"/>
        </w:rPr>
        <w:t>；</w:t>
      </w:r>
    </w:p>
    <w:p w14:paraId="3315864F">
      <w:pPr>
        <w:spacing w:line="360" w:lineRule="auto"/>
        <w:ind w:firstLine="420" w:firstLineChars="200"/>
        <w:rPr>
          <w:rFonts w:hAnsi="宋体" w:cs="宋体"/>
          <w:color w:val="auto"/>
          <w:kern w:val="0"/>
          <w:highlight w:val="none"/>
        </w:rPr>
      </w:pPr>
      <w:bookmarkStart w:id="213" w:name="bookmark921"/>
      <w:bookmarkEnd w:id="213"/>
      <w:r>
        <w:rPr>
          <w:rFonts w:hint="eastAsia" w:hAnsi="宋体" w:cs="宋体"/>
          <w:color w:val="auto"/>
          <w:kern w:val="0"/>
          <w:highlight w:val="none"/>
        </w:rPr>
        <w:t>（7）已标价工程量清单；</w:t>
      </w:r>
    </w:p>
    <w:p w14:paraId="3BDDE2D5">
      <w:pPr>
        <w:spacing w:line="360" w:lineRule="auto"/>
        <w:ind w:firstLine="420" w:firstLineChars="200"/>
        <w:rPr>
          <w:rFonts w:hAnsi="宋体" w:cs="宋体"/>
          <w:color w:val="auto"/>
          <w:kern w:val="0"/>
          <w:highlight w:val="none"/>
        </w:rPr>
      </w:pPr>
      <w:bookmarkStart w:id="214" w:name="bookmark922"/>
      <w:bookmarkEnd w:id="214"/>
      <w:r>
        <w:rPr>
          <w:rFonts w:hint="eastAsia" w:hAnsi="宋体" w:cs="宋体"/>
          <w:color w:val="auto"/>
          <w:kern w:val="0"/>
          <w:highlight w:val="none"/>
        </w:rPr>
        <w:t>（8）图纸</w:t>
      </w:r>
      <w:r>
        <w:rPr>
          <w:rFonts w:hint="eastAsia" w:ascii="Calibri" w:hAnsi="宋体"/>
          <w:color w:val="auto"/>
          <w:kern w:val="0"/>
          <w:highlight w:val="none"/>
          <w:u w:val="single"/>
        </w:rPr>
        <w:t>（含设计变更等资料）</w:t>
      </w:r>
      <w:r>
        <w:rPr>
          <w:rFonts w:hint="eastAsia" w:hAnsi="宋体" w:cs="宋体"/>
          <w:color w:val="auto"/>
          <w:kern w:val="0"/>
          <w:highlight w:val="none"/>
        </w:rPr>
        <w:t>；</w:t>
      </w:r>
    </w:p>
    <w:p w14:paraId="271A7A3F">
      <w:pPr>
        <w:spacing w:line="360" w:lineRule="auto"/>
        <w:ind w:firstLine="420" w:firstLineChars="200"/>
        <w:rPr>
          <w:color w:val="auto"/>
          <w:highlight w:val="none"/>
        </w:rPr>
      </w:pPr>
      <w:r>
        <w:rPr>
          <w:rFonts w:hAnsi="宋体"/>
          <w:color w:val="auto"/>
          <w:kern w:val="0"/>
          <w:szCs w:val="21"/>
          <w:highlight w:val="none"/>
        </w:rPr>
        <w:t>（</w:t>
      </w:r>
      <w:r>
        <w:rPr>
          <w:rFonts w:hint="eastAsia" w:hAnsi="宋体"/>
          <w:color w:val="auto"/>
          <w:kern w:val="0"/>
          <w:szCs w:val="21"/>
          <w:highlight w:val="none"/>
        </w:rPr>
        <w:t>9</w:t>
      </w:r>
      <w:r>
        <w:rPr>
          <w:rFonts w:hAnsi="宋体"/>
          <w:color w:val="auto"/>
          <w:kern w:val="0"/>
          <w:szCs w:val="21"/>
          <w:highlight w:val="none"/>
        </w:rPr>
        <w:t>）</w:t>
      </w:r>
      <w:r>
        <w:rPr>
          <w:rFonts w:hint="eastAsia" w:hAnsi="宋体"/>
          <w:color w:val="auto"/>
          <w:kern w:val="0"/>
          <w:szCs w:val="21"/>
          <w:highlight w:val="none"/>
        </w:rPr>
        <w:t>《</w:t>
      </w:r>
      <w:r>
        <w:rPr>
          <w:rFonts w:hAnsi="宋体"/>
          <w:color w:val="auto"/>
          <w:kern w:val="0"/>
          <w:szCs w:val="21"/>
          <w:highlight w:val="none"/>
        </w:rPr>
        <w:t>建设工程工程量清单计价规范（GB5050</w:t>
      </w:r>
      <w:r>
        <w:rPr>
          <w:rFonts w:hint="eastAsia" w:hAnsi="宋体"/>
          <w:color w:val="auto"/>
          <w:kern w:val="0"/>
          <w:szCs w:val="21"/>
          <w:highlight w:val="none"/>
        </w:rPr>
        <w:t>0</w:t>
      </w:r>
      <w:r>
        <w:rPr>
          <w:rFonts w:hAnsi="宋体"/>
          <w:color w:val="auto"/>
          <w:kern w:val="0"/>
          <w:szCs w:val="21"/>
          <w:highlight w:val="none"/>
        </w:rPr>
        <w:t>-2013）</w:t>
      </w:r>
      <w:r>
        <w:rPr>
          <w:rFonts w:hint="eastAsia" w:hAnsi="宋体"/>
          <w:color w:val="auto"/>
          <w:kern w:val="0"/>
          <w:szCs w:val="21"/>
          <w:highlight w:val="none"/>
        </w:rPr>
        <w:t>》及其</w:t>
      </w:r>
      <w:r>
        <w:rPr>
          <w:rFonts w:hAnsi="宋体"/>
          <w:color w:val="auto"/>
          <w:kern w:val="0"/>
          <w:szCs w:val="21"/>
          <w:highlight w:val="none"/>
        </w:rPr>
        <w:t>广西实施细则</w:t>
      </w:r>
      <w:r>
        <w:rPr>
          <w:rFonts w:hint="eastAsia" w:hAnsi="宋体"/>
          <w:color w:val="auto"/>
          <w:kern w:val="0"/>
          <w:szCs w:val="21"/>
          <w:highlight w:val="none"/>
        </w:rPr>
        <w:t>及《关于建筑业实施营业税改征增值税后广西壮族自治区建设工程计价依据调整的通知》（桂建标〔2016〕17号）、《</w:t>
      </w:r>
      <w:r>
        <w:rPr>
          <w:rFonts w:hAnsi="宋体"/>
          <w:color w:val="auto"/>
          <w:kern w:val="0"/>
          <w:szCs w:val="21"/>
          <w:highlight w:val="none"/>
        </w:rPr>
        <w:t>建设工程工程量清单计</w:t>
      </w:r>
      <w:r>
        <w:rPr>
          <w:rFonts w:hint="eastAsia" w:hAnsi="宋体"/>
          <w:color w:val="auto"/>
          <w:kern w:val="0"/>
          <w:szCs w:val="21"/>
          <w:highlight w:val="none"/>
        </w:rPr>
        <w:t>算</w:t>
      </w:r>
      <w:r>
        <w:rPr>
          <w:rFonts w:hAnsi="宋体"/>
          <w:color w:val="auto"/>
          <w:kern w:val="0"/>
          <w:szCs w:val="21"/>
          <w:highlight w:val="none"/>
        </w:rPr>
        <w:t>规范（GB5</w:t>
      </w:r>
      <w:r>
        <w:rPr>
          <w:rFonts w:hint="eastAsia" w:hAnsi="宋体"/>
          <w:color w:val="auto"/>
          <w:kern w:val="0"/>
          <w:szCs w:val="21"/>
          <w:highlight w:val="none"/>
        </w:rPr>
        <w:t>0854~50862</w:t>
      </w:r>
      <w:r>
        <w:rPr>
          <w:rFonts w:hAnsi="宋体"/>
          <w:color w:val="auto"/>
          <w:kern w:val="0"/>
          <w:szCs w:val="21"/>
          <w:highlight w:val="none"/>
        </w:rPr>
        <w:t>-2013）</w:t>
      </w:r>
      <w:r>
        <w:rPr>
          <w:rFonts w:hint="eastAsia" w:hAnsi="宋体"/>
          <w:color w:val="auto"/>
          <w:kern w:val="0"/>
          <w:szCs w:val="21"/>
          <w:highlight w:val="none"/>
        </w:rPr>
        <w:t>》及其</w:t>
      </w:r>
      <w:r>
        <w:rPr>
          <w:rFonts w:hAnsi="宋体"/>
          <w:color w:val="auto"/>
          <w:kern w:val="0"/>
          <w:szCs w:val="21"/>
          <w:highlight w:val="none"/>
        </w:rPr>
        <w:t>广西实施细则</w:t>
      </w:r>
      <w:r>
        <w:rPr>
          <w:rFonts w:hint="eastAsia" w:hAnsi="宋体"/>
          <w:color w:val="auto"/>
          <w:kern w:val="0"/>
          <w:szCs w:val="21"/>
          <w:highlight w:val="none"/>
        </w:rPr>
        <w:t>（修订本） (适用于实行工程量清单计价的项目) ；</w:t>
      </w:r>
    </w:p>
    <w:p w14:paraId="6ABCE096">
      <w:pPr>
        <w:spacing w:line="360" w:lineRule="auto"/>
        <w:ind w:firstLine="420" w:firstLineChars="200"/>
        <w:jc w:val="left"/>
        <w:rPr>
          <w:rFonts w:hAnsi="宋体" w:cs="宋体"/>
          <w:color w:val="auto"/>
          <w:kern w:val="0"/>
          <w:highlight w:val="none"/>
        </w:rPr>
      </w:pPr>
      <w:r>
        <w:rPr>
          <w:rFonts w:hint="eastAsia" w:hAnsi="宋体" w:cs="宋体"/>
          <w:color w:val="auto"/>
          <w:kern w:val="0"/>
          <w:highlight w:val="none"/>
        </w:rPr>
        <w:t>（10）其他合同文件：</w:t>
      </w:r>
      <w:r>
        <w:rPr>
          <w:rFonts w:hint="eastAsia" w:ascii="Calibri" w:hAnsi="宋体" w:cs="宋体"/>
          <w:color w:val="auto"/>
          <w:szCs w:val="22"/>
          <w:highlight w:val="none"/>
          <w:u w:val="single"/>
        </w:rPr>
        <w:t>采购文件及相关函件（含所有补充通知、答疑及相关函件）、发包人、承包人双方签署的补充合同、补充协议等。</w:t>
      </w:r>
    </w:p>
    <w:p w14:paraId="069168BD">
      <w:pPr>
        <w:spacing w:line="360" w:lineRule="auto"/>
        <w:ind w:firstLine="420" w:firstLineChars="200"/>
        <w:rPr>
          <w:rFonts w:hAnsi="宋体" w:cs="宋体"/>
          <w:color w:val="auto"/>
          <w:kern w:val="0"/>
          <w:highlight w:val="none"/>
        </w:rPr>
      </w:pPr>
      <w:r>
        <w:rPr>
          <w:rFonts w:hint="eastAsia" w:hAnsi="宋体" w:cs="宋体"/>
          <w:color w:val="auto"/>
          <w:kern w:val="0"/>
          <w:highlight w:val="none"/>
        </w:rPr>
        <w:t>上述各项合同文件包括合同当事人就该项合同文件所作出的补充和修改，属于同一类内容的文件，应以最新签署的为准（违反招标文件</w:t>
      </w:r>
      <w:r>
        <w:rPr>
          <w:rFonts w:hAnsi="宋体" w:cs="宋体"/>
          <w:color w:val="auto"/>
          <w:kern w:val="0"/>
          <w:highlight w:val="none"/>
        </w:rPr>
        <w:t>实质性内容的约定除外</w:t>
      </w:r>
      <w:r>
        <w:rPr>
          <w:rFonts w:hint="eastAsia" w:hAnsi="宋体" w:cs="宋体"/>
          <w:color w:val="auto"/>
          <w:kern w:val="0"/>
          <w:highlight w:val="none"/>
        </w:rPr>
        <w:t>）。专用合同条款及其附件须经合同当事人签字或盖章。</w:t>
      </w:r>
    </w:p>
    <w:p w14:paraId="56E1408D">
      <w:pPr>
        <w:keepNext/>
        <w:keepLines/>
        <w:spacing w:line="600" w:lineRule="exact"/>
        <w:ind w:firstLine="643" w:firstLineChars="200"/>
        <w:outlineLvl w:val="2"/>
        <w:rPr>
          <w:b/>
          <w:bCs/>
          <w:color w:val="auto"/>
          <w:sz w:val="32"/>
          <w:szCs w:val="32"/>
          <w:highlight w:val="none"/>
        </w:rPr>
      </w:pPr>
      <w:bookmarkStart w:id="215" w:name="_Toc373227697"/>
      <w:bookmarkStart w:id="216" w:name="_Toc373478344"/>
      <w:bookmarkStart w:id="217" w:name="_Toc1537247101"/>
      <w:bookmarkStart w:id="218" w:name="_Toc407135199"/>
      <w:bookmarkStart w:id="219" w:name="_Toc78449785"/>
      <w:bookmarkStart w:id="220" w:name="_Toc389065263"/>
      <w:bookmarkStart w:id="221" w:name="_Toc1531480704"/>
      <w:r>
        <w:rPr>
          <w:b/>
          <w:bCs/>
          <w:color w:val="auto"/>
          <w:sz w:val="32"/>
          <w:szCs w:val="32"/>
          <w:highlight w:val="none"/>
        </w:rPr>
        <w:t xml:space="preserve">1.6 </w:t>
      </w:r>
      <w:r>
        <w:rPr>
          <w:rFonts w:hint="eastAsia" w:cs="黑体"/>
          <w:b/>
          <w:bCs/>
          <w:color w:val="auto"/>
          <w:sz w:val="32"/>
          <w:szCs w:val="32"/>
          <w:highlight w:val="none"/>
        </w:rPr>
        <w:t>图纸和承包人文件</w:t>
      </w:r>
      <w:bookmarkEnd w:id="215"/>
      <w:bookmarkEnd w:id="216"/>
      <w:bookmarkEnd w:id="217"/>
      <w:bookmarkEnd w:id="218"/>
      <w:bookmarkEnd w:id="219"/>
      <w:bookmarkEnd w:id="220"/>
      <w:bookmarkEnd w:id="221"/>
      <w:r>
        <w:rPr>
          <w:b/>
          <w:bCs/>
          <w:color w:val="auto"/>
          <w:sz w:val="32"/>
          <w:szCs w:val="32"/>
          <w:highlight w:val="none"/>
        </w:rPr>
        <w:tab/>
      </w:r>
    </w:p>
    <w:p w14:paraId="375661A4">
      <w:pPr>
        <w:spacing w:line="360" w:lineRule="auto"/>
        <w:ind w:firstLine="420" w:firstLineChars="200"/>
        <w:rPr>
          <w:color w:val="auto"/>
          <w:highlight w:val="none"/>
        </w:rPr>
      </w:pPr>
      <w:r>
        <w:rPr>
          <w:color w:val="auto"/>
          <w:highlight w:val="none"/>
        </w:rPr>
        <w:t xml:space="preserve">1.6.1 </w:t>
      </w:r>
      <w:r>
        <w:rPr>
          <w:rFonts w:hint="eastAsia" w:hAnsi="宋体" w:cs="宋体"/>
          <w:color w:val="auto"/>
          <w:highlight w:val="none"/>
        </w:rPr>
        <w:t>图纸的提供</w:t>
      </w:r>
    </w:p>
    <w:p w14:paraId="1EBA3ECC">
      <w:pPr>
        <w:spacing w:line="360" w:lineRule="auto"/>
        <w:ind w:firstLine="420" w:firstLineChars="200"/>
        <w:rPr>
          <w:color w:val="auto"/>
          <w:highlight w:val="none"/>
        </w:rPr>
      </w:pPr>
      <w:r>
        <w:rPr>
          <w:rFonts w:hint="eastAsia" w:hAnsi="宋体" w:cs="宋体"/>
          <w:color w:val="auto"/>
          <w:highlight w:val="none"/>
        </w:rPr>
        <w:t>发包人向承包人提供图纸的期限：</w:t>
      </w:r>
      <w:r>
        <w:rPr>
          <w:rFonts w:hint="eastAsia" w:ascii="Calibri" w:hAnsi="宋体"/>
          <w:color w:val="auto"/>
          <w:highlight w:val="none"/>
          <w:u w:val="single"/>
        </w:rPr>
        <w:t>合同生效后七天内提供工程所需的施工图纸，施工图纸中利用的通用标准图集、规范、标准及国家和行业管理部门颁发的有关资料由承包人自行提供并承担相应费用</w:t>
      </w:r>
      <w:r>
        <w:rPr>
          <w:rFonts w:hint="eastAsia" w:hAnsi="宋体" w:cs="宋体"/>
          <w:color w:val="auto"/>
          <w:highlight w:val="none"/>
        </w:rPr>
        <w:t>；</w:t>
      </w:r>
    </w:p>
    <w:p w14:paraId="18F3F978">
      <w:pPr>
        <w:spacing w:line="360" w:lineRule="auto"/>
        <w:ind w:firstLine="420" w:firstLineChars="200"/>
        <w:rPr>
          <w:color w:val="auto"/>
          <w:highlight w:val="none"/>
        </w:rPr>
      </w:pPr>
      <w:r>
        <w:rPr>
          <w:rFonts w:hint="eastAsia" w:hAnsi="宋体" w:cs="宋体"/>
          <w:color w:val="auto"/>
          <w:highlight w:val="none"/>
        </w:rPr>
        <w:t>发包人向承包人提供图纸的数量：</w:t>
      </w:r>
      <w:r>
        <w:rPr>
          <w:rFonts w:hint="eastAsia" w:ascii="MingLiU_HKSCS" w:cs="MingLiU_HKSCS"/>
          <w:color w:val="auto"/>
          <w:highlight w:val="none"/>
          <w:u w:val="single"/>
        </w:rPr>
        <w:t>壹</w:t>
      </w:r>
      <w:r>
        <w:rPr>
          <w:rFonts w:hint="eastAsia" w:hAnsi="宋体" w:cs="宋体"/>
          <w:color w:val="auto"/>
          <w:highlight w:val="none"/>
        </w:rPr>
        <w:t>套（承包人需要增加图纸套数的，发包人应代为复制，复制费用由承包人承担）；</w:t>
      </w:r>
    </w:p>
    <w:p w14:paraId="47A6C208">
      <w:pPr>
        <w:spacing w:line="360" w:lineRule="auto"/>
        <w:ind w:firstLine="420" w:firstLineChars="200"/>
        <w:rPr>
          <w:color w:val="auto"/>
          <w:highlight w:val="none"/>
        </w:rPr>
      </w:pPr>
      <w:r>
        <w:rPr>
          <w:rFonts w:hint="eastAsia" w:hAnsi="宋体" w:cs="宋体"/>
          <w:color w:val="auto"/>
          <w:highlight w:val="none"/>
        </w:rPr>
        <w:t>发包人向承包人提供图纸的内容：</w:t>
      </w:r>
      <w:r>
        <w:rPr>
          <w:rFonts w:hint="eastAsia" w:hAnsi="宋体"/>
          <w:color w:val="auto"/>
          <w:szCs w:val="21"/>
          <w:highlight w:val="none"/>
          <w:u w:val="single"/>
        </w:rPr>
        <w:t>本工程所包含的所有图纸及设计变更通知</w:t>
      </w:r>
      <w:r>
        <w:rPr>
          <w:rFonts w:hint="eastAsia" w:hAnsi="宋体" w:cs="宋体"/>
          <w:color w:val="auto"/>
          <w:highlight w:val="none"/>
        </w:rPr>
        <w:t>。</w:t>
      </w:r>
    </w:p>
    <w:p w14:paraId="7B748EEB">
      <w:pPr>
        <w:spacing w:line="360" w:lineRule="auto"/>
        <w:ind w:firstLine="420" w:firstLineChars="200"/>
        <w:rPr>
          <w:color w:val="auto"/>
          <w:highlight w:val="none"/>
        </w:rPr>
      </w:pPr>
      <w:r>
        <w:rPr>
          <w:color w:val="auto"/>
          <w:highlight w:val="none"/>
        </w:rPr>
        <w:t xml:space="preserve">1.6.4 </w:t>
      </w:r>
      <w:r>
        <w:rPr>
          <w:rFonts w:hint="eastAsia" w:hAnsi="宋体" w:cs="宋体"/>
          <w:color w:val="auto"/>
          <w:highlight w:val="none"/>
        </w:rPr>
        <w:t>承包人文件</w:t>
      </w:r>
    </w:p>
    <w:p w14:paraId="231AE38E">
      <w:pPr>
        <w:spacing w:line="360" w:lineRule="auto"/>
        <w:ind w:firstLine="420" w:firstLineChars="200"/>
        <w:jc w:val="left"/>
        <w:rPr>
          <w:rFonts w:ascii="Calibri" w:hAnsi="宋体"/>
          <w:color w:val="auto"/>
          <w:highlight w:val="none"/>
          <w:u w:val="single"/>
        </w:rPr>
      </w:pPr>
      <w:r>
        <w:rPr>
          <w:rFonts w:hint="eastAsia" w:hAnsi="宋体" w:cs="宋体"/>
          <w:color w:val="auto"/>
          <w:highlight w:val="none"/>
        </w:rPr>
        <w:t>需要由承包人提供的文件，包括：</w:t>
      </w:r>
      <w:r>
        <w:rPr>
          <w:rFonts w:hint="eastAsia" w:ascii="Calibri" w:hAnsi="宋体"/>
          <w:color w:val="auto"/>
          <w:highlight w:val="none"/>
          <w:u w:val="single"/>
        </w:rPr>
        <w:t>（1）在开工前7天根据发包人、监理要求提供施工组织设计（含施工总进度计划、平面布置图、材料设备总需求计划和供应计划表等）、月进度计量资料、竣工图及其他工程资料等文件；</w:t>
      </w:r>
    </w:p>
    <w:p w14:paraId="0102BA8B">
      <w:pPr>
        <w:spacing w:line="360" w:lineRule="auto"/>
        <w:ind w:firstLine="420" w:firstLineChars="200"/>
        <w:jc w:val="left"/>
        <w:rPr>
          <w:rFonts w:ascii="Calibri" w:hAnsi="宋体"/>
          <w:color w:val="auto"/>
          <w:highlight w:val="none"/>
          <w:u w:val="single"/>
        </w:rPr>
      </w:pPr>
      <w:r>
        <w:rPr>
          <w:rFonts w:hint="eastAsia" w:ascii="Calibri" w:hAnsi="宋体"/>
          <w:color w:val="auto"/>
          <w:highlight w:val="none"/>
          <w:u w:val="single"/>
        </w:rPr>
        <w:t>（2）在每月25日向发包人、监理提交当月实际完成工作量报表，下月工程进度计划安排；提前一周向发包人提出需发包人供应材料的计划；</w:t>
      </w:r>
    </w:p>
    <w:p w14:paraId="6D860CAB">
      <w:pPr>
        <w:spacing w:line="360" w:lineRule="auto"/>
        <w:ind w:firstLine="420" w:firstLineChars="200"/>
        <w:jc w:val="left"/>
        <w:rPr>
          <w:color w:val="auto"/>
          <w:highlight w:val="none"/>
          <w:u w:val="single"/>
        </w:rPr>
      </w:pPr>
      <w:r>
        <w:rPr>
          <w:rFonts w:hint="eastAsia" w:ascii="Calibri" w:hAnsi="宋体"/>
          <w:color w:val="auto"/>
          <w:highlight w:val="none"/>
          <w:u w:val="single"/>
        </w:rPr>
        <w:t>（3）在每周工地例会向发包人、监理提交本周完成情况（应与上周递交的下周施工计划进行比较）和下周施工计划</w:t>
      </w:r>
      <w:r>
        <w:rPr>
          <w:rFonts w:hint="eastAsia" w:hAnsi="宋体" w:cs="宋体"/>
          <w:color w:val="auto"/>
          <w:highlight w:val="none"/>
        </w:rPr>
        <w:t>；</w:t>
      </w:r>
    </w:p>
    <w:p w14:paraId="6173138C">
      <w:pPr>
        <w:spacing w:line="360" w:lineRule="auto"/>
        <w:ind w:firstLine="420" w:firstLineChars="200"/>
        <w:rPr>
          <w:color w:val="auto"/>
          <w:highlight w:val="none"/>
        </w:rPr>
      </w:pPr>
      <w:r>
        <w:rPr>
          <w:rFonts w:hint="eastAsia" w:hAnsi="宋体" w:cs="宋体"/>
          <w:color w:val="auto"/>
          <w:highlight w:val="none"/>
        </w:rPr>
        <w:t>承包人提供的文件的期限为：</w:t>
      </w:r>
      <w:r>
        <w:rPr>
          <w:rFonts w:hint="eastAsia" w:ascii="Calibri" w:hAnsi="Calibri"/>
          <w:color w:val="auto"/>
          <w:szCs w:val="22"/>
          <w:highlight w:val="none"/>
          <w:u w:val="single"/>
        </w:rPr>
        <w:t>合同签订开始至竣工验收合格后一个月内</w:t>
      </w:r>
      <w:r>
        <w:rPr>
          <w:rFonts w:hint="eastAsia" w:hAnsi="宋体" w:cs="宋体"/>
          <w:color w:val="auto"/>
          <w:highlight w:val="none"/>
        </w:rPr>
        <w:t>；</w:t>
      </w:r>
    </w:p>
    <w:p w14:paraId="346600F4">
      <w:pPr>
        <w:spacing w:line="360" w:lineRule="auto"/>
        <w:ind w:firstLine="420" w:firstLineChars="200"/>
        <w:rPr>
          <w:color w:val="auto"/>
          <w:highlight w:val="none"/>
        </w:rPr>
      </w:pPr>
      <w:r>
        <w:rPr>
          <w:rFonts w:hint="eastAsia" w:hAnsi="宋体" w:cs="宋体"/>
          <w:color w:val="auto"/>
          <w:highlight w:val="none"/>
        </w:rPr>
        <w:t>承包人提供的文件的数量为：</w:t>
      </w:r>
      <w:r>
        <w:rPr>
          <w:rFonts w:ascii="Calibri" w:hAnsi="Calibri"/>
          <w:color w:val="auto"/>
          <w:szCs w:val="22"/>
          <w:highlight w:val="none"/>
          <w:u w:val="single"/>
        </w:rPr>
        <w:t>一式陆份</w:t>
      </w:r>
      <w:r>
        <w:rPr>
          <w:rFonts w:hint="eastAsia" w:hAnsi="宋体" w:cs="宋体"/>
          <w:color w:val="auto"/>
          <w:highlight w:val="none"/>
        </w:rPr>
        <w:t>；</w:t>
      </w:r>
    </w:p>
    <w:p w14:paraId="7DEE69EA">
      <w:pPr>
        <w:spacing w:line="360" w:lineRule="auto"/>
        <w:ind w:firstLine="420" w:firstLineChars="200"/>
        <w:rPr>
          <w:color w:val="auto"/>
          <w:highlight w:val="none"/>
        </w:rPr>
      </w:pPr>
      <w:r>
        <w:rPr>
          <w:rFonts w:hint="eastAsia" w:hAnsi="宋体" w:cs="宋体"/>
          <w:color w:val="auto"/>
          <w:highlight w:val="none"/>
        </w:rPr>
        <w:t>承包人提供的文件的形式为：</w:t>
      </w:r>
      <w:r>
        <w:rPr>
          <w:rFonts w:ascii="Calibri" w:hAnsi="Calibri"/>
          <w:color w:val="auto"/>
          <w:szCs w:val="22"/>
          <w:highlight w:val="none"/>
          <w:u w:val="single"/>
        </w:rPr>
        <w:t>书面材料及电子</w:t>
      </w:r>
      <w:r>
        <w:rPr>
          <w:rFonts w:hint="eastAsia" w:ascii="Calibri" w:hAnsi="Calibri"/>
          <w:color w:val="auto"/>
          <w:szCs w:val="22"/>
          <w:highlight w:val="none"/>
          <w:u w:val="single"/>
        </w:rPr>
        <w:t>版</w:t>
      </w:r>
      <w:r>
        <w:rPr>
          <w:rFonts w:hint="eastAsia" w:hAnsi="宋体" w:cs="宋体"/>
          <w:color w:val="auto"/>
          <w:highlight w:val="none"/>
        </w:rPr>
        <w:t>；</w:t>
      </w:r>
    </w:p>
    <w:p w14:paraId="2B2C2AD3">
      <w:pPr>
        <w:spacing w:line="360" w:lineRule="auto"/>
        <w:ind w:firstLine="420" w:firstLineChars="200"/>
        <w:rPr>
          <w:color w:val="auto"/>
          <w:highlight w:val="none"/>
        </w:rPr>
      </w:pPr>
      <w:r>
        <w:rPr>
          <w:rFonts w:hint="eastAsia" w:hAnsi="宋体" w:cs="宋体"/>
          <w:color w:val="auto"/>
          <w:highlight w:val="none"/>
        </w:rPr>
        <w:t>发包人审批承包人文件的期限：</w:t>
      </w:r>
      <w:r>
        <w:rPr>
          <w:rFonts w:hint="eastAsia" w:ascii="Calibri" w:hAnsi="宋体"/>
          <w:color w:val="auto"/>
          <w:highlight w:val="none"/>
          <w:u w:val="single"/>
        </w:rPr>
        <w:t>从收到承包人提供并经监理单位审核通过的施工组织设计（含施工方案及工程进度计划）后七天内予以确认。发包人的审批意见不免除承包人应承担的任何合同义务，承包人不得以此向发包人主张索赔</w:t>
      </w:r>
      <w:r>
        <w:rPr>
          <w:rFonts w:hint="eastAsia" w:hAnsi="宋体" w:cs="宋体"/>
          <w:color w:val="auto"/>
          <w:highlight w:val="none"/>
        </w:rPr>
        <w:t>。</w:t>
      </w:r>
    </w:p>
    <w:p w14:paraId="52DB9735">
      <w:pPr>
        <w:spacing w:line="360" w:lineRule="auto"/>
        <w:ind w:firstLine="420" w:firstLineChars="200"/>
        <w:rPr>
          <w:color w:val="auto"/>
          <w:highlight w:val="none"/>
        </w:rPr>
      </w:pPr>
      <w:r>
        <w:rPr>
          <w:color w:val="auto"/>
          <w:highlight w:val="none"/>
        </w:rPr>
        <w:t xml:space="preserve">1.6.5 </w:t>
      </w:r>
      <w:r>
        <w:rPr>
          <w:rFonts w:hint="eastAsia" w:hAnsi="宋体" w:cs="宋体"/>
          <w:color w:val="auto"/>
          <w:highlight w:val="none"/>
        </w:rPr>
        <w:t>现场图纸准备</w:t>
      </w:r>
    </w:p>
    <w:p w14:paraId="1C7AC3FE">
      <w:pPr>
        <w:spacing w:line="360" w:lineRule="auto"/>
        <w:ind w:firstLine="420" w:firstLineChars="200"/>
        <w:rPr>
          <w:color w:val="auto"/>
          <w:highlight w:val="none"/>
        </w:rPr>
      </w:pPr>
      <w:r>
        <w:rPr>
          <w:rFonts w:hint="eastAsia" w:hAnsi="宋体" w:cs="宋体"/>
          <w:color w:val="auto"/>
          <w:highlight w:val="none"/>
        </w:rPr>
        <w:t>关于现场图纸准备的约定：</w:t>
      </w:r>
      <w:r>
        <w:rPr>
          <w:rFonts w:hint="eastAsia" w:ascii="Calibri" w:hAnsi="宋体"/>
          <w:color w:val="auto"/>
          <w:highlight w:val="none"/>
          <w:u w:val="single"/>
        </w:rPr>
        <w:t>承包人应在施工现场保留一套完整的施工图纸，供工程师及有关人员进行工程检查时使用，未经发包人书面同意不许将图纸泄露和转让给第三方</w:t>
      </w:r>
      <w:r>
        <w:rPr>
          <w:rFonts w:hint="eastAsia" w:hAnsi="宋体" w:cs="宋体"/>
          <w:color w:val="auto"/>
          <w:highlight w:val="none"/>
        </w:rPr>
        <w:t>。</w:t>
      </w:r>
    </w:p>
    <w:p w14:paraId="4B1C8469">
      <w:pPr>
        <w:keepNext/>
        <w:keepLines/>
        <w:spacing w:line="600" w:lineRule="exact"/>
        <w:ind w:firstLine="643" w:firstLineChars="200"/>
        <w:outlineLvl w:val="2"/>
        <w:rPr>
          <w:b/>
          <w:bCs/>
          <w:color w:val="auto"/>
          <w:sz w:val="32"/>
          <w:szCs w:val="32"/>
          <w:highlight w:val="none"/>
        </w:rPr>
      </w:pPr>
      <w:bookmarkStart w:id="222" w:name="_Toc389065264"/>
      <w:bookmarkStart w:id="223" w:name="_Toc1944260835"/>
      <w:bookmarkStart w:id="224" w:name="_Toc110523719"/>
      <w:bookmarkStart w:id="225" w:name="_Toc373478345"/>
      <w:bookmarkStart w:id="226" w:name="_Toc373227698"/>
      <w:bookmarkStart w:id="227" w:name="_Toc407135200"/>
      <w:bookmarkStart w:id="228" w:name="_Toc78449786"/>
      <w:r>
        <w:rPr>
          <w:b/>
          <w:bCs/>
          <w:color w:val="auto"/>
          <w:sz w:val="32"/>
          <w:szCs w:val="32"/>
          <w:highlight w:val="none"/>
        </w:rPr>
        <w:t xml:space="preserve">1.7 </w:t>
      </w:r>
      <w:r>
        <w:rPr>
          <w:rFonts w:hint="eastAsia" w:hAnsi="宋体" w:cs="黑体"/>
          <w:b/>
          <w:bCs/>
          <w:color w:val="auto"/>
          <w:sz w:val="32"/>
          <w:szCs w:val="32"/>
          <w:highlight w:val="none"/>
        </w:rPr>
        <w:t>联络</w:t>
      </w:r>
      <w:bookmarkEnd w:id="222"/>
      <w:bookmarkEnd w:id="223"/>
      <w:bookmarkEnd w:id="224"/>
      <w:bookmarkEnd w:id="225"/>
      <w:bookmarkEnd w:id="226"/>
      <w:bookmarkEnd w:id="227"/>
      <w:bookmarkEnd w:id="228"/>
    </w:p>
    <w:p w14:paraId="31025073">
      <w:pPr>
        <w:spacing w:line="360" w:lineRule="auto"/>
        <w:ind w:firstLine="420" w:firstLineChars="200"/>
        <w:rPr>
          <w:color w:val="auto"/>
          <w:kern w:val="0"/>
          <w:highlight w:val="none"/>
        </w:rPr>
      </w:pPr>
      <w:r>
        <w:rPr>
          <w:color w:val="auto"/>
          <w:kern w:val="0"/>
          <w:highlight w:val="none"/>
        </w:rPr>
        <w:t>1.7.1</w:t>
      </w:r>
      <w:r>
        <w:rPr>
          <w:rFonts w:hint="eastAsia" w:hAnsi="宋体" w:cs="宋体"/>
          <w:color w:val="auto"/>
          <w:kern w:val="0"/>
          <w:highlight w:val="none"/>
        </w:rPr>
        <w:t>发包人和承包人应当在</w:t>
      </w:r>
      <w:r>
        <w:rPr>
          <w:rFonts w:hint="eastAsia"/>
          <w:color w:val="auto"/>
          <w:highlight w:val="none"/>
          <w:u w:val="single"/>
        </w:rPr>
        <w:t>3</w:t>
      </w:r>
      <w:r>
        <w:rPr>
          <w:rFonts w:hint="eastAsia" w:hAnsi="宋体" w:cs="宋体"/>
          <w:color w:val="auto"/>
          <w:kern w:val="0"/>
          <w:highlight w:val="none"/>
        </w:rPr>
        <w:t>天内将与合同有关的通知、批准、证明、证书、指示、指令、要求、请求、同意、意见、确定和决定等书面函件送达对方当事人。</w:t>
      </w:r>
    </w:p>
    <w:p w14:paraId="59A81A96">
      <w:pPr>
        <w:spacing w:line="360" w:lineRule="auto"/>
        <w:ind w:firstLine="420" w:firstLineChars="200"/>
        <w:rPr>
          <w:color w:val="auto"/>
          <w:kern w:val="0"/>
          <w:highlight w:val="none"/>
        </w:rPr>
      </w:pPr>
      <w:r>
        <w:rPr>
          <w:color w:val="auto"/>
          <w:kern w:val="0"/>
          <w:highlight w:val="none"/>
        </w:rPr>
        <w:t xml:space="preserve">1.7.2 </w:t>
      </w:r>
      <w:r>
        <w:rPr>
          <w:rFonts w:hint="eastAsia" w:hAnsi="宋体" w:cs="宋体"/>
          <w:color w:val="auto"/>
          <w:kern w:val="0"/>
          <w:highlight w:val="none"/>
        </w:rPr>
        <w:t>发包人接收文件的地点：</w:t>
      </w:r>
      <w:r>
        <w:rPr>
          <w:rFonts w:hint="eastAsia" w:ascii="Calibri" w:hAnsi="宋体"/>
          <w:color w:val="auto"/>
          <w:highlight w:val="none"/>
          <w:u w:val="single"/>
        </w:rPr>
        <w:t>施工现场发包人办公地点</w:t>
      </w:r>
      <w:r>
        <w:rPr>
          <w:rFonts w:hint="eastAsia" w:hAnsi="宋体" w:cs="宋体"/>
          <w:color w:val="auto"/>
          <w:kern w:val="0"/>
          <w:highlight w:val="none"/>
        </w:rPr>
        <w:t>；</w:t>
      </w:r>
    </w:p>
    <w:p w14:paraId="6ED816DF">
      <w:pPr>
        <w:spacing w:line="360" w:lineRule="auto"/>
        <w:ind w:firstLine="420" w:firstLineChars="200"/>
        <w:rPr>
          <w:color w:val="auto"/>
          <w:kern w:val="0"/>
          <w:highlight w:val="none"/>
        </w:rPr>
      </w:pPr>
      <w:r>
        <w:rPr>
          <w:rFonts w:hint="eastAsia" w:hAnsi="宋体" w:cs="宋体"/>
          <w:color w:val="auto"/>
          <w:kern w:val="0"/>
          <w:highlight w:val="none"/>
        </w:rPr>
        <w:t>发包人指定的接收人为：</w:t>
      </w:r>
      <w:r>
        <w:rPr>
          <w:rFonts w:hint="eastAsia" w:ascii="Calibri" w:hAnsi="宋体"/>
          <w:color w:val="auto"/>
          <w:highlight w:val="none"/>
          <w:u w:val="single"/>
        </w:rPr>
        <w:t>业主代表（现场）</w:t>
      </w:r>
      <w:r>
        <w:rPr>
          <w:rFonts w:hint="eastAsia" w:hAnsi="宋体" w:cs="宋体"/>
          <w:color w:val="auto"/>
          <w:kern w:val="0"/>
          <w:highlight w:val="none"/>
        </w:rPr>
        <w:t>。</w:t>
      </w:r>
    </w:p>
    <w:p w14:paraId="7B8266AC">
      <w:pPr>
        <w:spacing w:line="360" w:lineRule="auto"/>
        <w:ind w:firstLine="420" w:firstLineChars="200"/>
        <w:rPr>
          <w:color w:val="auto"/>
          <w:kern w:val="0"/>
          <w:highlight w:val="none"/>
        </w:rPr>
      </w:pPr>
      <w:r>
        <w:rPr>
          <w:rFonts w:hint="eastAsia" w:hAnsi="宋体" w:cs="宋体"/>
          <w:color w:val="auto"/>
          <w:kern w:val="0"/>
          <w:highlight w:val="none"/>
        </w:rPr>
        <w:t>承包人接收文件的地点：</w:t>
      </w:r>
      <w:r>
        <w:rPr>
          <w:rFonts w:hint="eastAsia" w:ascii="Calibri" w:hAnsi="宋体"/>
          <w:color w:val="auto"/>
          <w:highlight w:val="none"/>
          <w:u w:val="single"/>
        </w:rPr>
        <w:t>承包人施工场地管理机构的办公地点</w:t>
      </w:r>
      <w:r>
        <w:rPr>
          <w:rFonts w:hint="eastAsia" w:hAnsi="宋体" w:cs="宋体"/>
          <w:color w:val="auto"/>
          <w:kern w:val="0"/>
          <w:highlight w:val="none"/>
        </w:rPr>
        <w:t>；</w:t>
      </w:r>
    </w:p>
    <w:p w14:paraId="52C988AD">
      <w:pPr>
        <w:spacing w:line="360" w:lineRule="auto"/>
        <w:ind w:firstLine="420" w:firstLineChars="200"/>
        <w:rPr>
          <w:color w:val="auto"/>
          <w:kern w:val="0"/>
          <w:highlight w:val="none"/>
        </w:rPr>
      </w:pPr>
      <w:r>
        <w:rPr>
          <w:rFonts w:hint="eastAsia" w:hAnsi="宋体" w:cs="宋体"/>
          <w:color w:val="auto"/>
          <w:kern w:val="0"/>
          <w:highlight w:val="none"/>
        </w:rPr>
        <w:t>承包人指定的接收人为：</w:t>
      </w:r>
      <w:r>
        <w:rPr>
          <w:rFonts w:hint="eastAsia" w:ascii="Calibri" w:hAnsi="宋体"/>
          <w:color w:val="auto"/>
          <w:highlight w:val="none"/>
          <w:u w:val="single"/>
        </w:rPr>
        <w:t>承包人指定的接收人为合同协议书中载明的承包人项目经理本人或者指定的承包人其他工作人员</w:t>
      </w:r>
      <w:r>
        <w:rPr>
          <w:rFonts w:hint="eastAsia" w:hAnsi="宋体" w:cs="宋体"/>
          <w:color w:val="auto"/>
          <w:kern w:val="0"/>
          <w:highlight w:val="none"/>
        </w:rPr>
        <w:t>。</w:t>
      </w:r>
    </w:p>
    <w:p w14:paraId="01F6019B">
      <w:pPr>
        <w:spacing w:line="360" w:lineRule="auto"/>
        <w:ind w:firstLine="420" w:firstLineChars="200"/>
        <w:rPr>
          <w:color w:val="auto"/>
          <w:kern w:val="0"/>
          <w:highlight w:val="none"/>
        </w:rPr>
      </w:pPr>
      <w:r>
        <w:rPr>
          <w:rFonts w:hint="eastAsia" w:hAnsi="宋体" w:cs="宋体"/>
          <w:color w:val="auto"/>
          <w:kern w:val="0"/>
          <w:highlight w:val="none"/>
        </w:rPr>
        <w:t>监理人接收文件的地点：</w:t>
      </w:r>
      <w:r>
        <w:rPr>
          <w:rFonts w:hint="eastAsia" w:ascii="Calibri" w:hAnsi="宋体"/>
          <w:color w:val="auto"/>
          <w:highlight w:val="none"/>
          <w:u w:val="single"/>
        </w:rPr>
        <w:t>施工现场监理人办公地点</w:t>
      </w:r>
      <w:r>
        <w:rPr>
          <w:rFonts w:hint="eastAsia" w:hAnsi="宋体" w:cs="宋体"/>
          <w:color w:val="auto"/>
          <w:kern w:val="0"/>
          <w:highlight w:val="none"/>
        </w:rPr>
        <w:t>；</w:t>
      </w:r>
    </w:p>
    <w:p w14:paraId="1DEC8BC6">
      <w:pPr>
        <w:spacing w:line="360" w:lineRule="auto"/>
        <w:ind w:firstLine="420" w:firstLineChars="200"/>
        <w:rPr>
          <w:color w:val="auto"/>
          <w:kern w:val="0"/>
          <w:highlight w:val="none"/>
        </w:rPr>
      </w:pPr>
      <w:r>
        <w:rPr>
          <w:rFonts w:hint="eastAsia" w:hAnsi="宋体" w:cs="宋体"/>
          <w:color w:val="auto"/>
          <w:kern w:val="0"/>
          <w:highlight w:val="none"/>
        </w:rPr>
        <w:t>监理人指定的接收人为：</w:t>
      </w:r>
      <w:r>
        <w:rPr>
          <w:rFonts w:hint="eastAsia" w:ascii="Calibri" w:hAnsi="宋体"/>
          <w:color w:val="auto"/>
          <w:highlight w:val="none"/>
          <w:u w:val="single"/>
        </w:rPr>
        <w:t>监理工程师或其指定的授权代表</w:t>
      </w:r>
      <w:r>
        <w:rPr>
          <w:rFonts w:hint="eastAsia" w:hAnsi="宋体" w:cs="宋体"/>
          <w:color w:val="auto"/>
          <w:kern w:val="0"/>
          <w:highlight w:val="none"/>
        </w:rPr>
        <w:t>。</w:t>
      </w:r>
    </w:p>
    <w:p w14:paraId="38750047">
      <w:pPr>
        <w:keepNext/>
        <w:keepLines/>
        <w:spacing w:line="600" w:lineRule="exact"/>
        <w:ind w:firstLine="643" w:firstLineChars="200"/>
        <w:outlineLvl w:val="2"/>
        <w:rPr>
          <w:b/>
          <w:bCs/>
          <w:color w:val="auto"/>
          <w:sz w:val="32"/>
          <w:szCs w:val="32"/>
          <w:highlight w:val="none"/>
        </w:rPr>
      </w:pPr>
      <w:bookmarkStart w:id="229" w:name="_Toc1387231545"/>
      <w:bookmarkStart w:id="230" w:name="_Toc224348539"/>
      <w:bookmarkStart w:id="231" w:name="_Toc389065265"/>
      <w:bookmarkStart w:id="232" w:name="_Toc373478346"/>
      <w:bookmarkStart w:id="233" w:name="_Toc373227699"/>
      <w:bookmarkStart w:id="234" w:name="_Toc78449787"/>
      <w:bookmarkStart w:id="235" w:name="_Toc407135201"/>
      <w:r>
        <w:rPr>
          <w:b/>
          <w:bCs/>
          <w:color w:val="auto"/>
          <w:sz w:val="32"/>
          <w:szCs w:val="32"/>
          <w:highlight w:val="none"/>
        </w:rPr>
        <w:t xml:space="preserve">1.10 </w:t>
      </w:r>
      <w:r>
        <w:rPr>
          <w:rFonts w:hint="eastAsia" w:hAnsi="宋体" w:cs="黑体"/>
          <w:b/>
          <w:bCs/>
          <w:color w:val="auto"/>
          <w:sz w:val="32"/>
          <w:szCs w:val="32"/>
          <w:highlight w:val="none"/>
        </w:rPr>
        <w:t>交通运输</w:t>
      </w:r>
      <w:bookmarkEnd w:id="229"/>
      <w:bookmarkEnd w:id="230"/>
      <w:bookmarkEnd w:id="231"/>
      <w:bookmarkEnd w:id="232"/>
      <w:bookmarkEnd w:id="233"/>
      <w:bookmarkEnd w:id="234"/>
      <w:bookmarkEnd w:id="235"/>
    </w:p>
    <w:p w14:paraId="339B26D9">
      <w:pPr>
        <w:spacing w:line="360" w:lineRule="auto"/>
        <w:ind w:firstLine="420" w:firstLineChars="200"/>
        <w:rPr>
          <w:color w:val="auto"/>
          <w:highlight w:val="none"/>
        </w:rPr>
      </w:pPr>
      <w:r>
        <w:rPr>
          <w:color w:val="auto"/>
          <w:highlight w:val="none"/>
        </w:rPr>
        <w:t>1</w:t>
      </w:r>
      <w:bookmarkStart w:id="236" w:name="_Toc303539100"/>
      <w:bookmarkStart w:id="237" w:name="_Toc300934943"/>
      <w:bookmarkStart w:id="238" w:name="_Toc318581155"/>
      <w:bookmarkStart w:id="239" w:name="_Toc312677986"/>
      <w:bookmarkStart w:id="240" w:name="_Toc304295521"/>
      <w:r>
        <w:rPr>
          <w:color w:val="auto"/>
          <w:highlight w:val="none"/>
        </w:rPr>
        <w:t xml:space="preserve">.10.1 </w:t>
      </w:r>
      <w:r>
        <w:rPr>
          <w:rFonts w:hint="eastAsia" w:hAnsi="宋体" w:cs="宋体"/>
          <w:color w:val="auto"/>
          <w:highlight w:val="none"/>
        </w:rPr>
        <w:t>出入现场的权利</w:t>
      </w:r>
    </w:p>
    <w:p w14:paraId="16312CBE">
      <w:pPr>
        <w:spacing w:line="360" w:lineRule="auto"/>
        <w:ind w:firstLine="420" w:firstLineChars="200"/>
        <w:rPr>
          <w:color w:val="auto"/>
          <w:highlight w:val="none"/>
          <w:u w:val="single"/>
        </w:rPr>
      </w:pPr>
      <w:r>
        <w:rPr>
          <w:rFonts w:hint="eastAsia" w:hAnsi="宋体" w:cs="宋体"/>
          <w:color w:val="auto"/>
          <w:highlight w:val="none"/>
        </w:rPr>
        <w:t>关于出入现场的权利的约定：</w:t>
      </w:r>
      <w:r>
        <w:rPr>
          <w:rFonts w:hint="eastAsia" w:ascii="Calibri" w:hAnsi="宋体"/>
          <w:color w:val="auto"/>
          <w:highlight w:val="none"/>
          <w:u w:val="single"/>
        </w:rPr>
        <w:t>与施工无关的人员需出入现场须经承发包双方同意</w:t>
      </w:r>
      <w:r>
        <w:rPr>
          <w:rFonts w:hint="eastAsia" w:hAnsi="宋体" w:cs="宋体"/>
          <w:color w:val="auto"/>
          <w:highlight w:val="none"/>
        </w:rPr>
        <w:t>。</w:t>
      </w:r>
    </w:p>
    <w:bookmarkEnd w:id="236"/>
    <w:bookmarkEnd w:id="237"/>
    <w:bookmarkEnd w:id="238"/>
    <w:bookmarkEnd w:id="239"/>
    <w:bookmarkEnd w:id="240"/>
    <w:p w14:paraId="6CB45D0B">
      <w:pPr>
        <w:spacing w:line="360" w:lineRule="auto"/>
        <w:ind w:firstLine="420" w:firstLineChars="200"/>
        <w:jc w:val="left"/>
        <w:rPr>
          <w:color w:val="auto"/>
          <w:highlight w:val="none"/>
        </w:rPr>
      </w:pPr>
      <w:r>
        <w:rPr>
          <w:color w:val="auto"/>
          <w:highlight w:val="none"/>
        </w:rPr>
        <w:t>1</w:t>
      </w:r>
      <w:bookmarkStart w:id="241" w:name="_Toc304295522"/>
      <w:bookmarkStart w:id="242" w:name="_Toc300934944"/>
      <w:bookmarkStart w:id="243" w:name="_Toc312677987"/>
      <w:bookmarkStart w:id="244" w:name="_Toc318581156"/>
      <w:bookmarkStart w:id="245" w:name="_Toc303539101"/>
      <w:r>
        <w:rPr>
          <w:color w:val="auto"/>
          <w:highlight w:val="none"/>
        </w:rPr>
        <w:t xml:space="preserve">.10.3 </w:t>
      </w:r>
      <w:r>
        <w:rPr>
          <w:rFonts w:hint="eastAsia" w:hAnsi="宋体" w:cs="宋体"/>
          <w:color w:val="auto"/>
          <w:highlight w:val="none"/>
        </w:rPr>
        <w:t>场内交通</w:t>
      </w:r>
    </w:p>
    <w:p w14:paraId="7CB7D8B7">
      <w:pPr>
        <w:spacing w:line="360" w:lineRule="auto"/>
        <w:ind w:firstLine="420" w:firstLineChars="200"/>
        <w:jc w:val="left"/>
        <w:rPr>
          <w:color w:val="auto"/>
          <w:kern w:val="0"/>
          <w:highlight w:val="none"/>
        </w:rPr>
      </w:pPr>
      <w:r>
        <w:rPr>
          <w:rFonts w:hint="eastAsia" w:hAnsi="宋体" w:cs="宋体"/>
          <w:color w:val="auto"/>
          <w:kern w:val="0"/>
          <w:highlight w:val="none"/>
        </w:rPr>
        <w:t>关于场外交通和场内交通的边界的约定：</w:t>
      </w:r>
      <w:r>
        <w:rPr>
          <w:rFonts w:hint="eastAsia" w:ascii="Calibri" w:hAnsi="宋体"/>
          <w:color w:val="auto"/>
          <w:highlight w:val="none"/>
          <w:u w:val="single"/>
        </w:rPr>
        <w:t>原则上以规划批复总平用地红线界定</w:t>
      </w:r>
      <w:r>
        <w:rPr>
          <w:rFonts w:hint="eastAsia" w:hAnsi="宋体" w:cs="宋体"/>
          <w:color w:val="auto"/>
          <w:highlight w:val="none"/>
        </w:rPr>
        <w:t>。</w:t>
      </w:r>
    </w:p>
    <w:p w14:paraId="7540821D">
      <w:pPr>
        <w:spacing w:line="360" w:lineRule="auto"/>
        <w:ind w:firstLine="420" w:firstLineChars="200"/>
        <w:jc w:val="left"/>
        <w:rPr>
          <w:color w:val="auto"/>
          <w:highlight w:val="none"/>
        </w:rPr>
      </w:pPr>
      <w:r>
        <w:rPr>
          <w:rFonts w:hAnsi="宋体"/>
          <w:color w:val="auto"/>
          <w:highlight w:val="none"/>
        </w:rPr>
        <w:t>关于发包人向承包人免费提供满足工程施工需要的场内道路和交通设施的约定：</w:t>
      </w:r>
      <w:r>
        <w:rPr>
          <w:rFonts w:hint="eastAsia" w:ascii="Calibri" w:hAnsi="宋体"/>
          <w:color w:val="auto"/>
          <w:highlight w:val="none"/>
          <w:u w:val="single"/>
        </w:rPr>
        <w:t>由承包人根据现场实际自行考虑，费用自理</w:t>
      </w:r>
      <w:r>
        <w:rPr>
          <w:rFonts w:hAnsi="宋体"/>
          <w:color w:val="auto"/>
          <w:highlight w:val="none"/>
        </w:rPr>
        <w:t>。</w:t>
      </w:r>
      <w:bookmarkEnd w:id="241"/>
      <w:bookmarkEnd w:id="242"/>
      <w:bookmarkEnd w:id="243"/>
      <w:bookmarkEnd w:id="244"/>
      <w:bookmarkEnd w:id="245"/>
      <w:bookmarkStart w:id="246" w:name="_Toc318581157"/>
    </w:p>
    <w:p w14:paraId="06F55603">
      <w:pPr>
        <w:spacing w:line="360" w:lineRule="auto"/>
        <w:ind w:firstLine="420" w:firstLineChars="200"/>
        <w:jc w:val="left"/>
        <w:rPr>
          <w:color w:val="auto"/>
          <w:highlight w:val="none"/>
        </w:rPr>
      </w:pPr>
      <w:r>
        <w:rPr>
          <w:color w:val="auto"/>
          <w:highlight w:val="none"/>
        </w:rPr>
        <w:t xml:space="preserve">1.10.4 </w:t>
      </w:r>
      <w:r>
        <w:rPr>
          <w:rFonts w:hint="eastAsia" w:hAnsi="宋体" w:cs="宋体"/>
          <w:color w:val="auto"/>
          <w:highlight w:val="none"/>
        </w:rPr>
        <w:t>超大件和超重件的运输</w:t>
      </w:r>
    </w:p>
    <w:p w14:paraId="24CE28FD">
      <w:pPr>
        <w:spacing w:line="360" w:lineRule="auto"/>
        <w:ind w:firstLine="420" w:firstLineChars="200"/>
        <w:jc w:val="left"/>
        <w:rPr>
          <w:color w:val="auto"/>
          <w:highlight w:val="none"/>
          <w:u w:val="single"/>
        </w:rPr>
      </w:pPr>
      <w:r>
        <w:rPr>
          <w:rFonts w:hint="eastAsia" w:hAnsi="宋体" w:cs="宋体"/>
          <w:color w:val="auto"/>
          <w:highlight w:val="none"/>
        </w:rPr>
        <w:t>运输超大件或超重件所需的道路和桥梁临时加固改造费用和其他有关费用由</w:t>
      </w:r>
      <w:r>
        <w:rPr>
          <w:rFonts w:hint="eastAsia" w:ascii="Calibri" w:hAnsi="宋体"/>
          <w:color w:val="auto"/>
          <w:highlight w:val="none"/>
          <w:u w:val="single"/>
        </w:rPr>
        <w:t>承包人</w:t>
      </w:r>
      <w:r>
        <w:rPr>
          <w:rFonts w:hint="eastAsia" w:hAnsi="宋体" w:cs="宋体"/>
          <w:color w:val="auto"/>
          <w:highlight w:val="none"/>
        </w:rPr>
        <w:t>承担。</w:t>
      </w:r>
    </w:p>
    <w:bookmarkEnd w:id="246"/>
    <w:p w14:paraId="60F02B51">
      <w:pPr>
        <w:keepNext/>
        <w:keepLines/>
        <w:spacing w:line="600" w:lineRule="exact"/>
        <w:ind w:firstLine="643" w:firstLineChars="200"/>
        <w:outlineLvl w:val="2"/>
        <w:rPr>
          <w:b/>
          <w:bCs/>
          <w:color w:val="auto"/>
          <w:sz w:val="32"/>
          <w:szCs w:val="32"/>
          <w:highlight w:val="none"/>
        </w:rPr>
      </w:pPr>
      <w:bookmarkStart w:id="247" w:name="_Toc373478347"/>
      <w:bookmarkStart w:id="248" w:name="_Toc407135202"/>
      <w:bookmarkStart w:id="249" w:name="_Toc389065266"/>
      <w:bookmarkStart w:id="250" w:name="_Toc78449788"/>
      <w:bookmarkStart w:id="251" w:name="_Toc373227700"/>
      <w:bookmarkStart w:id="252" w:name="_Toc1495098807"/>
      <w:bookmarkStart w:id="253" w:name="_Toc512841653"/>
      <w:r>
        <w:rPr>
          <w:b/>
          <w:bCs/>
          <w:color w:val="auto"/>
          <w:sz w:val="32"/>
          <w:szCs w:val="32"/>
          <w:highlight w:val="none"/>
        </w:rPr>
        <w:t xml:space="preserve">1.11 </w:t>
      </w:r>
      <w:r>
        <w:rPr>
          <w:rFonts w:hint="eastAsia" w:hAnsi="宋体" w:cs="黑体"/>
          <w:b/>
          <w:bCs/>
          <w:color w:val="auto"/>
          <w:sz w:val="32"/>
          <w:szCs w:val="32"/>
          <w:highlight w:val="none"/>
        </w:rPr>
        <w:t>知识产权</w:t>
      </w:r>
      <w:bookmarkEnd w:id="247"/>
      <w:bookmarkEnd w:id="248"/>
      <w:bookmarkEnd w:id="249"/>
      <w:bookmarkEnd w:id="250"/>
      <w:bookmarkEnd w:id="251"/>
      <w:bookmarkEnd w:id="252"/>
      <w:bookmarkEnd w:id="253"/>
    </w:p>
    <w:p w14:paraId="5AECBAFA">
      <w:pPr>
        <w:spacing w:line="360" w:lineRule="auto"/>
        <w:ind w:firstLine="420" w:firstLineChars="200"/>
        <w:rPr>
          <w:color w:val="auto"/>
          <w:highlight w:val="none"/>
        </w:rPr>
      </w:pPr>
      <w:r>
        <w:rPr>
          <w:color w:val="auto"/>
          <w:highlight w:val="none"/>
        </w:rPr>
        <w:t xml:space="preserve">1.11.1 </w:t>
      </w:r>
      <w:r>
        <w:rPr>
          <w:rFonts w:hint="eastAsia" w:hAnsi="宋体" w:cs="宋体"/>
          <w:color w:val="auto"/>
          <w:highlight w:val="none"/>
        </w:rPr>
        <w:t>关于发包人提供给承包人的图纸、发包人为实施工程自行编制或委托编制的技术规范以及反映发包人关于合同要求或其他类似性质的文件的著作权的归属：</w:t>
      </w:r>
      <w:r>
        <w:rPr>
          <w:rFonts w:hint="eastAsia" w:ascii="Calibri" w:hAnsi="宋体"/>
          <w:color w:val="auto"/>
          <w:highlight w:val="none"/>
          <w:u w:val="single"/>
        </w:rPr>
        <w:t>属于发包人</w:t>
      </w:r>
      <w:r>
        <w:rPr>
          <w:rFonts w:hint="eastAsia" w:hAnsi="宋体" w:cs="宋体"/>
          <w:color w:val="auto"/>
          <w:highlight w:val="none"/>
        </w:rPr>
        <w:t>。</w:t>
      </w:r>
    </w:p>
    <w:p w14:paraId="6FA8BE3A">
      <w:pPr>
        <w:spacing w:line="360" w:lineRule="auto"/>
        <w:ind w:firstLine="420" w:firstLineChars="200"/>
        <w:rPr>
          <w:color w:val="auto"/>
          <w:highlight w:val="none"/>
        </w:rPr>
      </w:pPr>
      <w:r>
        <w:rPr>
          <w:rFonts w:hint="eastAsia" w:hAnsi="宋体" w:cs="宋体"/>
          <w:color w:val="auto"/>
          <w:highlight w:val="none"/>
        </w:rPr>
        <w:t>关于发包人提供的上述文件的使用限制的要求：</w:t>
      </w:r>
      <w:r>
        <w:rPr>
          <w:rFonts w:hint="eastAsia" w:ascii="Calibri" w:hAnsi="Calibri"/>
          <w:color w:val="auto"/>
          <w:highlight w:val="none"/>
          <w:u w:val="single"/>
        </w:rPr>
        <w:t>承包人应对发包人提供的图纸予以保密，不得擅自向外泄漏图纸，不得将图纸借给他人用于实施本项目以外之目的</w:t>
      </w:r>
      <w:r>
        <w:rPr>
          <w:rFonts w:hint="eastAsia" w:hAnsi="宋体" w:cs="宋体"/>
          <w:color w:val="auto"/>
          <w:highlight w:val="none"/>
        </w:rPr>
        <w:t>。</w:t>
      </w:r>
    </w:p>
    <w:p w14:paraId="3F9281AD">
      <w:pPr>
        <w:spacing w:line="360" w:lineRule="auto"/>
        <w:ind w:firstLine="420" w:firstLineChars="200"/>
        <w:rPr>
          <w:color w:val="auto"/>
          <w:highlight w:val="none"/>
        </w:rPr>
      </w:pPr>
      <w:r>
        <w:rPr>
          <w:color w:val="auto"/>
          <w:highlight w:val="none"/>
        </w:rPr>
        <w:t xml:space="preserve">1.11.2 </w:t>
      </w:r>
      <w:r>
        <w:rPr>
          <w:rFonts w:hint="eastAsia" w:hAnsi="宋体" w:cs="宋体"/>
          <w:color w:val="auto"/>
          <w:highlight w:val="none"/>
        </w:rPr>
        <w:t>关于承包人为实施工程所编制文件的著作权的归属：</w:t>
      </w:r>
      <w:r>
        <w:rPr>
          <w:rFonts w:hint="eastAsia" w:ascii="Calibri" w:hAnsi="Calibri"/>
          <w:color w:val="auto"/>
          <w:highlight w:val="none"/>
          <w:u w:val="single"/>
        </w:rPr>
        <w:t>发包人</w:t>
      </w:r>
      <w:r>
        <w:rPr>
          <w:rFonts w:hint="eastAsia" w:hAnsi="宋体" w:cs="宋体"/>
          <w:color w:val="auto"/>
          <w:highlight w:val="none"/>
        </w:rPr>
        <w:t>。</w:t>
      </w:r>
    </w:p>
    <w:p w14:paraId="37B9B8AB">
      <w:pPr>
        <w:spacing w:line="360" w:lineRule="auto"/>
        <w:ind w:firstLine="420" w:firstLineChars="200"/>
        <w:rPr>
          <w:color w:val="auto"/>
          <w:highlight w:val="none"/>
          <w:u w:val="single"/>
        </w:rPr>
      </w:pPr>
      <w:r>
        <w:rPr>
          <w:rFonts w:hint="eastAsia" w:hAnsi="宋体" w:cs="宋体"/>
          <w:color w:val="auto"/>
          <w:highlight w:val="none"/>
        </w:rPr>
        <w:t>关于承包人提供的上述文件的使用限制的要求：</w:t>
      </w:r>
      <w:r>
        <w:rPr>
          <w:rFonts w:hint="eastAsia" w:ascii="Calibri" w:hAnsi="宋体"/>
          <w:color w:val="auto"/>
          <w:highlight w:val="none"/>
          <w:u w:val="single"/>
        </w:rPr>
        <w:t>按通用条款</w:t>
      </w:r>
      <w:r>
        <w:rPr>
          <w:rFonts w:hint="eastAsia" w:hAnsi="宋体" w:cs="宋体"/>
          <w:color w:val="auto"/>
          <w:highlight w:val="none"/>
        </w:rPr>
        <w:t>。</w:t>
      </w:r>
    </w:p>
    <w:p w14:paraId="02D146C2">
      <w:pPr>
        <w:spacing w:line="360" w:lineRule="auto"/>
        <w:ind w:firstLine="420" w:firstLineChars="200"/>
        <w:rPr>
          <w:color w:val="auto"/>
          <w:kern w:val="0"/>
          <w:highlight w:val="none"/>
        </w:rPr>
      </w:pPr>
      <w:r>
        <w:rPr>
          <w:color w:val="auto"/>
          <w:highlight w:val="none"/>
        </w:rPr>
        <w:t xml:space="preserve">1.11.4 </w:t>
      </w:r>
      <w:r>
        <w:rPr>
          <w:rFonts w:hint="eastAsia" w:hAnsi="宋体" w:cs="宋体"/>
          <w:color w:val="auto"/>
          <w:highlight w:val="none"/>
        </w:rPr>
        <w:t>承包人在施工过程中所采用的专利、专有技术、技术秘密的使用费的承担方式：</w:t>
      </w:r>
      <w:r>
        <w:rPr>
          <w:rFonts w:hint="eastAsia" w:ascii="Calibri" w:hAnsi="宋体"/>
          <w:color w:val="auto"/>
          <w:highlight w:val="none"/>
          <w:u w:val="single"/>
        </w:rPr>
        <w:t>承包人自行承担，已包含在签约合同价中，发包人不再另行支付</w:t>
      </w:r>
      <w:r>
        <w:rPr>
          <w:rFonts w:hint="eastAsia" w:hAnsi="宋体" w:cs="宋体"/>
          <w:color w:val="auto"/>
          <w:kern w:val="0"/>
          <w:highlight w:val="none"/>
        </w:rPr>
        <w:t>。</w:t>
      </w:r>
    </w:p>
    <w:p w14:paraId="3212568C">
      <w:pPr>
        <w:keepNext/>
        <w:keepLines/>
        <w:spacing w:line="600" w:lineRule="exact"/>
        <w:ind w:firstLine="643" w:firstLineChars="200"/>
        <w:outlineLvl w:val="2"/>
        <w:rPr>
          <w:b/>
          <w:bCs/>
          <w:color w:val="auto"/>
          <w:sz w:val="32"/>
          <w:szCs w:val="32"/>
          <w:highlight w:val="none"/>
        </w:rPr>
      </w:pPr>
      <w:bookmarkStart w:id="254" w:name="_Toc1194977599"/>
      <w:bookmarkStart w:id="255" w:name="_Toc407135203"/>
      <w:bookmarkStart w:id="256" w:name="_Toc389065267"/>
      <w:bookmarkStart w:id="257" w:name="_Toc373227701"/>
      <w:bookmarkStart w:id="258" w:name="_Toc267680563"/>
      <w:bookmarkStart w:id="259" w:name="_Toc78449789"/>
      <w:bookmarkStart w:id="260" w:name="_Toc373478348"/>
      <w:r>
        <w:rPr>
          <w:b/>
          <w:bCs/>
          <w:color w:val="auto"/>
          <w:sz w:val="32"/>
          <w:szCs w:val="32"/>
          <w:highlight w:val="none"/>
        </w:rPr>
        <w:t>1.13</w:t>
      </w:r>
      <w:r>
        <w:rPr>
          <w:rFonts w:hint="eastAsia" w:cs="黑体"/>
          <w:b/>
          <w:bCs/>
          <w:color w:val="auto"/>
          <w:sz w:val="32"/>
          <w:szCs w:val="32"/>
          <w:highlight w:val="none"/>
        </w:rPr>
        <w:t>工程量清单错误的修正</w:t>
      </w:r>
      <w:bookmarkEnd w:id="254"/>
      <w:bookmarkEnd w:id="255"/>
      <w:bookmarkEnd w:id="256"/>
      <w:bookmarkEnd w:id="257"/>
      <w:bookmarkEnd w:id="258"/>
      <w:bookmarkEnd w:id="259"/>
      <w:bookmarkEnd w:id="260"/>
    </w:p>
    <w:p w14:paraId="72821502">
      <w:pPr>
        <w:spacing w:line="360" w:lineRule="auto"/>
        <w:ind w:firstLine="420" w:firstLineChars="200"/>
        <w:rPr>
          <w:color w:val="auto"/>
          <w:highlight w:val="none"/>
        </w:rPr>
      </w:pPr>
      <w:r>
        <w:rPr>
          <w:rFonts w:hint="eastAsia" w:hAnsi="宋体" w:cs="宋体"/>
          <w:color w:val="auto"/>
          <w:highlight w:val="none"/>
        </w:rPr>
        <w:t>出现工程量清单工程量偏差时，是否调整合同价格：</w:t>
      </w:r>
      <w:r>
        <w:rPr>
          <w:rFonts w:hint="eastAsia" w:ascii="宋体" w:hAnsi="宋体" w:cs="宋体"/>
          <w:color w:val="auto"/>
          <w:highlight w:val="none"/>
          <w:u w:val="single"/>
        </w:rPr>
        <w:sym w:font="Wingdings 2" w:char="0052"/>
      </w:r>
      <w:r>
        <w:rPr>
          <w:rFonts w:hint="eastAsia" w:hAnsi="宋体" w:cs="宋体"/>
          <w:color w:val="auto"/>
          <w:highlight w:val="none"/>
          <w:u w:val="single"/>
        </w:rPr>
        <w:t>是</w:t>
      </w:r>
      <w:r>
        <w:rPr>
          <w:rFonts w:hint="eastAsia" w:ascii="宋体" w:hAnsi="宋体" w:cs="宋体"/>
          <w:color w:val="auto"/>
          <w:highlight w:val="none"/>
          <w:u w:val="single"/>
        </w:rPr>
        <w:t>□</w:t>
      </w:r>
      <w:r>
        <w:rPr>
          <w:rFonts w:hint="eastAsia" w:hAnsi="宋体" w:cs="宋体"/>
          <w:color w:val="auto"/>
          <w:highlight w:val="none"/>
          <w:u w:val="single"/>
        </w:rPr>
        <w:t>否</w:t>
      </w:r>
      <w:r>
        <w:rPr>
          <w:rFonts w:hint="eastAsia" w:hAnsi="宋体" w:cs="宋体"/>
          <w:color w:val="auto"/>
          <w:kern w:val="0"/>
          <w:highlight w:val="none"/>
        </w:rPr>
        <w:t>。</w:t>
      </w:r>
    </w:p>
    <w:p w14:paraId="027D7607">
      <w:pPr>
        <w:spacing w:line="360" w:lineRule="auto"/>
        <w:ind w:firstLine="420" w:firstLineChars="200"/>
        <w:rPr>
          <w:rFonts w:hAnsi="宋体" w:cs="宋体"/>
          <w:color w:val="auto"/>
          <w:highlight w:val="none"/>
        </w:rPr>
      </w:pPr>
      <w:r>
        <w:rPr>
          <w:rFonts w:hint="eastAsia" w:hAnsi="宋体" w:cs="宋体"/>
          <w:color w:val="auto"/>
          <w:highlight w:val="none"/>
        </w:rPr>
        <w:t>允许调整合同价格的工程量偏差范围及其调整办法：</w:t>
      </w:r>
    </w:p>
    <w:p w14:paraId="1D23694B">
      <w:pPr>
        <w:spacing w:line="360" w:lineRule="auto"/>
        <w:ind w:firstLine="420" w:firstLineChars="200"/>
        <w:rPr>
          <w:color w:val="auto"/>
          <w:kern w:val="0"/>
          <w:highlight w:val="none"/>
        </w:rPr>
      </w:pPr>
      <w:r>
        <w:rPr>
          <w:rFonts w:hint="eastAsia" w:ascii="宋体" w:hAnsi="宋体" w:cs="宋体"/>
          <w:color w:val="auto"/>
          <w:highlight w:val="none"/>
        </w:rPr>
        <w:t>□</w:t>
      </w:r>
      <w:r>
        <w:rPr>
          <w:rFonts w:hint="eastAsia"/>
          <w:color w:val="auto"/>
          <w:highlight w:val="none"/>
          <w:u w:val="single"/>
        </w:rPr>
        <w:t>除严重不平衡报价外，无论分部分项工程量清单项目中的工程量变化多少均不调整</w:t>
      </w:r>
      <w:r>
        <w:rPr>
          <w:rFonts w:hint="eastAsia" w:hAnsi="宋体" w:cs="宋体"/>
          <w:color w:val="auto"/>
          <w:kern w:val="0"/>
          <w:highlight w:val="none"/>
        </w:rPr>
        <w:t>。</w:t>
      </w:r>
    </w:p>
    <w:p w14:paraId="15BC2FDE">
      <w:pPr>
        <w:spacing w:line="400" w:lineRule="exact"/>
        <w:ind w:firstLine="420" w:firstLineChars="200"/>
        <w:rPr>
          <w:rFonts w:ascii="宋体" w:hAnsi="宋体" w:cs="宋体"/>
          <w:b/>
          <w:bCs/>
          <w:color w:val="auto"/>
          <w:highlight w:val="none"/>
          <w:u w:val="single"/>
        </w:rPr>
      </w:pPr>
      <w:r>
        <w:rPr>
          <w:rFonts w:ascii="Segoe UI Symbol" w:hAnsi="Segoe UI Symbol" w:cs="Segoe UI Symbol"/>
          <w:color w:val="auto"/>
          <w:highlight w:val="none"/>
        </w:rPr>
        <w:t>☑</w:t>
      </w:r>
      <w:r>
        <w:rPr>
          <w:rFonts w:ascii="宋体" w:hAnsi="宋体" w:cs="宋体"/>
          <w:b/>
          <w:bCs/>
          <w:color w:val="auto"/>
          <w:highlight w:val="none"/>
          <w:u w:val="single"/>
        </w:rPr>
        <w:t>因设计变更及工程量增减造成的</w:t>
      </w:r>
      <w:r>
        <w:rPr>
          <w:rFonts w:hint="eastAsia" w:ascii="宋体" w:hAnsi="宋体" w:cs="宋体"/>
          <w:b/>
          <w:bCs/>
          <w:color w:val="auto"/>
          <w:highlight w:val="none"/>
          <w:u w:val="single"/>
        </w:rPr>
        <w:t>：当应予计算的实际工程量与招标工程量清单出现偏差，清单工程量偏差15 %且该单项清单造价超过合同总价1%以内的，超过后增加部分工程量或减少后剩余部分工程量的综合单价按以下方法调整：出现工程量清单偏差时：（1）合同中已有相同子目的，按合同该子目价格进行计算；（2）合同中只有类似子目的，参照该类似子目价格进行计算；（3）合同中没有适用或类似子目的价格计算方法：有定额的套定额（土石方按市场报价），并乘以下浮系数（</w:t>
      </w:r>
      <w:r>
        <w:rPr>
          <w:rFonts w:hint="eastAsia" w:ascii="宋体" w:hAnsi="宋体" w:cs="宋体"/>
          <w:b/>
          <w:bCs/>
          <w:color w:val="auto"/>
          <w:highlight w:val="none"/>
          <w:u w:val="single"/>
          <w:lang w:val="en-US" w:eastAsia="zh-CN"/>
        </w:rPr>
        <w:t>成交</w:t>
      </w:r>
      <w:r>
        <w:rPr>
          <w:rFonts w:hint="eastAsia" w:ascii="宋体" w:hAnsi="宋体" w:cs="宋体"/>
          <w:b/>
          <w:bCs/>
          <w:color w:val="auto"/>
          <w:highlight w:val="none"/>
          <w:u w:val="single"/>
        </w:rPr>
        <w:t>价/经采购人公布的工程招标控制价）计算，其中材料价格按施工期间的《南宁建设工程造价信息》相应价格信息进行计算；《南宁建设工程造价信息》没有相应价格信息的按市场价计算；无定额可套的，根据市场价格协商确定综合价格；新增项目无定额可套的，</w:t>
      </w:r>
      <w:r>
        <w:rPr>
          <w:rFonts w:hint="eastAsia" w:ascii="宋体" w:hAnsi="宋体" w:cs="宋体"/>
          <w:b/>
          <w:bCs/>
          <w:color w:val="auto"/>
          <w:szCs w:val="21"/>
          <w:highlight w:val="none"/>
          <w:u w:val="single"/>
        </w:rPr>
        <w:t>由发包人、承包人根据市场价格协商确定；新增项目的单价必须经发包人、监理单位及发包人委托的第三方造价咨询机构审定</w:t>
      </w:r>
      <w:r>
        <w:rPr>
          <w:rFonts w:hint="eastAsia" w:ascii="宋体" w:hAnsi="宋体" w:cs="宋体"/>
          <w:b/>
          <w:bCs/>
          <w:color w:val="auto"/>
          <w:highlight w:val="none"/>
          <w:u w:val="single"/>
        </w:rPr>
        <w:t>。</w:t>
      </w:r>
    </w:p>
    <w:p w14:paraId="7CFF6BA9">
      <w:pPr>
        <w:spacing w:line="400" w:lineRule="exact"/>
        <w:ind w:firstLine="422" w:firstLineChars="200"/>
        <w:rPr>
          <w:rFonts w:ascii="宋体" w:hAnsi="宋体" w:cs="宋体"/>
          <w:b/>
          <w:bCs/>
          <w:color w:val="auto"/>
          <w:highlight w:val="none"/>
          <w:u w:val="single"/>
        </w:rPr>
      </w:pPr>
      <w:r>
        <w:rPr>
          <w:rFonts w:hint="eastAsia" w:ascii="宋体" w:hAnsi="宋体" w:cs="宋体"/>
          <w:b/>
          <w:bCs/>
          <w:color w:val="auto"/>
          <w:kern w:val="44"/>
          <w:highlight w:val="none"/>
          <w:u w:val="single"/>
        </w:rPr>
        <w:t>与招标工程量清单工程量偏差15%且该单项清单造价超过合同总价1%以上部分按以下方法调整：（1）工程量增加15%以上部分有定额的套定额（土石方按市场报价），并乘以下浮系数（</w:t>
      </w:r>
      <w:r>
        <w:rPr>
          <w:rFonts w:hint="eastAsia" w:ascii="宋体" w:hAnsi="宋体" w:cs="宋体"/>
          <w:b/>
          <w:bCs/>
          <w:color w:val="auto"/>
          <w:highlight w:val="none"/>
          <w:u w:val="single"/>
          <w:lang w:val="en-US" w:eastAsia="zh-CN"/>
        </w:rPr>
        <w:t>成交</w:t>
      </w:r>
      <w:r>
        <w:rPr>
          <w:rFonts w:hint="eastAsia" w:ascii="宋体" w:hAnsi="宋体" w:cs="宋体"/>
          <w:b/>
          <w:bCs/>
          <w:color w:val="auto"/>
          <w:kern w:val="44"/>
          <w:highlight w:val="none"/>
          <w:u w:val="single"/>
        </w:rPr>
        <w:t>价/经招标人公布的工程招标控制价）计算；（2）工程量减少15%后剩余工程量按</w:t>
      </w:r>
      <w:r>
        <w:rPr>
          <w:rFonts w:hint="eastAsia" w:ascii="宋体" w:hAnsi="宋体" w:cs="宋体"/>
          <w:b/>
          <w:bCs/>
          <w:color w:val="auto"/>
          <w:kern w:val="44"/>
          <w:highlight w:val="none"/>
          <w:u w:val="single"/>
          <w:lang w:val="en-US" w:eastAsia="zh-CN"/>
        </w:rPr>
        <w:t>成交</w:t>
      </w:r>
      <w:r>
        <w:rPr>
          <w:rFonts w:hint="eastAsia" w:ascii="宋体" w:hAnsi="宋体" w:cs="宋体"/>
          <w:b/>
          <w:bCs/>
          <w:color w:val="auto"/>
          <w:kern w:val="44"/>
          <w:highlight w:val="none"/>
          <w:u w:val="single"/>
        </w:rPr>
        <w:t>价计算；其中材料价格按施工期间的《南宁建设工程造价信息》相应价格信息进行计算；无定额可套的，根据市场价格双方协商确定综合价格，新增项目无定额可套的，由发包人、承包人、审计等部门根据市场价格协商确定；</w:t>
      </w:r>
      <w:r>
        <w:rPr>
          <w:rFonts w:hint="eastAsia" w:ascii="宋体" w:hAnsi="宋体" w:cs="宋体"/>
          <w:b/>
          <w:bCs/>
          <w:color w:val="auto"/>
          <w:szCs w:val="21"/>
          <w:highlight w:val="none"/>
          <w:u w:val="single"/>
        </w:rPr>
        <w:t>新增项目的单价必须经发包人、监理单位及发包人委托的第三方造价咨询机构审定</w:t>
      </w:r>
      <w:r>
        <w:rPr>
          <w:rFonts w:hint="eastAsia" w:ascii="宋体" w:hAnsi="宋体" w:cs="宋体"/>
          <w:b/>
          <w:bCs/>
          <w:color w:val="auto"/>
          <w:highlight w:val="none"/>
          <w:u w:val="single"/>
        </w:rPr>
        <w:t>。</w:t>
      </w:r>
    </w:p>
    <w:p w14:paraId="58F81B27">
      <w:pPr>
        <w:spacing w:line="400" w:lineRule="exact"/>
        <w:ind w:firstLine="420"/>
        <w:rPr>
          <w:rFonts w:ascii="宋体" w:hAnsi="宋体" w:cs="宋体"/>
          <w:b/>
          <w:bCs/>
          <w:color w:val="auto"/>
          <w:highlight w:val="none"/>
          <w:u w:val="single"/>
        </w:rPr>
      </w:pPr>
      <w:r>
        <w:rPr>
          <w:rFonts w:hint="eastAsia" w:ascii="宋体" w:hAnsi="宋体" w:cs="宋体"/>
          <w:b/>
          <w:bCs/>
          <w:color w:val="auto"/>
          <w:highlight w:val="none"/>
          <w:u w:val="single"/>
        </w:rPr>
        <w:t>允许调整合同价格的工程量偏差范围：</w:t>
      </w:r>
      <w:r>
        <w:rPr>
          <w:rFonts w:hint="eastAsia" w:ascii="宋体" w:hAnsi="宋体"/>
          <w:b/>
          <w:bCs/>
          <w:color w:val="auto"/>
          <w:szCs w:val="22"/>
          <w:highlight w:val="none"/>
          <w:u w:val="single"/>
        </w:rPr>
        <w:t>按现行建设工程工程量计算规范计算的实际工程量进行调整 。</w:t>
      </w:r>
      <w:r>
        <w:rPr>
          <w:rFonts w:ascii="宋体" w:hAnsi="宋体"/>
          <w:b/>
          <w:bCs/>
          <w:color w:val="auto"/>
          <w:szCs w:val="22"/>
          <w:highlight w:val="none"/>
          <w:u w:val="single"/>
        </w:rPr>
        <w:t>因</w:t>
      </w:r>
      <w:r>
        <w:rPr>
          <w:rFonts w:hint="eastAsia" w:ascii="宋体" w:hAnsi="宋体" w:cs="宋体"/>
          <w:b/>
          <w:bCs/>
          <w:color w:val="auto"/>
          <w:kern w:val="0"/>
          <w:highlight w:val="none"/>
          <w:u w:val="single"/>
          <w:shd w:val="clear" w:color="auto" w:fill="FFFFFF"/>
        </w:rPr>
        <w:t>增减工程量和设计变更</w:t>
      </w:r>
      <w:r>
        <w:rPr>
          <w:rFonts w:ascii="宋体" w:hAnsi="宋体" w:cs="宋体"/>
          <w:b/>
          <w:bCs/>
          <w:color w:val="auto"/>
          <w:kern w:val="0"/>
          <w:highlight w:val="none"/>
          <w:u w:val="single"/>
          <w:shd w:val="clear" w:color="auto" w:fill="FFFFFF"/>
        </w:rPr>
        <w:t>，</w:t>
      </w:r>
      <w:r>
        <w:rPr>
          <w:rFonts w:hint="eastAsia" w:ascii="宋体" w:hAnsi="宋体"/>
          <w:color w:val="auto"/>
          <w:szCs w:val="22"/>
          <w:highlight w:val="none"/>
          <w:u w:val="single"/>
        </w:rPr>
        <w:t>出现以下情形之一时，发包人应予以修正，并相应调整合同价格</w:t>
      </w:r>
      <w:r>
        <w:rPr>
          <w:rFonts w:hint="eastAsia" w:ascii="宋体" w:hAnsi="宋体" w:cs="宋体"/>
          <w:color w:val="auto"/>
          <w:highlight w:val="none"/>
          <w:u w:val="single"/>
        </w:rPr>
        <w:t>：</w:t>
      </w:r>
    </w:p>
    <w:p w14:paraId="52A9E096">
      <w:pPr>
        <w:numPr>
          <w:ilvl w:val="0"/>
          <w:numId w:val="5"/>
        </w:numPr>
        <w:tabs>
          <w:tab w:val="left" w:pos="0"/>
          <w:tab w:val="clear" w:pos="720"/>
        </w:tabs>
        <w:spacing w:line="400" w:lineRule="exact"/>
        <w:ind w:left="0" w:leftChars="0" w:firstLine="420" w:firstLineChars="0"/>
        <w:jc w:val="left"/>
        <w:rPr>
          <w:rFonts w:ascii="宋体" w:hAnsi="宋体" w:cs="宋体"/>
          <w:b/>
          <w:bCs/>
          <w:color w:val="auto"/>
          <w:highlight w:val="none"/>
          <w:u w:val="single"/>
        </w:rPr>
      </w:pPr>
      <w:r>
        <w:rPr>
          <w:rFonts w:hint="eastAsia" w:ascii="宋体" w:hAnsi="宋体" w:cs="宋体"/>
          <w:b/>
          <w:bCs/>
          <w:color w:val="auto"/>
          <w:highlight w:val="none"/>
          <w:u w:val="single"/>
        </w:rPr>
        <w:t>工程量清单存在缺项、错项、漏项的；</w:t>
      </w:r>
    </w:p>
    <w:p w14:paraId="2B2B8532">
      <w:pPr>
        <w:numPr>
          <w:ilvl w:val="0"/>
          <w:numId w:val="5"/>
        </w:numPr>
        <w:tabs>
          <w:tab w:val="clear" w:pos="720"/>
        </w:tabs>
        <w:spacing w:line="400" w:lineRule="exact"/>
        <w:ind w:left="0" w:leftChars="0" w:firstLine="420" w:firstLineChars="0"/>
        <w:jc w:val="left"/>
        <w:rPr>
          <w:rFonts w:ascii="宋体" w:hAnsi="宋体" w:cs="宋体"/>
          <w:b/>
          <w:bCs/>
          <w:color w:val="auto"/>
          <w:highlight w:val="none"/>
          <w:u w:val="single"/>
        </w:rPr>
      </w:pPr>
      <w:r>
        <w:rPr>
          <w:rFonts w:hint="eastAsia" w:ascii="宋体" w:hAnsi="宋体" w:cs="宋体"/>
          <w:b/>
          <w:bCs/>
          <w:color w:val="auto"/>
          <w:highlight w:val="none"/>
          <w:u w:val="single"/>
        </w:rPr>
        <w:t>工程量清单偏差超出专用合同条款约定的工程量偏差范围的；</w:t>
      </w:r>
    </w:p>
    <w:p w14:paraId="4840C76A">
      <w:pPr>
        <w:numPr>
          <w:ilvl w:val="0"/>
          <w:numId w:val="5"/>
        </w:numPr>
        <w:tabs>
          <w:tab w:val="left" w:pos="0"/>
          <w:tab w:val="clear" w:pos="720"/>
        </w:tabs>
        <w:spacing w:line="400" w:lineRule="exact"/>
        <w:ind w:left="0" w:leftChars="0" w:firstLine="420" w:firstLineChars="0"/>
        <w:jc w:val="left"/>
        <w:rPr>
          <w:rFonts w:ascii="宋体" w:hAnsi="宋体" w:cs="宋体"/>
          <w:b/>
          <w:bCs/>
          <w:color w:val="auto"/>
          <w:highlight w:val="none"/>
          <w:u w:val="single"/>
        </w:rPr>
      </w:pPr>
      <w:r>
        <w:rPr>
          <w:rFonts w:hint="eastAsia" w:ascii="宋体" w:hAnsi="宋体" w:cs="宋体"/>
          <w:b/>
          <w:bCs/>
          <w:color w:val="auto"/>
          <w:highlight w:val="none"/>
          <w:u w:val="single"/>
        </w:rPr>
        <w:t>合同价格调整须获发包人批复后方有效；</w:t>
      </w:r>
    </w:p>
    <w:p w14:paraId="3728F345">
      <w:pPr>
        <w:spacing w:line="360" w:lineRule="auto"/>
        <w:ind w:firstLine="422" w:firstLineChars="200"/>
        <w:rPr>
          <w:rFonts w:hAnsi="宋体" w:cs="宋体"/>
          <w:color w:val="auto"/>
          <w:highlight w:val="none"/>
          <w:u w:val="single"/>
        </w:rPr>
      </w:pPr>
      <w:r>
        <w:rPr>
          <w:rFonts w:hint="eastAsia" w:ascii="宋体" w:hAnsi="宋体" w:cs="宋体"/>
          <w:b/>
          <w:bCs/>
          <w:color w:val="auto"/>
          <w:highlight w:val="none"/>
          <w:u w:val="single"/>
        </w:rPr>
        <w:t>上述工程三种情况均要按</w:t>
      </w:r>
      <w:r>
        <w:rPr>
          <w:rFonts w:hint="eastAsia" w:ascii="宋体" w:hAnsi="宋体" w:cs="宋体"/>
          <w:b/>
          <w:bCs/>
          <w:color w:val="auto"/>
          <w:highlight w:val="none"/>
          <w:u w:val="single"/>
          <w:lang w:val="en-US" w:eastAsia="zh-CN"/>
        </w:rPr>
        <w:t>青秀区财政部门</w:t>
      </w:r>
      <w:r>
        <w:rPr>
          <w:rFonts w:hint="eastAsia" w:ascii="宋体" w:hAnsi="宋体" w:cs="宋体"/>
          <w:b/>
          <w:bCs/>
          <w:color w:val="auto"/>
          <w:highlight w:val="none"/>
          <w:u w:val="single"/>
        </w:rPr>
        <w:t>有关项目管理办法执行,方可做为结算依据</w:t>
      </w:r>
      <w:r>
        <w:rPr>
          <w:rFonts w:hint="eastAsia" w:ascii="Calibri" w:hAnsi="宋体" w:cs="宋体"/>
          <w:color w:val="auto"/>
          <w:highlight w:val="none"/>
          <w:u w:val="single"/>
        </w:rPr>
        <w:t>。</w:t>
      </w:r>
    </w:p>
    <w:p w14:paraId="1379F0EF">
      <w:pPr>
        <w:keepNext/>
        <w:keepLines/>
        <w:spacing w:before="260" w:after="260" w:line="413" w:lineRule="auto"/>
        <w:outlineLvl w:val="1"/>
        <w:rPr>
          <w:rFonts w:ascii="Arial" w:hAnsi="Arial" w:eastAsia="黑体"/>
          <w:b/>
          <w:bCs/>
          <w:color w:val="auto"/>
          <w:sz w:val="32"/>
          <w:szCs w:val="32"/>
          <w:highlight w:val="none"/>
        </w:rPr>
      </w:pPr>
      <w:bookmarkStart w:id="261" w:name="_Toc1415467590"/>
      <w:bookmarkStart w:id="262" w:name="_Toc143780453"/>
      <w:bookmarkStart w:id="263" w:name="_Toc351203634"/>
      <w:bookmarkStart w:id="264" w:name="_Toc78449790"/>
      <w:bookmarkStart w:id="265" w:name="_Toc407135204"/>
      <w:bookmarkStart w:id="266" w:name="_Toc389065268"/>
      <w:bookmarkStart w:id="267" w:name="_Toc373227702"/>
      <w:bookmarkStart w:id="268" w:name="_Toc373478349"/>
      <w:r>
        <w:rPr>
          <w:rFonts w:ascii="Arial" w:hAnsi="Arial" w:eastAsia="黑体"/>
          <w:b/>
          <w:bCs/>
          <w:color w:val="auto"/>
          <w:sz w:val="32"/>
          <w:szCs w:val="32"/>
          <w:highlight w:val="none"/>
        </w:rPr>
        <w:t>2</w:t>
      </w:r>
      <w:bookmarkStart w:id="269" w:name="_Toc296890985"/>
      <w:bookmarkStart w:id="270" w:name="_Toc296944496"/>
      <w:bookmarkStart w:id="271" w:name="_Toc296346658"/>
      <w:bookmarkStart w:id="272" w:name="_Toc296891197"/>
      <w:bookmarkStart w:id="273" w:name="_Toc296347156"/>
      <w:bookmarkStart w:id="274" w:name="_Toc296503157"/>
      <w:bookmarkStart w:id="275" w:name="_Toc297048343"/>
      <w:bookmarkStart w:id="276" w:name="_Toc292559362"/>
      <w:bookmarkStart w:id="277" w:name="_Toc297120457"/>
      <w:bookmarkStart w:id="278" w:name="_Toc292559867"/>
      <w:r>
        <w:rPr>
          <w:rFonts w:ascii="Arial" w:hAnsi="Arial" w:eastAsia="黑体"/>
          <w:b/>
          <w:bCs/>
          <w:color w:val="auto"/>
          <w:sz w:val="32"/>
          <w:szCs w:val="32"/>
          <w:highlight w:val="none"/>
        </w:rPr>
        <w:t xml:space="preserve">. </w:t>
      </w:r>
      <w:r>
        <w:rPr>
          <w:rFonts w:hint="eastAsia" w:ascii="Arial" w:hAnsi="宋体" w:eastAsia="黑体" w:cs="黑体"/>
          <w:b/>
          <w:bCs/>
          <w:color w:val="auto"/>
          <w:sz w:val="32"/>
          <w:szCs w:val="32"/>
          <w:highlight w:val="none"/>
        </w:rPr>
        <w:t>发包人</w:t>
      </w:r>
      <w:bookmarkEnd w:id="261"/>
      <w:bookmarkEnd w:id="262"/>
      <w:bookmarkEnd w:id="263"/>
      <w:bookmarkEnd w:id="264"/>
      <w:bookmarkEnd w:id="265"/>
      <w:bookmarkEnd w:id="266"/>
      <w:bookmarkEnd w:id="267"/>
      <w:bookmarkEnd w:id="268"/>
    </w:p>
    <w:bookmarkEnd w:id="269"/>
    <w:bookmarkEnd w:id="270"/>
    <w:bookmarkEnd w:id="271"/>
    <w:bookmarkEnd w:id="272"/>
    <w:bookmarkEnd w:id="273"/>
    <w:bookmarkEnd w:id="274"/>
    <w:bookmarkEnd w:id="275"/>
    <w:bookmarkEnd w:id="276"/>
    <w:bookmarkEnd w:id="277"/>
    <w:bookmarkEnd w:id="278"/>
    <w:p w14:paraId="5E04455E">
      <w:pPr>
        <w:keepNext/>
        <w:keepLines/>
        <w:spacing w:line="600" w:lineRule="exact"/>
        <w:ind w:firstLine="643" w:firstLineChars="200"/>
        <w:outlineLvl w:val="2"/>
        <w:rPr>
          <w:b/>
          <w:bCs/>
          <w:color w:val="auto"/>
          <w:sz w:val="32"/>
          <w:szCs w:val="32"/>
          <w:highlight w:val="none"/>
        </w:rPr>
      </w:pPr>
      <w:bookmarkStart w:id="279" w:name="_Toc389065269"/>
      <w:bookmarkStart w:id="280" w:name="_Toc373478350"/>
      <w:bookmarkStart w:id="281" w:name="_Toc407135205"/>
      <w:bookmarkStart w:id="282" w:name="_Toc971240048"/>
      <w:bookmarkStart w:id="283" w:name="_Toc373227703"/>
      <w:bookmarkStart w:id="284" w:name="_Toc78449791"/>
      <w:bookmarkStart w:id="285" w:name="_Toc547644210"/>
      <w:r>
        <w:rPr>
          <w:b/>
          <w:bCs/>
          <w:color w:val="auto"/>
          <w:sz w:val="32"/>
          <w:szCs w:val="32"/>
          <w:highlight w:val="none"/>
        </w:rPr>
        <w:t xml:space="preserve">2.2 </w:t>
      </w:r>
      <w:r>
        <w:rPr>
          <w:rFonts w:hint="eastAsia" w:hAnsi="宋体" w:cs="黑体"/>
          <w:b/>
          <w:bCs/>
          <w:color w:val="auto"/>
          <w:sz w:val="32"/>
          <w:szCs w:val="32"/>
          <w:highlight w:val="none"/>
        </w:rPr>
        <w:t>发包人代表</w:t>
      </w:r>
      <w:bookmarkEnd w:id="279"/>
      <w:bookmarkEnd w:id="280"/>
      <w:bookmarkEnd w:id="281"/>
      <w:bookmarkEnd w:id="282"/>
      <w:bookmarkEnd w:id="283"/>
      <w:bookmarkEnd w:id="284"/>
      <w:bookmarkEnd w:id="285"/>
    </w:p>
    <w:p w14:paraId="25F4A52F">
      <w:pPr>
        <w:spacing w:line="360" w:lineRule="auto"/>
        <w:ind w:firstLine="420" w:firstLineChars="200"/>
        <w:rPr>
          <w:color w:val="auto"/>
          <w:highlight w:val="none"/>
        </w:rPr>
      </w:pPr>
      <w:r>
        <w:rPr>
          <w:rFonts w:hint="eastAsia" w:hAnsi="宋体" w:cs="宋体"/>
          <w:color w:val="auto"/>
          <w:highlight w:val="none"/>
        </w:rPr>
        <w:t>发包人代表：</w:t>
      </w:r>
    </w:p>
    <w:p w14:paraId="1851DB68">
      <w:pPr>
        <w:spacing w:line="360" w:lineRule="auto"/>
        <w:ind w:firstLine="420" w:firstLineChars="200"/>
        <w:rPr>
          <w:color w:val="auto"/>
          <w:highlight w:val="none"/>
        </w:rPr>
      </w:pPr>
      <w:r>
        <w:rPr>
          <w:rFonts w:hAnsi="宋体"/>
          <w:color w:val="auto"/>
          <w:highlight w:val="none"/>
        </w:rPr>
        <w:t>姓名：；</w:t>
      </w:r>
    </w:p>
    <w:p w14:paraId="052EA77E">
      <w:pPr>
        <w:spacing w:line="360" w:lineRule="auto"/>
        <w:ind w:firstLine="420" w:firstLineChars="200"/>
        <w:rPr>
          <w:color w:val="auto"/>
          <w:highlight w:val="none"/>
        </w:rPr>
      </w:pPr>
      <w:r>
        <w:rPr>
          <w:rFonts w:hAnsi="宋体"/>
          <w:color w:val="auto"/>
          <w:highlight w:val="none"/>
        </w:rPr>
        <w:t>身份证号：；</w:t>
      </w:r>
    </w:p>
    <w:p w14:paraId="4E4CCA31">
      <w:pPr>
        <w:spacing w:line="360" w:lineRule="auto"/>
        <w:ind w:firstLine="420" w:firstLineChars="200"/>
        <w:rPr>
          <w:color w:val="auto"/>
          <w:highlight w:val="none"/>
        </w:rPr>
      </w:pPr>
      <w:r>
        <w:rPr>
          <w:rFonts w:hAnsi="宋体"/>
          <w:color w:val="auto"/>
          <w:highlight w:val="none"/>
        </w:rPr>
        <w:t>职务：；</w:t>
      </w:r>
    </w:p>
    <w:p w14:paraId="53AD7012">
      <w:pPr>
        <w:spacing w:line="360" w:lineRule="auto"/>
        <w:ind w:firstLine="420" w:firstLineChars="200"/>
        <w:rPr>
          <w:color w:val="auto"/>
          <w:highlight w:val="none"/>
        </w:rPr>
      </w:pPr>
      <w:r>
        <w:rPr>
          <w:rFonts w:hAnsi="宋体"/>
          <w:color w:val="auto"/>
          <w:highlight w:val="none"/>
        </w:rPr>
        <w:t>联系电话：；</w:t>
      </w:r>
    </w:p>
    <w:p w14:paraId="07F8F800">
      <w:pPr>
        <w:spacing w:line="360" w:lineRule="auto"/>
        <w:ind w:firstLine="420" w:firstLineChars="200"/>
        <w:rPr>
          <w:color w:val="auto"/>
          <w:highlight w:val="none"/>
        </w:rPr>
      </w:pPr>
      <w:r>
        <w:rPr>
          <w:rFonts w:hAnsi="宋体"/>
          <w:color w:val="auto"/>
          <w:highlight w:val="none"/>
        </w:rPr>
        <w:t>电子信箱：；</w:t>
      </w:r>
    </w:p>
    <w:p w14:paraId="1DC0718A">
      <w:pPr>
        <w:spacing w:line="360" w:lineRule="auto"/>
        <w:ind w:firstLine="420" w:firstLineChars="200"/>
        <w:rPr>
          <w:color w:val="auto"/>
          <w:highlight w:val="none"/>
        </w:rPr>
      </w:pPr>
      <w:r>
        <w:rPr>
          <w:rFonts w:hAnsi="宋体"/>
          <w:color w:val="auto"/>
          <w:highlight w:val="none"/>
        </w:rPr>
        <w:t>通信地址：。</w:t>
      </w:r>
    </w:p>
    <w:p w14:paraId="6E45C3D4">
      <w:pPr>
        <w:spacing w:line="360" w:lineRule="auto"/>
        <w:ind w:firstLine="420" w:firstLineChars="200"/>
        <w:rPr>
          <w:rFonts w:hAnsi="宋体" w:cs="宋体"/>
          <w:color w:val="auto"/>
          <w:highlight w:val="none"/>
        </w:rPr>
      </w:pPr>
      <w:r>
        <w:rPr>
          <w:rFonts w:hint="eastAsia" w:hAnsi="宋体" w:cs="宋体"/>
          <w:color w:val="auto"/>
          <w:highlight w:val="none"/>
        </w:rPr>
        <w:t>发包人对发包人代表的授权范围如下：</w:t>
      </w:r>
      <w:r>
        <w:rPr>
          <w:rFonts w:hint="eastAsia" w:ascii="Calibri" w:hAnsi="宋体"/>
          <w:color w:val="auto"/>
          <w:highlight w:val="none"/>
          <w:u w:val="single"/>
        </w:rPr>
        <w:t>负责接收现场各单位递交的资料，督促指导监理工程师行使职权，协调施工现场各方面的关系，协调工程质量，进度和安全文明施工中存在的问题，解决有关设计和技术签证，审核工程进度报表</w:t>
      </w:r>
      <w:r>
        <w:rPr>
          <w:rFonts w:hint="eastAsia" w:hAnsi="宋体" w:cs="宋体"/>
          <w:color w:val="auto"/>
          <w:highlight w:val="none"/>
        </w:rPr>
        <w:t>。</w:t>
      </w:r>
    </w:p>
    <w:p w14:paraId="1FE49B17">
      <w:pPr>
        <w:spacing w:line="360" w:lineRule="auto"/>
        <w:ind w:firstLine="420" w:firstLineChars="200"/>
        <w:rPr>
          <w:color w:val="auto"/>
          <w:highlight w:val="none"/>
        </w:rPr>
      </w:pPr>
      <w:r>
        <w:rPr>
          <w:rFonts w:hint="eastAsia" w:ascii="Calibri" w:hAnsi="宋体"/>
          <w:color w:val="auto"/>
          <w:highlight w:val="none"/>
        </w:rPr>
        <w:t>发包人现场代表在承包人提交的任何文件上签名时，仅表示发包人收到前述文件，并非是对文件中任何内容的确认，不可作为结算依据。</w:t>
      </w:r>
    </w:p>
    <w:p w14:paraId="6501A8D1">
      <w:pPr>
        <w:keepNext/>
        <w:keepLines/>
        <w:spacing w:line="600" w:lineRule="exact"/>
        <w:ind w:firstLine="643" w:firstLineChars="200"/>
        <w:outlineLvl w:val="2"/>
        <w:rPr>
          <w:b/>
          <w:bCs/>
          <w:color w:val="auto"/>
          <w:sz w:val="32"/>
          <w:szCs w:val="32"/>
          <w:highlight w:val="none"/>
        </w:rPr>
      </w:pPr>
      <w:bookmarkStart w:id="286" w:name="_Toc407135206"/>
      <w:bookmarkStart w:id="287" w:name="_Toc373478351"/>
      <w:bookmarkStart w:id="288" w:name="_Toc373227704"/>
      <w:bookmarkStart w:id="289" w:name="_Toc2066513957"/>
      <w:bookmarkStart w:id="290" w:name="_Toc78449792"/>
      <w:bookmarkStart w:id="291" w:name="_Toc389065270"/>
      <w:bookmarkStart w:id="292" w:name="_Toc2077499244"/>
      <w:r>
        <w:rPr>
          <w:b/>
          <w:bCs/>
          <w:color w:val="auto"/>
          <w:sz w:val="32"/>
          <w:szCs w:val="32"/>
          <w:highlight w:val="none"/>
        </w:rPr>
        <w:t xml:space="preserve">2.4 </w:t>
      </w:r>
      <w:r>
        <w:rPr>
          <w:rFonts w:hint="eastAsia" w:cs="黑体"/>
          <w:b/>
          <w:bCs/>
          <w:color w:val="auto"/>
          <w:sz w:val="32"/>
          <w:szCs w:val="32"/>
          <w:highlight w:val="none"/>
        </w:rPr>
        <w:t>施工现场、施工条件和基础资料的提供</w:t>
      </w:r>
      <w:bookmarkEnd w:id="286"/>
      <w:bookmarkEnd w:id="287"/>
      <w:bookmarkEnd w:id="288"/>
      <w:bookmarkEnd w:id="289"/>
      <w:bookmarkEnd w:id="290"/>
      <w:bookmarkEnd w:id="291"/>
      <w:bookmarkEnd w:id="292"/>
    </w:p>
    <w:p w14:paraId="466148DF">
      <w:pPr>
        <w:spacing w:line="360" w:lineRule="auto"/>
        <w:ind w:firstLine="420" w:firstLineChars="200"/>
        <w:rPr>
          <w:color w:val="auto"/>
          <w:highlight w:val="none"/>
        </w:rPr>
      </w:pPr>
      <w:r>
        <w:rPr>
          <w:color w:val="auto"/>
          <w:highlight w:val="none"/>
        </w:rPr>
        <w:t xml:space="preserve">2.4.1 </w:t>
      </w:r>
      <w:r>
        <w:rPr>
          <w:rFonts w:hint="eastAsia" w:hAnsi="宋体" w:cs="宋体"/>
          <w:color w:val="auto"/>
          <w:highlight w:val="none"/>
        </w:rPr>
        <w:t>提供施工现场</w:t>
      </w:r>
    </w:p>
    <w:p w14:paraId="7E04259B">
      <w:pPr>
        <w:spacing w:line="360" w:lineRule="auto"/>
        <w:ind w:firstLine="420" w:firstLineChars="200"/>
        <w:jc w:val="left"/>
        <w:rPr>
          <w:color w:val="auto"/>
          <w:highlight w:val="none"/>
        </w:rPr>
      </w:pPr>
      <w:r>
        <w:rPr>
          <w:rFonts w:hint="eastAsia" w:hAnsi="宋体" w:cs="宋体"/>
          <w:color w:val="auto"/>
          <w:highlight w:val="none"/>
        </w:rPr>
        <w:t>关于发包人移交施工现场的期限要求：</w:t>
      </w:r>
      <w:r>
        <w:rPr>
          <w:rFonts w:hint="eastAsia"/>
          <w:color w:val="auto"/>
          <w:highlight w:val="none"/>
          <w:u w:val="single"/>
        </w:rPr>
        <w:t>发包人根据自身的情况对项目施工现场提供施工条件，承包人根据发包人提供的施工场地进行施工，但施工场地应在其单位工程开工之日前21天提供。工程地质及地下管线资料纸质版承包人可在发包人资料档案室借阅或复印、发包人提供电子光盘资料一份。其工程地质和地下管线资料的唯一有效以发包人资料档案室的纸质版为准</w:t>
      </w:r>
      <w:r>
        <w:rPr>
          <w:rFonts w:hint="eastAsia" w:hAnsi="宋体" w:cs="宋体"/>
          <w:color w:val="auto"/>
          <w:highlight w:val="none"/>
        </w:rPr>
        <w:t>。</w:t>
      </w:r>
    </w:p>
    <w:p w14:paraId="3B559EAD">
      <w:pPr>
        <w:spacing w:line="360" w:lineRule="auto"/>
        <w:ind w:firstLine="420" w:firstLineChars="200"/>
        <w:rPr>
          <w:color w:val="auto"/>
          <w:highlight w:val="none"/>
        </w:rPr>
      </w:pPr>
      <w:r>
        <w:rPr>
          <w:color w:val="auto"/>
          <w:highlight w:val="none"/>
        </w:rPr>
        <w:t xml:space="preserve">2.4.2 </w:t>
      </w:r>
      <w:r>
        <w:rPr>
          <w:rFonts w:hint="eastAsia" w:hAnsi="宋体" w:cs="宋体"/>
          <w:color w:val="auto"/>
          <w:highlight w:val="none"/>
        </w:rPr>
        <w:t>提供施工条件</w:t>
      </w:r>
    </w:p>
    <w:p w14:paraId="1A9BE0FA">
      <w:pPr>
        <w:spacing w:line="360" w:lineRule="auto"/>
        <w:ind w:firstLine="420" w:firstLineChars="200"/>
        <w:rPr>
          <w:color w:val="auto"/>
          <w:highlight w:val="none"/>
          <w:u w:val="single"/>
        </w:rPr>
      </w:pPr>
      <w:r>
        <w:rPr>
          <w:rFonts w:hint="eastAsia" w:hAnsi="宋体" w:cs="宋体"/>
          <w:color w:val="auto"/>
          <w:highlight w:val="none"/>
        </w:rPr>
        <w:t>关于发包人应负责提供施工所需要的条件，包括：</w:t>
      </w:r>
    </w:p>
    <w:p w14:paraId="43176D01">
      <w:pPr>
        <w:snapToGrid w:val="0"/>
        <w:spacing w:line="400" w:lineRule="exact"/>
        <w:ind w:firstLine="420"/>
        <w:rPr>
          <w:rFonts w:ascii="宋体" w:hAnsi="宋体" w:cs="宋体"/>
          <w:color w:val="auto"/>
          <w:highlight w:val="none"/>
          <w:u w:val="single"/>
        </w:rPr>
      </w:pPr>
      <w:r>
        <w:rPr>
          <w:rFonts w:hint="eastAsia" w:ascii="宋体" w:hAnsi="宋体" w:cs="宋体"/>
          <w:b/>
          <w:color w:val="auto"/>
          <w:highlight w:val="none"/>
        </w:rPr>
        <w:t>①将施工所需的水、电、电讯线路接至施工场地的时间、地点和供应要求：</w:t>
      </w:r>
      <w:r>
        <w:rPr>
          <w:rFonts w:hint="eastAsia" w:ascii="宋体" w:hAnsi="宋体" w:cs="宋体"/>
          <w:color w:val="auto"/>
          <w:highlight w:val="none"/>
          <w:u w:val="single"/>
        </w:rPr>
        <w:t>发包人可提供施工用水、用电接入口，安装及使用费用由承包人承担。</w:t>
      </w:r>
      <w:r>
        <w:rPr>
          <w:rFonts w:hint="eastAsia" w:ascii="宋体" w:hAnsi="宋体" w:cs="宋体"/>
          <w:color w:val="auto"/>
          <w:szCs w:val="21"/>
          <w:highlight w:val="none"/>
          <w:u w:val="single"/>
        </w:rPr>
        <w:t>自行接用施工用电前承包人必须做好相关的用电安全技术交底，且接用人员需具备国家规定的资格，因自行接电而产生人员、财产损失及相应的的安全管理责任均为承包人自行承担。</w:t>
      </w:r>
    </w:p>
    <w:p w14:paraId="61791A52">
      <w:pPr>
        <w:snapToGrid w:val="0"/>
        <w:spacing w:line="400" w:lineRule="exact"/>
        <w:ind w:left="420"/>
        <w:jc w:val="left"/>
        <w:rPr>
          <w:rFonts w:ascii="宋体" w:hAnsi="宋体" w:cs="宋体"/>
          <w:b/>
          <w:bCs/>
          <w:color w:val="auto"/>
          <w:highlight w:val="none"/>
          <w:u w:val="single"/>
        </w:rPr>
      </w:pPr>
      <w:r>
        <w:rPr>
          <w:rFonts w:hint="eastAsia" w:ascii="宋体" w:hAnsi="宋体" w:cs="宋体"/>
          <w:b/>
          <w:bCs/>
          <w:color w:val="auto"/>
          <w:highlight w:val="none"/>
        </w:rPr>
        <w:t>②工程地质和地下管线资料的提供时间：</w:t>
      </w:r>
      <w:r>
        <w:rPr>
          <w:rFonts w:hint="eastAsia" w:ascii="宋体" w:hAnsi="宋体" w:cs="宋体"/>
          <w:color w:val="auto"/>
          <w:highlight w:val="none"/>
          <w:u w:val="single"/>
        </w:rPr>
        <w:t>开工前5天，随施工图一起配套提供给承包人，并对所提供的工程地质和地下管线资料的真实准确性负责。</w:t>
      </w:r>
    </w:p>
    <w:p w14:paraId="236DC993">
      <w:pPr>
        <w:snapToGrid w:val="0"/>
        <w:spacing w:line="400" w:lineRule="exact"/>
        <w:ind w:firstLine="422"/>
        <w:jc w:val="left"/>
        <w:rPr>
          <w:rFonts w:ascii="宋体" w:hAnsi="宋体" w:cs="宋体"/>
          <w:color w:val="auto"/>
          <w:highlight w:val="none"/>
          <w:u w:val="single"/>
        </w:rPr>
      </w:pPr>
      <w:r>
        <w:rPr>
          <w:rFonts w:hint="eastAsia" w:ascii="宋体" w:hAnsi="宋体" w:cs="宋体"/>
          <w:b/>
          <w:bCs/>
          <w:color w:val="auto"/>
          <w:highlight w:val="none"/>
        </w:rPr>
        <w:t>③水准点与座标控制点交验要求：</w:t>
      </w:r>
      <w:r>
        <w:rPr>
          <w:rFonts w:hint="eastAsia" w:ascii="宋体" w:hAnsi="宋体" w:cs="宋体"/>
          <w:color w:val="auto"/>
          <w:highlight w:val="none"/>
          <w:u w:val="single"/>
        </w:rPr>
        <w:t>于开工前5日内现场交验，承包人复核确定，双方做好签认工作。</w:t>
      </w:r>
    </w:p>
    <w:p w14:paraId="5B91F3FC">
      <w:pPr>
        <w:keepNext w:val="0"/>
        <w:keepLines w:val="0"/>
        <w:pageBreakBefore w:val="0"/>
        <w:widowControl w:val="0"/>
        <w:kinsoku/>
        <w:wordWrap/>
        <w:overflowPunct/>
        <w:topLinePunct w:val="0"/>
        <w:autoSpaceDE/>
        <w:autoSpaceDN/>
        <w:bidi w:val="0"/>
        <w:adjustRightInd/>
        <w:snapToGrid w:val="0"/>
        <w:spacing w:line="400" w:lineRule="exact"/>
        <w:ind w:left="0" w:leftChars="0" w:firstLine="422" w:firstLineChars="200"/>
        <w:textAlignment w:val="auto"/>
        <w:rPr>
          <w:rFonts w:ascii="宋体" w:hAnsi="宋体" w:cs="宋体"/>
          <w:b/>
          <w:bCs/>
          <w:color w:val="auto"/>
          <w:highlight w:val="none"/>
          <w:u w:val="single"/>
        </w:rPr>
      </w:pPr>
      <w:r>
        <w:rPr>
          <w:rFonts w:hint="eastAsia" w:ascii="宋体" w:hAnsi="宋体" w:cs="宋体"/>
          <w:b/>
          <w:bCs/>
          <w:color w:val="auto"/>
          <w:highlight w:val="none"/>
        </w:rPr>
        <w:t>④由发包人办理的施工所需证件、批件的名称和完成时间</w:t>
      </w:r>
      <w:r>
        <w:rPr>
          <w:rFonts w:hint="eastAsia" w:ascii="宋体" w:hAnsi="宋体" w:cs="宋体"/>
          <w:b/>
          <w:bCs/>
          <w:color w:val="auto"/>
          <w:highlight w:val="none"/>
          <w:u w:val="single"/>
        </w:rPr>
        <w:t>：</w:t>
      </w:r>
      <w:r>
        <w:rPr>
          <w:rFonts w:hint="eastAsia" w:ascii="宋体" w:hAnsi="宋体" w:cs="宋体"/>
          <w:color w:val="auto"/>
          <w:highlight w:val="none"/>
          <w:u w:val="single"/>
        </w:rPr>
        <w:t xml:space="preserve">开工所需的报建手续, 于开工前7天内完成  </w:t>
      </w:r>
      <w:r>
        <w:rPr>
          <w:rFonts w:hint="eastAsia" w:ascii="宋体" w:hAnsi="宋体" w:cs="宋体"/>
          <w:b/>
          <w:bCs/>
          <w:color w:val="auto"/>
          <w:highlight w:val="none"/>
        </w:rPr>
        <w:t>。</w:t>
      </w:r>
    </w:p>
    <w:p w14:paraId="426B7FE6">
      <w:pPr>
        <w:snapToGrid w:val="0"/>
        <w:spacing w:line="400" w:lineRule="exact"/>
        <w:ind w:firstLine="422"/>
        <w:rPr>
          <w:rFonts w:ascii="宋体" w:hAnsi="宋体" w:cs="宋体"/>
          <w:color w:val="auto"/>
          <w:highlight w:val="none"/>
          <w:u w:val="single"/>
        </w:rPr>
      </w:pPr>
      <w:r>
        <w:rPr>
          <w:rFonts w:hint="eastAsia" w:ascii="宋体" w:hAnsi="宋体" w:cs="宋体"/>
          <w:b/>
          <w:bCs/>
          <w:color w:val="auto"/>
          <w:highlight w:val="none"/>
        </w:rPr>
        <w:t>⑤土方作业时冲洗平台和密闭车辆的标准：</w:t>
      </w:r>
      <w:r>
        <w:rPr>
          <w:rFonts w:hint="eastAsia" w:ascii="宋体" w:hAnsi="宋体" w:cs="宋体"/>
          <w:bCs/>
          <w:color w:val="auto"/>
          <w:highlight w:val="none"/>
          <w:u w:val="single"/>
        </w:rPr>
        <w:t>要求密封，承包人负责完善</w:t>
      </w:r>
      <w:r>
        <w:rPr>
          <w:rFonts w:hint="eastAsia" w:ascii="宋体" w:hAnsi="宋体" w:cs="宋体"/>
          <w:color w:val="auto"/>
          <w:highlight w:val="none"/>
          <w:u w:val="single"/>
        </w:rPr>
        <w:t>，费用已含在单价中（施工现场必须设有“三池一设备”；要求车辆冲洗设施设置在工地出入口主便道上，按《关于规范施工现场渣土运输管理办法》执行）；未按要求执行的，发包人有权暂不予以支付安全文明施工费。</w:t>
      </w:r>
    </w:p>
    <w:p w14:paraId="37EAD239">
      <w:pPr>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rPr>
        <w:t>⑥消纳场的具体位置及其合理运距：</w:t>
      </w:r>
      <w:r>
        <w:rPr>
          <w:rFonts w:ascii="宋体" w:hAnsi="宋体" w:cs="宋体"/>
          <w:color w:val="auto"/>
          <w:highlight w:val="none"/>
          <w:u w:val="single"/>
        </w:rPr>
        <w:t>按就近消纳、成本最小化的基本原则，发包人可优先指定具体在建项目进行消纳，合理调配土方平衡，控制投资成本，运输路线由各参建单位核准，消纳费以实际发生为准，且不得超出政府规定单价；如发包人未指定的，承包人</w:t>
      </w:r>
      <w:r>
        <w:rPr>
          <w:rFonts w:hint="eastAsia" w:ascii="宋体" w:hAnsi="宋体" w:cs="宋体"/>
          <w:color w:val="auto"/>
          <w:highlight w:val="none"/>
          <w:u w:val="single"/>
        </w:rPr>
        <w:t>需办理南宁市城市建筑垃圾处置许可</w:t>
      </w:r>
      <w:r>
        <w:rPr>
          <w:rFonts w:ascii="宋体" w:hAnsi="宋体" w:cs="宋体"/>
          <w:color w:val="auto"/>
          <w:highlight w:val="none"/>
          <w:u w:val="single"/>
        </w:rPr>
        <w:t>证，按许可证批复的消纳场进行消纳，运输路线由各参建单位核准，消纳费按政府规定单价执行；施工过程中出现新开设的消纳场，且运距更短，则立即进行调整，按开设日期进行调整计价。</w:t>
      </w:r>
      <w:r>
        <w:rPr>
          <w:rFonts w:hint="eastAsia" w:ascii="宋体" w:hAnsi="宋体" w:cs="宋体"/>
          <w:color w:val="auto"/>
          <w:highlight w:val="none"/>
          <w:u w:val="single"/>
        </w:rPr>
        <w:t>涉及运距调整的，承包人需提供调整原因，调整的消纳场位置、参建各方现场实测记录及线路图等相关资料，及运距调整增减的预算费用，报建设单位等相关单位审批。承</w:t>
      </w:r>
      <w:r>
        <w:rPr>
          <w:rFonts w:ascii="宋体" w:hAnsi="宋体" w:cs="宋体"/>
          <w:color w:val="auto"/>
          <w:highlight w:val="none"/>
          <w:u w:val="single"/>
        </w:rPr>
        <w:t>包人非法弃土的，则不予计量支付。</w:t>
      </w:r>
      <w:r>
        <w:rPr>
          <w:rFonts w:hint="eastAsia" w:ascii="宋体" w:hAnsi="宋体" w:cs="宋体"/>
          <w:color w:val="auto"/>
          <w:highlight w:val="none"/>
          <w:u w:val="single"/>
        </w:rPr>
        <w:t>非法弃土所产生的一切后果由承包人自行负责和承担。</w:t>
      </w:r>
    </w:p>
    <w:p w14:paraId="3984B936">
      <w:pPr>
        <w:spacing w:line="360" w:lineRule="auto"/>
        <w:ind w:firstLine="420" w:firstLineChars="200"/>
        <w:rPr>
          <w:rFonts w:ascii="宋体" w:hAnsi="宋体" w:cs="宋体"/>
          <w:color w:val="auto"/>
          <w:highlight w:val="none"/>
        </w:rPr>
      </w:pPr>
      <w:r>
        <w:rPr>
          <w:rFonts w:hint="eastAsia" w:ascii="宋体" w:hAnsi="宋体" w:cs="宋体"/>
          <w:color w:val="auto"/>
          <w:highlight w:val="none"/>
          <w:u w:val="single"/>
        </w:rPr>
        <w:t>⑦由于工地现场条件有限，由承包人自行考虑安排符合规范要求的办公场所及人员住宿场所。</w:t>
      </w:r>
      <w:r>
        <w:rPr>
          <w:rFonts w:hint="eastAsia" w:ascii="宋体" w:hAnsi="宋体" w:cs="宋体"/>
          <w:color w:val="auto"/>
          <w:highlight w:val="none"/>
        </w:rPr>
        <w:t>相关费用自行负责。</w:t>
      </w:r>
    </w:p>
    <w:p w14:paraId="50598D21">
      <w:pPr>
        <w:ind w:firstLine="420" w:firstLineChars="200"/>
        <w:rPr>
          <w:color w:val="auto"/>
          <w:highlight w:val="none"/>
        </w:rPr>
      </w:pPr>
      <w:r>
        <w:rPr>
          <w:rFonts w:hint="eastAsia"/>
          <w:color w:val="auto"/>
          <w:highlight w:val="none"/>
        </w:rPr>
        <w:fldChar w:fldCharType="begin"/>
      </w:r>
      <w:r>
        <w:rPr>
          <w:color w:val="auto"/>
          <w:highlight w:val="none"/>
        </w:rPr>
        <w:instrText xml:space="preserve"> = 8 \* GB3 \* MERGEFORMAT </w:instrText>
      </w:r>
      <w:r>
        <w:rPr>
          <w:rFonts w:hint="eastAsia"/>
          <w:color w:val="auto"/>
          <w:highlight w:val="none"/>
        </w:rPr>
        <w:fldChar w:fldCharType="separate"/>
      </w:r>
      <w:r>
        <w:rPr>
          <w:rFonts w:hint="eastAsia" w:ascii="宋体" w:hAnsi="宋体" w:cs="宋体"/>
          <w:color w:val="auto"/>
          <w:highlight w:val="none"/>
        </w:rPr>
        <w:t>⑧</w:t>
      </w:r>
      <w:r>
        <w:rPr>
          <w:rFonts w:hint="eastAsia" w:ascii="宋体" w:hAnsi="宋体" w:cs="宋体"/>
          <w:color w:val="auto"/>
          <w:highlight w:val="none"/>
        </w:rPr>
        <w:fldChar w:fldCharType="end"/>
      </w:r>
      <w:r>
        <w:rPr>
          <w:color w:val="auto"/>
          <w:highlight w:val="none"/>
        </w:rPr>
        <w:t>由承包人负责管线迁改（包括红线内及出入口）的实施，具体价格由双方协商确认。</w:t>
      </w:r>
    </w:p>
    <w:p w14:paraId="255E070C">
      <w:pPr>
        <w:rPr>
          <w:color w:val="auto"/>
          <w:highlight w:val="none"/>
        </w:rPr>
      </w:pPr>
    </w:p>
    <w:p w14:paraId="741538AA">
      <w:pPr>
        <w:keepNext/>
        <w:keepLines/>
        <w:spacing w:line="600" w:lineRule="exact"/>
        <w:ind w:firstLine="643" w:firstLineChars="200"/>
        <w:outlineLvl w:val="2"/>
        <w:rPr>
          <w:b/>
          <w:bCs/>
          <w:color w:val="auto"/>
          <w:sz w:val="32"/>
          <w:szCs w:val="32"/>
          <w:highlight w:val="none"/>
        </w:rPr>
      </w:pPr>
      <w:bookmarkStart w:id="293" w:name="_Toc1238195908"/>
      <w:bookmarkStart w:id="294" w:name="_Toc389065271"/>
      <w:bookmarkStart w:id="295" w:name="_Toc407135207"/>
      <w:bookmarkStart w:id="296" w:name="_Toc78449793"/>
      <w:bookmarkStart w:id="297" w:name="_Toc672429943"/>
      <w:bookmarkStart w:id="298" w:name="_Toc373227705"/>
      <w:bookmarkStart w:id="299" w:name="_Toc373478352"/>
      <w:r>
        <w:rPr>
          <w:b/>
          <w:bCs/>
          <w:color w:val="auto"/>
          <w:sz w:val="32"/>
          <w:szCs w:val="32"/>
          <w:highlight w:val="none"/>
        </w:rPr>
        <w:t xml:space="preserve">2.5 </w:t>
      </w:r>
      <w:r>
        <w:rPr>
          <w:rFonts w:hint="eastAsia" w:cs="黑体"/>
          <w:b/>
          <w:bCs/>
          <w:color w:val="auto"/>
          <w:sz w:val="32"/>
          <w:szCs w:val="32"/>
          <w:highlight w:val="none"/>
        </w:rPr>
        <w:t>资金来源证明及支付担保</w:t>
      </w:r>
      <w:bookmarkEnd w:id="293"/>
      <w:bookmarkEnd w:id="294"/>
      <w:bookmarkEnd w:id="295"/>
      <w:bookmarkEnd w:id="296"/>
      <w:bookmarkEnd w:id="297"/>
      <w:bookmarkEnd w:id="298"/>
      <w:bookmarkEnd w:id="299"/>
    </w:p>
    <w:p w14:paraId="6B7506CE">
      <w:pPr>
        <w:spacing w:line="360" w:lineRule="auto"/>
        <w:ind w:firstLine="420" w:firstLineChars="200"/>
        <w:rPr>
          <w:color w:val="auto"/>
          <w:highlight w:val="none"/>
        </w:rPr>
      </w:pPr>
      <w:r>
        <w:rPr>
          <w:rFonts w:hint="eastAsia" w:hAnsi="宋体" w:cs="宋体"/>
          <w:color w:val="auto"/>
          <w:highlight w:val="none"/>
        </w:rPr>
        <w:t>发包人提供资金来源证明的期限要求：</w:t>
      </w:r>
      <w:r>
        <w:rPr>
          <w:rFonts w:hint="eastAsia" w:ascii="Calibri" w:hAnsi="宋体"/>
          <w:color w:val="auto"/>
          <w:highlight w:val="none"/>
          <w:u w:val="single"/>
        </w:rPr>
        <w:t>无</w:t>
      </w:r>
      <w:r>
        <w:rPr>
          <w:rFonts w:hint="eastAsia" w:hAnsi="宋体" w:cs="宋体"/>
          <w:color w:val="auto"/>
          <w:highlight w:val="none"/>
        </w:rPr>
        <w:t>。</w:t>
      </w:r>
    </w:p>
    <w:p w14:paraId="074A5838">
      <w:pPr>
        <w:spacing w:line="360" w:lineRule="auto"/>
        <w:ind w:firstLine="420" w:firstLineChars="200"/>
        <w:rPr>
          <w:rFonts w:hAnsi="宋体" w:cs="宋体"/>
          <w:color w:val="auto"/>
          <w:highlight w:val="none"/>
        </w:rPr>
      </w:pPr>
      <w:r>
        <w:rPr>
          <w:rFonts w:hint="eastAsia" w:hAnsi="宋体" w:cs="宋体"/>
          <w:color w:val="auto"/>
          <w:highlight w:val="none"/>
        </w:rPr>
        <w:t>发包人是否提供支付担保：</w:t>
      </w:r>
      <w:r>
        <w:rPr>
          <w:rFonts w:hint="eastAsia"/>
          <w:color w:val="auto"/>
          <w:highlight w:val="none"/>
          <w:u w:val="single"/>
        </w:rPr>
        <w:t>否</w:t>
      </w:r>
      <w:r>
        <w:rPr>
          <w:rFonts w:hint="eastAsia" w:hAnsi="宋体" w:cs="宋体"/>
          <w:color w:val="auto"/>
          <w:highlight w:val="none"/>
        </w:rPr>
        <w:t>。</w:t>
      </w:r>
    </w:p>
    <w:p w14:paraId="609687A6">
      <w:pPr>
        <w:spacing w:line="360" w:lineRule="auto"/>
        <w:ind w:firstLine="420" w:firstLineChars="200"/>
        <w:rPr>
          <w:rFonts w:hAnsi="宋体"/>
          <w:color w:val="auto"/>
          <w:szCs w:val="21"/>
          <w:highlight w:val="none"/>
        </w:rPr>
      </w:pPr>
      <w:r>
        <w:rPr>
          <w:rFonts w:hint="eastAsia" w:hAnsi="宋体" w:cs="宋体"/>
          <w:color w:val="auto"/>
          <w:highlight w:val="none"/>
        </w:rPr>
        <w:t>发包人提供支付担保的形式：</w:t>
      </w:r>
      <w:r>
        <w:rPr>
          <w:rFonts w:hint="eastAsia" w:hAnsi="宋体"/>
          <w:color w:val="auto"/>
          <w:szCs w:val="21"/>
          <w:highlight w:val="none"/>
          <w:u w:val="single"/>
        </w:rPr>
        <w:t>/</w:t>
      </w:r>
      <w:r>
        <w:rPr>
          <w:rFonts w:hAnsi="宋体"/>
          <w:color w:val="auto"/>
          <w:szCs w:val="21"/>
          <w:highlight w:val="none"/>
        </w:rPr>
        <w:t>。</w:t>
      </w:r>
    </w:p>
    <w:p w14:paraId="3A27B650">
      <w:pPr>
        <w:spacing w:line="360" w:lineRule="auto"/>
        <w:ind w:firstLine="420" w:firstLineChars="200"/>
        <w:rPr>
          <w:rFonts w:hAnsi="宋体" w:cs="宋体"/>
          <w:color w:val="auto"/>
          <w:highlight w:val="none"/>
        </w:rPr>
      </w:pPr>
      <w:r>
        <w:rPr>
          <w:rFonts w:hint="eastAsia"/>
          <w:color w:val="auto"/>
          <w:highlight w:val="none"/>
        </w:rPr>
        <w:t>可以是</w:t>
      </w:r>
      <w:r>
        <w:rPr>
          <w:rFonts w:hint="eastAsia" w:hAnsi="宋体" w:cs="宋体"/>
          <w:color w:val="auto"/>
          <w:highlight w:val="none"/>
        </w:rPr>
        <w:t>银行转账、电汇或网上支付、保函（银行保函、电子</w:t>
      </w:r>
      <w:r>
        <w:rPr>
          <w:rFonts w:hAnsi="宋体" w:cs="宋体"/>
          <w:color w:val="auto"/>
          <w:highlight w:val="none"/>
        </w:rPr>
        <w:t>保函</w:t>
      </w:r>
      <w:r>
        <w:rPr>
          <w:rFonts w:hint="eastAsia" w:hAnsi="宋体" w:cs="宋体"/>
          <w:color w:val="auto"/>
          <w:highlight w:val="none"/>
        </w:rPr>
        <w:t>、保证保险保函、工程担保保函）</w:t>
      </w:r>
      <w:r>
        <w:rPr>
          <w:rFonts w:hint="eastAsia" w:hAnsi="宋体"/>
          <w:color w:val="auto"/>
          <w:highlight w:val="none"/>
        </w:rPr>
        <w:t>等</w:t>
      </w:r>
      <w:r>
        <w:rPr>
          <w:rFonts w:hint="eastAsia" w:hAnsi="宋体" w:cs="宋体"/>
          <w:color w:val="auto"/>
          <w:highlight w:val="none"/>
        </w:rPr>
        <w:t>形</w:t>
      </w:r>
      <w:r>
        <w:rPr>
          <w:rFonts w:hint="eastAsia" w:hAnsi="宋体"/>
          <w:color w:val="auto"/>
          <w:highlight w:val="none"/>
        </w:rPr>
        <w:t>式</w:t>
      </w:r>
      <w:r>
        <w:rPr>
          <w:rFonts w:hint="eastAsia" w:hAnsi="宋体" w:cs="宋体"/>
          <w:color w:val="auto"/>
          <w:highlight w:val="none"/>
        </w:rPr>
        <w:t>。</w:t>
      </w:r>
    </w:p>
    <w:p w14:paraId="122EE4D3">
      <w:pPr>
        <w:keepNext/>
        <w:keepLines/>
        <w:spacing w:line="360" w:lineRule="auto"/>
        <w:outlineLvl w:val="2"/>
        <w:rPr>
          <w:rFonts w:ascii="Calibri" w:hAnsi="Calibri" w:eastAsia="黑体"/>
          <w:b/>
          <w:bCs/>
          <w:color w:val="auto"/>
          <w:sz w:val="32"/>
          <w:szCs w:val="32"/>
          <w:highlight w:val="none"/>
          <w:lang w:val="zh-CN"/>
        </w:rPr>
      </w:pPr>
      <w:r>
        <w:rPr>
          <w:rFonts w:hint="eastAsia" w:ascii="Calibri" w:hAnsi="Calibri" w:eastAsia="黑体"/>
          <w:b/>
          <w:bCs/>
          <w:color w:val="auto"/>
          <w:sz w:val="32"/>
          <w:szCs w:val="32"/>
          <w:highlight w:val="none"/>
          <w:lang w:val="zh-CN"/>
        </w:rPr>
        <w:t>2.6 支付合同价款</w:t>
      </w:r>
    </w:p>
    <w:p w14:paraId="58E45834">
      <w:pPr>
        <w:spacing w:line="360" w:lineRule="auto"/>
        <w:ind w:firstLine="420" w:firstLineChars="200"/>
        <w:rPr>
          <w:rFonts w:ascii="Calibri" w:hAnsi="宋体"/>
          <w:color w:val="auto"/>
          <w:highlight w:val="none"/>
        </w:rPr>
      </w:pPr>
      <w:r>
        <w:rPr>
          <w:rFonts w:hint="eastAsia" w:ascii="Calibri" w:hAnsi="宋体"/>
          <w:color w:val="auto"/>
          <w:highlight w:val="none"/>
        </w:rPr>
        <w:t>发包人应按合同约定向承包人及时支付合同价款，发包人在每次支付进度款时，通过银行转账方式，按进度款的20%（百分比按广西壮族自治区建设工程费用定额规定）拨付到承包人农民工工资支付专用账户，专门用于支付农民工工资。</w:t>
      </w:r>
    </w:p>
    <w:p w14:paraId="307ABAFD">
      <w:pPr>
        <w:keepNext/>
        <w:keepLines/>
        <w:spacing w:line="360" w:lineRule="auto"/>
        <w:outlineLvl w:val="2"/>
        <w:rPr>
          <w:rFonts w:ascii="Calibri" w:hAnsi="Calibri" w:eastAsia="黑体"/>
          <w:b/>
          <w:bCs/>
          <w:color w:val="auto"/>
          <w:sz w:val="32"/>
          <w:szCs w:val="32"/>
          <w:highlight w:val="none"/>
          <w:lang w:val="zh-CN"/>
        </w:rPr>
      </w:pPr>
      <w:r>
        <w:rPr>
          <w:rFonts w:hint="eastAsia" w:ascii="Calibri" w:hAnsi="Calibri" w:eastAsia="黑体"/>
          <w:b/>
          <w:bCs/>
          <w:color w:val="auto"/>
          <w:sz w:val="32"/>
          <w:szCs w:val="32"/>
          <w:highlight w:val="none"/>
          <w:lang w:val="zh-CN"/>
        </w:rPr>
        <w:t>2.7发包人的其他的权利和义务</w:t>
      </w:r>
    </w:p>
    <w:p w14:paraId="01FF7B9F">
      <w:pPr>
        <w:spacing w:line="360" w:lineRule="auto"/>
        <w:ind w:firstLine="420" w:firstLineChars="200"/>
        <w:rPr>
          <w:rFonts w:hAnsi="宋体"/>
          <w:color w:val="auto"/>
          <w:szCs w:val="21"/>
          <w:highlight w:val="none"/>
        </w:rPr>
      </w:pPr>
      <w:r>
        <w:rPr>
          <w:rFonts w:hint="eastAsia" w:ascii="Calibri" w:hAnsi="宋体"/>
          <w:color w:val="auto"/>
          <w:highlight w:val="none"/>
        </w:rPr>
        <w:t>2.7.1</w:t>
      </w:r>
      <w:r>
        <w:rPr>
          <w:rFonts w:hint="eastAsia" w:hAnsi="宋体"/>
          <w:color w:val="auto"/>
          <w:szCs w:val="21"/>
          <w:highlight w:val="none"/>
        </w:rPr>
        <w:t>在施工过程中，承包人的工程进度应满足合同工程进度计划要求，否则发包人将对承包人进行整顿，并有权要求承包人限期增加相应的机械设备、人员、材料，并不得就此向发包人提出任何费用补偿或索赔及其他相关要求。</w:t>
      </w:r>
    </w:p>
    <w:p w14:paraId="21050A0C">
      <w:pPr>
        <w:spacing w:line="360" w:lineRule="auto"/>
        <w:ind w:firstLine="420" w:firstLineChars="200"/>
        <w:rPr>
          <w:rFonts w:ascii="Calibri" w:hAnsi="宋体"/>
          <w:color w:val="auto"/>
          <w:highlight w:val="none"/>
        </w:rPr>
      </w:pPr>
      <w:r>
        <w:rPr>
          <w:rFonts w:hint="eastAsia" w:ascii="Calibri" w:hAnsi="宋体"/>
          <w:color w:val="auto"/>
          <w:highlight w:val="none"/>
        </w:rPr>
        <w:t>2.7.2在合同期内，发包人有权不定期组织对承包人的合同履约检查，检查不仅限于人员、机械、安全、质量、进度、等合同约定内容，发现不满足要求的，有权提出整改要求，并按相应违约处理/处罚。</w:t>
      </w:r>
    </w:p>
    <w:p w14:paraId="7FDAE024">
      <w:pPr>
        <w:spacing w:line="360" w:lineRule="auto"/>
        <w:ind w:firstLine="420" w:firstLineChars="200"/>
        <w:rPr>
          <w:rFonts w:ascii="Calibri" w:hAnsi="宋体"/>
          <w:color w:val="auto"/>
          <w:highlight w:val="none"/>
        </w:rPr>
      </w:pPr>
      <w:r>
        <w:rPr>
          <w:rFonts w:hint="eastAsia" w:ascii="Calibri" w:hAnsi="宋体"/>
          <w:color w:val="auto"/>
          <w:highlight w:val="none"/>
        </w:rPr>
        <w:t>2.7.3发包人有权不定期组织对承包人进行履约情况考核，对工程质量、进度、安全、农民工工资发放、环境保护和现场文明施工等方面具有否决权，并根据工程实际情况采取相应的处理措施。</w:t>
      </w:r>
    </w:p>
    <w:p w14:paraId="4887DE14">
      <w:pPr>
        <w:spacing w:line="360" w:lineRule="auto"/>
        <w:ind w:firstLine="420" w:firstLineChars="200"/>
        <w:rPr>
          <w:rFonts w:ascii="Calibri" w:hAnsi="宋体"/>
          <w:color w:val="auto"/>
          <w:highlight w:val="none"/>
        </w:rPr>
      </w:pPr>
      <w:r>
        <w:rPr>
          <w:rFonts w:hint="eastAsia" w:ascii="Calibri" w:hAnsi="宋体"/>
          <w:color w:val="auto"/>
          <w:highlight w:val="none"/>
        </w:rPr>
        <w:t>2.7.4发包人有权对承包人完成但经相关部门检查、检验不合格的工程随时发出指令，承包人必须按照指令的要求自费将不合格的任何工程予以拆除，并彻底重新施工。质量未达到技术规范及合同要求的在建或已完工程，发包人有权责令其停工、返工或不予结算支付，由此造成的一切损失由承包人自负。</w:t>
      </w:r>
    </w:p>
    <w:p w14:paraId="164F8772">
      <w:pPr>
        <w:spacing w:line="360" w:lineRule="auto"/>
        <w:ind w:firstLine="420" w:firstLineChars="200"/>
        <w:rPr>
          <w:rFonts w:ascii="Calibri" w:hAnsi="宋体"/>
          <w:color w:val="auto"/>
          <w:highlight w:val="none"/>
        </w:rPr>
      </w:pPr>
      <w:r>
        <w:rPr>
          <w:rFonts w:hint="eastAsia" w:ascii="Calibri" w:hAnsi="宋体"/>
          <w:color w:val="auto"/>
          <w:highlight w:val="none"/>
        </w:rPr>
        <w:t>2.7.5发包人对承包人的任何设备或装备在现场或在现场附近或在运往现场途中的任何损坏或损失或支付补偿不负责任。</w:t>
      </w:r>
    </w:p>
    <w:p w14:paraId="6E8E20A0">
      <w:pPr>
        <w:keepNext/>
        <w:keepLines/>
        <w:spacing w:before="260" w:after="260" w:line="413" w:lineRule="auto"/>
        <w:outlineLvl w:val="1"/>
        <w:rPr>
          <w:rFonts w:ascii="Arial" w:hAnsi="Arial" w:eastAsia="黑体"/>
          <w:b/>
          <w:bCs/>
          <w:color w:val="auto"/>
          <w:sz w:val="32"/>
          <w:szCs w:val="32"/>
          <w:highlight w:val="none"/>
        </w:rPr>
      </w:pPr>
      <w:bookmarkStart w:id="300" w:name="_Toc351203635"/>
      <w:bookmarkStart w:id="301" w:name="_Toc78449794"/>
      <w:bookmarkStart w:id="302" w:name="_Toc729657770"/>
      <w:bookmarkStart w:id="303" w:name="_Toc373478353"/>
      <w:bookmarkStart w:id="304" w:name="_Toc389065272"/>
      <w:bookmarkStart w:id="305" w:name="_Toc1181400362"/>
      <w:bookmarkStart w:id="306" w:name="_Toc373227706"/>
      <w:bookmarkStart w:id="307" w:name="_Toc407135208"/>
      <w:r>
        <w:rPr>
          <w:rFonts w:ascii="Arial" w:hAnsi="Arial" w:eastAsia="黑体"/>
          <w:b/>
          <w:bCs/>
          <w:color w:val="auto"/>
          <w:sz w:val="32"/>
          <w:szCs w:val="32"/>
          <w:highlight w:val="none"/>
        </w:rPr>
        <w:t>3</w:t>
      </w:r>
      <w:bookmarkStart w:id="308" w:name="_Toc297048344"/>
      <w:bookmarkStart w:id="309" w:name="_Toc296891198"/>
      <w:bookmarkStart w:id="310" w:name="_Toc296347157"/>
      <w:bookmarkStart w:id="311" w:name="_Toc292559868"/>
      <w:bookmarkStart w:id="312" w:name="_Toc292559363"/>
      <w:bookmarkStart w:id="313" w:name="_Toc296944497"/>
      <w:bookmarkStart w:id="314" w:name="_Toc296346659"/>
      <w:bookmarkStart w:id="315" w:name="_Toc297120458"/>
      <w:bookmarkStart w:id="316" w:name="_Toc296890986"/>
      <w:bookmarkStart w:id="317" w:name="_Toc296503158"/>
      <w:r>
        <w:rPr>
          <w:rFonts w:ascii="Arial" w:hAnsi="Arial" w:eastAsia="黑体"/>
          <w:b/>
          <w:bCs/>
          <w:color w:val="auto"/>
          <w:sz w:val="32"/>
          <w:szCs w:val="32"/>
          <w:highlight w:val="none"/>
        </w:rPr>
        <w:t xml:space="preserve">. </w:t>
      </w:r>
      <w:r>
        <w:rPr>
          <w:rFonts w:hint="eastAsia" w:ascii="Arial" w:hAnsi="宋体" w:eastAsia="黑体" w:cs="黑体"/>
          <w:b/>
          <w:bCs/>
          <w:color w:val="auto"/>
          <w:sz w:val="32"/>
          <w:szCs w:val="32"/>
          <w:highlight w:val="none"/>
        </w:rPr>
        <w:t>承包人</w:t>
      </w:r>
      <w:bookmarkEnd w:id="300"/>
      <w:bookmarkEnd w:id="301"/>
      <w:bookmarkEnd w:id="302"/>
      <w:bookmarkEnd w:id="303"/>
      <w:bookmarkEnd w:id="304"/>
      <w:bookmarkEnd w:id="305"/>
      <w:bookmarkEnd w:id="306"/>
      <w:bookmarkEnd w:id="307"/>
    </w:p>
    <w:bookmarkEnd w:id="308"/>
    <w:bookmarkEnd w:id="309"/>
    <w:bookmarkEnd w:id="310"/>
    <w:bookmarkEnd w:id="311"/>
    <w:bookmarkEnd w:id="312"/>
    <w:bookmarkEnd w:id="313"/>
    <w:bookmarkEnd w:id="314"/>
    <w:bookmarkEnd w:id="315"/>
    <w:bookmarkEnd w:id="316"/>
    <w:bookmarkEnd w:id="317"/>
    <w:p w14:paraId="6C24F660">
      <w:pPr>
        <w:keepNext/>
        <w:keepLines/>
        <w:spacing w:line="600" w:lineRule="exact"/>
        <w:ind w:firstLine="643" w:firstLineChars="200"/>
        <w:outlineLvl w:val="2"/>
        <w:rPr>
          <w:b/>
          <w:bCs/>
          <w:color w:val="auto"/>
          <w:sz w:val="32"/>
          <w:szCs w:val="32"/>
          <w:highlight w:val="none"/>
        </w:rPr>
      </w:pPr>
      <w:bookmarkStart w:id="318" w:name="_Toc78449795"/>
      <w:bookmarkStart w:id="319" w:name="_Toc407135209"/>
      <w:bookmarkStart w:id="320" w:name="_Toc373227707"/>
      <w:bookmarkStart w:id="321" w:name="_Toc962678435"/>
      <w:bookmarkStart w:id="322" w:name="_Toc389065273"/>
      <w:bookmarkStart w:id="323" w:name="_Toc373478354"/>
      <w:bookmarkStart w:id="324" w:name="_Toc1642190822"/>
      <w:r>
        <w:rPr>
          <w:b/>
          <w:bCs/>
          <w:color w:val="auto"/>
          <w:sz w:val="32"/>
          <w:szCs w:val="32"/>
          <w:highlight w:val="none"/>
        </w:rPr>
        <w:t xml:space="preserve">3.1 </w:t>
      </w:r>
      <w:r>
        <w:rPr>
          <w:rFonts w:hint="eastAsia" w:cs="黑体"/>
          <w:b/>
          <w:bCs/>
          <w:color w:val="auto"/>
          <w:sz w:val="32"/>
          <w:szCs w:val="32"/>
          <w:highlight w:val="none"/>
        </w:rPr>
        <w:t>承包人的一般义务</w:t>
      </w:r>
      <w:bookmarkEnd w:id="318"/>
      <w:bookmarkEnd w:id="319"/>
      <w:bookmarkEnd w:id="320"/>
      <w:bookmarkEnd w:id="321"/>
      <w:bookmarkEnd w:id="322"/>
      <w:bookmarkEnd w:id="323"/>
      <w:bookmarkEnd w:id="324"/>
    </w:p>
    <w:p w14:paraId="28FA3B46">
      <w:pPr>
        <w:spacing w:line="360" w:lineRule="auto"/>
        <w:ind w:firstLine="420" w:firstLineChars="200"/>
        <w:jc w:val="left"/>
        <w:rPr>
          <w:color w:val="auto"/>
          <w:highlight w:val="none"/>
          <w:u w:val="single"/>
        </w:rPr>
      </w:pPr>
      <w:r>
        <w:rPr>
          <w:rFonts w:hint="eastAsia" w:hAnsi="宋体" w:cs="宋体"/>
          <w:color w:val="auto"/>
          <w:kern w:val="0"/>
          <w:highlight w:val="none"/>
        </w:rPr>
        <w:t>（</w:t>
      </w:r>
      <w:r>
        <w:rPr>
          <w:color w:val="auto"/>
          <w:kern w:val="0"/>
          <w:highlight w:val="none"/>
        </w:rPr>
        <w:t>9</w:t>
      </w:r>
      <w:r>
        <w:rPr>
          <w:rFonts w:hint="eastAsia" w:hAnsi="宋体" w:cs="宋体"/>
          <w:color w:val="auto"/>
          <w:kern w:val="0"/>
          <w:highlight w:val="none"/>
        </w:rPr>
        <w:t>）</w:t>
      </w:r>
      <w:r>
        <w:rPr>
          <w:rFonts w:hint="eastAsia" w:hAnsi="宋体" w:cs="宋体"/>
          <w:color w:val="auto"/>
          <w:highlight w:val="none"/>
        </w:rPr>
        <w:t>承包人提交的竣工资料的内容：</w:t>
      </w:r>
      <w:r>
        <w:rPr>
          <w:rFonts w:hint="eastAsia" w:ascii="Calibri" w:hAnsi="Calibri"/>
          <w:color w:val="auto"/>
          <w:highlight w:val="none"/>
          <w:u w:val="single"/>
        </w:rPr>
        <w:t>按照法律规定和合同约定编制的竣工资料，符合工程所在地建设行政主管部门和（或）城市建设档案管理机构有关施工资料的要求，并立卷及归档</w:t>
      </w:r>
      <w:r>
        <w:rPr>
          <w:rFonts w:hint="eastAsia" w:hAnsi="宋体" w:cs="宋体"/>
          <w:color w:val="auto"/>
          <w:highlight w:val="none"/>
        </w:rPr>
        <w:t>。</w:t>
      </w:r>
    </w:p>
    <w:p w14:paraId="30CE032D">
      <w:pPr>
        <w:spacing w:line="360" w:lineRule="auto"/>
        <w:ind w:firstLine="420" w:firstLineChars="200"/>
        <w:jc w:val="left"/>
        <w:rPr>
          <w:color w:val="auto"/>
          <w:highlight w:val="none"/>
        </w:rPr>
      </w:pPr>
      <w:r>
        <w:rPr>
          <w:rFonts w:hint="eastAsia" w:hAnsi="宋体" w:cs="宋体"/>
          <w:color w:val="auto"/>
          <w:highlight w:val="none"/>
        </w:rPr>
        <w:t>承包人需要提交的竣工资料套数：</w:t>
      </w:r>
      <w:r>
        <w:rPr>
          <w:rFonts w:hint="eastAsia" w:ascii="Calibri" w:hAnsi="Calibri"/>
          <w:color w:val="auto"/>
          <w:highlight w:val="none"/>
          <w:u w:val="single"/>
        </w:rPr>
        <w:t>壹式陆套</w:t>
      </w:r>
      <w:r>
        <w:rPr>
          <w:rFonts w:hint="eastAsia" w:hAnsi="宋体" w:cs="宋体"/>
          <w:color w:val="auto"/>
          <w:highlight w:val="none"/>
        </w:rPr>
        <w:t>。</w:t>
      </w:r>
    </w:p>
    <w:p w14:paraId="6A833BE8">
      <w:pPr>
        <w:spacing w:line="360" w:lineRule="auto"/>
        <w:ind w:left="424" w:leftChars="202"/>
        <w:jc w:val="left"/>
        <w:rPr>
          <w:color w:val="auto"/>
          <w:highlight w:val="none"/>
        </w:rPr>
      </w:pPr>
      <w:r>
        <w:rPr>
          <w:rFonts w:hint="eastAsia" w:hAnsi="宋体" w:cs="宋体"/>
          <w:color w:val="auto"/>
          <w:highlight w:val="none"/>
        </w:rPr>
        <w:t>承包人提交的竣工资料的费用承担：</w:t>
      </w:r>
      <w:r>
        <w:rPr>
          <w:rFonts w:hint="eastAsia" w:ascii="Calibri" w:hAnsi="Calibri"/>
          <w:color w:val="auto"/>
          <w:highlight w:val="none"/>
          <w:u w:val="single"/>
        </w:rPr>
        <w:t>由承包人承担</w:t>
      </w:r>
      <w:r>
        <w:rPr>
          <w:rFonts w:hint="eastAsia" w:hAnsi="宋体" w:cs="宋体"/>
          <w:color w:val="auto"/>
          <w:highlight w:val="none"/>
        </w:rPr>
        <w:t>。</w:t>
      </w:r>
    </w:p>
    <w:p w14:paraId="3D470E0D">
      <w:pPr>
        <w:spacing w:line="360" w:lineRule="auto"/>
        <w:ind w:left="424" w:leftChars="202"/>
        <w:jc w:val="left"/>
        <w:rPr>
          <w:color w:val="auto"/>
          <w:highlight w:val="none"/>
        </w:rPr>
      </w:pPr>
      <w:r>
        <w:rPr>
          <w:rFonts w:hint="eastAsia" w:hAnsi="宋体" w:cs="宋体"/>
          <w:color w:val="auto"/>
          <w:highlight w:val="none"/>
        </w:rPr>
        <w:t>承包人提交的竣工资料移交时间：</w:t>
      </w:r>
      <w:r>
        <w:rPr>
          <w:rFonts w:hint="eastAsia"/>
          <w:color w:val="auto"/>
          <w:szCs w:val="21"/>
          <w:highlight w:val="none"/>
          <w:u w:val="single"/>
        </w:rPr>
        <w:t>竣工验收合格之日起二十天内</w:t>
      </w:r>
      <w:r>
        <w:rPr>
          <w:rFonts w:hint="eastAsia" w:hAnsi="宋体" w:cs="宋体"/>
          <w:color w:val="auto"/>
          <w:highlight w:val="none"/>
        </w:rPr>
        <w:t>。</w:t>
      </w:r>
    </w:p>
    <w:p w14:paraId="1172320B">
      <w:pPr>
        <w:spacing w:line="360" w:lineRule="auto"/>
        <w:ind w:firstLine="420" w:firstLineChars="200"/>
        <w:jc w:val="left"/>
        <w:rPr>
          <w:color w:val="auto"/>
          <w:highlight w:val="none"/>
        </w:rPr>
      </w:pPr>
      <w:r>
        <w:rPr>
          <w:rFonts w:hint="eastAsia" w:hAnsi="宋体" w:cs="宋体"/>
          <w:color w:val="auto"/>
          <w:highlight w:val="none"/>
        </w:rPr>
        <w:t>承包人提交的竣工资料形式要求：</w:t>
      </w:r>
      <w:r>
        <w:rPr>
          <w:rFonts w:hint="eastAsia" w:ascii="Calibri" w:hAnsi="Calibri"/>
          <w:color w:val="auto"/>
          <w:highlight w:val="none"/>
          <w:u w:val="single"/>
        </w:rPr>
        <w:t>按当地备案档案局装订要求全套提交（书面形式）。应符合工程所在地建设工程竣工备案管理部门的要求，提供电子版及纸质版</w:t>
      </w:r>
      <w:r>
        <w:rPr>
          <w:rFonts w:hint="eastAsia" w:hAnsi="宋体" w:cs="宋体"/>
          <w:color w:val="auto"/>
          <w:highlight w:val="none"/>
        </w:rPr>
        <w:t>。</w:t>
      </w:r>
    </w:p>
    <w:p w14:paraId="48675E57">
      <w:pPr>
        <w:spacing w:line="360" w:lineRule="auto"/>
        <w:ind w:firstLine="420" w:firstLineChars="200"/>
        <w:rPr>
          <w:color w:val="auto"/>
          <w:kern w:val="0"/>
          <w:highlight w:val="none"/>
          <w:u w:val="single"/>
        </w:rPr>
      </w:pPr>
      <w:r>
        <w:rPr>
          <w:rFonts w:hint="eastAsia" w:hAnsi="宋体" w:cs="宋体"/>
          <w:color w:val="auto"/>
          <w:kern w:val="0"/>
          <w:highlight w:val="none"/>
        </w:rPr>
        <w:t>（</w:t>
      </w:r>
      <w:r>
        <w:rPr>
          <w:color w:val="auto"/>
          <w:kern w:val="0"/>
          <w:highlight w:val="none"/>
        </w:rPr>
        <w:t>10</w:t>
      </w:r>
      <w:r>
        <w:rPr>
          <w:rFonts w:hint="eastAsia" w:hAnsi="宋体" w:cs="宋体"/>
          <w:color w:val="auto"/>
          <w:kern w:val="0"/>
          <w:highlight w:val="none"/>
        </w:rPr>
        <w:t>）承包人应履行的其他义务：</w:t>
      </w:r>
    </w:p>
    <w:p w14:paraId="25A09F81">
      <w:pPr>
        <w:spacing w:line="360" w:lineRule="auto"/>
        <w:ind w:firstLine="420" w:firstLineChars="200"/>
        <w:jc w:val="left"/>
        <w:rPr>
          <w:rFonts w:ascii="Calibri" w:hAnsi="宋体"/>
          <w:color w:val="auto"/>
          <w:kern w:val="0"/>
          <w:highlight w:val="none"/>
        </w:rPr>
      </w:pPr>
      <w:r>
        <w:rPr>
          <w:rFonts w:hint="eastAsia" w:ascii="Calibri" w:hAnsi="宋体"/>
          <w:color w:val="auto"/>
          <w:kern w:val="0"/>
          <w:highlight w:val="none"/>
        </w:rPr>
        <w:t>按照《中华人民共和国工会法》、《国务院关于进一步做好为农民工服务工作的意见》（国发〔2014〕40号）、《中华全国总工会关于深入贯彻落实&lt;国务院关于进一步做好为农民工服务工作的意见&gt;的实施意见》（总工发〔2015〕14号）有关要求，深入开展“农民工入会集中行动”。</w:t>
      </w:r>
    </w:p>
    <w:p w14:paraId="53341A25">
      <w:pPr>
        <w:spacing w:line="360" w:lineRule="auto"/>
        <w:ind w:firstLine="420" w:firstLineChars="200"/>
        <w:jc w:val="left"/>
        <w:rPr>
          <w:rFonts w:ascii="Calibri" w:hAnsi="宋体"/>
          <w:color w:val="auto"/>
          <w:kern w:val="0"/>
          <w:highlight w:val="none"/>
        </w:rPr>
      </w:pPr>
      <w:r>
        <w:rPr>
          <w:rFonts w:hint="eastAsia" w:ascii="Calibri" w:hAnsi="宋体"/>
          <w:color w:val="auto"/>
          <w:kern w:val="0"/>
          <w:highlight w:val="none"/>
        </w:rPr>
        <w:t>1）根据发包人委托，由承包人负责完成的设计文件属于合同条款第 1.6.4 项约定的承包人提供的文件，承包人应按照专用合同条款第 1.6.4 项约定的期限和数量提交，由此发生的费用被认为已经包括在承包人的签约合同价(投标总报价)中。由承包人承担的施工图设计或与工程配套的设计工作内容：无。</w:t>
      </w:r>
    </w:p>
    <w:p w14:paraId="63BD00D6">
      <w:pPr>
        <w:numPr>
          <w:ilvl w:val="0"/>
          <w:numId w:val="6"/>
        </w:numPr>
        <w:spacing w:line="360" w:lineRule="auto"/>
        <w:ind w:firstLine="420" w:firstLineChars="200"/>
        <w:jc w:val="left"/>
        <w:rPr>
          <w:rFonts w:ascii="Calibri" w:hAnsi="宋体"/>
          <w:color w:val="auto"/>
          <w:kern w:val="0"/>
          <w:highlight w:val="none"/>
        </w:rPr>
      </w:pPr>
      <w:r>
        <w:rPr>
          <w:rFonts w:hint="eastAsia" w:ascii="Calibri" w:hAnsi="宋体"/>
          <w:color w:val="auto"/>
          <w:kern w:val="0"/>
          <w:highlight w:val="none"/>
        </w:rPr>
        <w:t>应提供计划、报表的名称及完成时间：每月 25 日向监理、发包人提供当月工程进度报表以及下月进度计划各一式两份。</w:t>
      </w:r>
    </w:p>
    <w:p w14:paraId="25A06C04">
      <w:pPr>
        <w:numPr>
          <w:ilvl w:val="0"/>
          <w:numId w:val="6"/>
        </w:numPr>
        <w:spacing w:line="360" w:lineRule="auto"/>
        <w:ind w:firstLine="420" w:firstLineChars="200"/>
        <w:jc w:val="left"/>
        <w:rPr>
          <w:rFonts w:ascii="Calibri" w:hAnsi="宋体"/>
          <w:color w:val="auto"/>
          <w:kern w:val="0"/>
          <w:highlight w:val="none"/>
        </w:rPr>
      </w:pPr>
      <w:r>
        <w:rPr>
          <w:rFonts w:hint="eastAsia" w:ascii="Calibri" w:hAnsi="宋体"/>
          <w:color w:val="auto"/>
          <w:kern w:val="0"/>
          <w:highlight w:val="none"/>
        </w:rPr>
        <w:t>承担施工安全保卫工作及非夜间施工照明的责任和要求：</w:t>
      </w:r>
      <w:r>
        <w:rPr>
          <w:rFonts w:hint="eastAsia" w:ascii="Calibri" w:hAnsi="宋体"/>
          <w:color w:val="auto"/>
          <w:kern w:val="0"/>
          <w:highlight w:val="none"/>
          <w:u w:val="single"/>
        </w:rPr>
        <w:t>承包人应采取一切合理的预防措施，防止人员伤亡、财产损失事故，费用由承包人承担</w:t>
      </w:r>
      <w:r>
        <w:rPr>
          <w:rFonts w:hint="eastAsia" w:ascii="Calibri" w:hAnsi="宋体"/>
          <w:color w:val="auto"/>
          <w:kern w:val="0"/>
          <w:highlight w:val="none"/>
        </w:rPr>
        <w:t>。</w:t>
      </w:r>
    </w:p>
    <w:p w14:paraId="075AD1D7">
      <w:pPr>
        <w:numPr>
          <w:ilvl w:val="0"/>
          <w:numId w:val="6"/>
        </w:numPr>
        <w:spacing w:line="360" w:lineRule="auto"/>
        <w:ind w:firstLine="420" w:firstLineChars="200"/>
        <w:jc w:val="left"/>
        <w:rPr>
          <w:rFonts w:ascii="Calibri" w:hAnsi="宋体"/>
          <w:color w:val="auto"/>
          <w:kern w:val="0"/>
          <w:highlight w:val="none"/>
        </w:rPr>
      </w:pPr>
      <w:r>
        <w:rPr>
          <w:rFonts w:hint="eastAsia" w:ascii="Calibri" w:hAnsi="宋体"/>
          <w:color w:val="auto"/>
          <w:kern w:val="0"/>
          <w:highlight w:val="none"/>
        </w:rPr>
        <w:t>向发包人提供的办公和生活房屋及设施的要求：</w:t>
      </w:r>
      <w:r>
        <w:rPr>
          <w:rFonts w:hint="eastAsia" w:ascii="Calibri" w:hAnsi="宋体"/>
          <w:color w:val="auto"/>
          <w:kern w:val="0"/>
          <w:highlight w:val="none"/>
          <w:u w:val="single"/>
        </w:rPr>
        <w:t>按实际需要，由承包人负责承担</w:t>
      </w:r>
      <w:r>
        <w:rPr>
          <w:rFonts w:hint="eastAsia" w:ascii="Calibri" w:hAnsi="宋体"/>
          <w:color w:val="auto"/>
          <w:kern w:val="0"/>
          <w:highlight w:val="none"/>
        </w:rPr>
        <w:t>。</w:t>
      </w:r>
    </w:p>
    <w:p w14:paraId="32B1B006">
      <w:pPr>
        <w:numPr>
          <w:ilvl w:val="0"/>
          <w:numId w:val="6"/>
        </w:numPr>
        <w:tabs>
          <w:tab w:val="clear" w:pos="312"/>
        </w:tabs>
        <w:spacing w:line="360" w:lineRule="auto"/>
        <w:ind w:firstLine="420" w:firstLineChars="200"/>
        <w:jc w:val="left"/>
        <w:rPr>
          <w:rFonts w:ascii="Calibri" w:hAnsi="宋体"/>
          <w:color w:val="auto"/>
          <w:kern w:val="0"/>
          <w:highlight w:val="none"/>
        </w:rPr>
      </w:pPr>
      <w:r>
        <w:rPr>
          <w:rFonts w:hint="eastAsia" w:ascii="Calibri" w:hAnsi="宋体"/>
          <w:color w:val="auto"/>
          <w:kern w:val="0"/>
          <w:highlight w:val="none"/>
        </w:rPr>
        <w:t>需承包人办理的有关施工场地交通、环卫和施工噪音管理等手续：</w:t>
      </w:r>
      <w:r>
        <w:rPr>
          <w:rFonts w:hint="eastAsia" w:ascii="Calibri" w:hAnsi="宋体"/>
          <w:color w:val="auto"/>
          <w:kern w:val="0"/>
          <w:highlight w:val="none"/>
          <w:u w:val="single"/>
        </w:rPr>
        <w:t>因施工需要，经发包人批准，由承包人办理和负责费用。</w:t>
      </w:r>
    </w:p>
    <w:p w14:paraId="29BBE17E">
      <w:pPr>
        <w:numPr>
          <w:ilvl w:val="0"/>
          <w:numId w:val="6"/>
        </w:numPr>
        <w:spacing w:line="360" w:lineRule="auto"/>
        <w:ind w:firstLine="420" w:firstLineChars="200"/>
        <w:jc w:val="left"/>
        <w:rPr>
          <w:rFonts w:ascii="Calibri" w:hAnsi="宋体"/>
          <w:color w:val="auto"/>
          <w:kern w:val="0"/>
          <w:highlight w:val="none"/>
        </w:rPr>
      </w:pPr>
      <w:r>
        <w:rPr>
          <w:rFonts w:hint="eastAsia" w:hAnsi="宋体"/>
          <w:color w:val="auto"/>
          <w:kern w:val="0"/>
          <w:szCs w:val="21"/>
          <w:highlight w:val="none"/>
        </w:rPr>
        <w:t>已完工程成品保护的特殊要求及费用承担：</w:t>
      </w:r>
      <w:r>
        <w:rPr>
          <w:rFonts w:hint="eastAsia" w:hAnsi="宋体"/>
          <w:color w:val="auto"/>
          <w:kern w:val="0"/>
          <w:szCs w:val="21"/>
          <w:highlight w:val="none"/>
          <w:u w:val="single"/>
        </w:rPr>
        <w:t>已竣工工程未交付发包人之前，承包人负责已完工程的保护工作，保护期间发生损坏，承包人自费予以修复。</w:t>
      </w:r>
    </w:p>
    <w:p w14:paraId="2344B08F">
      <w:pPr>
        <w:numPr>
          <w:ilvl w:val="0"/>
          <w:numId w:val="6"/>
        </w:numPr>
        <w:spacing w:line="360" w:lineRule="auto"/>
        <w:ind w:firstLine="420" w:firstLineChars="200"/>
        <w:jc w:val="left"/>
        <w:rPr>
          <w:rFonts w:ascii="Calibri" w:hAnsi="宋体"/>
          <w:color w:val="auto"/>
          <w:kern w:val="0"/>
          <w:highlight w:val="none"/>
        </w:rPr>
      </w:pPr>
      <w:r>
        <w:rPr>
          <w:rFonts w:hint="eastAsia" w:ascii="Calibri" w:hAnsi="宋体"/>
          <w:color w:val="auto"/>
          <w:kern w:val="0"/>
          <w:highlight w:val="none"/>
        </w:rPr>
        <w:t>施工场地周围地下管线和邻近建筑物、构筑物(含文物保护建筑)、古树名木的保护要求及费用承担：</w:t>
      </w:r>
      <w:r>
        <w:rPr>
          <w:rFonts w:hint="eastAsia" w:ascii="Calibri" w:hAnsi="宋体"/>
          <w:color w:val="auto"/>
          <w:kern w:val="0"/>
          <w:highlight w:val="none"/>
          <w:u w:val="single"/>
        </w:rPr>
        <w:t>承包人施工时应探明并负责保护且承担费用，施工时如因承包人原因损坏地下管线、邻近建筑物、构筑物，所发生费用由承包人承担。如承包人未承担探明及保护义务，发包人有权对承包人做相应处罚。</w:t>
      </w:r>
    </w:p>
    <w:p w14:paraId="281DFFE4">
      <w:pPr>
        <w:numPr>
          <w:ilvl w:val="0"/>
          <w:numId w:val="6"/>
        </w:numPr>
        <w:spacing w:line="360" w:lineRule="auto"/>
        <w:ind w:firstLine="420" w:firstLineChars="200"/>
        <w:jc w:val="left"/>
        <w:rPr>
          <w:color w:val="auto"/>
          <w:highlight w:val="none"/>
        </w:rPr>
      </w:pPr>
      <w:r>
        <w:rPr>
          <w:rFonts w:hint="eastAsia" w:ascii="Calibri" w:hAnsi="宋体"/>
          <w:color w:val="auto"/>
          <w:kern w:val="0"/>
          <w:highlight w:val="none"/>
        </w:rPr>
        <w:t>施工场地清洁卫生的要求：</w:t>
      </w:r>
      <w:r>
        <w:rPr>
          <w:rFonts w:hint="eastAsia" w:ascii="Calibri" w:hAnsi="宋体"/>
          <w:color w:val="auto"/>
          <w:kern w:val="0"/>
          <w:highlight w:val="none"/>
          <w:u w:val="single"/>
        </w:rPr>
        <w:t>由于施工造成的环境污染，其责任和费用均由承包人承担。</w:t>
      </w:r>
    </w:p>
    <w:p w14:paraId="055258BC">
      <w:pPr>
        <w:spacing w:line="360" w:lineRule="auto"/>
        <w:ind w:left="420" w:leftChars="200"/>
        <w:jc w:val="left"/>
        <w:rPr>
          <w:rFonts w:ascii="Calibri" w:hAnsi="宋体"/>
          <w:color w:val="auto"/>
          <w:kern w:val="0"/>
          <w:highlight w:val="none"/>
        </w:rPr>
      </w:pPr>
      <w:r>
        <w:rPr>
          <w:rFonts w:hint="eastAsia" w:ascii="Calibri" w:hAnsi="宋体"/>
          <w:color w:val="auto"/>
          <w:kern w:val="0"/>
          <w:highlight w:val="none"/>
        </w:rPr>
        <w:t>9）双方约定承包人应做的其他工作：</w:t>
      </w:r>
    </w:p>
    <w:p w14:paraId="1CF962B6">
      <w:pPr>
        <w:spacing w:line="360" w:lineRule="auto"/>
        <w:ind w:firstLine="420" w:firstLineChars="200"/>
        <w:jc w:val="left"/>
        <w:rPr>
          <w:rFonts w:ascii="Calibri" w:hAnsi="宋体"/>
          <w:color w:val="auto"/>
          <w:kern w:val="0"/>
          <w:highlight w:val="none"/>
        </w:rPr>
      </w:pPr>
      <w:r>
        <w:rPr>
          <w:rFonts w:hint="eastAsia" w:ascii="Calibri" w:hAnsi="宋体"/>
          <w:color w:val="auto"/>
          <w:kern w:val="0"/>
          <w:highlight w:val="none"/>
        </w:rPr>
        <w:t>①承包人应负责提供完成合同工作所需的劳务、材料、施工设备、工程设备和其他物品，并按合同约定负责临时设施的设计、建造、运行、维护、管理和拆除。</w:t>
      </w:r>
    </w:p>
    <w:p w14:paraId="19FD837B">
      <w:pPr>
        <w:spacing w:line="360" w:lineRule="auto"/>
        <w:ind w:firstLine="420" w:firstLineChars="200"/>
        <w:jc w:val="left"/>
        <w:rPr>
          <w:rFonts w:ascii="Calibri" w:hAnsi="宋体"/>
          <w:color w:val="auto"/>
          <w:kern w:val="0"/>
          <w:highlight w:val="none"/>
        </w:rPr>
      </w:pPr>
      <w:r>
        <w:rPr>
          <w:rFonts w:hint="eastAsia" w:ascii="Calibri" w:hAnsi="宋体"/>
          <w:color w:val="auto"/>
          <w:kern w:val="0"/>
          <w:highlight w:val="none"/>
        </w:rPr>
        <w:t>②施工场地及周围地下管线和邻近建筑物、构筑物（含文物保护建筑）、古树名木的保护要求及费用承担：承包人施工时应探明并负责保护，施工时如非因发包人提供的现场资料不准确或不完整造成地下管线、邻近建筑物、构筑物损坏，所发生费用由承包人承担。</w:t>
      </w:r>
    </w:p>
    <w:p w14:paraId="0D32F5DE">
      <w:pPr>
        <w:spacing w:line="360" w:lineRule="auto"/>
        <w:ind w:firstLine="420" w:firstLineChars="200"/>
        <w:jc w:val="left"/>
        <w:rPr>
          <w:rFonts w:ascii="Calibri" w:hAnsi="宋体"/>
          <w:color w:val="auto"/>
          <w:kern w:val="0"/>
          <w:highlight w:val="none"/>
        </w:rPr>
      </w:pPr>
      <w:r>
        <w:rPr>
          <w:rFonts w:hint="eastAsia" w:ascii="Calibri" w:hAnsi="宋体"/>
          <w:color w:val="auto"/>
          <w:kern w:val="0"/>
          <w:highlight w:val="none"/>
        </w:rPr>
        <w:t>③承包人应当主动配合发包人协调与施工现场周边单位及居民的关系，确保项目施工顺利进行。</w:t>
      </w:r>
    </w:p>
    <w:p w14:paraId="13907228">
      <w:pPr>
        <w:spacing w:line="360" w:lineRule="auto"/>
        <w:ind w:firstLine="420" w:firstLineChars="200"/>
        <w:jc w:val="left"/>
        <w:rPr>
          <w:rFonts w:ascii="Calibri" w:hAnsi="宋体"/>
          <w:color w:val="auto"/>
          <w:kern w:val="0"/>
          <w:highlight w:val="none"/>
        </w:rPr>
      </w:pPr>
      <w:r>
        <w:rPr>
          <w:rFonts w:hint="eastAsia" w:ascii="Calibri" w:hAnsi="宋体"/>
          <w:color w:val="auto"/>
          <w:kern w:val="0"/>
          <w:highlight w:val="none"/>
        </w:rPr>
        <w:t>④承包人应与农民工签订劳动合同</w:t>
      </w:r>
      <w:r>
        <w:rPr>
          <w:rFonts w:ascii="Calibri" w:hAnsi="宋体"/>
          <w:color w:val="auto"/>
          <w:kern w:val="0"/>
          <w:highlight w:val="none"/>
        </w:rPr>
        <w:t>或书面用工协议</w:t>
      </w:r>
      <w:r>
        <w:rPr>
          <w:rFonts w:hint="eastAsia" w:ascii="Calibri" w:hAnsi="宋体"/>
          <w:color w:val="auto"/>
          <w:kern w:val="0"/>
          <w:highlight w:val="none"/>
        </w:rPr>
        <w:t>并给发包人备案，承包人应按时支付农民工工资，发包人支付到合同价款的 80％时，承包人应全部支付完农民工工资，之后如有农民工到发包人单位及上级部门反映索要工资现象视为违约，每发生一次扣最终结算价的 1％作为违约金，且发包人可直接从承包方应支付的款项中扣除。承包人在办理施工许可手续前，向银行开设农民工工资支付专用账户，通过银行转账方式，确保按月足额发放农民工工资。</w:t>
      </w:r>
    </w:p>
    <w:p w14:paraId="27E7A59D">
      <w:pPr>
        <w:spacing w:line="360" w:lineRule="auto"/>
        <w:ind w:firstLine="420" w:firstLineChars="200"/>
        <w:jc w:val="left"/>
        <w:rPr>
          <w:rFonts w:ascii="Calibri" w:hAnsi="宋体"/>
          <w:color w:val="auto"/>
          <w:kern w:val="0"/>
          <w:highlight w:val="none"/>
        </w:rPr>
      </w:pPr>
      <w:r>
        <w:rPr>
          <w:rFonts w:hint="eastAsia" w:ascii="Calibri" w:hAnsi="宋体"/>
          <w:color w:val="auto"/>
          <w:kern w:val="0"/>
          <w:highlight w:val="none"/>
        </w:rPr>
        <w:t>⑤本工程必须是承包人独立完成，不得转包。如一经发现转包即视为承包人严重违约，则发包人有权单方终止合同，依法另行选择承包人，原承包人无条件退出现场；发包人另行发包的招标范围以外的工程，承包人必须无条件配合；承包人在承包工程施工期间所发生的一切责任事故，全部由承包人承担经济责任和法律责任。</w:t>
      </w:r>
    </w:p>
    <w:p w14:paraId="095D3653">
      <w:pPr>
        <w:spacing w:line="360" w:lineRule="auto"/>
        <w:ind w:firstLine="420" w:firstLineChars="200"/>
        <w:jc w:val="left"/>
        <w:rPr>
          <w:rFonts w:ascii="Calibri" w:hAnsi="宋体"/>
          <w:color w:val="auto"/>
          <w:kern w:val="0"/>
          <w:highlight w:val="none"/>
        </w:rPr>
      </w:pPr>
      <w:r>
        <w:rPr>
          <w:rFonts w:hint="eastAsia" w:ascii="Calibri" w:hAnsi="宋体"/>
          <w:color w:val="auto"/>
          <w:kern w:val="0"/>
          <w:highlight w:val="none"/>
        </w:rPr>
        <w:t>⑥按照广西壮族自治区总工会、广西壮族自治区住房和城乡建设厅《关于进一步加强全区住房城乡建设系统组建工会和职工维权工作的意见》(桂工发[2013]29号)和南宁市城乡建委、市总工会、市财政局《关于印发〈关于在建设行业依法成立工会组织和拨缴工会经费（建会筹备金）的实施意见〉的通知》（南建[2011]9号）相关规定，承包人应在收到成交通知书之日起10个工作日内，成立项目工会并拨缴工会经费（建会筹备金）。应缴工会经费额的参考标准：</w:t>
      </w:r>
    </w:p>
    <w:p w14:paraId="4232CF2A">
      <w:pPr>
        <w:spacing w:line="360" w:lineRule="auto"/>
        <w:ind w:firstLine="420" w:firstLineChars="200"/>
        <w:jc w:val="left"/>
        <w:rPr>
          <w:rFonts w:ascii="Calibri" w:hAnsi="宋体"/>
          <w:color w:val="auto"/>
          <w:kern w:val="0"/>
          <w:highlight w:val="none"/>
        </w:rPr>
      </w:pPr>
      <w:r>
        <w:rPr>
          <w:rFonts w:hint="eastAsia" w:ascii="Calibri" w:hAnsi="宋体"/>
          <w:color w:val="auto"/>
          <w:kern w:val="0"/>
          <w:highlight w:val="none"/>
        </w:rPr>
        <w:t>a.房建工程（含厂房和高层）的工会经费为工程项目</w:t>
      </w:r>
      <w:r>
        <w:rPr>
          <w:rFonts w:hint="eastAsia" w:ascii="Calibri" w:hAnsi="宋体" w:eastAsia="宋体" w:cs="Times New Roman"/>
          <w:color w:val="auto"/>
          <w:kern w:val="0"/>
          <w:highlight w:val="none"/>
          <w:lang w:val="en-US" w:eastAsia="zh-CN"/>
        </w:rPr>
        <w:t>成交</w:t>
      </w:r>
      <w:r>
        <w:rPr>
          <w:rFonts w:hint="eastAsia" w:ascii="Calibri" w:hAnsi="宋体"/>
          <w:color w:val="auto"/>
          <w:kern w:val="0"/>
          <w:highlight w:val="none"/>
        </w:rPr>
        <w:t>价×10%×2%；</w:t>
      </w:r>
    </w:p>
    <w:p w14:paraId="2A428F8D">
      <w:pPr>
        <w:spacing w:line="360" w:lineRule="auto"/>
        <w:ind w:firstLine="420" w:firstLineChars="200"/>
        <w:jc w:val="left"/>
        <w:rPr>
          <w:rFonts w:ascii="Calibri" w:hAnsi="宋体"/>
          <w:color w:val="auto"/>
          <w:kern w:val="0"/>
          <w:highlight w:val="none"/>
        </w:rPr>
      </w:pPr>
      <w:r>
        <w:rPr>
          <w:rFonts w:hint="eastAsia" w:ascii="Calibri" w:hAnsi="宋体"/>
          <w:color w:val="auto"/>
          <w:kern w:val="0"/>
          <w:highlight w:val="none"/>
        </w:rPr>
        <w:t>b.学生公寓及教学综合楼的工会经费为工程项目</w:t>
      </w:r>
      <w:r>
        <w:rPr>
          <w:rFonts w:hint="eastAsia" w:ascii="Calibri" w:hAnsi="宋体" w:eastAsia="宋体" w:cs="Times New Roman"/>
          <w:color w:val="auto"/>
          <w:kern w:val="0"/>
          <w:highlight w:val="none"/>
          <w:lang w:val="en-US" w:eastAsia="zh-CN"/>
        </w:rPr>
        <w:t>成交</w:t>
      </w:r>
      <w:r>
        <w:rPr>
          <w:rFonts w:hint="eastAsia" w:ascii="Calibri" w:hAnsi="宋体"/>
          <w:color w:val="auto"/>
          <w:kern w:val="0"/>
          <w:highlight w:val="none"/>
        </w:rPr>
        <w:t>价×6%×2%；</w:t>
      </w:r>
    </w:p>
    <w:p w14:paraId="54C29EF4">
      <w:pPr>
        <w:spacing w:line="360" w:lineRule="auto"/>
        <w:ind w:firstLine="420" w:firstLineChars="200"/>
        <w:jc w:val="left"/>
        <w:rPr>
          <w:rFonts w:ascii="Calibri" w:hAnsi="宋体"/>
          <w:color w:val="auto"/>
          <w:kern w:val="0"/>
          <w:highlight w:val="none"/>
        </w:rPr>
      </w:pPr>
      <w:r>
        <w:rPr>
          <w:rFonts w:hint="eastAsia" w:ascii="Calibri" w:hAnsi="宋体"/>
          <w:color w:val="auto"/>
          <w:kern w:val="0"/>
          <w:highlight w:val="none"/>
        </w:rPr>
        <w:t>c.市政工程的工会经费为工程项目</w:t>
      </w:r>
      <w:r>
        <w:rPr>
          <w:rFonts w:hint="eastAsia" w:ascii="Calibri" w:hAnsi="宋体" w:eastAsia="宋体" w:cs="Times New Roman"/>
          <w:color w:val="auto"/>
          <w:kern w:val="0"/>
          <w:highlight w:val="none"/>
          <w:lang w:val="en-US" w:eastAsia="zh-CN"/>
        </w:rPr>
        <w:t>成交</w:t>
      </w:r>
      <w:r>
        <w:rPr>
          <w:rFonts w:hint="eastAsia" w:ascii="Calibri" w:hAnsi="宋体"/>
          <w:color w:val="auto"/>
          <w:kern w:val="0"/>
          <w:highlight w:val="none"/>
        </w:rPr>
        <w:t>价×5%×2%；</w:t>
      </w:r>
    </w:p>
    <w:p w14:paraId="00A54656">
      <w:pPr>
        <w:spacing w:line="360" w:lineRule="auto"/>
        <w:ind w:firstLine="420" w:firstLineChars="200"/>
        <w:jc w:val="left"/>
        <w:rPr>
          <w:rFonts w:ascii="Calibri" w:hAnsi="宋体"/>
          <w:color w:val="auto"/>
          <w:kern w:val="0"/>
          <w:highlight w:val="none"/>
        </w:rPr>
      </w:pPr>
      <w:r>
        <w:rPr>
          <w:rFonts w:hint="eastAsia" w:ascii="Calibri" w:hAnsi="宋体"/>
          <w:color w:val="auto"/>
          <w:kern w:val="0"/>
          <w:highlight w:val="none"/>
        </w:rPr>
        <w:t>d.装饰工程的工会经费为工程项目</w:t>
      </w:r>
      <w:r>
        <w:rPr>
          <w:rFonts w:hint="eastAsia" w:ascii="Calibri" w:hAnsi="宋体" w:eastAsia="宋体" w:cs="Times New Roman"/>
          <w:color w:val="auto"/>
          <w:kern w:val="0"/>
          <w:highlight w:val="none"/>
          <w:lang w:val="en-US" w:eastAsia="zh-CN"/>
        </w:rPr>
        <w:t>成交</w:t>
      </w:r>
      <w:r>
        <w:rPr>
          <w:rFonts w:hint="eastAsia" w:ascii="Calibri" w:hAnsi="宋体"/>
          <w:color w:val="auto"/>
          <w:kern w:val="0"/>
          <w:highlight w:val="none"/>
        </w:rPr>
        <w:t>价×4%×2%。</w:t>
      </w:r>
    </w:p>
    <w:p w14:paraId="7347EA5D">
      <w:pPr>
        <w:spacing w:line="360" w:lineRule="auto"/>
        <w:ind w:firstLine="420" w:firstLineChars="200"/>
        <w:jc w:val="left"/>
        <w:rPr>
          <w:rFonts w:ascii="Calibri" w:hAnsi="宋体"/>
          <w:color w:val="auto"/>
          <w:kern w:val="0"/>
          <w:highlight w:val="none"/>
        </w:rPr>
      </w:pPr>
      <w:r>
        <w:rPr>
          <w:rFonts w:hint="eastAsia" w:ascii="Calibri" w:hAnsi="宋体"/>
          <w:color w:val="auto"/>
          <w:kern w:val="0"/>
          <w:highlight w:val="none"/>
        </w:rPr>
        <w:t>承包人组建项目工会的同时，从审批办证大厅南宁建设窗口领取并填写《地方税（费）综合申报表》，带上施工合同原件及税务登记证副本（复印件），到工程项目所在主管地税部门办理工会经费缴费手续；区直企业可到区地税局办理工会经费缴费手续。（详情请咨询南宁市建设工会5521531、审批办证大厅南宁建设窗口3221206）。</w:t>
      </w:r>
    </w:p>
    <w:p w14:paraId="3E778AE8">
      <w:pPr>
        <w:spacing w:line="360" w:lineRule="auto"/>
        <w:ind w:firstLine="420" w:firstLineChars="200"/>
        <w:jc w:val="left"/>
        <w:rPr>
          <w:rFonts w:ascii="Calibri" w:hAnsi="宋体"/>
          <w:color w:val="auto"/>
          <w:kern w:val="0"/>
          <w:highlight w:val="none"/>
        </w:rPr>
      </w:pPr>
      <w:r>
        <w:rPr>
          <w:rFonts w:hint="eastAsia" w:ascii="Calibri" w:hAnsi="宋体"/>
          <w:color w:val="auto"/>
          <w:kern w:val="0"/>
          <w:highlight w:val="none"/>
        </w:rPr>
        <w:t>⑦配合发包人做好安全文明宣传、领导检查宣传等工作，相关费用由承包人承担。</w:t>
      </w:r>
    </w:p>
    <w:p w14:paraId="5E96088B">
      <w:pPr>
        <w:spacing w:line="360" w:lineRule="auto"/>
        <w:ind w:firstLine="420" w:firstLineChars="200"/>
        <w:jc w:val="left"/>
        <w:rPr>
          <w:rFonts w:ascii="Calibri" w:hAnsi="宋体"/>
          <w:color w:val="auto"/>
          <w:kern w:val="0"/>
          <w:highlight w:val="none"/>
        </w:rPr>
      </w:pPr>
      <w:r>
        <w:rPr>
          <w:rFonts w:hint="eastAsia" w:ascii="Calibri" w:hAnsi="宋体"/>
          <w:color w:val="auto"/>
          <w:kern w:val="0"/>
          <w:highlight w:val="none"/>
        </w:rPr>
        <w:fldChar w:fldCharType="begin"/>
      </w:r>
      <w:r>
        <w:rPr>
          <w:rFonts w:hint="eastAsia" w:ascii="Calibri" w:hAnsi="宋体"/>
          <w:color w:val="auto"/>
          <w:kern w:val="0"/>
          <w:highlight w:val="none"/>
        </w:rPr>
        <w:instrText xml:space="preserve"> = 8 \* GB3 \* MERGEFORMAT </w:instrText>
      </w:r>
      <w:r>
        <w:rPr>
          <w:rFonts w:hint="eastAsia" w:ascii="Calibri" w:hAnsi="宋体"/>
          <w:color w:val="auto"/>
          <w:kern w:val="0"/>
          <w:highlight w:val="none"/>
        </w:rPr>
        <w:fldChar w:fldCharType="separate"/>
      </w:r>
      <w:r>
        <w:rPr>
          <w:rFonts w:hint="eastAsia" w:ascii="宋体" w:hAnsi="宋体" w:cs="宋体"/>
          <w:color w:val="auto"/>
          <w:highlight w:val="none"/>
        </w:rPr>
        <w:t>⑧</w:t>
      </w:r>
      <w:r>
        <w:rPr>
          <w:rFonts w:hint="eastAsia" w:ascii="Calibri" w:hAnsi="宋体"/>
          <w:color w:val="auto"/>
          <w:kern w:val="0"/>
          <w:highlight w:val="none"/>
        </w:rPr>
        <w:fldChar w:fldCharType="end"/>
      </w:r>
      <w:r>
        <w:rPr>
          <w:rFonts w:hint="eastAsia" w:ascii="Calibri" w:hAnsi="宋体"/>
          <w:color w:val="auto"/>
          <w:kern w:val="0"/>
          <w:highlight w:val="none"/>
        </w:rPr>
        <w:t>承包人生活设施及施工场地，应自费配备消防设备，防止火灾等应急事件发生。</w:t>
      </w:r>
    </w:p>
    <w:p w14:paraId="4732B394">
      <w:pPr>
        <w:spacing w:line="360" w:lineRule="auto"/>
        <w:ind w:firstLine="420" w:firstLineChars="200"/>
        <w:jc w:val="left"/>
        <w:rPr>
          <w:rFonts w:ascii="Calibri" w:hAnsi="宋体"/>
          <w:color w:val="auto"/>
          <w:kern w:val="0"/>
          <w:highlight w:val="none"/>
        </w:rPr>
      </w:pPr>
      <w:r>
        <w:rPr>
          <w:rFonts w:hint="eastAsia" w:ascii="Calibri" w:hAnsi="宋体"/>
          <w:color w:val="auto"/>
          <w:kern w:val="0"/>
          <w:highlight w:val="none"/>
        </w:rPr>
        <w:fldChar w:fldCharType="begin"/>
      </w:r>
      <w:r>
        <w:rPr>
          <w:rFonts w:hint="eastAsia" w:ascii="Calibri" w:hAnsi="宋体"/>
          <w:color w:val="auto"/>
          <w:kern w:val="0"/>
          <w:highlight w:val="none"/>
        </w:rPr>
        <w:instrText xml:space="preserve"> = 9 \* GB3 \* MERGEFORMAT </w:instrText>
      </w:r>
      <w:r>
        <w:rPr>
          <w:rFonts w:hint="eastAsia" w:ascii="Calibri" w:hAnsi="宋体"/>
          <w:color w:val="auto"/>
          <w:kern w:val="0"/>
          <w:highlight w:val="none"/>
        </w:rPr>
        <w:fldChar w:fldCharType="separate"/>
      </w:r>
      <w:r>
        <w:rPr>
          <w:rFonts w:hint="eastAsia" w:ascii="宋体" w:hAnsi="宋体" w:cs="宋体"/>
          <w:color w:val="auto"/>
          <w:highlight w:val="none"/>
        </w:rPr>
        <w:t>⑨</w:t>
      </w:r>
      <w:r>
        <w:rPr>
          <w:rFonts w:hint="eastAsia" w:ascii="Calibri" w:hAnsi="宋体"/>
          <w:color w:val="auto"/>
          <w:kern w:val="0"/>
          <w:highlight w:val="none"/>
        </w:rPr>
        <w:fldChar w:fldCharType="end"/>
      </w:r>
      <w:r>
        <w:rPr>
          <w:rFonts w:hint="eastAsia" w:ascii="Calibri" w:hAnsi="宋体"/>
          <w:color w:val="auto"/>
          <w:kern w:val="0"/>
          <w:highlight w:val="none"/>
        </w:rPr>
        <w:t>经过城市道路的施工车辆，必须按交警、城管、运输等部门相关规定执行。由于施工车辆造成的道路、环境等污染，其责任和费用均由承包人承担。</w:t>
      </w:r>
    </w:p>
    <w:p w14:paraId="6BB870BA">
      <w:pPr>
        <w:spacing w:line="360" w:lineRule="auto"/>
        <w:ind w:firstLine="420" w:firstLineChars="200"/>
        <w:jc w:val="left"/>
        <w:rPr>
          <w:rFonts w:ascii="Calibri" w:hAnsi="宋体"/>
          <w:color w:val="auto"/>
          <w:kern w:val="0"/>
          <w:highlight w:val="none"/>
        </w:rPr>
      </w:pPr>
      <w:r>
        <w:rPr>
          <w:rFonts w:hint="eastAsia" w:ascii="Calibri" w:hAnsi="宋体"/>
          <w:color w:val="auto"/>
          <w:kern w:val="0"/>
          <w:highlight w:val="none"/>
        </w:rPr>
        <w:fldChar w:fldCharType="begin"/>
      </w:r>
      <w:r>
        <w:rPr>
          <w:rFonts w:hint="eastAsia" w:ascii="Calibri" w:hAnsi="宋体"/>
          <w:color w:val="auto"/>
          <w:kern w:val="0"/>
          <w:highlight w:val="none"/>
        </w:rPr>
        <w:instrText xml:space="preserve"> = 10 \* GB3 \* MERGEFORMAT </w:instrText>
      </w:r>
      <w:r>
        <w:rPr>
          <w:rFonts w:hint="eastAsia" w:ascii="Calibri" w:hAnsi="宋体"/>
          <w:color w:val="auto"/>
          <w:kern w:val="0"/>
          <w:highlight w:val="none"/>
        </w:rPr>
        <w:fldChar w:fldCharType="separate"/>
      </w:r>
      <w:r>
        <w:rPr>
          <w:rFonts w:hint="eastAsia" w:ascii="宋体" w:hAnsi="宋体" w:cs="宋体"/>
          <w:color w:val="auto"/>
          <w:highlight w:val="none"/>
        </w:rPr>
        <w:t>⑩</w:t>
      </w:r>
      <w:r>
        <w:rPr>
          <w:rFonts w:hint="eastAsia" w:ascii="Calibri" w:hAnsi="宋体"/>
          <w:color w:val="auto"/>
          <w:kern w:val="0"/>
          <w:highlight w:val="none"/>
        </w:rPr>
        <w:fldChar w:fldCharType="end"/>
      </w:r>
      <w:r>
        <w:rPr>
          <w:rFonts w:ascii="Calibri" w:hAnsi="Calibri"/>
          <w:color w:val="auto"/>
          <w:szCs w:val="22"/>
          <w:highlight w:val="none"/>
        </w:rPr>
        <w:t>周边建筑物及设施取证工作由承包人负责</w:t>
      </w:r>
      <w:r>
        <w:rPr>
          <w:rFonts w:hint="eastAsia" w:ascii="Calibri" w:hAnsi="Calibri"/>
          <w:color w:val="auto"/>
          <w:szCs w:val="22"/>
          <w:highlight w:val="none"/>
        </w:rPr>
        <w:t>，</w:t>
      </w:r>
      <w:r>
        <w:rPr>
          <w:rFonts w:hint="eastAsia" w:ascii="Calibri" w:hAnsi="宋体"/>
          <w:color w:val="auto"/>
          <w:kern w:val="0"/>
          <w:highlight w:val="none"/>
        </w:rPr>
        <w:t>承包人应采用切实可行的必要措施及施工工艺确保工程周边房屋及其他设施的安全、稳固，相关费用在措施费中自行考虑。</w:t>
      </w:r>
    </w:p>
    <w:p w14:paraId="4B5144B6">
      <w:pPr>
        <w:spacing w:line="360" w:lineRule="auto"/>
        <w:ind w:firstLine="420" w:firstLineChars="200"/>
        <w:jc w:val="left"/>
        <w:rPr>
          <w:rFonts w:ascii="Calibri" w:hAnsi="宋体"/>
          <w:color w:val="auto"/>
          <w:kern w:val="0"/>
          <w:highlight w:val="none"/>
        </w:rPr>
      </w:pPr>
      <w:r>
        <w:rPr>
          <w:rFonts w:ascii="Cambria Math" w:hAnsi="Cambria Math" w:cs="Cambria Math"/>
          <w:color w:val="auto"/>
          <w:szCs w:val="22"/>
          <w:highlight w:val="none"/>
        </w:rPr>
        <w:t>⑪</w:t>
      </w:r>
      <w:r>
        <w:rPr>
          <w:rFonts w:hint="eastAsia" w:ascii="宋体" w:hAnsi="宋体" w:cs="宋体"/>
          <w:color w:val="auto"/>
          <w:kern w:val="0"/>
          <w:highlight w:val="none"/>
        </w:rPr>
        <w:t>承包人应接受发包人及相关部门的管理、监督、检查和指导，积极主动配合发包人的工作；接受发包人及相</w:t>
      </w:r>
      <w:r>
        <w:rPr>
          <w:rFonts w:hint="eastAsia" w:ascii="Calibri" w:hAnsi="宋体"/>
          <w:color w:val="auto"/>
          <w:kern w:val="0"/>
          <w:highlight w:val="none"/>
        </w:rPr>
        <w:t>关部门的随时检查，检查内容包括其设备、材料保管、使用情况，及其操作人员的有效证件、持证上岗情况等。</w:t>
      </w:r>
    </w:p>
    <w:p w14:paraId="2A831390">
      <w:pPr>
        <w:spacing w:line="360" w:lineRule="auto"/>
        <w:ind w:firstLine="420" w:firstLineChars="200"/>
        <w:jc w:val="left"/>
        <w:rPr>
          <w:rFonts w:ascii="Calibri" w:hAnsi="宋体"/>
          <w:color w:val="auto"/>
          <w:kern w:val="0"/>
          <w:highlight w:val="none"/>
        </w:rPr>
      </w:pPr>
      <w:r>
        <w:rPr>
          <w:rFonts w:ascii="Cambria Math" w:hAnsi="Cambria Math" w:cs="Cambria Math"/>
          <w:color w:val="auto"/>
          <w:kern w:val="0"/>
          <w:highlight w:val="none"/>
        </w:rPr>
        <w:t>⑫</w:t>
      </w:r>
      <w:r>
        <w:rPr>
          <w:rFonts w:hint="eastAsia" w:ascii="宋体" w:hAnsi="宋体" w:cs="宋体"/>
          <w:color w:val="auto"/>
          <w:kern w:val="0"/>
          <w:highlight w:val="none"/>
        </w:rPr>
        <w:t>承包人应按照规范、合同的要求做好现场安全文明施工，保持施工现场的路容整洁、美观，并做好弃方、排水、排污处理等环保工作。由于承包人施工方法不当，或者承包人处理措施不当或不及时或力度不够或承包人的故意行为，所造成的地面作物、沟渠、房舍、道路的损害或者污染等，由此而引起的一切赔偿、诉讼、诉讼费、指控费及其他开支，全部由承包人负责。</w:t>
      </w:r>
    </w:p>
    <w:p w14:paraId="52726AFA">
      <w:pPr>
        <w:spacing w:line="360" w:lineRule="auto"/>
        <w:ind w:firstLine="420" w:firstLineChars="200"/>
        <w:jc w:val="left"/>
        <w:rPr>
          <w:rFonts w:ascii="Calibri" w:hAnsi="宋体"/>
          <w:color w:val="auto"/>
          <w:kern w:val="0"/>
          <w:highlight w:val="none"/>
        </w:rPr>
      </w:pPr>
      <w:r>
        <w:rPr>
          <w:rFonts w:ascii="Cambria Math" w:hAnsi="Cambria Math" w:cs="Cambria Math"/>
          <w:color w:val="auto"/>
          <w:kern w:val="0"/>
          <w:highlight w:val="none"/>
        </w:rPr>
        <w:t>⑬</w:t>
      </w:r>
      <w:r>
        <w:rPr>
          <w:rFonts w:hint="eastAsia" w:ascii="宋体" w:hAnsi="宋体" w:cs="宋体"/>
          <w:color w:val="auto"/>
          <w:kern w:val="0"/>
          <w:highlight w:val="none"/>
        </w:rPr>
        <w:t>施工期间因承包人责任造成承包人雇用的任何人或第三方人员人身死亡或致伤、或财产损失</w:t>
      </w:r>
      <w:r>
        <w:rPr>
          <w:rFonts w:hint="eastAsia" w:ascii="Calibri" w:hAnsi="宋体"/>
          <w:color w:val="auto"/>
          <w:kern w:val="0"/>
          <w:highlight w:val="none"/>
        </w:rPr>
        <w:t>；以及上述伤亡或财产的损失是在实施和完成工程及修复工程中任何缺陷的过程中发生或引起的，与此有关的索赔、诉讼、损害赔偿、诉讼费、指控费及其他开支，造成的全部损失由承包人负责。承包人必须按要求购买工程一切险和第三者责任险，如果涉及到人身保险索赔事宜，承包人协助发包人向有关部门理赔。</w:t>
      </w:r>
    </w:p>
    <w:p w14:paraId="0BD1306B">
      <w:pPr>
        <w:spacing w:line="360" w:lineRule="auto"/>
        <w:ind w:firstLine="420" w:firstLineChars="200"/>
        <w:jc w:val="left"/>
        <w:rPr>
          <w:rFonts w:ascii="Calibri" w:hAnsi="宋体"/>
          <w:color w:val="auto"/>
          <w:kern w:val="0"/>
          <w:highlight w:val="none"/>
        </w:rPr>
      </w:pPr>
      <w:r>
        <w:rPr>
          <w:rFonts w:ascii="Cambria Math" w:hAnsi="Cambria Math" w:cs="Cambria Math"/>
          <w:color w:val="auto"/>
          <w:kern w:val="0"/>
          <w:highlight w:val="none"/>
        </w:rPr>
        <w:t>⑭</w:t>
      </w:r>
      <w:r>
        <w:rPr>
          <w:rFonts w:hint="eastAsia" w:ascii="宋体" w:hAnsi="宋体" w:cs="宋体"/>
          <w:color w:val="auto"/>
          <w:kern w:val="0"/>
          <w:highlight w:val="none"/>
        </w:rPr>
        <w:t>根据标准建设工程级驻地建设标准化的要求，路段可视范围内，承包人须修建必要的便道、便桥以及排水排污、清洁等临时工程，负责工程施工相关的临时用地征用、拆迁、清理场地、复耕处理等事宜，保证工程施工范围内以及进出场地的道路畅通及正常施工，</w:t>
      </w:r>
      <w:r>
        <w:rPr>
          <w:rFonts w:hint="eastAsia" w:ascii="Calibri" w:hAnsi="宋体"/>
          <w:color w:val="auto"/>
          <w:kern w:val="0"/>
          <w:highlight w:val="none"/>
        </w:rPr>
        <w:t>并承担相应的费用，相关费用已含在投标报价中不再另行计价。</w:t>
      </w:r>
    </w:p>
    <w:p w14:paraId="6D41F611">
      <w:pPr>
        <w:spacing w:line="360" w:lineRule="auto"/>
        <w:ind w:firstLine="420" w:firstLineChars="200"/>
        <w:rPr>
          <w:color w:val="auto"/>
          <w:kern w:val="0"/>
          <w:highlight w:val="none"/>
        </w:rPr>
      </w:pPr>
      <w:r>
        <w:rPr>
          <w:rFonts w:ascii="Cambria Math" w:hAnsi="Cambria Math" w:cs="Cambria Math"/>
          <w:color w:val="auto"/>
          <w:kern w:val="0"/>
          <w:highlight w:val="none"/>
        </w:rPr>
        <w:t>⑮</w:t>
      </w:r>
      <w:r>
        <w:rPr>
          <w:rFonts w:hint="eastAsia" w:ascii="宋体" w:hAnsi="宋体" w:cs="宋体"/>
          <w:color w:val="auto"/>
          <w:kern w:val="0"/>
          <w:highlight w:val="none"/>
        </w:rPr>
        <w:t>涉及运距调整的，承包人需提供调整原因，调整的消纳场位置、参建各方现场实测记录及线路图等相关资料，及运距调整增减的预算费用，报建设单位等相关单位审批。</w:t>
      </w:r>
    </w:p>
    <w:p w14:paraId="4C29DC3C">
      <w:pPr>
        <w:keepNext/>
        <w:keepLines/>
        <w:spacing w:line="600" w:lineRule="exact"/>
        <w:ind w:firstLine="643" w:firstLineChars="200"/>
        <w:outlineLvl w:val="2"/>
        <w:rPr>
          <w:b/>
          <w:bCs/>
          <w:color w:val="auto"/>
          <w:sz w:val="32"/>
          <w:szCs w:val="32"/>
          <w:highlight w:val="none"/>
        </w:rPr>
      </w:pPr>
      <w:bookmarkStart w:id="325" w:name="_Toc407135210"/>
      <w:bookmarkStart w:id="326" w:name="_Toc389065274"/>
      <w:bookmarkStart w:id="327" w:name="_Toc373227708"/>
      <w:bookmarkStart w:id="328" w:name="_Toc1659520837"/>
      <w:bookmarkStart w:id="329" w:name="_Toc373478355"/>
      <w:bookmarkStart w:id="330" w:name="_Toc78449796"/>
      <w:bookmarkStart w:id="331" w:name="_Toc501741485"/>
      <w:r>
        <w:rPr>
          <w:b/>
          <w:bCs/>
          <w:color w:val="auto"/>
          <w:sz w:val="32"/>
          <w:szCs w:val="32"/>
          <w:highlight w:val="none"/>
        </w:rPr>
        <w:t xml:space="preserve">3.2 </w:t>
      </w:r>
      <w:r>
        <w:rPr>
          <w:rFonts w:hint="eastAsia" w:hAnsi="宋体" w:cs="黑体"/>
          <w:b/>
          <w:bCs/>
          <w:color w:val="auto"/>
          <w:sz w:val="32"/>
          <w:szCs w:val="32"/>
          <w:highlight w:val="none"/>
        </w:rPr>
        <w:t>项目经理</w:t>
      </w:r>
      <w:bookmarkEnd w:id="325"/>
      <w:bookmarkEnd w:id="326"/>
      <w:bookmarkEnd w:id="327"/>
      <w:bookmarkEnd w:id="328"/>
      <w:bookmarkEnd w:id="329"/>
      <w:bookmarkEnd w:id="330"/>
      <w:bookmarkEnd w:id="331"/>
    </w:p>
    <w:p w14:paraId="47578E2A">
      <w:pPr>
        <w:spacing w:line="360" w:lineRule="auto"/>
        <w:ind w:firstLine="420" w:firstLineChars="200"/>
        <w:rPr>
          <w:color w:val="auto"/>
          <w:highlight w:val="none"/>
        </w:rPr>
      </w:pPr>
      <w:r>
        <w:rPr>
          <w:color w:val="auto"/>
          <w:kern w:val="0"/>
          <w:highlight w:val="none"/>
        </w:rPr>
        <w:t xml:space="preserve">3.2.1 </w:t>
      </w:r>
      <w:r>
        <w:rPr>
          <w:rFonts w:hint="eastAsia" w:hAnsi="宋体" w:cs="宋体"/>
          <w:color w:val="auto"/>
          <w:highlight w:val="none"/>
        </w:rPr>
        <w:t>项目经理：</w:t>
      </w:r>
    </w:p>
    <w:p w14:paraId="214913F7">
      <w:pPr>
        <w:spacing w:line="360" w:lineRule="auto"/>
        <w:ind w:firstLine="420" w:firstLineChars="200"/>
        <w:rPr>
          <w:color w:val="auto"/>
          <w:highlight w:val="none"/>
        </w:rPr>
      </w:pPr>
      <w:r>
        <w:rPr>
          <w:rFonts w:hAnsi="宋体"/>
          <w:color w:val="auto"/>
          <w:highlight w:val="none"/>
        </w:rPr>
        <w:t>姓名：；</w:t>
      </w:r>
    </w:p>
    <w:p w14:paraId="0DD59B95">
      <w:pPr>
        <w:spacing w:line="360" w:lineRule="auto"/>
        <w:ind w:firstLine="420" w:firstLineChars="200"/>
        <w:rPr>
          <w:color w:val="auto"/>
          <w:highlight w:val="none"/>
        </w:rPr>
      </w:pPr>
      <w:r>
        <w:rPr>
          <w:rFonts w:hAnsi="宋体"/>
          <w:color w:val="auto"/>
          <w:highlight w:val="none"/>
        </w:rPr>
        <w:t>身份证号：；</w:t>
      </w:r>
    </w:p>
    <w:p w14:paraId="7774EDDC">
      <w:pPr>
        <w:spacing w:line="360" w:lineRule="auto"/>
        <w:ind w:firstLine="420" w:firstLineChars="200"/>
        <w:rPr>
          <w:color w:val="auto"/>
          <w:highlight w:val="none"/>
        </w:rPr>
      </w:pPr>
      <w:r>
        <w:rPr>
          <w:rFonts w:hAnsi="宋体"/>
          <w:color w:val="auto"/>
          <w:highlight w:val="none"/>
        </w:rPr>
        <w:t>建造师执业资格等级：；</w:t>
      </w:r>
    </w:p>
    <w:p w14:paraId="081A2750">
      <w:pPr>
        <w:spacing w:line="360" w:lineRule="auto"/>
        <w:ind w:firstLine="420" w:firstLineChars="200"/>
        <w:rPr>
          <w:color w:val="auto"/>
          <w:highlight w:val="none"/>
        </w:rPr>
      </w:pPr>
      <w:r>
        <w:rPr>
          <w:rFonts w:hAnsi="宋体"/>
          <w:color w:val="auto"/>
          <w:highlight w:val="none"/>
        </w:rPr>
        <w:t>建造师注册证书号：；</w:t>
      </w:r>
    </w:p>
    <w:p w14:paraId="6F8DC0B9">
      <w:pPr>
        <w:spacing w:line="360" w:lineRule="auto"/>
        <w:ind w:firstLine="420" w:firstLineChars="200"/>
        <w:rPr>
          <w:rFonts w:hAnsi="宋体"/>
          <w:color w:val="auto"/>
          <w:highlight w:val="none"/>
        </w:rPr>
      </w:pPr>
      <w:r>
        <w:rPr>
          <w:rFonts w:hAnsi="宋体"/>
          <w:color w:val="auto"/>
          <w:highlight w:val="none"/>
        </w:rPr>
        <w:t>安全生产考核合格证书号：；</w:t>
      </w:r>
    </w:p>
    <w:p w14:paraId="35B7E4B1">
      <w:pPr>
        <w:spacing w:line="360" w:lineRule="auto"/>
        <w:ind w:firstLine="420" w:firstLineChars="200"/>
        <w:rPr>
          <w:color w:val="auto"/>
          <w:highlight w:val="none"/>
        </w:rPr>
      </w:pPr>
      <w:r>
        <w:rPr>
          <w:rFonts w:hAnsi="宋体"/>
          <w:color w:val="auto"/>
          <w:highlight w:val="none"/>
        </w:rPr>
        <w:t>联系电话：；</w:t>
      </w:r>
    </w:p>
    <w:p w14:paraId="0D1802EA">
      <w:pPr>
        <w:spacing w:line="360" w:lineRule="auto"/>
        <w:ind w:firstLine="420" w:firstLineChars="200"/>
        <w:rPr>
          <w:color w:val="auto"/>
          <w:highlight w:val="none"/>
        </w:rPr>
      </w:pPr>
      <w:r>
        <w:rPr>
          <w:rFonts w:hAnsi="宋体"/>
          <w:color w:val="auto"/>
          <w:highlight w:val="none"/>
        </w:rPr>
        <w:t>电子信箱：；</w:t>
      </w:r>
    </w:p>
    <w:p w14:paraId="31592479">
      <w:pPr>
        <w:spacing w:line="360" w:lineRule="auto"/>
        <w:ind w:firstLine="420" w:firstLineChars="200"/>
        <w:rPr>
          <w:rFonts w:hAnsi="宋体"/>
          <w:color w:val="auto"/>
          <w:highlight w:val="none"/>
        </w:rPr>
      </w:pPr>
      <w:r>
        <w:rPr>
          <w:rFonts w:hAnsi="宋体"/>
          <w:color w:val="auto"/>
          <w:highlight w:val="none"/>
        </w:rPr>
        <w:t>通信地址：；</w:t>
      </w:r>
    </w:p>
    <w:p w14:paraId="5057181A">
      <w:pPr>
        <w:spacing w:line="360" w:lineRule="auto"/>
        <w:ind w:firstLine="422" w:firstLineChars="200"/>
        <w:rPr>
          <w:color w:val="auto"/>
          <w:highlight w:val="none"/>
        </w:rPr>
      </w:pPr>
      <w:r>
        <w:rPr>
          <w:rFonts w:hint="eastAsia" w:hAnsi="宋体" w:cs="宋体"/>
          <w:b/>
          <w:bCs/>
          <w:color w:val="auto"/>
          <w:highlight w:val="none"/>
        </w:rPr>
        <w:t>承包人对项目经理的授权范围如下：</w:t>
      </w:r>
      <w:r>
        <w:rPr>
          <w:rFonts w:hint="eastAsia" w:ascii="Calibri" w:hAnsi="Calibri"/>
          <w:color w:val="auto"/>
          <w:highlight w:val="none"/>
          <w:u w:val="single"/>
        </w:rPr>
        <w:t>作为承包人在项目的授权代表，全面履行工程项目的建筑安装总承包管理职责，为工程参与各方做好协调和服务，在资金、质量、安全、环境保护、文明施工等。项目经理仅限于工程的现场施工管理，但未经承包人盖章同意，不得以承包人名义向外采购材料设备、租用建筑周转材料、雇用劳动力、签订分包合同等从事一切为承包人设立义务或责任的行为；承包人应内部管理好项目经理、其他雇员以及分包单位人员等与工程施工有关人员，否则由此导致的责任均由承包人承担</w:t>
      </w:r>
      <w:r>
        <w:rPr>
          <w:rFonts w:hint="eastAsia" w:hAnsi="宋体" w:cs="宋体"/>
          <w:color w:val="auto"/>
          <w:highlight w:val="none"/>
        </w:rPr>
        <w:t>。</w:t>
      </w:r>
    </w:p>
    <w:p w14:paraId="4763630A">
      <w:pPr>
        <w:spacing w:line="360" w:lineRule="auto"/>
        <w:ind w:firstLine="422" w:firstLineChars="200"/>
        <w:jc w:val="left"/>
        <w:rPr>
          <w:color w:val="auto"/>
          <w:kern w:val="0"/>
          <w:highlight w:val="none"/>
        </w:rPr>
      </w:pPr>
      <w:r>
        <w:rPr>
          <w:rFonts w:hint="eastAsia" w:hAnsi="宋体" w:cs="宋体"/>
          <w:b/>
          <w:bCs/>
          <w:color w:val="auto"/>
          <w:kern w:val="0"/>
          <w:highlight w:val="none"/>
        </w:rPr>
        <w:t>关于项目经理每月在施工现场的时间要求：</w:t>
      </w:r>
      <w:r>
        <w:rPr>
          <w:rFonts w:hint="eastAsia" w:ascii="Calibri" w:hAnsi="Calibri"/>
          <w:color w:val="auto"/>
          <w:highlight w:val="none"/>
          <w:u w:val="single"/>
        </w:rPr>
        <w:t>项目经理每周在现场的工作天数不得少于5天（每天不得少于8个工作小时），未经发包人书面许可，项目经理未达到上述在现场的时间要求的，每少一天扣款1000元作为违约金，按月考核，违约金从工程进度款中扣除；项目经理每月不到位累计达3天的，发包人及监理人给予警告，每月累计达10天及以上的，发包人有权终止合同，不支付未付款项</w:t>
      </w:r>
      <w:r>
        <w:rPr>
          <w:rFonts w:hint="eastAsia"/>
          <w:color w:val="auto"/>
          <w:szCs w:val="21"/>
          <w:highlight w:val="none"/>
          <w:u w:val="single"/>
        </w:rPr>
        <w:t>，若因此造成损失的，由承包人承担</w:t>
      </w:r>
      <w:r>
        <w:rPr>
          <w:rFonts w:hint="eastAsia" w:hAnsi="宋体" w:cs="宋体"/>
          <w:color w:val="auto"/>
          <w:highlight w:val="none"/>
        </w:rPr>
        <w:t>。</w:t>
      </w:r>
    </w:p>
    <w:p w14:paraId="21599EE8">
      <w:pPr>
        <w:spacing w:line="360" w:lineRule="auto"/>
        <w:ind w:firstLine="422" w:firstLineChars="200"/>
        <w:rPr>
          <w:b/>
          <w:bCs/>
          <w:color w:val="auto"/>
          <w:highlight w:val="none"/>
          <w:u w:val="single"/>
        </w:rPr>
      </w:pPr>
      <w:r>
        <w:rPr>
          <w:rFonts w:hint="eastAsia" w:hAnsi="宋体" w:cs="宋体"/>
          <w:b/>
          <w:bCs/>
          <w:color w:val="auto"/>
          <w:kern w:val="0"/>
          <w:highlight w:val="none"/>
        </w:rPr>
        <w:t>承包人未提交劳动合同，以及没有为项目经理缴纳社会保险证明的违约责任：</w:t>
      </w:r>
    </w:p>
    <w:p w14:paraId="69DA4E63">
      <w:pPr>
        <w:spacing w:line="360" w:lineRule="auto"/>
        <w:rPr>
          <w:color w:val="auto"/>
          <w:kern w:val="0"/>
          <w:highlight w:val="none"/>
        </w:rPr>
      </w:pPr>
      <w:r>
        <w:rPr>
          <w:rFonts w:hint="eastAsia" w:ascii="Calibri" w:hAnsi="宋体"/>
          <w:color w:val="auto"/>
          <w:highlight w:val="none"/>
          <w:u w:val="single"/>
        </w:rPr>
        <w:t>承包人应向发包人支付8000元的违约金，发包人有权责令承包人限期提交劳动合同并补缴社会保险，如逾期不提交劳动合同或不补缴社会保险的，视为承包人违约，承包人应从发包人责令其提交合同或补缴社会保险（以先出现的时间为准）之日起，按2000元/天的标准向发包人支付违约金</w:t>
      </w:r>
      <w:r>
        <w:rPr>
          <w:rFonts w:hint="eastAsia" w:hAnsi="宋体" w:cs="宋体"/>
          <w:color w:val="auto"/>
          <w:highlight w:val="none"/>
        </w:rPr>
        <w:t>。</w:t>
      </w:r>
    </w:p>
    <w:p w14:paraId="0A169861">
      <w:pPr>
        <w:spacing w:line="360" w:lineRule="auto"/>
        <w:ind w:firstLine="422" w:firstLineChars="200"/>
        <w:rPr>
          <w:color w:val="auto"/>
          <w:highlight w:val="none"/>
          <w:u w:val="single"/>
        </w:rPr>
      </w:pPr>
      <w:r>
        <w:rPr>
          <w:rFonts w:hint="eastAsia" w:hAnsi="宋体" w:cs="宋体"/>
          <w:b/>
          <w:bCs/>
          <w:color w:val="auto"/>
          <w:kern w:val="0"/>
          <w:highlight w:val="none"/>
        </w:rPr>
        <w:t>项目经理未经批准，擅自离开施工现场的违约责任：</w:t>
      </w:r>
      <w:r>
        <w:rPr>
          <w:rFonts w:hint="eastAsia" w:hAnsi="宋体" w:cs="宋体"/>
          <w:color w:val="auto"/>
          <w:highlight w:val="none"/>
          <w:u w:val="single"/>
        </w:rPr>
        <w:t>项目经理每月在岗带班时间不得少于当月施工时间的</w:t>
      </w:r>
      <w:r>
        <w:rPr>
          <w:rFonts w:hAnsi="宋体"/>
          <w:color w:val="auto"/>
          <w:highlight w:val="none"/>
          <w:u w:val="single"/>
        </w:rPr>
        <w:t>80%</w:t>
      </w:r>
      <w:r>
        <w:rPr>
          <w:rFonts w:hint="eastAsia" w:hAnsi="宋体" w:cs="宋体"/>
          <w:color w:val="auto"/>
          <w:highlight w:val="none"/>
          <w:u w:val="single"/>
        </w:rPr>
        <w:t>。未经发包人同意或正当理由，项目经理每月在岗带班时间少于当月施工时间</w:t>
      </w:r>
      <w:r>
        <w:rPr>
          <w:rFonts w:hAnsi="宋体"/>
          <w:color w:val="auto"/>
          <w:highlight w:val="none"/>
          <w:u w:val="single"/>
        </w:rPr>
        <w:t>80%</w:t>
      </w:r>
      <w:r>
        <w:rPr>
          <w:rFonts w:hint="eastAsia" w:hAnsi="宋体" w:cs="宋体"/>
          <w:color w:val="auto"/>
          <w:highlight w:val="none"/>
          <w:u w:val="single"/>
        </w:rPr>
        <w:t>的，少在岗带班一天，发包人有权处违约金</w:t>
      </w:r>
      <w:r>
        <w:rPr>
          <w:rFonts w:hint="eastAsia" w:ascii="Calibri" w:hAnsi="Calibri"/>
          <w:color w:val="auto"/>
          <w:highlight w:val="none"/>
          <w:u w:val="single"/>
        </w:rPr>
        <w:t>2000</w:t>
      </w:r>
      <w:r>
        <w:rPr>
          <w:rFonts w:hint="eastAsia" w:hAnsi="宋体" w:cs="宋体"/>
          <w:color w:val="auto"/>
          <w:highlight w:val="none"/>
          <w:u w:val="single"/>
        </w:rPr>
        <w:t>元</w:t>
      </w:r>
      <w:r>
        <w:rPr>
          <w:color w:val="auto"/>
          <w:highlight w:val="none"/>
          <w:u w:val="single"/>
        </w:rPr>
        <w:t>/</w:t>
      </w:r>
      <w:r>
        <w:rPr>
          <w:rFonts w:hint="eastAsia" w:cs="宋体"/>
          <w:color w:val="auto"/>
          <w:highlight w:val="none"/>
          <w:u w:val="single"/>
        </w:rPr>
        <w:t>日（</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rPr>
        <w:t>。</w:t>
      </w:r>
    </w:p>
    <w:p w14:paraId="1BED88B4">
      <w:pPr>
        <w:adjustRightInd w:val="0"/>
        <w:snapToGrid w:val="0"/>
        <w:spacing w:line="460" w:lineRule="exact"/>
        <w:ind w:firstLine="422" w:firstLineChars="200"/>
        <w:jc w:val="left"/>
        <w:rPr>
          <w:color w:val="auto"/>
          <w:highlight w:val="none"/>
        </w:rPr>
      </w:pPr>
      <w:r>
        <w:rPr>
          <w:b/>
          <w:bCs/>
          <w:color w:val="auto"/>
          <w:highlight w:val="none"/>
        </w:rPr>
        <w:t xml:space="preserve">3.2.3 </w:t>
      </w:r>
      <w:r>
        <w:rPr>
          <w:rFonts w:hint="eastAsia" w:hAnsi="宋体" w:cs="宋体"/>
          <w:b/>
          <w:bCs/>
          <w:color w:val="auto"/>
          <w:highlight w:val="none"/>
        </w:rPr>
        <w:t>承包人擅自更换项目经理的违约责任：</w:t>
      </w:r>
      <w:r>
        <w:rPr>
          <w:rFonts w:hint="eastAsia" w:ascii="Calibri" w:hAnsi="宋体"/>
          <w:color w:val="auto"/>
          <w:highlight w:val="none"/>
          <w:u w:val="single"/>
        </w:rPr>
        <w:t>承包人方在投标时确定的项目负责人、项目经理及项目技术负责人、专职安全员等主要管理人员，承包人方不得随意更改。如未经发包人同意擅自更换项目经理，则予以20000元的处罚。承包人项目经理必须与承包人投标时所承诺的人员一致，并在（开工日期）前到任。在监理人向承包人颁发（竣工证明材料名称）前，项目经理不得同时兼任其他任何项目的项目经理。原项目经理如能够继续履行职责的，监理人应责令承包人撤销其更换决定，发包人有权要求审核确认承包人认更换的项目经理，由此增加的费用和（或）延误的工期由承包人承担</w:t>
      </w:r>
      <w:r>
        <w:rPr>
          <w:color w:val="auto"/>
          <w:highlight w:val="none"/>
        </w:rPr>
        <w:t>。</w:t>
      </w:r>
    </w:p>
    <w:p w14:paraId="3082FD51">
      <w:pPr>
        <w:spacing w:line="360" w:lineRule="auto"/>
        <w:ind w:firstLine="420" w:firstLineChars="200"/>
        <w:rPr>
          <w:rFonts w:hAnsi="宋体" w:cs="宋体"/>
          <w:color w:val="auto"/>
          <w:highlight w:val="none"/>
        </w:rPr>
      </w:pPr>
      <w:r>
        <w:rPr>
          <w:color w:val="auto"/>
          <w:highlight w:val="none"/>
        </w:rPr>
        <w:t xml:space="preserve">3.2.4 </w:t>
      </w:r>
      <w:r>
        <w:rPr>
          <w:rFonts w:hint="eastAsia" w:hAnsi="宋体" w:cs="宋体"/>
          <w:color w:val="auto"/>
          <w:highlight w:val="none"/>
        </w:rPr>
        <w:t>承包人无正当理由拒绝更换项目经理的违约责任：</w:t>
      </w:r>
      <w:r>
        <w:rPr>
          <w:rFonts w:hint="eastAsia" w:hAnsi="宋体" w:cs="宋体"/>
          <w:color w:val="auto"/>
          <w:highlight w:val="none"/>
          <w:u w:val="single"/>
        </w:rPr>
        <w:t>因承包人项目经理不称职，发包人要求调换而未及时调换的，视为承包人违约，必须向发包人交纳处罚金</w:t>
      </w:r>
      <w:r>
        <w:rPr>
          <w:rFonts w:hint="eastAsia"/>
          <w:color w:val="auto"/>
          <w:highlight w:val="none"/>
          <w:u w:val="single"/>
        </w:rPr>
        <w:t>1000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rPr>
        <w:t>。</w:t>
      </w:r>
    </w:p>
    <w:p w14:paraId="6E60770F">
      <w:pPr>
        <w:ind w:firstLine="420" w:firstLineChars="200"/>
        <w:rPr>
          <w:color w:val="auto"/>
          <w:highlight w:val="none"/>
        </w:rPr>
      </w:pPr>
      <w:r>
        <w:rPr>
          <w:rFonts w:hint="eastAsia" w:hAnsi="宋体"/>
          <w:color w:val="auto"/>
          <w:szCs w:val="21"/>
          <w:highlight w:val="none"/>
        </w:rPr>
        <w:t>发包人根据承包人的工程进度、质量、安全、合同履约等情况，有权要求对承包人的项目管理班子更换，直到满意为止，否则，发包人处以承包人</w:t>
      </w:r>
      <w:r>
        <w:rPr>
          <w:rFonts w:hint="eastAsia" w:hAnsi="宋体"/>
          <w:color w:val="auto"/>
          <w:szCs w:val="21"/>
          <w:highlight w:val="none"/>
          <w:u w:val="single"/>
        </w:rPr>
        <w:t xml:space="preserve">2000 </w:t>
      </w:r>
      <w:r>
        <w:rPr>
          <w:rFonts w:hint="eastAsia" w:hAnsi="宋体"/>
          <w:color w:val="auto"/>
          <w:szCs w:val="21"/>
          <w:highlight w:val="none"/>
        </w:rPr>
        <w:t>元/人以上的违约金。</w:t>
      </w:r>
    </w:p>
    <w:p w14:paraId="64BBCB6F">
      <w:pPr>
        <w:keepNext/>
        <w:keepLines/>
        <w:spacing w:line="600" w:lineRule="exact"/>
        <w:ind w:firstLine="643" w:firstLineChars="200"/>
        <w:outlineLvl w:val="2"/>
        <w:rPr>
          <w:b/>
          <w:bCs/>
          <w:color w:val="auto"/>
          <w:sz w:val="32"/>
          <w:szCs w:val="32"/>
          <w:highlight w:val="none"/>
        </w:rPr>
      </w:pPr>
      <w:bookmarkStart w:id="332" w:name="_Toc373227709"/>
      <w:bookmarkStart w:id="333" w:name="_Toc373478356"/>
      <w:bookmarkStart w:id="334" w:name="_Toc747710271"/>
      <w:bookmarkStart w:id="335" w:name="_Toc1443830486"/>
      <w:bookmarkStart w:id="336" w:name="_Toc78449797"/>
      <w:bookmarkStart w:id="337" w:name="_Toc407135211"/>
      <w:bookmarkStart w:id="338" w:name="_Toc389065275"/>
      <w:r>
        <w:rPr>
          <w:b/>
          <w:bCs/>
          <w:color w:val="auto"/>
          <w:sz w:val="32"/>
          <w:szCs w:val="32"/>
          <w:highlight w:val="none"/>
        </w:rPr>
        <w:t xml:space="preserve">3.3 </w:t>
      </w:r>
      <w:r>
        <w:rPr>
          <w:rFonts w:hint="eastAsia" w:hAnsi="宋体" w:cs="黑体"/>
          <w:b/>
          <w:bCs/>
          <w:color w:val="auto"/>
          <w:sz w:val="32"/>
          <w:szCs w:val="32"/>
          <w:highlight w:val="none"/>
        </w:rPr>
        <w:t>承包人人员</w:t>
      </w:r>
      <w:bookmarkEnd w:id="332"/>
      <w:bookmarkEnd w:id="333"/>
      <w:bookmarkEnd w:id="334"/>
      <w:bookmarkEnd w:id="335"/>
      <w:bookmarkEnd w:id="336"/>
      <w:bookmarkEnd w:id="337"/>
      <w:bookmarkEnd w:id="338"/>
    </w:p>
    <w:p w14:paraId="43DAFCC9">
      <w:pPr>
        <w:spacing w:line="360" w:lineRule="auto"/>
        <w:ind w:firstLine="420" w:firstLineChars="200"/>
        <w:rPr>
          <w:rFonts w:hAnsi="宋体"/>
          <w:color w:val="auto"/>
          <w:highlight w:val="none"/>
        </w:rPr>
      </w:pPr>
      <w:r>
        <w:rPr>
          <w:color w:val="auto"/>
          <w:highlight w:val="none"/>
        </w:rPr>
        <w:t xml:space="preserve">3.3.1 </w:t>
      </w:r>
      <w:r>
        <w:rPr>
          <w:rFonts w:hint="eastAsia" w:hAnsi="宋体" w:cs="宋体"/>
          <w:color w:val="auto"/>
          <w:highlight w:val="none"/>
        </w:rPr>
        <w:t>承包人提交项目管理机构及施工现场管理人员安排报告（格式见合同附件</w:t>
      </w:r>
      <w:r>
        <w:rPr>
          <w:rFonts w:hAnsi="宋体"/>
          <w:color w:val="auto"/>
          <w:highlight w:val="none"/>
        </w:rPr>
        <w:t>6</w:t>
      </w:r>
      <w:r>
        <w:rPr>
          <w:rFonts w:hint="eastAsia" w:hAnsi="宋体" w:cs="宋体"/>
          <w:color w:val="auto"/>
          <w:highlight w:val="none"/>
        </w:rPr>
        <w:t>）的期限：</w:t>
      </w:r>
    </w:p>
    <w:p w14:paraId="17974887">
      <w:pPr>
        <w:spacing w:line="360" w:lineRule="auto"/>
        <w:rPr>
          <w:color w:val="auto"/>
          <w:highlight w:val="none"/>
        </w:rPr>
      </w:pPr>
      <w:r>
        <w:rPr>
          <w:rFonts w:hint="eastAsia" w:ascii="Calibri" w:hAnsi="Calibri"/>
          <w:color w:val="auto"/>
          <w:highlight w:val="none"/>
          <w:u w:val="single"/>
        </w:rPr>
        <w:t>开工前 10 天</w:t>
      </w:r>
      <w:r>
        <w:rPr>
          <w:rFonts w:hint="eastAsia" w:hAnsi="宋体" w:cs="宋体"/>
          <w:color w:val="auto"/>
          <w:highlight w:val="none"/>
        </w:rPr>
        <w:t>。</w:t>
      </w:r>
    </w:p>
    <w:p w14:paraId="5C60D861">
      <w:pPr>
        <w:spacing w:line="360" w:lineRule="auto"/>
        <w:ind w:firstLine="420" w:firstLineChars="200"/>
        <w:rPr>
          <w:color w:val="auto"/>
          <w:highlight w:val="none"/>
        </w:rPr>
      </w:pPr>
      <w:r>
        <w:rPr>
          <w:color w:val="auto"/>
          <w:highlight w:val="none"/>
        </w:rPr>
        <w:t xml:space="preserve">3.3.3 </w:t>
      </w:r>
      <w:r>
        <w:rPr>
          <w:rFonts w:hint="eastAsia" w:hAnsi="宋体" w:cs="宋体"/>
          <w:color w:val="auto"/>
          <w:highlight w:val="none"/>
        </w:rPr>
        <w:t>承包人无正当理由拒绝撤换主要施工管理人员的违约责任：</w:t>
      </w:r>
      <w:r>
        <w:rPr>
          <w:rFonts w:hint="eastAsia" w:ascii="Calibri" w:hAnsi="宋体"/>
          <w:color w:val="auto"/>
          <w:highlight w:val="none"/>
          <w:u w:val="single"/>
        </w:rPr>
        <w:t>因承包人主要施工管理人员不称职，发包人要求调换而无正当理由拒绝撤换或未及时调换的，视为承包人违约，必须向发包人交纳处罚金，处罚标准：技术负责人3000元/人•次(人民币)；专业工程师 2000元/人•次(人民币)</w:t>
      </w:r>
      <w:r>
        <w:rPr>
          <w:rFonts w:hint="eastAsia" w:hAnsi="宋体" w:cs="宋体"/>
          <w:color w:val="auto"/>
          <w:highlight w:val="none"/>
        </w:rPr>
        <w:t>。</w:t>
      </w:r>
    </w:p>
    <w:p w14:paraId="2630B187">
      <w:pPr>
        <w:spacing w:line="360" w:lineRule="auto"/>
        <w:ind w:firstLine="420" w:firstLineChars="200"/>
        <w:rPr>
          <w:color w:val="auto"/>
          <w:highlight w:val="none"/>
          <w:u w:val="single"/>
        </w:rPr>
      </w:pPr>
      <w:r>
        <w:rPr>
          <w:color w:val="auto"/>
          <w:highlight w:val="none"/>
        </w:rPr>
        <w:t xml:space="preserve">3.3.4 </w:t>
      </w:r>
      <w:r>
        <w:rPr>
          <w:rFonts w:hint="eastAsia" w:hAnsi="宋体" w:cs="宋体"/>
          <w:color w:val="auto"/>
          <w:highlight w:val="none"/>
        </w:rPr>
        <w:t>承包人主要施工管理人员离开施工现场的批准要求：</w:t>
      </w:r>
      <w:r>
        <w:rPr>
          <w:rFonts w:hint="eastAsia" w:ascii="Calibri" w:hAnsi="Calibri"/>
          <w:color w:val="auto"/>
          <w:highlight w:val="none"/>
          <w:u w:val="single"/>
        </w:rPr>
        <w:t>须经发包人书面同意</w:t>
      </w:r>
      <w:r>
        <w:rPr>
          <w:rFonts w:hint="eastAsia" w:hAnsi="宋体" w:cs="宋体"/>
          <w:color w:val="auto"/>
          <w:highlight w:val="none"/>
        </w:rPr>
        <w:t>。</w:t>
      </w:r>
    </w:p>
    <w:p w14:paraId="64E7036F">
      <w:pPr>
        <w:spacing w:line="360" w:lineRule="auto"/>
        <w:ind w:firstLine="420" w:firstLineChars="200"/>
        <w:rPr>
          <w:color w:val="auto"/>
          <w:highlight w:val="none"/>
        </w:rPr>
      </w:pPr>
      <w:r>
        <w:rPr>
          <w:color w:val="auto"/>
          <w:highlight w:val="none"/>
        </w:rPr>
        <w:t xml:space="preserve">3.3.5 </w:t>
      </w:r>
      <w:r>
        <w:rPr>
          <w:rFonts w:hint="eastAsia" w:hAnsi="宋体" w:cs="宋体"/>
          <w:color w:val="auto"/>
          <w:highlight w:val="none"/>
        </w:rPr>
        <w:t>承包人擅自更换主要施工管理人员的违约责任：</w:t>
      </w:r>
      <w:r>
        <w:rPr>
          <w:rFonts w:hint="eastAsia" w:ascii="Calibri" w:hAnsi="宋体"/>
          <w:color w:val="auto"/>
          <w:highlight w:val="none"/>
          <w:u w:val="single"/>
        </w:rPr>
        <w:t>项目技术负责人、专职安全员及其承诺的其它在场管理人员未经发包人书面同意不准擅自更换，擅自更换项目技术负责人处2000元/人•次（人民币）违约金；擅自更换专职安全员处2000元/人•次（人民币）违约金；擅自更换其它在场管理人员处1000元/人•次（人民币）违约金</w:t>
      </w:r>
      <w:r>
        <w:rPr>
          <w:rFonts w:hint="eastAsia" w:hAnsi="宋体" w:cs="宋体"/>
          <w:color w:val="auto"/>
          <w:highlight w:val="none"/>
        </w:rPr>
        <w:t>。</w:t>
      </w:r>
    </w:p>
    <w:p w14:paraId="49C1E324">
      <w:pPr>
        <w:spacing w:line="360" w:lineRule="auto"/>
        <w:ind w:firstLine="420" w:firstLineChars="200"/>
        <w:rPr>
          <w:color w:val="auto"/>
          <w:highlight w:val="none"/>
        </w:rPr>
      </w:pPr>
      <w:r>
        <w:rPr>
          <w:rFonts w:hint="eastAsia" w:hAnsi="宋体" w:cs="宋体"/>
          <w:color w:val="auto"/>
          <w:highlight w:val="none"/>
        </w:rPr>
        <w:t>承包人主要施工管理人员擅自离开施工现场的违约责任：</w:t>
      </w:r>
      <w:r>
        <w:rPr>
          <w:rFonts w:hint="eastAsia" w:ascii="Calibri" w:hAnsi="宋体"/>
          <w:color w:val="auto"/>
          <w:highlight w:val="none"/>
          <w:u w:val="single"/>
        </w:rPr>
        <w:t>施工期间，未经发包人同意，技术负责人擅自离岗的，视为承包人违约，按照每天离岗次数（可按天累计）计算违约金，发包人有权处违约金3000元/人•次(人民币)；未经发包人同意，专业工程师擅自离岗的，视为承包人违约，发包人有权处违约金2000元/人•次(人民币)，其它在场管理人员擅自离岗的，视为承包人违约，发包人有权处违约金1000元/人•次（人民币）</w:t>
      </w:r>
      <w:r>
        <w:rPr>
          <w:rFonts w:hint="eastAsia" w:hAnsi="宋体" w:cs="宋体"/>
          <w:color w:val="auto"/>
          <w:highlight w:val="none"/>
        </w:rPr>
        <w:t>。</w:t>
      </w:r>
    </w:p>
    <w:p w14:paraId="5ACB37FB">
      <w:pPr>
        <w:keepNext/>
        <w:keepLines/>
        <w:spacing w:line="600" w:lineRule="exact"/>
        <w:ind w:firstLine="643" w:firstLineChars="200"/>
        <w:outlineLvl w:val="2"/>
        <w:rPr>
          <w:b/>
          <w:bCs/>
          <w:color w:val="auto"/>
          <w:sz w:val="32"/>
          <w:szCs w:val="32"/>
          <w:highlight w:val="none"/>
        </w:rPr>
      </w:pPr>
      <w:bookmarkStart w:id="339" w:name="_Toc373227710"/>
      <w:bookmarkStart w:id="340" w:name="_Toc2025600126"/>
      <w:bookmarkStart w:id="341" w:name="_Toc78449798"/>
      <w:bookmarkStart w:id="342" w:name="_Toc407135212"/>
      <w:bookmarkStart w:id="343" w:name="_Toc2066279184"/>
      <w:bookmarkStart w:id="344" w:name="_Toc389065276"/>
      <w:bookmarkStart w:id="345" w:name="_Toc373478357"/>
      <w:r>
        <w:rPr>
          <w:b/>
          <w:bCs/>
          <w:color w:val="auto"/>
          <w:sz w:val="32"/>
          <w:szCs w:val="32"/>
          <w:highlight w:val="none"/>
        </w:rPr>
        <w:t>3</w:t>
      </w:r>
      <w:bookmarkStart w:id="346" w:name="_Toc304295523"/>
      <w:bookmarkStart w:id="347" w:name="_Toc297123492"/>
      <w:bookmarkStart w:id="348" w:name="_Toc296890987"/>
      <w:bookmarkStart w:id="349" w:name="_Toc292559364"/>
      <w:bookmarkStart w:id="350" w:name="_Toc297120459"/>
      <w:bookmarkStart w:id="351" w:name="_Toc296503159"/>
      <w:bookmarkStart w:id="352" w:name="_Toc312677988"/>
      <w:bookmarkStart w:id="353" w:name="_Toc292559869"/>
      <w:bookmarkStart w:id="354" w:name="_Toc297216151"/>
      <w:bookmarkStart w:id="355" w:name="_Toc303539102"/>
      <w:bookmarkStart w:id="356" w:name="_Toc296347158"/>
      <w:bookmarkStart w:id="357" w:name="_Toc296944498"/>
      <w:bookmarkStart w:id="358" w:name="_Toc300934945"/>
      <w:bookmarkStart w:id="359" w:name="_Toc297048345"/>
      <w:bookmarkStart w:id="360" w:name="_Toc296891199"/>
      <w:bookmarkStart w:id="361" w:name="_Toc296346660"/>
      <w:r>
        <w:rPr>
          <w:b/>
          <w:bCs/>
          <w:color w:val="auto"/>
          <w:sz w:val="32"/>
          <w:szCs w:val="32"/>
          <w:highlight w:val="none"/>
        </w:rPr>
        <w:t xml:space="preserve">.5 </w:t>
      </w:r>
      <w:r>
        <w:rPr>
          <w:rFonts w:hint="eastAsia" w:hAnsi="宋体" w:cs="黑体"/>
          <w:b/>
          <w:bCs/>
          <w:color w:val="auto"/>
          <w:sz w:val="32"/>
          <w:szCs w:val="32"/>
          <w:highlight w:val="none"/>
        </w:rPr>
        <w:t>分包</w:t>
      </w:r>
      <w:bookmarkEnd w:id="339"/>
      <w:bookmarkEnd w:id="340"/>
      <w:bookmarkEnd w:id="341"/>
      <w:bookmarkEnd w:id="342"/>
      <w:bookmarkEnd w:id="343"/>
      <w:bookmarkEnd w:id="344"/>
      <w:bookmarkEnd w:id="345"/>
    </w:p>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14:paraId="1916CD11">
      <w:pPr>
        <w:spacing w:line="360" w:lineRule="auto"/>
        <w:ind w:firstLine="420" w:firstLineChars="200"/>
        <w:rPr>
          <w:color w:val="auto"/>
          <w:highlight w:val="none"/>
        </w:rPr>
      </w:pPr>
      <w:r>
        <w:rPr>
          <w:color w:val="auto"/>
          <w:highlight w:val="none"/>
        </w:rPr>
        <w:t>3</w:t>
      </w:r>
      <w:bookmarkStart w:id="362" w:name="_Toc296346661"/>
      <w:bookmarkStart w:id="363" w:name="_Toc292559870"/>
      <w:bookmarkStart w:id="364" w:name="_Toc297120460"/>
      <w:bookmarkStart w:id="365" w:name="_Toc297123493"/>
      <w:bookmarkStart w:id="366" w:name="_Toc296891200"/>
      <w:bookmarkStart w:id="367" w:name="_Toc296944499"/>
      <w:bookmarkStart w:id="368" w:name="_Toc296347159"/>
      <w:bookmarkStart w:id="369" w:name="_Toc297216152"/>
      <w:bookmarkStart w:id="370" w:name="_Toc303539103"/>
      <w:bookmarkStart w:id="371" w:name="_Toc297048346"/>
      <w:bookmarkStart w:id="372" w:name="_Toc304295524"/>
      <w:bookmarkStart w:id="373" w:name="_Toc312677989"/>
      <w:bookmarkStart w:id="374" w:name="_Toc318581158"/>
      <w:bookmarkStart w:id="375" w:name="_Toc296890988"/>
      <w:bookmarkStart w:id="376" w:name="_Toc300934946"/>
      <w:bookmarkStart w:id="377" w:name="_Toc292559365"/>
      <w:bookmarkStart w:id="378" w:name="_Toc296503160"/>
      <w:r>
        <w:rPr>
          <w:color w:val="auto"/>
          <w:highlight w:val="none"/>
        </w:rPr>
        <w:t xml:space="preserve">.5.1 </w:t>
      </w:r>
      <w:r>
        <w:rPr>
          <w:rFonts w:hint="eastAsia" w:hAnsi="宋体" w:cs="宋体"/>
          <w:color w:val="auto"/>
          <w:highlight w:val="none"/>
        </w:rPr>
        <w:t>分包的一般约定</w:t>
      </w:r>
    </w:p>
    <w:p w14:paraId="416AFEF3">
      <w:pPr>
        <w:spacing w:line="360" w:lineRule="auto"/>
        <w:ind w:firstLine="420" w:firstLineChars="200"/>
        <w:jc w:val="left"/>
        <w:rPr>
          <w:color w:val="auto"/>
          <w:highlight w:val="none"/>
        </w:rPr>
      </w:pPr>
      <w:r>
        <w:rPr>
          <w:rFonts w:hint="eastAsia" w:hAnsi="宋体" w:cs="宋体"/>
          <w:color w:val="auto"/>
          <w:highlight w:val="none"/>
        </w:rPr>
        <w:t>禁止分包的工程包括：</w:t>
      </w:r>
      <w:r>
        <w:rPr>
          <w:rFonts w:hint="eastAsia" w:ascii="Calibri" w:hAnsi="宋体"/>
          <w:color w:val="auto"/>
          <w:highlight w:val="none"/>
          <w:u w:val="single"/>
        </w:rPr>
        <w:t>本工程不允许分包</w:t>
      </w:r>
      <w:r>
        <w:rPr>
          <w:rFonts w:hint="eastAsia" w:hAnsi="宋体" w:cs="宋体"/>
          <w:color w:val="auto"/>
          <w:highlight w:val="none"/>
        </w:rPr>
        <w:t>。</w:t>
      </w:r>
    </w:p>
    <w:p w14:paraId="4283FCE5">
      <w:pPr>
        <w:spacing w:line="360" w:lineRule="auto"/>
        <w:ind w:firstLine="420" w:firstLineChars="200"/>
        <w:jc w:val="left"/>
        <w:rPr>
          <w:rFonts w:hAnsi="宋体"/>
          <w:color w:val="auto"/>
          <w:highlight w:val="none"/>
        </w:rPr>
      </w:pPr>
      <w:r>
        <w:rPr>
          <w:rFonts w:hint="eastAsia" w:hAnsi="宋体" w:cs="宋体"/>
          <w:color w:val="auto"/>
          <w:highlight w:val="none"/>
        </w:rPr>
        <w:t>主体结构、关键性工作的范围：</w:t>
      </w:r>
      <w:r>
        <w:rPr>
          <w:rFonts w:hint="eastAsia" w:ascii="Calibri" w:hAnsi="宋体"/>
          <w:color w:val="auto"/>
          <w:highlight w:val="none"/>
          <w:u w:val="single"/>
        </w:rPr>
        <w:t>/</w:t>
      </w:r>
      <w:r>
        <w:rPr>
          <w:rFonts w:hint="eastAsia" w:hAnsi="宋体" w:cs="宋体"/>
          <w:color w:val="auto"/>
          <w:highlight w:val="none"/>
        </w:rPr>
        <w:t>。</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14:paraId="09E07961">
      <w:pPr>
        <w:spacing w:line="360" w:lineRule="auto"/>
        <w:ind w:firstLine="420" w:firstLineChars="200"/>
        <w:jc w:val="left"/>
        <w:rPr>
          <w:color w:val="auto"/>
          <w:highlight w:val="none"/>
        </w:rPr>
      </w:pPr>
      <w:r>
        <w:rPr>
          <w:color w:val="auto"/>
          <w:highlight w:val="none"/>
        </w:rPr>
        <w:t>3</w:t>
      </w:r>
      <w:bookmarkStart w:id="379" w:name="_Toc312677990"/>
      <w:bookmarkStart w:id="380" w:name="_Toc318581159"/>
      <w:r>
        <w:rPr>
          <w:color w:val="auto"/>
          <w:highlight w:val="none"/>
        </w:rPr>
        <w:t xml:space="preserve">.5.2 </w:t>
      </w:r>
      <w:r>
        <w:rPr>
          <w:rFonts w:hint="eastAsia" w:hAnsi="宋体" w:cs="宋体"/>
          <w:color w:val="auto"/>
          <w:highlight w:val="none"/>
        </w:rPr>
        <w:t>分包的确定</w:t>
      </w:r>
    </w:p>
    <w:p w14:paraId="3570BB12">
      <w:pPr>
        <w:spacing w:line="360" w:lineRule="auto"/>
        <w:ind w:firstLine="420" w:firstLineChars="200"/>
        <w:rPr>
          <w:color w:val="auto"/>
          <w:highlight w:val="none"/>
          <w:u w:val="single"/>
        </w:rPr>
      </w:pPr>
      <w:r>
        <w:rPr>
          <w:rFonts w:hint="eastAsia" w:hAnsi="宋体" w:cs="宋体"/>
          <w:color w:val="auto"/>
          <w:highlight w:val="none"/>
        </w:rPr>
        <w:t>允许分包的专业工程包括：</w:t>
      </w:r>
      <w:r>
        <w:rPr>
          <w:rFonts w:hint="eastAsia" w:ascii="Calibri" w:hAnsi="宋体"/>
          <w:color w:val="auto"/>
          <w:highlight w:val="none"/>
          <w:u w:val="single"/>
        </w:rPr>
        <w:t>所需分包的工程需经过经发包人书面同意</w:t>
      </w:r>
      <w:r>
        <w:rPr>
          <w:rFonts w:hint="eastAsia" w:hAnsi="宋体" w:cs="宋体"/>
          <w:color w:val="auto"/>
          <w:highlight w:val="none"/>
        </w:rPr>
        <w:t>。</w:t>
      </w:r>
    </w:p>
    <w:p w14:paraId="0C1F8E52">
      <w:pPr>
        <w:spacing w:line="360" w:lineRule="auto"/>
        <w:ind w:firstLine="420" w:firstLineChars="200"/>
        <w:rPr>
          <w:color w:val="auto"/>
          <w:highlight w:val="none"/>
        </w:rPr>
      </w:pPr>
      <w:r>
        <w:rPr>
          <w:rFonts w:hint="eastAsia" w:hAnsi="宋体" w:cs="宋体"/>
          <w:color w:val="auto"/>
          <w:highlight w:val="none"/>
        </w:rPr>
        <w:t>其他关于分包的约定：</w:t>
      </w:r>
    </w:p>
    <w:p w14:paraId="5D78A7EE">
      <w:pPr>
        <w:spacing w:line="360" w:lineRule="auto"/>
        <w:ind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w:t>
      </w:r>
      <w:r>
        <w:rPr>
          <w:rFonts w:hint="eastAsia" w:hAnsi="宋体" w:cs="宋体"/>
          <w:color w:val="auto"/>
          <w:highlight w:val="none"/>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w:t>
      </w:r>
      <w:r>
        <w:rPr>
          <w:rFonts w:hint="eastAsia" w:hAnsi="宋体"/>
          <w:color w:val="auto"/>
          <w:highlight w:val="none"/>
        </w:rPr>
        <w:t>6</w:t>
      </w:r>
      <w:r>
        <w:rPr>
          <w:rFonts w:hint="eastAsia" w:hAnsi="宋体" w:cs="宋体"/>
          <w:color w:val="auto"/>
          <w:highlight w:val="none"/>
        </w:rPr>
        <w:t>。</w:t>
      </w:r>
    </w:p>
    <w:p w14:paraId="251333B4">
      <w:pPr>
        <w:spacing w:line="360" w:lineRule="auto"/>
        <w:ind w:firstLine="420" w:firstLineChars="200"/>
        <w:rPr>
          <w:color w:val="auto"/>
          <w:highlight w:val="none"/>
          <w:u w:val="single"/>
        </w:rPr>
      </w:pPr>
      <w:r>
        <w:rPr>
          <w:rFonts w:hint="eastAsia" w:cs="宋体"/>
          <w:color w:val="auto"/>
          <w:highlight w:val="none"/>
        </w:rPr>
        <w:t>（</w:t>
      </w:r>
      <w:r>
        <w:rPr>
          <w:color w:val="auto"/>
          <w:highlight w:val="none"/>
        </w:rPr>
        <w:t>2</w:t>
      </w:r>
      <w:r>
        <w:rPr>
          <w:rFonts w:hint="eastAsia" w:cs="宋体"/>
          <w:color w:val="auto"/>
          <w:highlight w:val="none"/>
        </w:rPr>
        <w:t>）</w:t>
      </w:r>
      <w:r>
        <w:rPr>
          <w:rFonts w:hint="eastAsia" w:hAnsi="宋体" w:cs="宋体"/>
          <w:color w:val="auto"/>
          <w:highlight w:val="none"/>
        </w:rPr>
        <w:t>在相关分包合同签订并报送有关建设行政主管部门备案后</w:t>
      </w:r>
      <w:r>
        <w:rPr>
          <w:color w:val="auto"/>
          <w:highlight w:val="none"/>
        </w:rPr>
        <w:t>7</w:t>
      </w:r>
      <w:r>
        <w:rPr>
          <w:rFonts w:hint="eastAsia" w:hAnsi="宋体" w:cs="宋体"/>
          <w:color w:val="auto"/>
          <w:highlight w:val="none"/>
        </w:rPr>
        <w:t>天内，承包人应当将一份副本提交给监理人，承包人应保障分包工作不得再次分包。</w:t>
      </w:r>
    </w:p>
    <w:p w14:paraId="456F0F5B">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w:t>
      </w:r>
      <w:r>
        <w:rPr>
          <w:rFonts w:hint="eastAsia" w:hAnsi="宋体" w:cs="宋体"/>
          <w:color w:val="auto"/>
          <w:highlight w:val="none"/>
        </w:rPr>
        <w:t>未经承包人和监理人审批同意的分包工程和分包人，承包人有权拒绝验收分包工程和支付相应款项，由此引起的发包人费用增加和</w:t>
      </w:r>
      <w:r>
        <w:rPr>
          <w:color w:val="auto"/>
          <w:highlight w:val="none"/>
        </w:rPr>
        <w:t>(</w:t>
      </w:r>
      <w:r>
        <w:rPr>
          <w:rFonts w:hint="eastAsia" w:hAnsi="宋体" w:cs="宋体"/>
          <w:color w:val="auto"/>
          <w:highlight w:val="none"/>
        </w:rPr>
        <w:t>或</w:t>
      </w:r>
      <w:r>
        <w:rPr>
          <w:color w:val="auto"/>
          <w:highlight w:val="none"/>
        </w:rPr>
        <w:t>)</w:t>
      </w:r>
      <w:r>
        <w:rPr>
          <w:rFonts w:hint="eastAsia" w:hAnsi="宋体" w:cs="宋体"/>
          <w:color w:val="auto"/>
          <w:highlight w:val="none"/>
        </w:rPr>
        <w:t>延误的工期由发包人承担。</w:t>
      </w:r>
    </w:p>
    <w:p w14:paraId="33311FBD">
      <w:pPr>
        <w:spacing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w:t>
      </w:r>
      <w:r>
        <w:rPr>
          <w:rFonts w:hint="eastAsia" w:hAnsi="宋体"/>
          <w:color w:val="auto"/>
          <w:szCs w:val="21"/>
          <w:highlight w:val="none"/>
        </w:rPr>
        <w:t>承包人有以下情况之一者，发包人有权解除合同：</w:t>
      </w:r>
    </w:p>
    <w:p w14:paraId="17C5BC49">
      <w:pPr>
        <w:spacing w:line="360" w:lineRule="auto"/>
        <w:ind w:firstLine="441" w:firstLineChars="210"/>
        <w:rPr>
          <w:color w:val="auto"/>
          <w:szCs w:val="21"/>
          <w:highlight w:val="none"/>
        </w:rPr>
      </w:pPr>
      <w:r>
        <w:rPr>
          <w:rFonts w:hint="eastAsia" w:hAnsi="宋体"/>
          <w:color w:val="auto"/>
          <w:szCs w:val="21"/>
          <w:highlight w:val="none"/>
        </w:rPr>
        <w:t>①个人承包工程，包括本人单位及外单位人员承包，发包人不承认其个人拥有任何资质等级及营业许可资格。</w:t>
      </w:r>
    </w:p>
    <w:p w14:paraId="5E6AE47C">
      <w:pPr>
        <w:spacing w:line="360" w:lineRule="auto"/>
        <w:ind w:firstLine="441" w:firstLineChars="210"/>
        <w:rPr>
          <w:color w:val="auto"/>
          <w:szCs w:val="21"/>
          <w:highlight w:val="none"/>
        </w:rPr>
      </w:pPr>
      <w:r>
        <w:rPr>
          <w:rFonts w:hint="eastAsia" w:hAnsi="宋体"/>
          <w:color w:val="auto"/>
          <w:szCs w:val="21"/>
          <w:highlight w:val="none"/>
        </w:rPr>
        <w:t>②几个人联合承包工程，就地组织暗分包队伍，不具备完成本工程的技术、机械能力，被发包人判定为没有能力履行的承包人。</w:t>
      </w:r>
    </w:p>
    <w:p w14:paraId="2AC00FD9">
      <w:pPr>
        <w:spacing w:line="360" w:lineRule="auto"/>
        <w:ind w:firstLine="441" w:firstLineChars="210"/>
        <w:rPr>
          <w:color w:val="auto"/>
          <w:szCs w:val="21"/>
          <w:highlight w:val="none"/>
        </w:rPr>
      </w:pPr>
      <w:r>
        <w:rPr>
          <w:rFonts w:hint="eastAsia" w:hAnsi="宋体"/>
          <w:color w:val="auto"/>
          <w:szCs w:val="21"/>
          <w:highlight w:val="none"/>
        </w:rPr>
        <w:t>③就地转包全部的工程，以谋取高额转让费、管理费的承包人。</w:t>
      </w:r>
    </w:p>
    <w:p w14:paraId="366A26B6">
      <w:pPr>
        <w:spacing w:line="360" w:lineRule="auto"/>
        <w:ind w:firstLine="420" w:firstLineChars="200"/>
        <w:rPr>
          <w:color w:val="auto"/>
          <w:highlight w:val="none"/>
          <w:u w:val="single"/>
        </w:rPr>
      </w:pPr>
      <w:r>
        <w:rPr>
          <w:rFonts w:hint="eastAsia" w:hAnsi="宋体" w:cs="宋体"/>
          <w:color w:val="auto"/>
          <w:highlight w:val="none"/>
        </w:rPr>
        <w:t>④承包人有部分分包现象（其中包括冒充承包人下属单位的挂勾单位，凭口头协议参与施工的分包人及其他暗分包个体户），一经发现核实，发包人将采取驱逐该暗分包人措施。</w:t>
      </w:r>
    </w:p>
    <w:p w14:paraId="4230666F">
      <w:pPr>
        <w:spacing w:line="360" w:lineRule="auto"/>
        <w:ind w:firstLine="420" w:firstLineChars="200"/>
        <w:rPr>
          <w:color w:val="auto"/>
          <w:highlight w:val="none"/>
        </w:rPr>
      </w:pPr>
      <w:r>
        <w:rPr>
          <w:color w:val="auto"/>
          <w:highlight w:val="none"/>
        </w:rPr>
        <w:t xml:space="preserve">3.5.4 </w:t>
      </w:r>
      <w:r>
        <w:rPr>
          <w:rFonts w:hint="eastAsia" w:hAnsi="宋体" w:cs="宋体"/>
          <w:color w:val="auto"/>
          <w:highlight w:val="none"/>
        </w:rPr>
        <w:t>分包合同价款</w:t>
      </w:r>
    </w:p>
    <w:bookmarkEnd w:id="379"/>
    <w:bookmarkEnd w:id="380"/>
    <w:p w14:paraId="5B0AFD89">
      <w:pPr>
        <w:spacing w:line="360" w:lineRule="auto"/>
        <w:ind w:firstLine="420" w:firstLineChars="200"/>
        <w:rPr>
          <w:color w:val="auto"/>
          <w:highlight w:val="none"/>
        </w:rPr>
      </w:pPr>
      <w:bookmarkStart w:id="381" w:name="_Toc389065277"/>
      <w:bookmarkStart w:id="382" w:name="_Toc373478358"/>
      <w:bookmarkStart w:id="383" w:name="_Toc373227711"/>
      <w:r>
        <w:rPr>
          <w:rFonts w:hint="eastAsia" w:hAnsi="宋体" w:cs="宋体"/>
          <w:color w:val="auto"/>
          <w:highlight w:val="none"/>
        </w:rPr>
        <w:t>关于分包合同价款支付的约定：</w:t>
      </w:r>
      <w:r>
        <w:rPr>
          <w:rFonts w:hint="eastAsia" w:hAnsi="宋体" w:cs="宋体"/>
          <w:color w:val="auto"/>
          <w:highlight w:val="none"/>
          <w:u w:val="single"/>
        </w:rPr>
        <w:t>分包工程价款由承包人与分包人</w:t>
      </w:r>
      <w:r>
        <w:rPr>
          <w:rFonts w:hint="eastAsia" w:cs="宋体"/>
          <w:color w:val="auto"/>
          <w:highlight w:val="none"/>
          <w:u w:val="single"/>
        </w:rPr>
        <w:t>（</w:t>
      </w:r>
      <w:r>
        <w:rPr>
          <w:rFonts w:hint="eastAsia" w:hAnsi="宋体" w:cs="宋体"/>
          <w:color w:val="auto"/>
          <w:highlight w:val="none"/>
          <w:u w:val="single"/>
        </w:rPr>
        <w:t>包括专业分包人</w:t>
      </w:r>
      <w:r>
        <w:rPr>
          <w:rFonts w:hint="eastAsia" w:cs="宋体"/>
          <w:color w:val="auto"/>
          <w:highlight w:val="none"/>
          <w:u w:val="single"/>
        </w:rPr>
        <w:t>）</w:t>
      </w:r>
      <w:r>
        <w:rPr>
          <w:rFonts w:hint="eastAsia" w:hAnsi="宋体" w:cs="宋体"/>
          <w:color w:val="auto"/>
          <w:highlight w:val="none"/>
          <w:u w:val="single"/>
        </w:rPr>
        <w:t>结算。发包人未经承包人同意不得以任何形式向分包人</w:t>
      </w:r>
      <w:r>
        <w:rPr>
          <w:rFonts w:hint="eastAsia" w:cs="宋体"/>
          <w:color w:val="auto"/>
          <w:highlight w:val="none"/>
          <w:u w:val="single"/>
        </w:rPr>
        <w:t>（</w:t>
      </w:r>
      <w:r>
        <w:rPr>
          <w:rFonts w:hint="eastAsia" w:hAnsi="宋体" w:cs="宋体"/>
          <w:color w:val="auto"/>
          <w:highlight w:val="none"/>
          <w:u w:val="single"/>
        </w:rPr>
        <w:t>包括专业分包人</w:t>
      </w:r>
      <w:r>
        <w:rPr>
          <w:rFonts w:hint="eastAsia" w:cs="宋体"/>
          <w:color w:val="auto"/>
          <w:highlight w:val="none"/>
          <w:u w:val="single"/>
        </w:rPr>
        <w:t>）</w:t>
      </w:r>
      <w:r>
        <w:rPr>
          <w:rFonts w:hint="eastAsia" w:hAnsi="宋体" w:cs="宋体"/>
          <w:color w:val="auto"/>
          <w:highlight w:val="none"/>
          <w:u w:val="single"/>
        </w:rPr>
        <w:t>支付相关分包合同项下的任何工程款项。因发包人未经承包人同意直接向分包人</w:t>
      </w:r>
      <w:r>
        <w:rPr>
          <w:rFonts w:hint="eastAsia" w:cs="宋体"/>
          <w:color w:val="auto"/>
          <w:highlight w:val="none"/>
          <w:u w:val="single"/>
        </w:rPr>
        <w:t>（</w:t>
      </w:r>
      <w:r>
        <w:rPr>
          <w:rFonts w:hint="eastAsia" w:hAnsi="宋体" w:cs="宋体"/>
          <w:color w:val="auto"/>
          <w:highlight w:val="none"/>
          <w:u w:val="single"/>
        </w:rPr>
        <w:t>包括专业分包人</w:t>
      </w:r>
      <w:r>
        <w:rPr>
          <w:rFonts w:hint="eastAsia" w:cs="宋体"/>
          <w:color w:val="auto"/>
          <w:highlight w:val="none"/>
          <w:u w:val="single"/>
        </w:rPr>
        <w:t>）</w:t>
      </w:r>
      <w:r>
        <w:rPr>
          <w:rFonts w:hint="eastAsia" w:hAnsi="宋体" w:cs="宋体"/>
          <w:color w:val="auto"/>
          <w:highlight w:val="none"/>
          <w:u w:val="single"/>
        </w:rPr>
        <w:t>支付相关分包合同项下的任何工程款项而影响承包人工作的，所造成的承包人费用增加和</w:t>
      </w:r>
      <w:r>
        <w:rPr>
          <w:rFonts w:hint="eastAsia" w:cs="宋体"/>
          <w:color w:val="auto"/>
          <w:highlight w:val="none"/>
          <w:u w:val="single"/>
        </w:rPr>
        <w:t>（</w:t>
      </w:r>
      <w:r>
        <w:rPr>
          <w:rFonts w:hint="eastAsia" w:hAnsi="宋体" w:cs="宋体"/>
          <w:color w:val="auto"/>
          <w:highlight w:val="none"/>
          <w:u w:val="single"/>
        </w:rPr>
        <w:t>或</w:t>
      </w:r>
      <w:r>
        <w:rPr>
          <w:rFonts w:hint="eastAsia" w:cs="宋体"/>
          <w:color w:val="auto"/>
          <w:highlight w:val="none"/>
          <w:u w:val="single"/>
        </w:rPr>
        <w:t>）</w:t>
      </w:r>
      <w:r>
        <w:rPr>
          <w:rFonts w:hint="eastAsia" w:hAnsi="宋体" w:cs="宋体"/>
          <w:color w:val="auto"/>
          <w:highlight w:val="none"/>
          <w:u w:val="single"/>
        </w:rPr>
        <w:t>延误的工期由发包人承担。</w:t>
      </w:r>
    </w:p>
    <w:p w14:paraId="446E7764">
      <w:pPr>
        <w:keepNext/>
        <w:keepLines/>
        <w:spacing w:line="600" w:lineRule="exact"/>
        <w:ind w:firstLine="643" w:firstLineChars="200"/>
        <w:outlineLvl w:val="2"/>
        <w:rPr>
          <w:b/>
          <w:bCs/>
          <w:color w:val="auto"/>
          <w:sz w:val="32"/>
          <w:szCs w:val="32"/>
          <w:highlight w:val="none"/>
        </w:rPr>
      </w:pPr>
      <w:bookmarkStart w:id="384" w:name="_Toc407135213"/>
      <w:bookmarkStart w:id="385" w:name="_Toc101808609"/>
      <w:bookmarkStart w:id="386" w:name="_Toc78449799"/>
      <w:bookmarkStart w:id="387" w:name="_Toc57329529"/>
      <w:r>
        <w:rPr>
          <w:b/>
          <w:bCs/>
          <w:color w:val="auto"/>
          <w:sz w:val="32"/>
          <w:szCs w:val="32"/>
          <w:highlight w:val="none"/>
        </w:rPr>
        <w:t xml:space="preserve">3.6 </w:t>
      </w:r>
      <w:r>
        <w:rPr>
          <w:rFonts w:hint="eastAsia" w:cs="黑体"/>
          <w:b/>
          <w:bCs/>
          <w:color w:val="auto"/>
          <w:sz w:val="32"/>
          <w:szCs w:val="32"/>
          <w:highlight w:val="none"/>
        </w:rPr>
        <w:t>工程照管与成品、半成品保护</w:t>
      </w:r>
      <w:bookmarkEnd w:id="381"/>
      <w:bookmarkEnd w:id="382"/>
      <w:bookmarkEnd w:id="383"/>
      <w:bookmarkEnd w:id="384"/>
      <w:bookmarkEnd w:id="385"/>
      <w:bookmarkEnd w:id="386"/>
      <w:bookmarkEnd w:id="387"/>
    </w:p>
    <w:p w14:paraId="640A1F1B">
      <w:pPr>
        <w:spacing w:line="360" w:lineRule="auto"/>
        <w:ind w:firstLine="420" w:firstLineChars="200"/>
        <w:rPr>
          <w:color w:val="auto"/>
          <w:kern w:val="0"/>
          <w:highlight w:val="none"/>
          <w:u w:val="single"/>
        </w:rPr>
      </w:pPr>
      <w:r>
        <w:rPr>
          <w:rFonts w:hint="eastAsia" w:hAnsi="宋体" w:cs="宋体"/>
          <w:color w:val="auto"/>
          <w:kern w:val="0"/>
          <w:highlight w:val="none"/>
        </w:rPr>
        <w:t>承包人负责照管工程及工程相关的材料、工程设备的起始时间：</w:t>
      </w:r>
      <w:r>
        <w:rPr>
          <w:rFonts w:hint="eastAsia" w:ascii="Calibri" w:hAnsi="Calibri"/>
          <w:color w:val="auto"/>
          <w:kern w:val="0"/>
          <w:highlight w:val="none"/>
          <w:u w:val="single"/>
        </w:rPr>
        <w:t>工程接收证书颁发前，承包人应负责照管和维护工程。工程接收证书颁发时尚有部分未竣工工程的，承包人还应负责该未竣工工程的照管和维护工作，直到竣工后移交给发包人为止。因发包人原因不能及时办理竣工验收以及移交所引起的照管和保护费用由发包人承担</w:t>
      </w:r>
      <w:r>
        <w:rPr>
          <w:rFonts w:hint="eastAsia" w:hAnsi="宋体" w:cs="宋体"/>
          <w:color w:val="auto"/>
          <w:kern w:val="0"/>
          <w:highlight w:val="none"/>
        </w:rPr>
        <w:t>。</w:t>
      </w:r>
    </w:p>
    <w:p w14:paraId="5E0AB04E">
      <w:pPr>
        <w:keepNext/>
        <w:keepLines/>
        <w:spacing w:line="600" w:lineRule="exact"/>
        <w:ind w:firstLine="643" w:firstLineChars="200"/>
        <w:outlineLvl w:val="2"/>
        <w:rPr>
          <w:b/>
          <w:bCs/>
          <w:color w:val="auto"/>
          <w:sz w:val="32"/>
          <w:szCs w:val="32"/>
          <w:highlight w:val="none"/>
        </w:rPr>
      </w:pPr>
      <w:bookmarkStart w:id="388" w:name="_Toc373478359"/>
      <w:bookmarkStart w:id="389" w:name="_Toc373227712"/>
      <w:bookmarkStart w:id="390" w:name="_Toc389065278"/>
      <w:bookmarkStart w:id="391" w:name="_Toc78449800"/>
      <w:bookmarkStart w:id="392" w:name="_Toc1649716734"/>
      <w:bookmarkStart w:id="393" w:name="_Toc1042049436"/>
      <w:bookmarkStart w:id="394" w:name="_Toc407135214"/>
      <w:r>
        <w:rPr>
          <w:b/>
          <w:bCs/>
          <w:color w:val="auto"/>
          <w:sz w:val="32"/>
          <w:szCs w:val="32"/>
          <w:highlight w:val="none"/>
        </w:rPr>
        <w:t xml:space="preserve">3.7 </w:t>
      </w:r>
      <w:r>
        <w:rPr>
          <w:rFonts w:hint="eastAsia" w:hAnsi="宋体" w:cs="黑体"/>
          <w:b/>
          <w:bCs/>
          <w:color w:val="auto"/>
          <w:sz w:val="32"/>
          <w:szCs w:val="32"/>
          <w:highlight w:val="none"/>
        </w:rPr>
        <w:t>履约</w:t>
      </w:r>
      <w:bookmarkEnd w:id="388"/>
      <w:bookmarkEnd w:id="389"/>
      <w:bookmarkEnd w:id="390"/>
      <w:r>
        <w:rPr>
          <w:rFonts w:hint="eastAsia" w:hAnsi="宋体" w:cs="黑体"/>
          <w:b/>
          <w:bCs/>
          <w:color w:val="auto"/>
          <w:sz w:val="32"/>
          <w:szCs w:val="32"/>
          <w:highlight w:val="none"/>
        </w:rPr>
        <w:t>保证金</w:t>
      </w:r>
      <w:bookmarkEnd w:id="391"/>
      <w:bookmarkEnd w:id="392"/>
      <w:bookmarkEnd w:id="393"/>
      <w:bookmarkEnd w:id="394"/>
    </w:p>
    <w:p w14:paraId="5A9277A3">
      <w:pPr>
        <w:rPr>
          <w:color w:val="auto"/>
          <w:highlight w:val="none"/>
        </w:rPr>
      </w:pPr>
      <w:bookmarkStart w:id="395" w:name="_Toc373478360"/>
      <w:bookmarkStart w:id="396" w:name="_Toc351203636"/>
      <w:bookmarkStart w:id="397" w:name="_Toc389065279"/>
      <w:bookmarkStart w:id="398" w:name="_Toc373227713"/>
      <w:r>
        <w:rPr>
          <w:rFonts w:hint="eastAsia"/>
          <w:color w:val="auto"/>
          <w:highlight w:val="none"/>
        </w:rPr>
        <w:t>本项目不收取履约保证金</w:t>
      </w:r>
    </w:p>
    <w:p w14:paraId="1E2A2579">
      <w:pPr>
        <w:keepNext/>
        <w:keepLines/>
        <w:spacing w:before="260" w:after="260" w:line="413" w:lineRule="auto"/>
        <w:outlineLvl w:val="1"/>
        <w:rPr>
          <w:rFonts w:ascii="Arial" w:hAnsi="Arial" w:eastAsia="黑体"/>
          <w:b/>
          <w:bCs/>
          <w:color w:val="auto"/>
          <w:sz w:val="32"/>
          <w:szCs w:val="32"/>
          <w:highlight w:val="none"/>
        </w:rPr>
      </w:pPr>
      <w:bookmarkStart w:id="399" w:name="_Toc407135215"/>
      <w:bookmarkStart w:id="400" w:name="_Toc907912356"/>
      <w:bookmarkStart w:id="401" w:name="_Toc931514330"/>
      <w:bookmarkStart w:id="402" w:name="_Toc78449801"/>
      <w:r>
        <w:rPr>
          <w:rFonts w:ascii="Arial" w:hAnsi="Arial" w:eastAsia="黑体"/>
          <w:b/>
          <w:bCs/>
          <w:color w:val="auto"/>
          <w:sz w:val="32"/>
          <w:szCs w:val="32"/>
          <w:highlight w:val="none"/>
        </w:rPr>
        <w:t>4</w:t>
      </w:r>
      <w:bookmarkStart w:id="403" w:name="_Toc296944501"/>
      <w:bookmarkStart w:id="404" w:name="_Toc292559366"/>
      <w:bookmarkStart w:id="405" w:name="_Toc297120462"/>
      <w:bookmarkStart w:id="406" w:name="_Toc296891202"/>
      <w:bookmarkStart w:id="407" w:name="_Toc292559871"/>
      <w:bookmarkStart w:id="408" w:name="_Toc267251413"/>
      <w:bookmarkStart w:id="409" w:name="_Toc296346663"/>
      <w:bookmarkStart w:id="410" w:name="_Toc296503162"/>
      <w:bookmarkStart w:id="411" w:name="_Toc296890990"/>
      <w:bookmarkStart w:id="412" w:name="_Toc296347161"/>
      <w:bookmarkStart w:id="413" w:name="_Toc297048348"/>
      <w:r>
        <w:rPr>
          <w:rFonts w:ascii="Arial" w:hAnsi="Arial" w:eastAsia="黑体"/>
          <w:b/>
          <w:bCs/>
          <w:color w:val="auto"/>
          <w:sz w:val="32"/>
          <w:szCs w:val="32"/>
          <w:highlight w:val="none"/>
        </w:rPr>
        <w:t xml:space="preserve">. </w:t>
      </w:r>
      <w:r>
        <w:rPr>
          <w:rFonts w:hint="eastAsia" w:ascii="Arial" w:hAnsi="宋体" w:eastAsia="黑体" w:cs="黑体"/>
          <w:b/>
          <w:bCs/>
          <w:color w:val="auto"/>
          <w:sz w:val="32"/>
          <w:szCs w:val="32"/>
          <w:highlight w:val="none"/>
        </w:rPr>
        <w:t>监</w:t>
      </w:r>
      <w:bookmarkEnd w:id="403"/>
      <w:bookmarkEnd w:id="404"/>
      <w:bookmarkEnd w:id="405"/>
      <w:bookmarkEnd w:id="406"/>
      <w:bookmarkEnd w:id="407"/>
      <w:bookmarkEnd w:id="408"/>
      <w:bookmarkEnd w:id="409"/>
      <w:bookmarkEnd w:id="410"/>
      <w:bookmarkEnd w:id="411"/>
      <w:bookmarkEnd w:id="412"/>
      <w:bookmarkEnd w:id="413"/>
      <w:r>
        <w:rPr>
          <w:rFonts w:hint="eastAsia" w:ascii="Arial" w:hAnsi="宋体" w:eastAsia="黑体" w:cs="黑体"/>
          <w:b/>
          <w:bCs/>
          <w:color w:val="auto"/>
          <w:sz w:val="32"/>
          <w:szCs w:val="32"/>
          <w:highlight w:val="none"/>
        </w:rPr>
        <w:t>理人</w:t>
      </w:r>
      <w:bookmarkEnd w:id="395"/>
      <w:bookmarkEnd w:id="396"/>
      <w:bookmarkEnd w:id="397"/>
      <w:bookmarkEnd w:id="398"/>
      <w:bookmarkEnd w:id="399"/>
      <w:bookmarkEnd w:id="400"/>
      <w:bookmarkEnd w:id="401"/>
      <w:bookmarkEnd w:id="402"/>
    </w:p>
    <w:p w14:paraId="3D0BB7A9">
      <w:pPr>
        <w:keepNext/>
        <w:keepLines/>
        <w:spacing w:line="600" w:lineRule="exact"/>
        <w:ind w:firstLine="643" w:firstLineChars="200"/>
        <w:outlineLvl w:val="2"/>
        <w:rPr>
          <w:b/>
          <w:bCs/>
          <w:color w:val="auto"/>
          <w:sz w:val="32"/>
          <w:szCs w:val="32"/>
          <w:highlight w:val="none"/>
        </w:rPr>
      </w:pPr>
      <w:bookmarkStart w:id="414" w:name="_Toc407135216"/>
      <w:bookmarkStart w:id="415" w:name="_Toc1008304989"/>
      <w:bookmarkStart w:id="416" w:name="_Toc1595043148"/>
      <w:bookmarkStart w:id="417" w:name="_Toc389065280"/>
      <w:bookmarkStart w:id="418" w:name="_Toc78449802"/>
      <w:bookmarkStart w:id="419" w:name="_Toc373227714"/>
      <w:bookmarkStart w:id="420" w:name="_Toc373478361"/>
      <w:r>
        <w:rPr>
          <w:b/>
          <w:bCs/>
          <w:color w:val="auto"/>
          <w:sz w:val="32"/>
          <w:szCs w:val="32"/>
          <w:highlight w:val="none"/>
        </w:rPr>
        <w:t xml:space="preserve">4.1 </w:t>
      </w:r>
      <w:r>
        <w:rPr>
          <w:rFonts w:hint="eastAsia" w:cs="黑体"/>
          <w:b/>
          <w:bCs/>
          <w:color w:val="auto"/>
          <w:sz w:val="32"/>
          <w:szCs w:val="32"/>
          <w:highlight w:val="none"/>
        </w:rPr>
        <w:t>监理人的一般规定</w:t>
      </w:r>
      <w:bookmarkEnd w:id="414"/>
      <w:bookmarkEnd w:id="415"/>
      <w:bookmarkEnd w:id="416"/>
      <w:bookmarkEnd w:id="417"/>
      <w:bookmarkEnd w:id="418"/>
      <w:bookmarkEnd w:id="419"/>
      <w:bookmarkEnd w:id="420"/>
    </w:p>
    <w:p w14:paraId="42B44FD7">
      <w:pPr>
        <w:spacing w:line="360" w:lineRule="auto"/>
        <w:ind w:firstLine="420" w:firstLineChars="200"/>
        <w:jc w:val="left"/>
        <w:rPr>
          <w:color w:val="auto"/>
          <w:highlight w:val="none"/>
        </w:rPr>
      </w:pPr>
      <w:r>
        <w:rPr>
          <w:rFonts w:hint="eastAsia" w:hAnsi="宋体" w:cs="宋体"/>
          <w:color w:val="auto"/>
          <w:highlight w:val="none"/>
        </w:rPr>
        <w:t>关于监理人的监理内容：</w:t>
      </w:r>
      <w:r>
        <w:rPr>
          <w:rFonts w:hint="eastAsia" w:ascii="Calibri" w:hAnsi="Calibri"/>
          <w:color w:val="auto"/>
          <w:highlight w:val="none"/>
          <w:u w:val="single"/>
        </w:rPr>
        <w:t>详见监理合同</w:t>
      </w:r>
      <w:r>
        <w:rPr>
          <w:rFonts w:hint="eastAsia" w:hAnsi="宋体" w:cs="宋体"/>
          <w:color w:val="auto"/>
          <w:highlight w:val="none"/>
        </w:rPr>
        <w:t>。</w:t>
      </w:r>
    </w:p>
    <w:p w14:paraId="2E0F44D3">
      <w:pPr>
        <w:spacing w:line="360" w:lineRule="auto"/>
        <w:ind w:firstLine="420" w:firstLineChars="200"/>
        <w:jc w:val="left"/>
        <w:rPr>
          <w:color w:val="auto"/>
          <w:highlight w:val="none"/>
        </w:rPr>
      </w:pPr>
      <w:r>
        <w:rPr>
          <w:rFonts w:hint="eastAsia" w:hAnsi="宋体" w:cs="宋体"/>
          <w:color w:val="auto"/>
          <w:highlight w:val="none"/>
        </w:rPr>
        <w:t>关于监理人的监理权限：</w:t>
      </w:r>
      <w:r>
        <w:rPr>
          <w:rFonts w:hint="eastAsia" w:ascii="Calibri" w:hAnsi="Calibri"/>
          <w:color w:val="auto"/>
          <w:highlight w:val="none"/>
          <w:u w:val="single"/>
        </w:rPr>
        <w:t>详见监理合同</w:t>
      </w:r>
      <w:r>
        <w:rPr>
          <w:rFonts w:hint="eastAsia" w:hAnsi="宋体" w:cs="宋体"/>
          <w:color w:val="auto"/>
          <w:highlight w:val="none"/>
        </w:rPr>
        <w:t>。</w:t>
      </w:r>
    </w:p>
    <w:p w14:paraId="6A47BB44">
      <w:pPr>
        <w:spacing w:line="360" w:lineRule="auto"/>
        <w:rPr>
          <w:color w:val="auto"/>
          <w:highlight w:val="none"/>
        </w:rPr>
      </w:pPr>
      <w:r>
        <w:rPr>
          <w:rFonts w:hint="eastAsia" w:hAnsi="宋体" w:cs="宋体"/>
          <w:color w:val="auto"/>
          <w:highlight w:val="none"/>
        </w:rPr>
        <w:t>关于监理人在施工现场的办公场所、生活场所的提供和费用承担的约定：</w:t>
      </w:r>
      <w:r>
        <w:rPr>
          <w:rFonts w:hint="eastAsia" w:ascii="Calibri" w:hAnsi="Calibri"/>
          <w:color w:val="auto"/>
          <w:highlight w:val="none"/>
          <w:u w:val="single"/>
        </w:rPr>
        <w:t>详见监理合同</w:t>
      </w:r>
      <w:r>
        <w:rPr>
          <w:rFonts w:hint="eastAsia" w:hAnsi="宋体" w:cs="宋体"/>
          <w:color w:val="auto"/>
          <w:highlight w:val="none"/>
        </w:rPr>
        <w:t>。</w:t>
      </w:r>
    </w:p>
    <w:p w14:paraId="1B9643DB">
      <w:pPr>
        <w:keepNext/>
        <w:keepLines/>
        <w:spacing w:line="600" w:lineRule="exact"/>
        <w:ind w:firstLine="643" w:firstLineChars="200"/>
        <w:outlineLvl w:val="2"/>
        <w:rPr>
          <w:b/>
          <w:bCs/>
          <w:color w:val="auto"/>
          <w:sz w:val="32"/>
          <w:szCs w:val="32"/>
          <w:highlight w:val="none"/>
        </w:rPr>
      </w:pPr>
      <w:bookmarkStart w:id="421" w:name="_Toc373227715"/>
      <w:bookmarkStart w:id="422" w:name="_Toc407135217"/>
      <w:bookmarkStart w:id="423" w:name="_Toc78449803"/>
      <w:bookmarkStart w:id="424" w:name="_Toc389065281"/>
      <w:bookmarkStart w:id="425" w:name="_Toc386397261"/>
      <w:bookmarkStart w:id="426" w:name="_Toc373478362"/>
      <w:bookmarkStart w:id="427" w:name="_Toc1350458461"/>
      <w:r>
        <w:rPr>
          <w:b/>
          <w:bCs/>
          <w:color w:val="auto"/>
          <w:sz w:val="32"/>
          <w:szCs w:val="32"/>
          <w:highlight w:val="none"/>
        </w:rPr>
        <w:t xml:space="preserve">4.2 </w:t>
      </w:r>
      <w:r>
        <w:rPr>
          <w:rFonts w:hint="eastAsia" w:hAnsi="宋体" w:cs="黑体"/>
          <w:b/>
          <w:bCs/>
          <w:color w:val="auto"/>
          <w:sz w:val="32"/>
          <w:szCs w:val="32"/>
          <w:highlight w:val="none"/>
        </w:rPr>
        <w:t>监理人员</w:t>
      </w:r>
      <w:bookmarkEnd w:id="421"/>
      <w:bookmarkEnd w:id="422"/>
      <w:bookmarkEnd w:id="423"/>
      <w:bookmarkEnd w:id="424"/>
      <w:bookmarkEnd w:id="425"/>
      <w:bookmarkEnd w:id="426"/>
      <w:bookmarkEnd w:id="427"/>
    </w:p>
    <w:p w14:paraId="6900BE5E">
      <w:pPr>
        <w:spacing w:line="360" w:lineRule="auto"/>
        <w:ind w:firstLine="420" w:firstLineChars="200"/>
        <w:rPr>
          <w:color w:val="auto"/>
          <w:highlight w:val="none"/>
        </w:rPr>
      </w:pPr>
      <w:r>
        <w:rPr>
          <w:rFonts w:hint="eastAsia" w:hAnsi="宋体" w:cs="宋体"/>
          <w:color w:val="auto"/>
          <w:highlight w:val="none"/>
        </w:rPr>
        <w:t>总监理工程师：</w:t>
      </w:r>
    </w:p>
    <w:p w14:paraId="763043B0">
      <w:pPr>
        <w:spacing w:line="360" w:lineRule="auto"/>
        <w:ind w:firstLine="420" w:firstLineChars="200"/>
        <w:rPr>
          <w:color w:val="auto"/>
          <w:highlight w:val="none"/>
        </w:rPr>
      </w:pPr>
      <w:r>
        <w:rPr>
          <w:rFonts w:hAnsi="宋体"/>
          <w:color w:val="auto"/>
          <w:highlight w:val="none"/>
        </w:rPr>
        <w:t>姓名：；</w:t>
      </w:r>
    </w:p>
    <w:p w14:paraId="667A29A5">
      <w:pPr>
        <w:spacing w:line="360" w:lineRule="auto"/>
        <w:ind w:firstLine="420" w:firstLineChars="200"/>
        <w:rPr>
          <w:color w:val="auto"/>
          <w:highlight w:val="none"/>
        </w:rPr>
      </w:pPr>
      <w:r>
        <w:rPr>
          <w:rFonts w:hAnsi="宋体"/>
          <w:color w:val="auto"/>
          <w:highlight w:val="none"/>
        </w:rPr>
        <w:t>职务：；</w:t>
      </w:r>
    </w:p>
    <w:p w14:paraId="022BB2D1">
      <w:pPr>
        <w:spacing w:line="360" w:lineRule="auto"/>
        <w:ind w:firstLine="420" w:firstLineChars="200"/>
        <w:rPr>
          <w:rFonts w:hAnsi="宋体"/>
          <w:color w:val="auto"/>
          <w:highlight w:val="none"/>
        </w:rPr>
      </w:pPr>
      <w:r>
        <w:rPr>
          <w:rFonts w:hAnsi="宋体"/>
          <w:color w:val="auto"/>
          <w:highlight w:val="none"/>
        </w:rPr>
        <w:t>监理工程师注册证书号：；</w:t>
      </w:r>
    </w:p>
    <w:p w14:paraId="3BC057A4">
      <w:pPr>
        <w:spacing w:line="360" w:lineRule="auto"/>
        <w:ind w:firstLine="420" w:firstLineChars="200"/>
        <w:rPr>
          <w:color w:val="auto"/>
          <w:highlight w:val="none"/>
        </w:rPr>
      </w:pPr>
      <w:r>
        <w:rPr>
          <w:rFonts w:hAnsi="宋体"/>
          <w:color w:val="auto"/>
          <w:highlight w:val="none"/>
        </w:rPr>
        <w:t>联系电话：；</w:t>
      </w:r>
    </w:p>
    <w:p w14:paraId="7955F9DA">
      <w:pPr>
        <w:spacing w:line="360" w:lineRule="auto"/>
        <w:ind w:firstLine="420" w:firstLineChars="200"/>
        <w:rPr>
          <w:color w:val="auto"/>
          <w:highlight w:val="none"/>
        </w:rPr>
      </w:pPr>
      <w:r>
        <w:rPr>
          <w:rFonts w:hAnsi="宋体"/>
          <w:color w:val="auto"/>
          <w:highlight w:val="none"/>
        </w:rPr>
        <w:t>电子信箱：；</w:t>
      </w:r>
    </w:p>
    <w:p w14:paraId="135A792C">
      <w:pPr>
        <w:spacing w:line="360" w:lineRule="auto"/>
        <w:ind w:firstLine="420" w:firstLineChars="200"/>
        <w:rPr>
          <w:color w:val="auto"/>
          <w:highlight w:val="none"/>
        </w:rPr>
      </w:pPr>
      <w:r>
        <w:rPr>
          <w:rFonts w:hAnsi="宋体"/>
          <w:color w:val="auto"/>
          <w:highlight w:val="none"/>
        </w:rPr>
        <w:t>通信地址：；</w:t>
      </w:r>
    </w:p>
    <w:p w14:paraId="3E2D4C51">
      <w:pPr>
        <w:spacing w:line="360" w:lineRule="auto"/>
        <w:ind w:firstLine="420" w:firstLineChars="200"/>
        <w:rPr>
          <w:color w:val="auto"/>
          <w:highlight w:val="none"/>
        </w:rPr>
      </w:pPr>
      <w:r>
        <w:rPr>
          <w:rFonts w:hAnsi="宋体"/>
          <w:color w:val="auto"/>
          <w:highlight w:val="none"/>
        </w:rPr>
        <w:t>关于监理人的其他约定：</w:t>
      </w:r>
      <w:r>
        <w:rPr>
          <w:rFonts w:hint="eastAsia" w:ascii="Calibri" w:hAnsi="Calibri"/>
          <w:color w:val="auto"/>
          <w:highlight w:val="none"/>
          <w:u w:val="single"/>
        </w:rPr>
        <w:t>详见监理合同</w:t>
      </w:r>
      <w:r>
        <w:rPr>
          <w:rFonts w:hAnsi="宋体"/>
          <w:color w:val="auto"/>
          <w:highlight w:val="none"/>
        </w:rPr>
        <w:t>。</w:t>
      </w:r>
    </w:p>
    <w:p w14:paraId="335C803D">
      <w:pPr>
        <w:keepNext/>
        <w:keepLines/>
        <w:spacing w:line="600" w:lineRule="exact"/>
        <w:ind w:firstLine="643" w:firstLineChars="200"/>
        <w:outlineLvl w:val="2"/>
        <w:rPr>
          <w:b/>
          <w:bCs/>
          <w:color w:val="auto"/>
          <w:sz w:val="32"/>
          <w:szCs w:val="32"/>
          <w:highlight w:val="none"/>
        </w:rPr>
      </w:pPr>
      <w:bookmarkStart w:id="428" w:name="_Toc407135218"/>
      <w:bookmarkStart w:id="429" w:name="_Toc539923186"/>
      <w:bookmarkStart w:id="430" w:name="_Toc941562442"/>
      <w:bookmarkStart w:id="431" w:name="_Toc373478363"/>
      <w:bookmarkStart w:id="432" w:name="_Toc389065282"/>
      <w:bookmarkStart w:id="433" w:name="_Toc78449804"/>
      <w:bookmarkStart w:id="434" w:name="_Toc373227716"/>
      <w:r>
        <w:rPr>
          <w:b/>
          <w:bCs/>
          <w:color w:val="auto"/>
          <w:sz w:val="32"/>
          <w:szCs w:val="32"/>
          <w:highlight w:val="none"/>
        </w:rPr>
        <w:t xml:space="preserve">4.4 </w:t>
      </w:r>
      <w:r>
        <w:rPr>
          <w:rFonts w:hint="eastAsia" w:hAnsi="宋体" w:cs="黑体"/>
          <w:b/>
          <w:bCs/>
          <w:color w:val="auto"/>
          <w:sz w:val="32"/>
          <w:szCs w:val="32"/>
          <w:highlight w:val="none"/>
        </w:rPr>
        <w:t>商定或确定</w:t>
      </w:r>
      <w:bookmarkEnd w:id="428"/>
      <w:bookmarkEnd w:id="429"/>
      <w:bookmarkEnd w:id="430"/>
      <w:bookmarkEnd w:id="431"/>
      <w:bookmarkEnd w:id="432"/>
      <w:bookmarkEnd w:id="433"/>
      <w:bookmarkEnd w:id="434"/>
    </w:p>
    <w:p w14:paraId="6D97FC09">
      <w:pPr>
        <w:spacing w:line="360" w:lineRule="auto"/>
        <w:ind w:firstLine="420" w:firstLineChars="200"/>
        <w:rPr>
          <w:color w:val="auto"/>
          <w:highlight w:val="none"/>
        </w:rPr>
      </w:pPr>
      <w:bookmarkStart w:id="435" w:name="_Toc267251418"/>
      <w:r>
        <w:rPr>
          <w:rFonts w:hint="eastAsia" w:hAnsi="宋体" w:cs="宋体"/>
          <w:color w:val="auto"/>
          <w:highlight w:val="none"/>
        </w:rPr>
        <w:t>在发包人和承包人不能通过协商达成一致意见时，发包人授权监理人对以下事项进行确定：</w:t>
      </w:r>
    </w:p>
    <w:p w14:paraId="17EF4C97">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w:t>
      </w:r>
      <w:r>
        <w:rPr>
          <w:rFonts w:hint="eastAsia" w:ascii="Calibri" w:hAnsi="Calibri"/>
          <w:color w:val="auto"/>
          <w:highlight w:val="none"/>
          <w:u w:val="single"/>
        </w:rPr>
        <w:t>按通用合同条款4.4执行</w:t>
      </w:r>
      <w:r>
        <w:rPr>
          <w:rFonts w:hint="eastAsia" w:hAnsi="宋体" w:cs="宋体"/>
          <w:color w:val="auto"/>
          <w:highlight w:val="none"/>
        </w:rPr>
        <w:t>；</w:t>
      </w:r>
    </w:p>
    <w:p w14:paraId="4098D7B8">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w:t>
      </w:r>
      <w:r>
        <w:rPr>
          <w:rFonts w:hint="eastAsia" w:ascii="Calibri" w:hAnsi="Calibri"/>
          <w:color w:val="auto"/>
          <w:highlight w:val="none"/>
          <w:u w:val="single"/>
        </w:rPr>
        <w:t>无</w:t>
      </w:r>
      <w:r>
        <w:rPr>
          <w:rFonts w:hint="eastAsia" w:hAnsi="宋体" w:cs="宋体"/>
          <w:color w:val="auto"/>
          <w:highlight w:val="none"/>
        </w:rPr>
        <w:t>；</w:t>
      </w:r>
    </w:p>
    <w:p w14:paraId="4E6AD38F">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w:t>
      </w:r>
      <w:r>
        <w:rPr>
          <w:rFonts w:hint="eastAsia" w:ascii="Calibri" w:hAnsi="Calibri"/>
          <w:color w:val="auto"/>
          <w:highlight w:val="none"/>
          <w:u w:val="single"/>
        </w:rPr>
        <w:t>无</w:t>
      </w:r>
      <w:r>
        <w:rPr>
          <w:rFonts w:hint="eastAsia" w:hAnsi="宋体" w:cs="宋体"/>
          <w:color w:val="auto"/>
          <w:highlight w:val="none"/>
        </w:rPr>
        <w:t>。</w:t>
      </w:r>
    </w:p>
    <w:p w14:paraId="11634013">
      <w:pPr>
        <w:keepNext/>
        <w:keepLines/>
        <w:spacing w:before="260" w:after="260" w:line="413" w:lineRule="auto"/>
        <w:outlineLvl w:val="1"/>
        <w:rPr>
          <w:rFonts w:ascii="Arial" w:hAnsi="Arial" w:eastAsia="黑体"/>
          <w:b/>
          <w:bCs/>
          <w:color w:val="auto"/>
          <w:sz w:val="32"/>
          <w:szCs w:val="32"/>
          <w:highlight w:val="none"/>
        </w:rPr>
      </w:pPr>
      <w:bookmarkStart w:id="436" w:name="_Toc373227717"/>
      <w:bookmarkStart w:id="437" w:name="_Toc1603077308"/>
      <w:bookmarkStart w:id="438" w:name="_Toc351203637"/>
      <w:bookmarkStart w:id="439" w:name="_Toc78449805"/>
      <w:bookmarkStart w:id="440" w:name="_Toc1687297496"/>
      <w:bookmarkStart w:id="441" w:name="_Toc373478364"/>
      <w:bookmarkStart w:id="442" w:name="_Toc407135219"/>
      <w:bookmarkStart w:id="443" w:name="_Toc389065283"/>
      <w:r>
        <w:rPr>
          <w:rFonts w:ascii="Arial" w:hAnsi="Arial" w:eastAsia="黑体"/>
          <w:b/>
          <w:bCs/>
          <w:color w:val="auto"/>
          <w:sz w:val="32"/>
          <w:szCs w:val="32"/>
          <w:highlight w:val="none"/>
        </w:rPr>
        <w:t>5</w:t>
      </w:r>
      <w:bookmarkEnd w:id="435"/>
      <w:bookmarkStart w:id="444" w:name="_Toc296346664"/>
      <w:bookmarkStart w:id="445" w:name="_Toc296944502"/>
      <w:bookmarkStart w:id="446" w:name="_Toc292559367"/>
      <w:bookmarkStart w:id="447" w:name="_Toc296890991"/>
      <w:bookmarkStart w:id="448" w:name="_Toc297120463"/>
      <w:bookmarkStart w:id="449" w:name="_Toc296503163"/>
      <w:bookmarkStart w:id="450" w:name="_Toc296347162"/>
      <w:bookmarkStart w:id="451" w:name="_Toc296891203"/>
      <w:bookmarkStart w:id="452" w:name="_Toc297048349"/>
      <w:bookmarkStart w:id="453" w:name="_Toc292559872"/>
      <w:r>
        <w:rPr>
          <w:rFonts w:ascii="Arial" w:hAnsi="Arial" w:eastAsia="黑体"/>
          <w:b/>
          <w:bCs/>
          <w:color w:val="auto"/>
          <w:sz w:val="32"/>
          <w:szCs w:val="32"/>
          <w:highlight w:val="none"/>
        </w:rPr>
        <w:t xml:space="preserve">. </w:t>
      </w:r>
      <w:r>
        <w:rPr>
          <w:rFonts w:hint="eastAsia" w:ascii="Arial" w:hAnsi="宋体" w:eastAsia="黑体" w:cs="黑体"/>
          <w:b/>
          <w:bCs/>
          <w:color w:val="auto"/>
          <w:sz w:val="32"/>
          <w:szCs w:val="32"/>
          <w:highlight w:val="none"/>
        </w:rPr>
        <w:t>工程质量</w:t>
      </w:r>
      <w:bookmarkEnd w:id="436"/>
      <w:bookmarkEnd w:id="437"/>
      <w:bookmarkEnd w:id="438"/>
      <w:bookmarkEnd w:id="439"/>
      <w:bookmarkEnd w:id="440"/>
      <w:bookmarkEnd w:id="441"/>
      <w:bookmarkEnd w:id="442"/>
      <w:bookmarkEnd w:id="443"/>
    </w:p>
    <w:p w14:paraId="2661B927">
      <w:pPr>
        <w:keepNext/>
        <w:keepLines/>
        <w:spacing w:line="600" w:lineRule="exact"/>
        <w:ind w:firstLine="643" w:firstLineChars="200"/>
        <w:outlineLvl w:val="2"/>
        <w:rPr>
          <w:b/>
          <w:bCs/>
          <w:color w:val="auto"/>
          <w:sz w:val="32"/>
          <w:szCs w:val="32"/>
          <w:highlight w:val="none"/>
        </w:rPr>
      </w:pPr>
      <w:bookmarkStart w:id="454" w:name="_Toc407135220"/>
      <w:bookmarkStart w:id="455" w:name="_Toc373478365"/>
      <w:bookmarkStart w:id="456" w:name="_Toc78449806"/>
      <w:bookmarkStart w:id="457" w:name="_Toc1835421345"/>
      <w:bookmarkStart w:id="458" w:name="_Toc373227718"/>
      <w:bookmarkStart w:id="459" w:name="_Toc1952042622"/>
      <w:bookmarkStart w:id="460" w:name="_Toc389065284"/>
      <w:r>
        <w:rPr>
          <w:b/>
          <w:bCs/>
          <w:color w:val="auto"/>
          <w:sz w:val="32"/>
          <w:szCs w:val="32"/>
          <w:highlight w:val="none"/>
        </w:rPr>
        <w:t xml:space="preserve">5.1 </w:t>
      </w:r>
      <w:r>
        <w:rPr>
          <w:rFonts w:hint="eastAsia" w:hAnsi="宋体" w:cs="黑体"/>
          <w:b/>
          <w:bCs/>
          <w:color w:val="auto"/>
          <w:sz w:val="32"/>
          <w:szCs w:val="32"/>
          <w:highlight w:val="none"/>
        </w:rPr>
        <w:t>质量要求</w:t>
      </w:r>
      <w:bookmarkEnd w:id="454"/>
      <w:bookmarkEnd w:id="455"/>
      <w:bookmarkEnd w:id="456"/>
      <w:bookmarkEnd w:id="457"/>
      <w:bookmarkEnd w:id="458"/>
      <w:bookmarkEnd w:id="459"/>
      <w:bookmarkEnd w:id="460"/>
    </w:p>
    <w:p w14:paraId="703B8C88">
      <w:pPr>
        <w:spacing w:line="360" w:lineRule="auto"/>
        <w:ind w:firstLine="420" w:firstLineChars="200"/>
        <w:jc w:val="left"/>
        <w:rPr>
          <w:rFonts w:hAnsi="宋体" w:cs="宋体"/>
          <w:color w:val="auto"/>
          <w:highlight w:val="none"/>
        </w:rPr>
      </w:pPr>
      <w:r>
        <w:rPr>
          <w:color w:val="auto"/>
          <w:highlight w:val="none"/>
        </w:rPr>
        <w:t>5</w:t>
      </w:r>
      <w:bookmarkStart w:id="461" w:name="_Toc300934949"/>
      <w:bookmarkStart w:id="462" w:name="_Toc303539106"/>
      <w:bookmarkStart w:id="463" w:name="_Toc318581164"/>
      <w:bookmarkStart w:id="464" w:name="_Toc297216155"/>
      <w:bookmarkStart w:id="465" w:name="_Toc297123496"/>
      <w:bookmarkStart w:id="466" w:name="_Toc304295527"/>
      <w:bookmarkStart w:id="467" w:name="_Toc312677997"/>
      <w:r>
        <w:rPr>
          <w:color w:val="auto"/>
          <w:highlight w:val="none"/>
        </w:rPr>
        <w:t xml:space="preserve">.1.1 </w:t>
      </w:r>
      <w:r>
        <w:rPr>
          <w:rFonts w:hint="eastAsia" w:hAnsi="宋体" w:cs="宋体"/>
          <w:color w:val="auto"/>
          <w:highlight w:val="none"/>
        </w:rPr>
        <w:t>特殊质量标准和要求：</w:t>
      </w:r>
      <w:r>
        <w:rPr>
          <w:rFonts w:hint="eastAsia" w:ascii="Calibri" w:hAnsi="Calibri"/>
          <w:color w:val="auto"/>
          <w:highlight w:val="none"/>
          <w:u w:val="single"/>
        </w:rPr>
        <w:t>严格执行广西壮族自治区住房和城乡建设厅《关于严格实行房屋建筑和市政基础设施工程质量终身责任承诺、永久性质量责任标牌、终身责任信息档案等制度的通知》</w:t>
      </w:r>
      <w:r>
        <w:rPr>
          <w:rFonts w:hint="eastAsia" w:ascii="Calibri" w:hAnsi="Calibri"/>
          <w:color w:val="auto"/>
          <w:highlight w:val="none"/>
          <w:u w:val="single"/>
          <w:lang w:eastAsia="zh-CN"/>
        </w:rPr>
        <w:t>（</w:t>
      </w:r>
      <w:r>
        <w:rPr>
          <w:rFonts w:hint="eastAsia" w:ascii="Calibri" w:hAnsi="Calibri"/>
          <w:color w:val="auto"/>
          <w:highlight w:val="none"/>
          <w:u w:val="single"/>
        </w:rPr>
        <w:t>桂建管[2014]96号</w:t>
      </w:r>
      <w:r>
        <w:rPr>
          <w:rFonts w:hint="eastAsia" w:ascii="Calibri" w:hAnsi="Calibri"/>
          <w:color w:val="auto"/>
          <w:highlight w:val="none"/>
          <w:u w:val="single"/>
          <w:lang w:eastAsia="zh-CN"/>
        </w:rPr>
        <w:t>）</w:t>
      </w:r>
      <w:r>
        <w:rPr>
          <w:rFonts w:hint="eastAsia" w:ascii="Calibri" w:hAnsi="Calibri"/>
          <w:color w:val="auto"/>
          <w:highlight w:val="none"/>
          <w:u w:val="single"/>
        </w:rPr>
        <w:t>和南宁市城乡建设委员会《关于落实建设工程质量终身责任，加强工程质量管理的通知》（南建质安[2014]155号）要求，落实建设工程质量终身责任</w:t>
      </w:r>
      <w:r>
        <w:rPr>
          <w:rFonts w:hint="eastAsia" w:hAnsi="宋体" w:cs="宋体"/>
          <w:color w:val="auto"/>
          <w:highlight w:val="none"/>
        </w:rPr>
        <w:t>。</w:t>
      </w:r>
    </w:p>
    <w:p w14:paraId="27AD319E">
      <w:pPr>
        <w:spacing w:line="360" w:lineRule="auto"/>
        <w:ind w:firstLine="420" w:firstLineChars="200"/>
        <w:jc w:val="left"/>
        <w:rPr>
          <w:rFonts w:ascii="Calibri" w:hAnsi="宋体"/>
          <w:color w:val="auto"/>
          <w:highlight w:val="none"/>
        </w:rPr>
      </w:pPr>
      <w:r>
        <w:rPr>
          <w:rFonts w:hint="eastAsia" w:hAnsi="宋体" w:cs="宋体"/>
          <w:color w:val="auto"/>
          <w:highlight w:val="none"/>
        </w:rPr>
        <w:t>关于工程奖项的约定：无，</w:t>
      </w:r>
      <w:r>
        <w:rPr>
          <w:rFonts w:hint="eastAsia"/>
          <w:color w:val="auto"/>
          <w:highlight w:val="none"/>
        </w:rPr>
        <w:t>如果</w:t>
      </w:r>
      <w:r>
        <w:rPr>
          <w:color w:val="auto"/>
          <w:highlight w:val="none"/>
        </w:rPr>
        <w:t>工程获得</w:t>
      </w:r>
      <w:r>
        <w:rPr>
          <w:rFonts w:hint="eastAsia"/>
          <w:color w:val="auto"/>
          <w:highlight w:val="none"/>
          <w:u w:val="single"/>
        </w:rPr>
        <w:t>无（奖项名称）</w:t>
      </w:r>
      <w:r>
        <w:rPr>
          <w:rFonts w:hint="eastAsia"/>
          <w:color w:val="auto"/>
          <w:highlight w:val="none"/>
        </w:rPr>
        <w:t>，</w:t>
      </w:r>
      <w:r>
        <w:rPr>
          <w:color w:val="auto"/>
          <w:highlight w:val="none"/>
        </w:rPr>
        <w:t>给予</w:t>
      </w:r>
      <w:r>
        <w:rPr>
          <w:rFonts w:hint="eastAsia"/>
          <w:color w:val="auto"/>
          <w:highlight w:val="none"/>
        </w:rPr>
        <w:t>承包人</w:t>
      </w:r>
      <w:r>
        <w:rPr>
          <w:color w:val="auto"/>
          <w:highlight w:val="none"/>
        </w:rPr>
        <w:t>合同价</w:t>
      </w:r>
      <w:r>
        <w:rPr>
          <w:rFonts w:hint="eastAsia"/>
          <w:color w:val="auto"/>
          <w:highlight w:val="none"/>
          <w:u w:val="single"/>
        </w:rPr>
        <w:t>无</w:t>
      </w:r>
      <w:r>
        <w:rPr>
          <w:color w:val="auto"/>
          <w:highlight w:val="none"/>
        </w:rPr>
        <w:t>%的</w:t>
      </w:r>
      <w:r>
        <w:rPr>
          <w:rFonts w:hint="eastAsia" w:ascii="Calibri" w:hAnsi="宋体"/>
          <w:color w:val="auto"/>
          <w:highlight w:val="none"/>
        </w:rPr>
        <w:t>奖励。（建设单位创建优质工程的，鼓励在招标控制价和预算中按我区工程建设定额规定计列工程优质费，并在招标文件中明确工程优质费不可竞争。）</w:t>
      </w:r>
    </w:p>
    <w:p w14:paraId="5851158E">
      <w:pPr>
        <w:spacing w:line="360" w:lineRule="auto"/>
        <w:ind w:firstLine="420" w:firstLineChars="200"/>
        <w:jc w:val="left"/>
        <w:rPr>
          <w:rFonts w:ascii="Calibri" w:hAnsi="宋体"/>
          <w:color w:val="auto"/>
          <w:highlight w:val="none"/>
        </w:rPr>
      </w:pPr>
      <w:r>
        <w:rPr>
          <w:rFonts w:hint="eastAsia" w:ascii="Calibri" w:hAnsi="宋体"/>
          <w:color w:val="auto"/>
          <w:highlight w:val="none"/>
        </w:rPr>
        <w:t>根据《研究市政工程质量提升工作专题会议纪要（市人民政府工作专题会议纪要【2019】69号）》文件精神，政府投资工程的工程质量等级最低应为市优工程。</w:t>
      </w:r>
    </w:p>
    <w:p w14:paraId="0AD7CF49">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5.2质量保证措施</w:t>
      </w:r>
    </w:p>
    <w:p w14:paraId="41654C0A">
      <w:pPr>
        <w:tabs>
          <w:tab w:val="left" w:pos="4036"/>
        </w:tabs>
        <w:autoSpaceDE w:val="0"/>
        <w:autoSpaceDN w:val="0"/>
        <w:spacing w:line="360" w:lineRule="auto"/>
        <w:ind w:firstLine="420" w:firstLineChars="200"/>
        <w:jc w:val="left"/>
        <w:rPr>
          <w:rFonts w:hint="eastAsia" w:ascii="宋体" w:hAnsi="宋体" w:eastAsia="宋体" w:cs="宋体"/>
          <w:color w:val="auto"/>
          <w:highlight w:val="none"/>
        </w:rPr>
      </w:pPr>
      <w:r>
        <w:rPr>
          <w:rFonts w:hint="eastAsia" w:ascii="Calibri" w:hAnsi="宋体" w:eastAsia="宋体" w:cs="Times New Roman"/>
          <w:color w:val="auto"/>
          <w:highlight w:val="none"/>
        </w:rPr>
        <w:t>5.2.1</w:t>
      </w:r>
      <w:r>
        <w:rPr>
          <w:rFonts w:hint="eastAsia" w:ascii="宋体" w:hAnsi="宋体" w:eastAsia="宋体" w:cs="宋体"/>
          <w:color w:val="auto"/>
          <w:highlight w:val="none"/>
        </w:rPr>
        <w:t>发包人对施工当中因承包人管理不善造成的严重质量问题可进行处罚，处罚如下：</w:t>
      </w:r>
    </w:p>
    <w:p w14:paraId="3203DCD2">
      <w:pPr>
        <w:tabs>
          <w:tab w:val="left" w:pos="4036"/>
        </w:tabs>
        <w:autoSpaceDE w:val="0"/>
        <w:autoSpaceDN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①工程质量发生一般事故</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经济损失5</w:t>
      </w:r>
      <w:r>
        <w:rPr>
          <w:rFonts w:hint="eastAsia" w:ascii="宋体" w:hAnsi="宋体" w:eastAsia="宋体" w:cs="宋体"/>
          <w:color w:val="auto"/>
          <w:highlight w:val="none"/>
          <w:lang w:val="en-US" w:eastAsia="zh-CN"/>
        </w:rPr>
        <w:t>万</w:t>
      </w:r>
      <w:r>
        <w:rPr>
          <w:rFonts w:hint="eastAsia" w:ascii="宋体" w:hAnsi="宋体" w:eastAsia="宋体" w:cs="宋体"/>
          <w:color w:val="auto"/>
          <w:highlight w:val="none"/>
        </w:rPr>
        <w:t>元以下</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对承包人处以2000-5000元罚款。</w:t>
      </w:r>
    </w:p>
    <w:p w14:paraId="63746620">
      <w:pPr>
        <w:tabs>
          <w:tab w:val="left" w:pos="4036"/>
        </w:tabs>
        <w:autoSpaceDE w:val="0"/>
        <w:autoSpaceDN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②工程质量发生严重事故的</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经济损失5-10万元</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对承包人处以10000-50000元的罚款。</w:t>
      </w:r>
    </w:p>
    <w:p w14:paraId="6B34C3E9">
      <w:pPr>
        <w:tabs>
          <w:tab w:val="left" w:pos="4036"/>
        </w:tabs>
        <w:autoSpaceDE w:val="0"/>
        <w:autoSpaceDN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③工程如发生重大质量事故</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经济损失10万元以上</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对承包人处以5-10万元的罚款，并追究相关责任人的法律责任。</w:t>
      </w:r>
    </w:p>
    <w:p w14:paraId="26B57B0A">
      <w:pPr>
        <w:tabs>
          <w:tab w:val="left" w:pos="4036"/>
        </w:tabs>
        <w:autoSpaceDE w:val="0"/>
        <w:autoSpaceDN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④对质量事故隐瞒不报或拖延不报者，一经查处，对直接责任人处以5000元罚款。</w:t>
      </w:r>
    </w:p>
    <w:p w14:paraId="2FFD470A">
      <w:pPr>
        <w:tabs>
          <w:tab w:val="left" w:pos="4036"/>
        </w:tabs>
        <w:autoSpaceDE w:val="0"/>
        <w:autoSpaceDN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处罚累计超过三起，发包人有权要求更换承包人的项目质量负责人，累计超过五起，发包人有权要求承包人更换项目经理。</w:t>
      </w:r>
    </w:p>
    <w:p w14:paraId="6F0FA497">
      <w:pPr>
        <w:spacing w:line="360" w:lineRule="auto"/>
        <w:ind w:firstLine="420" w:firstLineChars="200"/>
        <w:jc w:val="left"/>
        <w:rPr>
          <w:rFonts w:ascii="Calibri" w:hAnsi="宋体"/>
          <w:color w:val="auto"/>
          <w:highlight w:val="none"/>
        </w:rPr>
      </w:pPr>
      <w:r>
        <w:rPr>
          <w:rFonts w:hint="eastAsia" w:ascii="Calibri" w:hAnsi="宋体"/>
          <w:color w:val="auto"/>
          <w:highlight w:val="none"/>
        </w:rPr>
        <w:t>5.2.2承包人须在发包人开出罚款通知书即日起七个工作日内，到发包人的财务部门缴纳相应的罚款，若逾期未缴纳罚款，发包人有权停止拨付当月或下月的工程进度款，所造成的责任由承包人承担。</w:t>
      </w:r>
    </w:p>
    <w:p w14:paraId="609FB5D3">
      <w:pPr>
        <w:spacing w:line="360" w:lineRule="auto"/>
        <w:ind w:firstLine="420" w:firstLineChars="200"/>
        <w:jc w:val="left"/>
        <w:rPr>
          <w:rFonts w:ascii="Calibri" w:hAnsi="宋体"/>
          <w:color w:val="auto"/>
          <w:highlight w:val="none"/>
        </w:rPr>
      </w:pPr>
      <w:r>
        <w:rPr>
          <w:rFonts w:hint="eastAsia" w:ascii="Calibri" w:hAnsi="宋体"/>
          <w:color w:val="auto"/>
          <w:highlight w:val="none"/>
        </w:rPr>
        <w:t>5.2.3在施工过程中，如本道工序存在质量、安全隐患，承包人未按发包人、监理人要求整改就擅自进入下道工序施工的，发包人有权视情况扣罚施工单位每处</w:t>
      </w:r>
      <w:r>
        <w:rPr>
          <w:rFonts w:hint="eastAsia"/>
          <w:color w:val="auto"/>
          <w:highlight w:val="none"/>
        </w:rPr>
        <w:t>2000-10000</w:t>
      </w:r>
      <w:r>
        <w:rPr>
          <w:rFonts w:hint="eastAsia" w:ascii="Calibri" w:hAnsi="宋体"/>
          <w:color w:val="auto"/>
          <w:highlight w:val="none"/>
        </w:rPr>
        <w:t>元。同时责令返工。</w:t>
      </w:r>
    </w:p>
    <w:p w14:paraId="334EC38D">
      <w:pPr>
        <w:spacing w:line="360" w:lineRule="auto"/>
        <w:ind w:firstLine="420" w:firstLineChars="200"/>
        <w:jc w:val="left"/>
        <w:rPr>
          <w:rFonts w:ascii="Calibri" w:hAnsi="宋体"/>
          <w:color w:val="auto"/>
          <w:highlight w:val="none"/>
        </w:rPr>
      </w:pPr>
      <w:r>
        <w:rPr>
          <w:rFonts w:hint="eastAsia" w:ascii="Calibri" w:hAnsi="宋体"/>
          <w:color w:val="auto"/>
          <w:highlight w:val="none"/>
        </w:rPr>
        <w:t>5.2.4分部工程质量验收时,若工程质量不合格，发包人可视其情节轻重，每处每次处以承包人不少于</w:t>
      </w:r>
      <w:r>
        <w:rPr>
          <w:rFonts w:hint="eastAsia" w:hAnsi="宋体"/>
          <w:color w:val="auto"/>
          <w:szCs w:val="21"/>
          <w:highlight w:val="none"/>
          <w:u w:val="single"/>
        </w:rPr>
        <w:t>10000</w:t>
      </w:r>
      <w:r>
        <w:rPr>
          <w:rFonts w:hint="eastAsia" w:ascii="Calibri" w:hAnsi="宋体"/>
          <w:color w:val="auto"/>
          <w:highlight w:val="none"/>
        </w:rPr>
        <w:t>元的违约处理金，且工程质量必须无条件返工达到合格要求。对违反相关安全生产规范要求、相关建筑质量规范要求的情况，发包人及监理单位除有权要求承包人整改返工外还可以视情节严重程度，每次处</w:t>
      </w:r>
      <w:r>
        <w:rPr>
          <w:rFonts w:hint="eastAsia"/>
          <w:color w:val="auto"/>
          <w:highlight w:val="none"/>
        </w:rPr>
        <w:t>5000-10000</w:t>
      </w:r>
      <w:r>
        <w:rPr>
          <w:rFonts w:hint="eastAsia" w:ascii="Calibri" w:hAnsi="宋体"/>
          <w:color w:val="auto"/>
          <w:highlight w:val="none"/>
        </w:rPr>
        <w:t>元的经济处罚。</w:t>
      </w:r>
    </w:p>
    <w:p w14:paraId="01AC35EC">
      <w:pPr>
        <w:spacing w:line="360" w:lineRule="auto"/>
        <w:ind w:firstLine="420" w:firstLineChars="200"/>
        <w:jc w:val="left"/>
        <w:rPr>
          <w:rFonts w:ascii="Calibri" w:hAnsi="宋体"/>
          <w:color w:val="auto"/>
          <w:highlight w:val="none"/>
        </w:rPr>
      </w:pPr>
      <w:r>
        <w:rPr>
          <w:rFonts w:hint="eastAsia" w:ascii="Calibri" w:hAnsi="宋体"/>
          <w:color w:val="auto"/>
          <w:highlight w:val="none"/>
        </w:rPr>
        <w:t>5.2.5承包人施工的工程内容全部竣工后，工程质量正式验收时,工程整体质量若达不到合格标准，发包人视其情节轻重处以承包人不低于</w:t>
      </w:r>
      <w:r>
        <w:rPr>
          <w:rFonts w:hint="eastAsia" w:hAnsi="宋体"/>
          <w:color w:val="auto"/>
          <w:szCs w:val="21"/>
          <w:highlight w:val="none"/>
          <w:u w:val="single"/>
        </w:rPr>
        <w:t>10000</w:t>
      </w:r>
      <w:r>
        <w:rPr>
          <w:rFonts w:hint="eastAsia" w:ascii="Calibri" w:hAnsi="宋体"/>
          <w:color w:val="auto"/>
          <w:highlight w:val="none"/>
        </w:rPr>
        <w:t>元的工程质量违约处理金，同时承包人必须无条件全部返工达到合格要求。</w:t>
      </w:r>
    </w:p>
    <w:p w14:paraId="4BAFC44A">
      <w:pPr>
        <w:spacing w:line="360" w:lineRule="auto"/>
        <w:ind w:firstLine="420" w:firstLineChars="200"/>
        <w:jc w:val="left"/>
        <w:rPr>
          <w:rFonts w:ascii="Calibri" w:hAnsi="宋体"/>
          <w:color w:val="auto"/>
          <w:highlight w:val="none"/>
        </w:rPr>
      </w:pPr>
      <w:r>
        <w:rPr>
          <w:rFonts w:hint="eastAsia" w:ascii="Calibri" w:hAnsi="宋体"/>
          <w:color w:val="auto"/>
          <w:highlight w:val="none"/>
        </w:rPr>
        <w:t>5.2.6发包人和监理单位在工程实施过程中，可以随时对承包人已使用和未使用的工程材料进行抽检，若发现有不合符设计和规范及合同要求的不合格产品，承包人必须对不合格部分工程进行返工至合格为止，并将不合格的材料清出施工现场，否则，发包人按已使用的不合格材料价值的</w:t>
      </w:r>
      <w:r>
        <w:rPr>
          <w:rFonts w:hint="eastAsia" w:ascii="Calibri" w:hAnsi="宋体"/>
          <w:color w:val="auto"/>
          <w:highlight w:val="none"/>
          <w:u w:val="single"/>
        </w:rPr>
        <w:t xml:space="preserve"> 5%</w:t>
      </w:r>
      <w:r>
        <w:rPr>
          <w:rFonts w:hint="eastAsia" w:ascii="Calibri" w:hAnsi="宋体"/>
          <w:color w:val="auto"/>
          <w:highlight w:val="none"/>
        </w:rPr>
        <w:t>处以承包人违约处理金，承包人承担由此引起的一切经济损失（包括全部返工在内）。</w:t>
      </w:r>
    </w:p>
    <w:p w14:paraId="6B6C04AB">
      <w:pPr>
        <w:spacing w:line="360" w:lineRule="auto"/>
        <w:ind w:firstLine="420" w:firstLineChars="200"/>
        <w:jc w:val="left"/>
        <w:rPr>
          <w:rFonts w:ascii="Calibri" w:hAnsi="宋体"/>
          <w:color w:val="auto"/>
          <w:highlight w:val="none"/>
        </w:rPr>
      </w:pPr>
      <w:r>
        <w:rPr>
          <w:rFonts w:hint="eastAsia" w:ascii="Calibri" w:hAnsi="宋体"/>
          <w:color w:val="auto"/>
          <w:highlight w:val="none"/>
        </w:rPr>
        <w:t>5.2.7发包人在施工过程中的日常工程质量检查，检查发现的工程质量存在不合格时，在发包人或监理发出2次整改通知书后，承包人仍未在规定的时间内整改达到合格要求，则发包人可视其情节轻重，每次处以承包人不少于</w:t>
      </w:r>
      <w:r>
        <w:rPr>
          <w:rFonts w:hint="eastAsia" w:ascii="Calibri" w:hAnsi="宋体"/>
          <w:color w:val="auto"/>
          <w:highlight w:val="none"/>
          <w:u w:val="single"/>
        </w:rPr>
        <w:t>8000</w:t>
      </w:r>
      <w:r>
        <w:rPr>
          <w:rFonts w:hint="eastAsia" w:ascii="Calibri" w:hAnsi="宋体"/>
          <w:color w:val="auto"/>
          <w:highlight w:val="none"/>
        </w:rPr>
        <w:t>元的违约处理金，且工程质量必须无条件返工达到合格要求。</w:t>
      </w:r>
    </w:p>
    <w:p w14:paraId="22AB658D">
      <w:pPr>
        <w:spacing w:line="360" w:lineRule="auto"/>
        <w:ind w:firstLine="420" w:firstLineChars="200"/>
        <w:jc w:val="left"/>
        <w:rPr>
          <w:rFonts w:ascii="Calibri" w:hAnsi="宋体"/>
          <w:color w:val="auto"/>
          <w:highlight w:val="none"/>
        </w:rPr>
      </w:pPr>
      <w:r>
        <w:rPr>
          <w:rFonts w:hint="eastAsia" w:ascii="Calibri" w:hAnsi="宋体"/>
          <w:color w:val="auto"/>
          <w:highlight w:val="none"/>
        </w:rPr>
        <w:t>5.2.8承包人若在施工过程中未严格按国家施工规范和操作规程要求进行施工，或者承包人擅自实施未经监理单位及发包人同意的施工方案, 发包人或监理单位在发出</w:t>
      </w:r>
      <w:r>
        <w:rPr>
          <w:rFonts w:ascii="Calibri" w:hAnsi="宋体"/>
          <w:color w:val="auto"/>
          <w:highlight w:val="none"/>
        </w:rPr>
        <w:t>1</w:t>
      </w:r>
      <w:r>
        <w:rPr>
          <w:rFonts w:hint="eastAsia" w:ascii="Calibri" w:hAnsi="宋体"/>
          <w:color w:val="auto"/>
          <w:highlight w:val="none"/>
        </w:rPr>
        <w:t>次整改通知书后，承包人仍未整改，发包人将视其情节轻重，处以承包人每次或每处不少于</w:t>
      </w:r>
      <w:r>
        <w:rPr>
          <w:rFonts w:hint="eastAsia"/>
          <w:color w:val="auto"/>
          <w:highlight w:val="none"/>
        </w:rPr>
        <w:t>10000</w:t>
      </w:r>
      <w:r>
        <w:rPr>
          <w:rFonts w:hint="eastAsia" w:ascii="Calibri" w:hAnsi="宋体"/>
          <w:color w:val="auto"/>
          <w:highlight w:val="none"/>
        </w:rPr>
        <w:t>元的违约处理金。</w:t>
      </w:r>
    </w:p>
    <w:p w14:paraId="2689BABF">
      <w:pPr>
        <w:spacing w:line="360" w:lineRule="auto"/>
        <w:ind w:firstLine="420" w:firstLineChars="200"/>
        <w:jc w:val="left"/>
        <w:rPr>
          <w:rFonts w:ascii="Calibri" w:hAnsi="宋体"/>
          <w:color w:val="auto"/>
          <w:highlight w:val="none"/>
        </w:rPr>
      </w:pPr>
      <w:r>
        <w:rPr>
          <w:rFonts w:hint="eastAsia" w:ascii="Calibri" w:hAnsi="宋体"/>
          <w:color w:val="auto"/>
          <w:highlight w:val="none"/>
        </w:rPr>
        <w:t>5.2.9经行业主管部门及项目业主予以通报或处罚的，处以</w:t>
      </w:r>
      <w:r>
        <w:rPr>
          <w:rFonts w:hint="eastAsia"/>
          <w:color w:val="auto"/>
          <w:highlight w:val="none"/>
        </w:rPr>
        <w:t>50000元</w:t>
      </w:r>
      <w:r>
        <w:rPr>
          <w:rFonts w:hint="eastAsia" w:ascii="Calibri" w:hAnsi="宋体"/>
          <w:color w:val="auto"/>
          <w:highlight w:val="none"/>
        </w:rPr>
        <w:t>/次罚款。承包人因施工进度慢、质量管理差受到行政监管部门约谈的，发包人可处</w:t>
      </w:r>
      <w:r>
        <w:rPr>
          <w:rFonts w:hint="eastAsia"/>
          <w:color w:val="auto"/>
          <w:highlight w:val="none"/>
        </w:rPr>
        <w:t>50000</w:t>
      </w:r>
      <w:r>
        <w:rPr>
          <w:rFonts w:hint="eastAsia" w:ascii="Calibri" w:hAnsi="宋体"/>
          <w:color w:val="auto"/>
          <w:highlight w:val="none"/>
        </w:rPr>
        <w:t>元/次经济处罚。</w:t>
      </w:r>
    </w:p>
    <w:p w14:paraId="7C9F338A">
      <w:pPr>
        <w:spacing w:line="360" w:lineRule="auto"/>
        <w:ind w:firstLine="420" w:firstLineChars="200"/>
        <w:jc w:val="left"/>
        <w:rPr>
          <w:color w:val="auto"/>
          <w:highlight w:val="none"/>
        </w:rPr>
      </w:pPr>
      <w:r>
        <w:rPr>
          <w:rFonts w:hint="eastAsia" w:ascii="Calibri" w:hAnsi="宋体"/>
          <w:color w:val="auto"/>
          <w:highlight w:val="none"/>
        </w:rPr>
        <w:t>5.2.10经社会媒体曝光及市民投诉的予以证实后处以</w:t>
      </w:r>
      <w:r>
        <w:rPr>
          <w:rFonts w:hint="eastAsia"/>
          <w:color w:val="auto"/>
          <w:highlight w:val="none"/>
        </w:rPr>
        <w:t>10000</w:t>
      </w:r>
      <w:r>
        <w:rPr>
          <w:rFonts w:hint="eastAsia" w:ascii="Calibri" w:hAnsi="宋体"/>
          <w:color w:val="auto"/>
          <w:highlight w:val="none"/>
        </w:rPr>
        <w:t>元/次罚款。相应罚款在当期进度款中予以扣除</w:t>
      </w:r>
    </w:p>
    <w:p w14:paraId="6A670323">
      <w:pPr>
        <w:spacing w:line="360" w:lineRule="auto"/>
        <w:ind w:firstLine="420" w:firstLineChars="200"/>
        <w:jc w:val="left"/>
        <w:rPr>
          <w:color w:val="auto"/>
          <w:highlight w:val="none"/>
        </w:rPr>
      </w:pPr>
      <w:r>
        <w:rPr>
          <w:color w:val="auto"/>
          <w:highlight w:val="none"/>
        </w:rPr>
        <w:t xml:space="preserve">5.3 </w:t>
      </w:r>
      <w:r>
        <w:rPr>
          <w:rFonts w:hint="eastAsia" w:hAnsi="宋体" w:cs="宋体"/>
          <w:color w:val="auto"/>
          <w:highlight w:val="none"/>
        </w:rPr>
        <w:t>隐蔽工程检查</w:t>
      </w:r>
    </w:p>
    <w:p w14:paraId="1C800C69">
      <w:pPr>
        <w:spacing w:line="360" w:lineRule="auto"/>
        <w:ind w:firstLine="420" w:firstLineChars="200"/>
        <w:jc w:val="left"/>
        <w:rPr>
          <w:rFonts w:ascii="Calibri" w:hAnsi="宋体"/>
          <w:color w:val="auto"/>
          <w:highlight w:val="none"/>
        </w:rPr>
      </w:pPr>
      <w:r>
        <w:rPr>
          <w:rFonts w:hint="eastAsia" w:ascii="Calibri" w:hAnsi="宋体"/>
          <w:color w:val="auto"/>
          <w:highlight w:val="none"/>
        </w:rPr>
        <w:t>5.3.2承包人提前通知监理人隐蔽工程检查的期限的约定：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3BB5E04F">
      <w:pPr>
        <w:spacing w:line="360" w:lineRule="auto"/>
        <w:ind w:firstLine="420" w:firstLineChars="200"/>
        <w:jc w:val="left"/>
        <w:rPr>
          <w:rFonts w:ascii="Calibri" w:hAnsi="宋体"/>
          <w:color w:val="auto"/>
          <w:highlight w:val="none"/>
        </w:rPr>
      </w:pPr>
      <w:r>
        <w:rPr>
          <w:rFonts w:hint="eastAsia" w:ascii="Calibri" w:hAnsi="宋体"/>
          <w:color w:val="auto"/>
          <w:highlight w:val="none"/>
        </w:rPr>
        <w:t>5.3.3工程师应在承包人约定时间到达现场进行隐蔽中间验收工作（不得以任何理由改期），如果在约定时间超过两小时内工程师未到现场（有发包方现场代表证明），承包人可自行隐蔽继续施工，后果由工程师承担。但在约定时间承包人未到现场及超过约定时间两小时，工程师可另订时间验收，承包人不得有异议且承担由此引发的责任。</w:t>
      </w:r>
    </w:p>
    <w:p w14:paraId="21A1F198">
      <w:pPr>
        <w:spacing w:line="360" w:lineRule="auto"/>
        <w:ind w:firstLine="420" w:firstLineChars="200"/>
        <w:jc w:val="left"/>
        <w:rPr>
          <w:rFonts w:ascii="Calibri" w:hAnsi="宋体"/>
          <w:color w:val="auto"/>
          <w:highlight w:val="none"/>
        </w:rPr>
      </w:pPr>
      <w:r>
        <w:rPr>
          <w:rFonts w:hint="eastAsia" w:ascii="Calibri" w:hAnsi="宋体"/>
          <w:color w:val="auto"/>
          <w:highlight w:val="none"/>
        </w:rPr>
        <w:t>5.3.4承包人必须存有完整的隐蔽工程验收资料，其中不限包含工程照片、签好字的签证或现场收方单等资料，并及时更新提交发包人一份存档。如该隐蔽工程资料不齐全或者发现资料造假的，不给予计量。如经抽查发现隐蔽工程质量不合格，每处处以</w:t>
      </w:r>
      <w:r>
        <w:rPr>
          <w:rFonts w:hint="eastAsia"/>
          <w:color w:val="auto"/>
          <w:highlight w:val="none"/>
        </w:rPr>
        <w:t>5000</w:t>
      </w:r>
      <w:r>
        <w:rPr>
          <w:rFonts w:hint="eastAsia" w:ascii="Calibri" w:hAnsi="宋体"/>
          <w:color w:val="auto"/>
          <w:highlight w:val="none"/>
        </w:rPr>
        <w:t>元违约金，并限期由承包人自费返工直至合格。</w:t>
      </w:r>
    </w:p>
    <w:p w14:paraId="0A1D1079">
      <w:pPr>
        <w:spacing w:line="360" w:lineRule="auto"/>
        <w:ind w:firstLine="420" w:firstLineChars="200"/>
        <w:jc w:val="left"/>
        <w:rPr>
          <w:rFonts w:ascii="Calibri" w:hAnsi="宋体"/>
          <w:color w:val="auto"/>
          <w:highlight w:val="none"/>
        </w:rPr>
      </w:pPr>
      <w:r>
        <w:rPr>
          <w:rFonts w:hint="eastAsia" w:ascii="Calibri" w:hAnsi="宋体"/>
          <w:color w:val="auto"/>
          <w:highlight w:val="none"/>
        </w:rPr>
        <w:t>5.3.5在工程建设过程中，发包人或监理人将不定期组织对承包人的质量管理进行检查，对未按合同要求执行和现场存在质量隐患问题等情况下达整改通知单，承包人未在指定期限内完成整改的，视为承包违约，发包人有权视情况按</w:t>
      </w:r>
      <w:r>
        <w:rPr>
          <w:rFonts w:hint="eastAsia"/>
          <w:color w:val="auto"/>
          <w:highlight w:val="none"/>
        </w:rPr>
        <w:t>5000-20000</w:t>
      </w:r>
      <w:r>
        <w:rPr>
          <w:rFonts w:hint="eastAsia" w:ascii="Calibri" w:hAnsi="宋体"/>
          <w:color w:val="auto"/>
          <w:highlight w:val="none"/>
        </w:rPr>
        <w:t>元/次处罚，且暂不支付进度款。</w:t>
      </w:r>
    </w:p>
    <w:p w14:paraId="5E96D6E0">
      <w:pPr>
        <w:spacing w:line="360" w:lineRule="auto"/>
        <w:ind w:firstLine="420" w:firstLineChars="200"/>
        <w:jc w:val="left"/>
        <w:rPr>
          <w:color w:val="auto"/>
          <w:highlight w:val="none"/>
        </w:rPr>
      </w:pPr>
      <w:r>
        <w:rPr>
          <w:rFonts w:hint="eastAsia" w:hAnsi="宋体" w:cs="宋体"/>
          <w:color w:val="auto"/>
          <w:highlight w:val="none"/>
        </w:rPr>
        <w:t>监理人不能按时进行检查时，应提前</w:t>
      </w:r>
      <w:r>
        <w:rPr>
          <w:rFonts w:hint="eastAsia"/>
          <w:color w:val="auto"/>
          <w:highlight w:val="none"/>
          <w:u w:val="single"/>
        </w:rPr>
        <w:t>24</w:t>
      </w:r>
      <w:r>
        <w:rPr>
          <w:rFonts w:hint="eastAsia" w:hAnsi="宋体" w:cs="宋体"/>
          <w:color w:val="auto"/>
          <w:highlight w:val="none"/>
        </w:rPr>
        <w:t>小时提交书面延期要求。</w:t>
      </w:r>
    </w:p>
    <w:p w14:paraId="1E596E45">
      <w:pPr>
        <w:spacing w:line="360" w:lineRule="auto"/>
        <w:ind w:firstLine="420" w:firstLineChars="200"/>
        <w:jc w:val="left"/>
        <w:rPr>
          <w:color w:val="auto"/>
          <w:highlight w:val="none"/>
        </w:rPr>
      </w:pPr>
      <w:r>
        <w:rPr>
          <w:rFonts w:hint="eastAsia" w:hAnsi="宋体" w:cs="宋体"/>
          <w:color w:val="auto"/>
          <w:highlight w:val="none"/>
        </w:rPr>
        <w:t>关于延期最长不得超过：</w:t>
      </w:r>
      <w:r>
        <w:rPr>
          <w:rFonts w:hint="eastAsia"/>
          <w:color w:val="auto"/>
          <w:highlight w:val="none"/>
          <w:u w:val="single"/>
        </w:rPr>
        <w:t>48</w:t>
      </w:r>
      <w:r>
        <w:rPr>
          <w:rFonts w:hint="eastAsia" w:hAnsi="宋体" w:cs="宋体"/>
          <w:color w:val="auto"/>
          <w:highlight w:val="none"/>
        </w:rPr>
        <w:t>小时。</w:t>
      </w:r>
    </w:p>
    <w:p w14:paraId="5D1D1DF2">
      <w:pPr>
        <w:keepNext/>
        <w:keepLines/>
        <w:spacing w:before="260" w:after="260" w:line="413" w:lineRule="auto"/>
        <w:outlineLvl w:val="1"/>
        <w:rPr>
          <w:rFonts w:ascii="Arial" w:hAnsi="Arial" w:eastAsia="黑体"/>
          <w:b/>
          <w:bCs/>
          <w:color w:val="auto"/>
          <w:sz w:val="32"/>
          <w:szCs w:val="32"/>
          <w:highlight w:val="none"/>
        </w:rPr>
      </w:pPr>
      <w:bookmarkStart w:id="468" w:name="_Toc78449807"/>
      <w:bookmarkStart w:id="469" w:name="_Toc373478366"/>
      <w:bookmarkStart w:id="470" w:name="_Toc373227719"/>
      <w:bookmarkStart w:id="471" w:name="_Toc351203638"/>
      <w:bookmarkStart w:id="472" w:name="_Toc1259019817"/>
      <w:bookmarkStart w:id="473" w:name="_Toc389065285"/>
      <w:bookmarkStart w:id="474" w:name="_Toc703841976"/>
      <w:bookmarkStart w:id="475" w:name="_Toc407135221"/>
      <w:r>
        <w:rPr>
          <w:rFonts w:ascii="Arial" w:hAnsi="Arial" w:eastAsia="黑体"/>
          <w:b/>
          <w:bCs/>
          <w:color w:val="auto"/>
          <w:sz w:val="32"/>
          <w:szCs w:val="32"/>
          <w:highlight w:val="none"/>
        </w:rPr>
        <w:t xml:space="preserve">6. </w:t>
      </w:r>
      <w:r>
        <w:rPr>
          <w:rFonts w:hint="eastAsia" w:ascii="Arial" w:hAnsi="Arial" w:eastAsia="黑体" w:cs="黑体"/>
          <w:b/>
          <w:bCs/>
          <w:color w:val="auto"/>
          <w:sz w:val="32"/>
          <w:szCs w:val="32"/>
          <w:highlight w:val="none"/>
        </w:rPr>
        <w:t>安全文明施工与环境保护</w:t>
      </w:r>
      <w:bookmarkEnd w:id="468"/>
      <w:bookmarkEnd w:id="469"/>
      <w:bookmarkEnd w:id="470"/>
      <w:bookmarkEnd w:id="471"/>
      <w:bookmarkEnd w:id="472"/>
      <w:bookmarkEnd w:id="473"/>
      <w:bookmarkEnd w:id="474"/>
      <w:bookmarkEnd w:id="475"/>
    </w:p>
    <w:p w14:paraId="78A8BFF9">
      <w:pPr>
        <w:keepNext/>
        <w:keepLines/>
        <w:spacing w:line="600" w:lineRule="exact"/>
        <w:ind w:firstLine="643" w:firstLineChars="200"/>
        <w:outlineLvl w:val="2"/>
        <w:rPr>
          <w:b/>
          <w:bCs/>
          <w:color w:val="auto"/>
          <w:sz w:val="32"/>
          <w:szCs w:val="32"/>
          <w:highlight w:val="none"/>
        </w:rPr>
      </w:pPr>
      <w:bookmarkStart w:id="476" w:name="_Toc373478367"/>
      <w:bookmarkStart w:id="477" w:name="_Toc389065286"/>
      <w:bookmarkStart w:id="478" w:name="_Toc78449808"/>
      <w:bookmarkStart w:id="479" w:name="_Toc373227720"/>
      <w:bookmarkStart w:id="480" w:name="_Toc407135222"/>
      <w:bookmarkStart w:id="481" w:name="_Toc180514231"/>
      <w:bookmarkStart w:id="482" w:name="_Toc1296292062"/>
      <w:r>
        <w:rPr>
          <w:b/>
          <w:bCs/>
          <w:color w:val="auto"/>
          <w:sz w:val="32"/>
          <w:szCs w:val="32"/>
          <w:highlight w:val="none"/>
        </w:rPr>
        <w:t xml:space="preserve">6.1 </w:t>
      </w:r>
      <w:r>
        <w:rPr>
          <w:rFonts w:hint="eastAsia" w:cs="黑体"/>
          <w:b/>
          <w:bCs/>
          <w:color w:val="auto"/>
          <w:sz w:val="32"/>
          <w:szCs w:val="32"/>
          <w:highlight w:val="none"/>
        </w:rPr>
        <w:t>安全文明施工</w:t>
      </w:r>
      <w:bookmarkEnd w:id="476"/>
      <w:bookmarkEnd w:id="477"/>
      <w:bookmarkEnd w:id="478"/>
      <w:bookmarkEnd w:id="479"/>
      <w:bookmarkEnd w:id="480"/>
      <w:bookmarkEnd w:id="481"/>
      <w:bookmarkEnd w:id="482"/>
    </w:p>
    <w:p w14:paraId="00539E00">
      <w:pPr>
        <w:spacing w:line="360" w:lineRule="auto"/>
        <w:ind w:firstLine="420" w:firstLineChars="200"/>
        <w:jc w:val="left"/>
        <w:rPr>
          <w:rFonts w:hAnsi="宋体"/>
          <w:color w:val="auto"/>
          <w:highlight w:val="none"/>
        </w:rPr>
      </w:pPr>
      <w:r>
        <w:rPr>
          <w:color w:val="auto"/>
          <w:highlight w:val="none"/>
        </w:rPr>
        <w:t xml:space="preserve">6.1.1 </w:t>
      </w:r>
      <w:r>
        <w:rPr>
          <w:rFonts w:hint="eastAsia" w:hAnsi="宋体" w:cs="宋体"/>
          <w:color w:val="auto"/>
          <w:highlight w:val="none"/>
        </w:rPr>
        <w:t>项目安全生产的达标目标及相应事项的约定：</w:t>
      </w:r>
      <w:r>
        <w:rPr>
          <w:rFonts w:hint="eastAsia" w:ascii="Calibri" w:hAnsi="宋体"/>
          <w:color w:val="auto"/>
          <w:highlight w:val="none"/>
          <w:u w:val="single"/>
        </w:rPr>
        <w:t>承包人必须按照国家法律法规规定配置安全员，工程安全责任事故发生率为0；要求达到《建筑施工安全检查标准》（JGJ59-2011）的标准和符合桂建质【2015】16号文《广西壮族自治区建筑工程安全防护、文明施工措施费及管理细则》的要求。承包人应遵守现行工程建设安全文明施工有关管理规定，严格按专用条款约定的安全文明标准及《工程管理制度》组织施工，创建规范的施工现场，并随时接受行业安全检查人员依法实施的监督检查，采取必要的安全防护措施，消除事故隐患。由于承包人安全文明施工措施不力造成事故的责任和因此发生的费用，由承包人承担（即使在对外法律关系上人民法院判决发包人承担责任，但在承包人与发包人间，由承包人全部承担）</w:t>
      </w:r>
      <w:r>
        <w:rPr>
          <w:rFonts w:hint="eastAsia" w:hAnsi="宋体" w:cs="宋体"/>
          <w:color w:val="auto"/>
          <w:highlight w:val="none"/>
        </w:rPr>
        <w:t>。</w:t>
      </w:r>
    </w:p>
    <w:p w14:paraId="2A32B51E">
      <w:pPr>
        <w:spacing w:line="360" w:lineRule="auto"/>
        <w:ind w:firstLine="420" w:firstLineChars="200"/>
        <w:jc w:val="left"/>
        <w:rPr>
          <w:rFonts w:hAnsi="宋体" w:cs="宋体"/>
          <w:color w:val="auto"/>
          <w:highlight w:val="none"/>
        </w:rPr>
      </w:pPr>
      <w:r>
        <w:rPr>
          <w:rFonts w:hint="eastAsia" w:hAnsi="宋体" w:cs="宋体"/>
          <w:color w:val="auto"/>
          <w:highlight w:val="none"/>
        </w:rPr>
        <w:t>关于安全文明施工奖项的约定：</w:t>
      </w:r>
      <w:r>
        <w:rPr>
          <w:rFonts w:hint="eastAsia"/>
          <w:color w:val="auto"/>
          <w:szCs w:val="21"/>
          <w:highlight w:val="none"/>
          <w:u w:val="single"/>
        </w:rPr>
        <w:t>无</w:t>
      </w:r>
      <w:r>
        <w:rPr>
          <w:rFonts w:hint="eastAsia" w:hAnsi="宋体" w:cs="宋体"/>
          <w:color w:val="auto"/>
          <w:highlight w:val="none"/>
        </w:rPr>
        <w:t>。</w:t>
      </w:r>
    </w:p>
    <w:p w14:paraId="3C64CDF3">
      <w:pPr>
        <w:snapToGrid w:val="0"/>
        <w:spacing w:line="400" w:lineRule="exact"/>
        <w:ind w:firstLine="420"/>
        <w:jc w:val="left"/>
        <w:rPr>
          <w:rFonts w:ascii="宋体" w:hAnsi="宋体" w:cs="宋体"/>
          <w:color w:val="auto"/>
          <w:highlight w:val="none"/>
        </w:rPr>
      </w:pPr>
      <w:r>
        <w:rPr>
          <w:rFonts w:hint="eastAsia" w:ascii="宋体" w:hAnsi="宋体" w:cs="宋体"/>
          <w:color w:val="auto"/>
          <w:highlight w:val="none"/>
        </w:rPr>
        <w:t>6.1.2发包人对施工当中因承包人管理不善造成的较大安全问题可视作承包人违约，违约金额为1000~5000元（人民币）/起，累计发生超过三起，发包人有权要求更换承包人的项目安全负责人，累计超过五起，发包人有权要求承包人更换项目经理。如发生一般事故（政府主管部门认定）一起，发包人有权扣除每起人民币1万元（含1万元）违约金。如发生较大事故及以上（政府主管部门认定）一起，发包人有权要求承包人更换项目经理并进行每起人民币5万元（含5万元）违约金。</w:t>
      </w:r>
    </w:p>
    <w:p w14:paraId="25011684">
      <w:pPr>
        <w:widowControl/>
        <w:spacing w:line="400" w:lineRule="exact"/>
        <w:ind w:firstLine="420" w:firstLineChars="200"/>
        <w:rPr>
          <w:rFonts w:ascii="宋体" w:hAnsi="宋体" w:cs="宋体"/>
          <w:color w:val="auto"/>
          <w:highlight w:val="none"/>
        </w:rPr>
      </w:pPr>
      <w:r>
        <w:rPr>
          <w:rFonts w:hint="eastAsia" w:ascii="宋体" w:hAnsi="宋体" w:cs="宋体"/>
          <w:color w:val="auto"/>
          <w:highlight w:val="none"/>
        </w:rPr>
        <w:t>1）若不严格按国家有关安全文明施工标准作好各项安全防护，由此造成的经济责任和法律责任均由承包人承担。</w:t>
      </w:r>
    </w:p>
    <w:p w14:paraId="06C08AB5">
      <w:pPr>
        <w:widowControl/>
        <w:spacing w:line="400" w:lineRule="exact"/>
        <w:ind w:firstLine="393"/>
        <w:rPr>
          <w:rFonts w:ascii="宋体" w:hAnsi="宋体" w:cs="宋体"/>
          <w:b/>
          <w:color w:val="auto"/>
          <w:highlight w:val="none"/>
        </w:rPr>
      </w:pPr>
      <w:r>
        <w:rPr>
          <w:rFonts w:hint="eastAsia" w:ascii="宋体" w:hAnsi="宋体" w:cs="宋体"/>
          <w:color w:val="auto"/>
          <w:highlight w:val="none"/>
        </w:rPr>
        <w:t>2）发包人或监理在施工过程中对承包人的安全文明施工进行检查时，发现其达不到安全文明施工合格标准。若承包人未在整改通知的规定的时间内整改完毕时，发包人对承包人处以违约处理金</w:t>
      </w:r>
      <w:r>
        <w:rPr>
          <w:rFonts w:hint="eastAsia" w:ascii="宋体" w:hAnsi="宋体" w:cs="宋体"/>
          <w:b/>
          <w:color w:val="auto"/>
          <w:highlight w:val="none"/>
          <w:u w:val="single"/>
        </w:rPr>
        <w:t xml:space="preserve">8000 </w:t>
      </w:r>
      <w:r>
        <w:rPr>
          <w:rFonts w:hint="eastAsia" w:ascii="宋体" w:hAnsi="宋体" w:cs="宋体"/>
          <w:b/>
          <w:color w:val="auto"/>
          <w:highlight w:val="none"/>
        </w:rPr>
        <w:t>元/次。</w:t>
      </w:r>
    </w:p>
    <w:p w14:paraId="4F5FF30A">
      <w:pPr>
        <w:widowControl/>
        <w:spacing w:line="400" w:lineRule="exact"/>
        <w:ind w:firstLine="393"/>
        <w:rPr>
          <w:rFonts w:ascii="宋体" w:hAnsi="宋体" w:cs="宋体"/>
          <w:b/>
          <w:color w:val="auto"/>
          <w:highlight w:val="none"/>
        </w:rPr>
      </w:pPr>
      <w:r>
        <w:rPr>
          <w:rFonts w:hint="eastAsia" w:ascii="宋体" w:hAnsi="宋体" w:cs="宋体"/>
          <w:bCs/>
          <w:color w:val="auto"/>
          <w:highlight w:val="none"/>
        </w:rPr>
        <w:t>3）</w:t>
      </w:r>
      <w:r>
        <w:rPr>
          <w:rFonts w:hint="eastAsia" w:ascii="宋体" w:hAnsi="宋体" w:cs="宋体"/>
          <w:color w:val="auto"/>
          <w:highlight w:val="none"/>
        </w:rPr>
        <w:t>承包人安全员每周在项目部的在岗时间不少于7天×8小时/天。承包人安全员在例行安全检查时不到岗的，发包人可处</w:t>
      </w:r>
      <w:r>
        <w:rPr>
          <w:rFonts w:hint="eastAsia"/>
          <w:color w:val="auto"/>
          <w:highlight w:val="none"/>
        </w:rPr>
        <w:t>2000</w:t>
      </w:r>
      <w:r>
        <w:rPr>
          <w:rFonts w:hint="eastAsia" w:ascii="宋体" w:hAnsi="宋体" w:cs="宋体"/>
          <w:color w:val="auto"/>
          <w:highlight w:val="none"/>
        </w:rPr>
        <w:t>元/次经济处罚。</w:t>
      </w:r>
    </w:p>
    <w:p w14:paraId="71994F85">
      <w:pPr>
        <w:widowControl/>
        <w:spacing w:line="400" w:lineRule="exact"/>
        <w:ind w:firstLine="420"/>
        <w:rPr>
          <w:rFonts w:ascii="宋体" w:hAnsi="宋体" w:cs="宋体"/>
          <w:color w:val="auto"/>
          <w:highlight w:val="none"/>
        </w:rPr>
      </w:pPr>
      <w:r>
        <w:rPr>
          <w:rFonts w:hint="eastAsia" w:ascii="宋体" w:hAnsi="宋体" w:cs="宋体"/>
          <w:color w:val="auto"/>
          <w:highlight w:val="none"/>
        </w:rPr>
        <w:t>4）经行业主管部门及项目业主予以通报或处罚的，处以</w:t>
      </w:r>
      <w:r>
        <w:rPr>
          <w:rFonts w:hint="eastAsia"/>
          <w:color w:val="auto"/>
          <w:highlight w:val="none"/>
        </w:rPr>
        <w:t>50000</w:t>
      </w:r>
      <w:r>
        <w:rPr>
          <w:rFonts w:hint="eastAsia" w:ascii="宋体" w:hAnsi="宋体" w:cs="宋体"/>
          <w:color w:val="auto"/>
          <w:highlight w:val="none"/>
        </w:rPr>
        <w:t>元/次罚款。承包人因不文明施工、违法施工造成发包人受行业监管部门通报批评的，发包人有权处承包人</w:t>
      </w:r>
      <w:r>
        <w:rPr>
          <w:rFonts w:hint="eastAsia"/>
          <w:color w:val="auto"/>
          <w:highlight w:val="none"/>
        </w:rPr>
        <w:t>50000</w:t>
      </w:r>
      <w:r>
        <w:rPr>
          <w:rFonts w:hint="eastAsia" w:ascii="宋体" w:hAnsi="宋体" w:cs="宋体"/>
          <w:color w:val="auto"/>
          <w:highlight w:val="none"/>
        </w:rPr>
        <w:t>元经济处罚。</w:t>
      </w:r>
    </w:p>
    <w:p w14:paraId="78C321BC">
      <w:pPr>
        <w:widowControl/>
        <w:spacing w:line="400" w:lineRule="exact"/>
        <w:ind w:firstLine="420"/>
        <w:rPr>
          <w:rFonts w:ascii="宋体" w:hAnsi="宋体" w:cs="宋体"/>
          <w:color w:val="auto"/>
          <w:highlight w:val="none"/>
        </w:rPr>
      </w:pPr>
      <w:r>
        <w:rPr>
          <w:rFonts w:hint="eastAsia" w:ascii="宋体" w:hAnsi="宋体" w:cs="宋体"/>
          <w:color w:val="auto"/>
          <w:highlight w:val="none"/>
        </w:rPr>
        <w:t>5）经社会媒体曝光及市民投诉的予以证实后处以8000元/次罚款。</w:t>
      </w:r>
    </w:p>
    <w:p w14:paraId="307E5FE7">
      <w:pPr>
        <w:widowControl/>
        <w:spacing w:line="400" w:lineRule="exact"/>
        <w:ind w:firstLine="420"/>
        <w:rPr>
          <w:rFonts w:ascii="宋体" w:hAnsi="宋体" w:cs="宋体"/>
          <w:color w:val="auto"/>
          <w:highlight w:val="none"/>
        </w:rPr>
      </w:pPr>
      <w:r>
        <w:rPr>
          <w:rFonts w:ascii="宋体" w:hAnsi="宋体" w:cs="宋体"/>
          <w:color w:val="auto"/>
          <w:highlight w:val="none"/>
        </w:rPr>
        <w:t>6</w:t>
      </w:r>
      <w:r>
        <w:rPr>
          <w:rFonts w:hint="eastAsia" w:ascii="宋体" w:hAnsi="宋体" w:cs="宋体"/>
          <w:color w:val="auto"/>
          <w:highlight w:val="none"/>
        </w:rPr>
        <w:t>）承包人项目经理在发包人或建设主管部门组织的季度安全生产检查，国庆、春节等重大节庆安全检查活动中，必须在项目工场现场接受检查，如不到岗，每次发包人可处</w:t>
      </w:r>
      <w:r>
        <w:rPr>
          <w:rFonts w:hint="eastAsia"/>
          <w:color w:val="auto"/>
          <w:highlight w:val="none"/>
        </w:rPr>
        <w:t>10000</w:t>
      </w:r>
      <w:r>
        <w:rPr>
          <w:rFonts w:hint="eastAsia" w:ascii="宋体" w:hAnsi="宋体" w:cs="宋体"/>
          <w:color w:val="auto"/>
          <w:highlight w:val="none"/>
        </w:rPr>
        <w:t>元经济处罚。</w:t>
      </w:r>
    </w:p>
    <w:p w14:paraId="199063B2">
      <w:pPr>
        <w:spacing w:line="400" w:lineRule="exact"/>
        <w:ind w:firstLine="420" w:firstLineChars="200"/>
        <w:jc w:val="left"/>
        <w:rPr>
          <w:rFonts w:ascii="Cambria" w:hAnsi="Cambria"/>
          <w:color w:val="auto"/>
          <w:highlight w:val="none"/>
        </w:rPr>
      </w:pPr>
      <w:r>
        <w:rPr>
          <w:rFonts w:hint="eastAsia" w:ascii="宋体" w:hAnsi="宋体" w:cs="宋体"/>
          <w:color w:val="auto"/>
          <w:highlight w:val="none"/>
        </w:rPr>
        <w:t>6.1.3承包人须在发包人开出罚款通知书即日起七个工作日内，到发包人的财务部门缴纳相应的违约金，若逾期未缴纳，发包人有权停止拨付当月或下月的工程进度款，所造成的责任由承包人承担。</w:t>
      </w:r>
    </w:p>
    <w:p w14:paraId="0910346B">
      <w:pPr>
        <w:rPr>
          <w:color w:val="auto"/>
          <w:highlight w:val="none"/>
        </w:rPr>
      </w:pPr>
    </w:p>
    <w:p w14:paraId="3DAF2D4B">
      <w:pPr>
        <w:spacing w:line="360" w:lineRule="auto"/>
        <w:ind w:firstLine="420" w:firstLineChars="200"/>
        <w:jc w:val="left"/>
        <w:rPr>
          <w:color w:val="auto"/>
          <w:highlight w:val="none"/>
          <w:u w:val="single"/>
        </w:rPr>
      </w:pPr>
      <w:r>
        <w:rPr>
          <w:color w:val="auto"/>
          <w:highlight w:val="none"/>
        </w:rPr>
        <w:t xml:space="preserve">6.1.4 </w:t>
      </w:r>
      <w:r>
        <w:rPr>
          <w:rFonts w:hint="eastAsia" w:hAnsi="宋体" w:cs="宋体"/>
          <w:color w:val="auto"/>
          <w:highlight w:val="none"/>
        </w:rPr>
        <w:t>关于治安保卫的特别约定：</w:t>
      </w:r>
      <w:r>
        <w:rPr>
          <w:rFonts w:hint="eastAsia" w:hAnsi="宋体" w:cs="宋体"/>
          <w:color w:val="auto"/>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4B5167DA">
      <w:pPr>
        <w:spacing w:line="360" w:lineRule="auto"/>
        <w:ind w:firstLine="420" w:firstLineChars="200"/>
        <w:jc w:val="left"/>
        <w:rPr>
          <w:color w:val="auto"/>
          <w:highlight w:val="none"/>
        </w:rPr>
      </w:pPr>
      <w:r>
        <w:rPr>
          <w:rFonts w:hint="eastAsia" w:hAnsi="宋体" w:cs="宋体"/>
          <w:color w:val="auto"/>
          <w:highlight w:val="none"/>
        </w:rPr>
        <w:t>关于编制施工场地治安管理计划的约定：</w:t>
      </w:r>
      <w:r>
        <w:rPr>
          <w:rFonts w:hint="eastAsia" w:ascii="宋体" w:hAnsi="宋体" w:cs="宋体"/>
          <w:color w:val="auto"/>
          <w:highlight w:val="none"/>
          <w:u w:val="single"/>
        </w:rPr>
        <w:t>作为安全文明施工专项方案内容之一，合同签订后7天内 由承包人负责编制完成后由发包人(或监理人)审核同意后实施</w:t>
      </w:r>
      <w:r>
        <w:rPr>
          <w:rFonts w:hint="eastAsia" w:hAnsi="宋体" w:cs="宋体"/>
          <w:color w:val="auto"/>
          <w:highlight w:val="none"/>
        </w:rPr>
        <w:t>。</w:t>
      </w:r>
    </w:p>
    <w:p w14:paraId="6B082883">
      <w:pPr>
        <w:spacing w:line="360" w:lineRule="auto"/>
        <w:ind w:firstLine="420" w:firstLineChars="200"/>
        <w:jc w:val="left"/>
        <w:rPr>
          <w:color w:val="auto"/>
          <w:highlight w:val="none"/>
        </w:rPr>
      </w:pPr>
      <w:r>
        <w:rPr>
          <w:color w:val="auto"/>
          <w:highlight w:val="none"/>
        </w:rPr>
        <w:t xml:space="preserve">6.1.5 </w:t>
      </w:r>
      <w:r>
        <w:rPr>
          <w:rFonts w:hint="eastAsia" w:hAnsi="宋体" w:cs="宋体"/>
          <w:color w:val="auto"/>
          <w:highlight w:val="none"/>
        </w:rPr>
        <w:t>文明施工</w:t>
      </w:r>
    </w:p>
    <w:p w14:paraId="2A005341">
      <w:pPr>
        <w:spacing w:line="360" w:lineRule="auto"/>
        <w:ind w:firstLine="420" w:firstLineChars="200"/>
        <w:jc w:val="left"/>
        <w:rPr>
          <w:color w:val="auto"/>
          <w:highlight w:val="none"/>
          <w:u w:val="single"/>
        </w:rPr>
      </w:pPr>
      <w:r>
        <w:rPr>
          <w:rFonts w:hint="eastAsia" w:hAnsi="宋体" w:cs="宋体"/>
          <w:color w:val="auto"/>
          <w:highlight w:val="none"/>
        </w:rPr>
        <w:t>合同当事人对文明施工的要求：</w:t>
      </w:r>
      <w:r>
        <w:rPr>
          <w:rFonts w:hint="eastAsia"/>
          <w:color w:val="auto"/>
          <w:highlight w:val="none"/>
          <w:u w:val="single"/>
        </w:rPr>
        <w:t>严格执行《大气污染防治法》（主席令第三十一号）、《南宁市建设工程质量和安全生产管理办法》（南宁市人民政府令第46号）、《南宁市建设工程质量安全标准化图集》、《南宁市建设工程施工现场管理若干规定》（南宁市人民政府令第8号）的有关规定，与辖区卫生防疫、环卫管理部门或有合法资质资格的企业签订病媒生物消杀协议、生活垃圾清运协议、渣土密闭运输协议、在线远程监控扬尘监测协议，遵守“一口两池三包四协议”的有关规定，施工前办理排水许可证，严格执行排水许可，做好工地泥浆水、临时生活污水的排放管理，现场设置三级沉淀池及化粪池，避免生活污水及施工废水直排市政排水管网及内河。采取道路硬化、裸土必盖（种草、绿网）、洗车出门、保洁路口、在线监测、抑尘喷淋等有效措施，确保建设工程各项安全防护、文明施工措施及其费用在工地一线按标准落实到位。</w:t>
      </w:r>
    </w:p>
    <w:p w14:paraId="37C21E76">
      <w:pPr>
        <w:spacing w:line="360" w:lineRule="auto"/>
        <w:ind w:firstLine="420" w:firstLineChars="200"/>
        <w:jc w:val="left"/>
        <w:rPr>
          <w:color w:val="auto"/>
          <w:highlight w:val="none"/>
        </w:rPr>
      </w:pPr>
      <w:r>
        <w:rPr>
          <w:rFonts w:hint="eastAsia"/>
          <w:color w:val="auto"/>
          <w:highlight w:val="none"/>
          <w:u w:val="single"/>
        </w:rPr>
        <w:t>配合发包人做好安全文明宣传、检查等工作，相关费用由承包人承担</w:t>
      </w:r>
      <w:r>
        <w:rPr>
          <w:rFonts w:hint="eastAsia" w:cs="宋体"/>
          <w:color w:val="auto"/>
          <w:highlight w:val="none"/>
        </w:rPr>
        <w:t>。</w:t>
      </w:r>
    </w:p>
    <w:p w14:paraId="31E32CC6">
      <w:pPr>
        <w:spacing w:line="440" w:lineRule="exact"/>
        <w:ind w:firstLine="420" w:firstLineChars="200"/>
        <w:jc w:val="left"/>
        <w:rPr>
          <w:rFonts w:hAnsi="宋体"/>
          <w:color w:val="auto"/>
          <w:highlight w:val="none"/>
        </w:rPr>
      </w:pPr>
      <w:r>
        <w:rPr>
          <w:color w:val="auto"/>
          <w:highlight w:val="none"/>
        </w:rPr>
        <w:t>6.1.6</w:t>
      </w:r>
      <w:r>
        <w:rPr>
          <w:rFonts w:hAnsi="宋体" w:cs="宋体"/>
          <w:color w:val="auto"/>
          <w:kern w:val="0"/>
          <w:highlight w:val="none"/>
        </w:rPr>
        <w:t>关于安全</w:t>
      </w:r>
      <w:r>
        <w:rPr>
          <w:rFonts w:hint="eastAsia" w:hAnsi="宋体" w:cs="宋体"/>
          <w:color w:val="auto"/>
          <w:kern w:val="0"/>
          <w:highlight w:val="none"/>
        </w:rPr>
        <w:t>生产</w:t>
      </w:r>
      <w:r>
        <w:rPr>
          <w:rFonts w:hAnsi="宋体" w:cs="宋体"/>
          <w:color w:val="auto"/>
          <w:kern w:val="0"/>
          <w:highlight w:val="none"/>
        </w:rPr>
        <w:t>费</w:t>
      </w:r>
      <w:r>
        <w:rPr>
          <w:rFonts w:hint="eastAsia" w:hAnsi="宋体" w:cs="宋体"/>
          <w:color w:val="auto"/>
          <w:kern w:val="0"/>
          <w:highlight w:val="none"/>
        </w:rPr>
        <w:t>总额、</w:t>
      </w:r>
      <w:r>
        <w:rPr>
          <w:rFonts w:hAnsi="宋体" w:cs="宋体"/>
          <w:color w:val="auto"/>
          <w:kern w:val="0"/>
          <w:highlight w:val="none"/>
        </w:rPr>
        <w:t>支付比例</w:t>
      </w:r>
      <w:r>
        <w:rPr>
          <w:rFonts w:hint="eastAsia" w:hAnsi="宋体" w:cs="宋体"/>
          <w:color w:val="auto"/>
          <w:kern w:val="0"/>
          <w:highlight w:val="none"/>
        </w:rPr>
        <w:t>、</w:t>
      </w:r>
      <w:r>
        <w:rPr>
          <w:rFonts w:hAnsi="宋体" w:cs="宋体"/>
          <w:color w:val="auto"/>
          <w:kern w:val="0"/>
          <w:highlight w:val="none"/>
        </w:rPr>
        <w:t>支付期限</w:t>
      </w:r>
      <w:r>
        <w:rPr>
          <w:rFonts w:hint="eastAsia" w:hAnsi="宋体" w:cs="宋体"/>
          <w:color w:val="auto"/>
          <w:kern w:val="0"/>
          <w:highlight w:val="none"/>
        </w:rPr>
        <w:t>、转入和结余收回</w:t>
      </w:r>
      <w:r>
        <w:rPr>
          <w:rFonts w:hAnsi="宋体" w:cs="宋体"/>
          <w:color w:val="auto"/>
          <w:kern w:val="0"/>
          <w:highlight w:val="none"/>
        </w:rPr>
        <w:t>的约定：</w:t>
      </w:r>
    </w:p>
    <w:p w14:paraId="2E526F1D">
      <w:pPr>
        <w:autoSpaceDE w:val="0"/>
        <w:autoSpaceDN w:val="0"/>
        <w:adjustRightInd w:val="0"/>
        <w:spacing w:line="440" w:lineRule="exact"/>
        <w:ind w:firstLine="420" w:firstLineChars="200"/>
        <w:jc w:val="left"/>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1</w:t>
      </w:r>
      <w:r>
        <w:rPr>
          <w:rFonts w:hint="eastAsia" w:hAnsi="宋体" w:cs="宋体"/>
          <w:color w:val="auto"/>
          <w:kern w:val="0"/>
          <w:highlight w:val="none"/>
        </w:rPr>
        <w:t>）本合同价款已包含安全文明施工费元。</w:t>
      </w:r>
    </w:p>
    <w:p w14:paraId="469EA253">
      <w:pPr>
        <w:autoSpaceDE w:val="0"/>
        <w:autoSpaceDN w:val="0"/>
        <w:adjustRightInd w:val="0"/>
        <w:spacing w:line="440" w:lineRule="exact"/>
        <w:ind w:firstLine="420" w:firstLineChars="200"/>
        <w:jc w:val="left"/>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2</w:t>
      </w:r>
      <w:r>
        <w:rPr>
          <w:rFonts w:hint="eastAsia" w:hAnsi="宋体" w:cs="宋体"/>
          <w:color w:val="auto"/>
          <w:kern w:val="0"/>
          <w:highlight w:val="none"/>
        </w:rPr>
        <w:t>）使用要求：专款专用。具体按</w:t>
      </w:r>
      <w:r>
        <w:rPr>
          <w:rFonts w:hint="eastAsia" w:hAnsi="宋体" w:cs="宋体"/>
          <w:color w:val="auto"/>
          <w:kern w:val="0"/>
          <w:highlight w:val="none"/>
          <w:u w:val="single"/>
        </w:rPr>
        <w:t>《广西壮族自治区建设工程安全文明施工费使用管理细则》（桂建质〔</w:t>
      </w:r>
      <w:r>
        <w:rPr>
          <w:rFonts w:hAnsi="宋体"/>
          <w:color w:val="auto"/>
          <w:kern w:val="0"/>
          <w:highlight w:val="none"/>
          <w:u w:val="single"/>
        </w:rPr>
        <w:t>2015</w:t>
      </w:r>
      <w:r>
        <w:rPr>
          <w:rFonts w:hint="eastAsia" w:hAnsi="宋体" w:cs="宋体"/>
          <w:color w:val="auto"/>
          <w:kern w:val="0"/>
          <w:highlight w:val="none"/>
          <w:u w:val="single"/>
        </w:rPr>
        <w:t>〕</w:t>
      </w:r>
      <w:r>
        <w:rPr>
          <w:rFonts w:hAnsi="宋体"/>
          <w:color w:val="auto"/>
          <w:kern w:val="0"/>
          <w:highlight w:val="none"/>
          <w:u w:val="single"/>
        </w:rPr>
        <w:t>16</w:t>
      </w:r>
      <w:r>
        <w:rPr>
          <w:rFonts w:hint="eastAsia" w:hAnsi="宋体" w:cs="宋体"/>
          <w:color w:val="auto"/>
          <w:kern w:val="0"/>
          <w:highlight w:val="none"/>
          <w:u w:val="single"/>
        </w:rPr>
        <w:t>号）、</w:t>
      </w:r>
      <w:r>
        <w:rPr>
          <w:rFonts w:hint="eastAsia" w:ascii="宋体" w:hAnsi="宋体" w:cs="宋体"/>
          <w:color w:val="auto"/>
          <w:kern w:val="0"/>
          <w:szCs w:val="21"/>
          <w:highlight w:val="none"/>
          <w:u w:val="single"/>
        </w:rPr>
        <w:t>南建管字[2019]3号文《南宁市建筑质量安全管理中心关于明确安全文明施工费和扬尘污染防治费用使用管理的通知》</w:t>
      </w:r>
      <w:r>
        <w:rPr>
          <w:rFonts w:hint="eastAsia" w:hAnsi="宋体" w:cs="宋体"/>
          <w:color w:val="auto"/>
          <w:kern w:val="0"/>
          <w:highlight w:val="none"/>
        </w:rPr>
        <w:t>和</w:t>
      </w:r>
      <w:r>
        <w:rPr>
          <w:rFonts w:hint="eastAsia" w:hAnsi="宋体"/>
          <w:color w:val="auto"/>
          <w:kern w:val="0"/>
          <w:highlight w:val="none"/>
          <w:u w:val="single"/>
        </w:rPr>
        <w:t>南宁</w:t>
      </w:r>
      <w:r>
        <w:rPr>
          <w:rFonts w:hint="eastAsia" w:hAnsi="宋体" w:cs="宋体"/>
          <w:color w:val="auto"/>
          <w:kern w:val="0"/>
          <w:highlight w:val="none"/>
        </w:rPr>
        <w:t>市相关规定执行。</w:t>
      </w:r>
    </w:p>
    <w:p w14:paraId="443E8CCE">
      <w:pPr>
        <w:autoSpaceDE w:val="0"/>
        <w:autoSpaceDN w:val="0"/>
        <w:adjustRightInd w:val="0"/>
        <w:spacing w:line="440" w:lineRule="exact"/>
        <w:ind w:firstLine="420" w:firstLineChars="200"/>
        <w:jc w:val="left"/>
        <w:rPr>
          <w:rFonts w:hAnsi="宋体" w:cs="宋体"/>
          <w:color w:val="auto"/>
          <w:kern w:val="0"/>
          <w:highlight w:val="none"/>
        </w:rPr>
      </w:pPr>
      <w:r>
        <w:rPr>
          <w:rFonts w:hint="eastAsia" w:hAnsi="宋体" w:cs="宋体"/>
          <w:color w:val="auto"/>
          <w:kern w:val="0"/>
          <w:highlight w:val="none"/>
        </w:rPr>
        <w:t>（</w:t>
      </w:r>
      <w:r>
        <w:rPr>
          <w:rFonts w:hAnsi="宋体"/>
          <w:color w:val="auto"/>
          <w:kern w:val="0"/>
          <w:highlight w:val="none"/>
        </w:rPr>
        <w:t>3</w:t>
      </w:r>
      <w:r>
        <w:rPr>
          <w:rFonts w:hint="eastAsia" w:hAnsi="宋体" w:cs="宋体"/>
          <w:color w:val="auto"/>
          <w:kern w:val="0"/>
          <w:highlight w:val="none"/>
        </w:rPr>
        <w:t>）支付约定：</w:t>
      </w:r>
      <w:r>
        <w:rPr>
          <w:rFonts w:hint="eastAsia" w:cs="宋体"/>
          <w:color w:val="auto"/>
          <w:kern w:val="0"/>
          <w:highlight w:val="none"/>
        </w:rPr>
        <w:t>在本合同签订后</w:t>
      </w:r>
      <w:r>
        <w:rPr>
          <w:rFonts w:hint="eastAsia"/>
          <w:color w:val="auto"/>
          <w:kern w:val="0"/>
          <w:highlight w:val="none"/>
        </w:rPr>
        <w:t>10</w:t>
      </w:r>
      <w:r>
        <w:rPr>
          <w:rFonts w:hint="eastAsia" w:cs="宋体"/>
          <w:color w:val="auto"/>
          <w:kern w:val="0"/>
          <w:highlight w:val="none"/>
        </w:rPr>
        <w:t>个工作日内，</w:t>
      </w:r>
      <w:r>
        <w:rPr>
          <w:rFonts w:hint="eastAsia" w:ascii="宋体" w:hAnsi="宋体" w:cs="宋体"/>
          <w:b/>
          <w:bCs/>
          <w:color w:val="auto"/>
          <w:kern w:val="0"/>
          <w:szCs w:val="21"/>
          <w:highlight w:val="none"/>
          <w:u w:val="single"/>
        </w:rPr>
        <w:t>施工单位完成临建施工，并经发包人、监理及政府相关职能部门验收合格后支付安全文明措施费的30%</w:t>
      </w:r>
      <w:r>
        <w:rPr>
          <w:rFonts w:hint="eastAsia" w:cs="宋体"/>
          <w:color w:val="auto"/>
          <w:kern w:val="0"/>
          <w:highlight w:val="none"/>
        </w:rPr>
        <w:t>，其余部分与进度款同期支付，安全文明施工费预付款在工程进度款累计金额超过合同价的50%时</w:t>
      </w:r>
      <w:r>
        <w:rPr>
          <w:rFonts w:hint="eastAsia" w:cs="宋体"/>
          <w:color w:val="auto"/>
          <w:kern w:val="0"/>
          <w:highlight w:val="none"/>
          <w:lang w:val="en-US" w:eastAsia="zh-CN"/>
        </w:rPr>
        <w:t>一次性扣回</w:t>
      </w:r>
      <w:r>
        <w:rPr>
          <w:rFonts w:hint="eastAsia" w:hAnsi="宋体" w:cs="宋体"/>
          <w:color w:val="auto"/>
          <w:kern w:val="0"/>
          <w:highlight w:val="none"/>
        </w:rPr>
        <w:t>。</w:t>
      </w:r>
    </w:p>
    <w:p w14:paraId="0CA90AE5">
      <w:pPr>
        <w:autoSpaceDE w:val="0"/>
        <w:autoSpaceDN w:val="0"/>
        <w:adjustRightInd w:val="0"/>
        <w:spacing w:line="360" w:lineRule="auto"/>
        <w:ind w:firstLine="420" w:firstLineChars="200"/>
        <w:jc w:val="left"/>
        <w:rPr>
          <w:rFonts w:hAnsi="宋体" w:cs="宋体"/>
          <w:color w:val="auto"/>
          <w:kern w:val="0"/>
          <w:highlight w:val="none"/>
        </w:rPr>
      </w:pPr>
      <w:r>
        <w:rPr>
          <w:rFonts w:hint="eastAsia" w:hAnsi="宋体" w:cs="宋体"/>
          <w:color w:val="auto"/>
          <w:kern w:val="0"/>
          <w:highlight w:val="none"/>
        </w:rPr>
        <w:t>（4）建设单位按规定将安全生产费用转入施工单位设立的安全生产费用专户。</w:t>
      </w:r>
    </w:p>
    <w:p w14:paraId="5AC63559">
      <w:pPr>
        <w:autoSpaceDE w:val="0"/>
        <w:autoSpaceDN w:val="0"/>
        <w:adjustRightInd w:val="0"/>
        <w:spacing w:line="360" w:lineRule="auto"/>
        <w:ind w:firstLine="420" w:firstLineChars="200"/>
        <w:jc w:val="left"/>
        <w:rPr>
          <w:rFonts w:hAnsi="宋体" w:cs="宋体"/>
          <w:color w:val="auto"/>
          <w:kern w:val="0"/>
          <w:highlight w:val="none"/>
        </w:rPr>
      </w:pPr>
      <w:r>
        <w:rPr>
          <w:rFonts w:hint="eastAsia" w:hAnsi="宋体" w:cs="宋体"/>
          <w:color w:val="auto"/>
          <w:kern w:val="0"/>
          <w:highlight w:val="none"/>
        </w:rPr>
        <w:t>（5）工程施工完成后安全生产费用尚有结余的，结余部分由建设单位收回。</w:t>
      </w:r>
    </w:p>
    <w:p w14:paraId="2EA87F91">
      <w:pPr>
        <w:autoSpaceDE w:val="0"/>
        <w:autoSpaceDN w:val="0"/>
        <w:adjustRightInd w:val="0"/>
        <w:spacing w:line="360" w:lineRule="auto"/>
        <w:ind w:firstLine="420" w:firstLineChars="200"/>
        <w:jc w:val="left"/>
        <w:rPr>
          <w:rFonts w:hAnsi="宋体" w:cs="宋体"/>
          <w:color w:val="auto"/>
          <w:kern w:val="0"/>
          <w:highlight w:val="none"/>
        </w:rPr>
      </w:pPr>
      <w:r>
        <w:rPr>
          <w:rFonts w:hint="eastAsia" w:hAnsi="宋体" w:cs="宋体"/>
          <w:color w:val="auto"/>
          <w:kern w:val="0"/>
          <w:highlight w:val="none"/>
        </w:rPr>
        <w:t>（6）施工单位将安全生产费用使用情况定期报告建设单位和监理单位，并提供相应的材料接受建设行政主管部门对此事项监管。</w:t>
      </w:r>
    </w:p>
    <w:p w14:paraId="733EDBB4">
      <w:pPr>
        <w:autoSpaceDE w:val="0"/>
        <w:autoSpaceDN w:val="0"/>
        <w:adjustRightInd w:val="0"/>
        <w:spacing w:line="360" w:lineRule="auto"/>
        <w:ind w:firstLine="420" w:firstLineChars="200"/>
        <w:jc w:val="left"/>
        <w:rPr>
          <w:rFonts w:hAnsi="宋体" w:cs="宋体"/>
          <w:color w:val="auto"/>
          <w:kern w:val="0"/>
          <w:highlight w:val="none"/>
        </w:rPr>
      </w:pPr>
      <w:r>
        <w:rPr>
          <w:rFonts w:hint="eastAsia" w:hAnsi="宋体" w:cs="宋体"/>
          <w:color w:val="auto"/>
          <w:kern w:val="0"/>
          <w:highlight w:val="none"/>
        </w:rPr>
        <w:t>（7）安全生产费用专户：××××公司安全生产费用专户。账号：。</w:t>
      </w:r>
    </w:p>
    <w:p w14:paraId="43703107">
      <w:pPr>
        <w:autoSpaceDE w:val="0"/>
        <w:autoSpaceDN w:val="0"/>
        <w:adjustRightInd w:val="0"/>
        <w:spacing w:line="360" w:lineRule="auto"/>
        <w:ind w:firstLine="420" w:firstLineChars="200"/>
        <w:jc w:val="left"/>
        <w:rPr>
          <w:rFonts w:hAnsi="宋体" w:cs="宋体"/>
          <w:color w:val="auto"/>
          <w:kern w:val="0"/>
          <w:highlight w:val="none"/>
        </w:rPr>
      </w:pPr>
      <w:r>
        <w:rPr>
          <w:rFonts w:hint="eastAsia" w:hAnsi="宋体" w:cs="宋体"/>
          <w:color w:val="auto"/>
          <w:kern w:val="0"/>
          <w:highlight w:val="none"/>
        </w:rPr>
        <w:t>6.1.7在工程建设过程中，发包人或监理人将不定期组织对承包人的安全管理进行检查，对未按合同要求执行和现场存在安全隐患问题等情况下达整改通知单，承包人未在指定期限内完成整改的，视为承包违约，发包人有权视情况按</w:t>
      </w:r>
      <w:r>
        <w:rPr>
          <w:rFonts w:hAnsi="宋体" w:cs="宋体"/>
          <w:color w:val="auto"/>
          <w:kern w:val="0"/>
          <w:highlight w:val="none"/>
        </w:rPr>
        <w:t>5</w:t>
      </w:r>
      <w:r>
        <w:rPr>
          <w:rFonts w:hint="eastAsia" w:hAnsi="宋体" w:cs="宋体"/>
          <w:color w:val="auto"/>
          <w:kern w:val="0"/>
          <w:highlight w:val="none"/>
        </w:rPr>
        <w:t>000~20000元/次处罚，且暂不支付进度款。</w:t>
      </w:r>
    </w:p>
    <w:p w14:paraId="00B0A76A">
      <w:pPr>
        <w:keepNext/>
        <w:keepLines/>
        <w:spacing w:line="600" w:lineRule="exact"/>
        <w:ind w:firstLine="643" w:firstLineChars="200"/>
        <w:outlineLvl w:val="2"/>
        <w:rPr>
          <w:b/>
          <w:bCs/>
          <w:color w:val="auto"/>
          <w:sz w:val="32"/>
          <w:szCs w:val="32"/>
          <w:highlight w:val="none"/>
        </w:rPr>
      </w:pPr>
      <w:bookmarkStart w:id="483" w:name="_Toc1519050792"/>
      <w:bookmarkStart w:id="484" w:name="_Toc373227721"/>
      <w:bookmarkStart w:id="485" w:name="_Toc78449809"/>
      <w:bookmarkStart w:id="486" w:name="_Toc407135223"/>
      <w:bookmarkStart w:id="487" w:name="_Toc389065287"/>
      <w:bookmarkStart w:id="488" w:name="_Toc373478368"/>
      <w:bookmarkStart w:id="489" w:name="_Toc1922268668"/>
      <w:r>
        <w:rPr>
          <w:b/>
          <w:bCs/>
          <w:color w:val="auto"/>
          <w:sz w:val="32"/>
          <w:szCs w:val="32"/>
          <w:highlight w:val="none"/>
        </w:rPr>
        <w:t xml:space="preserve">6.3 </w:t>
      </w:r>
      <w:r>
        <w:rPr>
          <w:rFonts w:hint="eastAsia" w:hAnsi="宋体" w:cs="黑体"/>
          <w:b/>
          <w:bCs/>
          <w:color w:val="auto"/>
          <w:sz w:val="32"/>
          <w:szCs w:val="32"/>
          <w:highlight w:val="none"/>
        </w:rPr>
        <w:t>环境保护</w:t>
      </w:r>
      <w:bookmarkEnd w:id="483"/>
      <w:bookmarkEnd w:id="484"/>
      <w:bookmarkEnd w:id="485"/>
      <w:bookmarkEnd w:id="486"/>
      <w:bookmarkEnd w:id="487"/>
      <w:bookmarkEnd w:id="488"/>
      <w:bookmarkEnd w:id="489"/>
    </w:p>
    <w:p w14:paraId="0C9D8EC6">
      <w:pPr>
        <w:spacing w:line="360" w:lineRule="auto"/>
        <w:ind w:firstLine="420" w:firstLineChars="200"/>
        <w:jc w:val="left"/>
        <w:rPr>
          <w:color w:val="auto"/>
          <w:highlight w:val="none"/>
          <w:u w:val="single"/>
        </w:rPr>
      </w:pPr>
      <w:r>
        <w:rPr>
          <w:rFonts w:hint="eastAsia" w:hAnsi="宋体" w:cs="宋体"/>
          <w:color w:val="auto"/>
          <w:highlight w:val="none"/>
          <w:u w:val="single"/>
        </w:rPr>
        <w:t>因施工需要，经发包人批准，由承包人办理有关施工场地交通、环卫和施工噪音管理等手续，费用由承包人负责。</w:t>
      </w:r>
    </w:p>
    <w:p w14:paraId="320BA6F2">
      <w:pPr>
        <w:spacing w:line="360" w:lineRule="auto"/>
        <w:ind w:firstLine="420" w:firstLineChars="200"/>
        <w:jc w:val="left"/>
        <w:rPr>
          <w:rFonts w:hAnsi="宋体" w:cs="宋体"/>
          <w:color w:val="auto"/>
          <w:highlight w:val="none"/>
          <w:u w:val="single"/>
        </w:rPr>
      </w:pPr>
      <w:r>
        <w:rPr>
          <w:rFonts w:hint="eastAsia" w:hAnsi="宋体" w:cs="宋体"/>
          <w:color w:val="auto"/>
          <w:highlight w:val="none"/>
          <w:u w:val="single"/>
        </w:rPr>
        <w:t>经过城市道路的施工车辆，必须按交警、城管、运输等部门相关规定执行。由于施工车辆造成的道路、环境等污染，其责任和费用均由承包人承担。</w:t>
      </w:r>
    </w:p>
    <w:p w14:paraId="2E3FBD7E">
      <w:pPr>
        <w:spacing w:line="400" w:lineRule="exact"/>
        <w:ind w:firstLine="422" w:firstLineChars="200"/>
        <w:jc w:val="left"/>
        <w:rPr>
          <w:rFonts w:ascii="宋体" w:hAnsi="宋体" w:cs="宋体"/>
          <w:color w:val="auto"/>
          <w:szCs w:val="21"/>
          <w:highlight w:val="none"/>
          <w:u w:val="single"/>
        </w:rPr>
      </w:pPr>
      <w:r>
        <w:rPr>
          <w:rFonts w:hint="eastAsia" w:ascii="宋体" w:hAnsi="宋体" w:cs="宋体"/>
          <w:b/>
          <w:bCs/>
          <w:color w:val="auto"/>
          <w:szCs w:val="21"/>
          <w:highlight w:val="none"/>
          <w:u w:val="single"/>
        </w:rPr>
        <w:t>根据《南宁市挥发性有机物污染防治实施方案（2019-2020年）》（南环委办</w:t>
      </w:r>
      <w:r>
        <w:rPr>
          <w:rFonts w:hint="eastAsia" w:ascii="宋体" w:hAnsi="宋体" w:cs="宋体"/>
          <w:b/>
          <w:bCs/>
          <w:color w:val="auto"/>
          <w:kern w:val="0"/>
          <w:szCs w:val="21"/>
          <w:highlight w:val="none"/>
          <w:u w:val="single"/>
        </w:rPr>
        <w:t>〔2019〕166号）文件精神，宜优先使用低VOCs含量的涂料、油漆和有机溶剂</w:t>
      </w:r>
      <w:r>
        <w:rPr>
          <w:rFonts w:hint="eastAsia" w:ascii="宋体" w:hAnsi="宋体" w:cs="宋体"/>
          <w:color w:val="auto"/>
          <w:kern w:val="0"/>
          <w:szCs w:val="21"/>
          <w:highlight w:val="none"/>
          <w:u w:val="single"/>
        </w:rPr>
        <w:t>。</w:t>
      </w:r>
    </w:p>
    <w:p w14:paraId="7510D6AB">
      <w:pPr>
        <w:rPr>
          <w:color w:val="auto"/>
          <w:highlight w:val="none"/>
        </w:rPr>
      </w:pPr>
    </w:p>
    <w:bookmarkEnd w:id="461"/>
    <w:bookmarkEnd w:id="462"/>
    <w:bookmarkEnd w:id="463"/>
    <w:bookmarkEnd w:id="464"/>
    <w:bookmarkEnd w:id="465"/>
    <w:bookmarkEnd w:id="466"/>
    <w:bookmarkEnd w:id="467"/>
    <w:p w14:paraId="4EA22C0B">
      <w:pPr>
        <w:keepNext/>
        <w:keepLines/>
        <w:spacing w:before="260" w:after="260" w:line="413" w:lineRule="auto"/>
        <w:outlineLvl w:val="1"/>
        <w:rPr>
          <w:rFonts w:ascii="Arial" w:hAnsi="Arial" w:eastAsia="黑体"/>
          <w:b/>
          <w:bCs/>
          <w:color w:val="auto"/>
          <w:sz w:val="32"/>
          <w:szCs w:val="32"/>
          <w:highlight w:val="none"/>
        </w:rPr>
      </w:pPr>
      <w:bookmarkStart w:id="490" w:name="_Toc78449810"/>
      <w:bookmarkStart w:id="491" w:name="_Toc1408286886"/>
      <w:bookmarkStart w:id="492" w:name="_Toc389065288"/>
      <w:bookmarkStart w:id="493" w:name="_Toc315674767"/>
      <w:bookmarkStart w:id="494" w:name="_Toc373227722"/>
      <w:bookmarkStart w:id="495" w:name="_Toc373478369"/>
      <w:bookmarkStart w:id="496" w:name="_Toc407135224"/>
      <w:bookmarkStart w:id="497" w:name="_Toc351203639"/>
      <w:r>
        <w:rPr>
          <w:rFonts w:ascii="Arial" w:hAnsi="Arial" w:eastAsia="黑体"/>
          <w:b/>
          <w:bCs/>
          <w:color w:val="auto"/>
          <w:sz w:val="32"/>
          <w:szCs w:val="32"/>
          <w:highlight w:val="none"/>
        </w:rPr>
        <w:t xml:space="preserve">7. </w:t>
      </w:r>
      <w:r>
        <w:rPr>
          <w:rFonts w:hint="eastAsia" w:ascii="Arial" w:hAnsi="Arial" w:eastAsia="黑体" w:cs="黑体"/>
          <w:b/>
          <w:bCs/>
          <w:color w:val="auto"/>
          <w:sz w:val="32"/>
          <w:szCs w:val="32"/>
          <w:highlight w:val="none"/>
        </w:rPr>
        <w:t>工期和进度</w:t>
      </w:r>
      <w:bookmarkEnd w:id="490"/>
      <w:bookmarkEnd w:id="491"/>
      <w:bookmarkEnd w:id="492"/>
      <w:bookmarkEnd w:id="493"/>
      <w:bookmarkEnd w:id="494"/>
      <w:bookmarkEnd w:id="495"/>
      <w:bookmarkEnd w:id="496"/>
      <w:bookmarkEnd w:id="497"/>
    </w:p>
    <w:p w14:paraId="03567D79">
      <w:pPr>
        <w:keepNext/>
        <w:keepLines/>
        <w:spacing w:line="600" w:lineRule="exact"/>
        <w:ind w:firstLine="643" w:firstLineChars="200"/>
        <w:outlineLvl w:val="2"/>
        <w:rPr>
          <w:b/>
          <w:bCs/>
          <w:color w:val="auto"/>
          <w:sz w:val="32"/>
          <w:szCs w:val="32"/>
          <w:highlight w:val="none"/>
        </w:rPr>
      </w:pPr>
      <w:bookmarkStart w:id="498" w:name="_Toc664905709"/>
      <w:bookmarkStart w:id="499" w:name="_Toc389065289"/>
      <w:bookmarkStart w:id="500" w:name="_Toc407135225"/>
      <w:bookmarkStart w:id="501" w:name="_Toc1194482517"/>
      <w:bookmarkStart w:id="502" w:name="_Toc373478370"/>
      <w:bookmarkStart w:id="503" w:name="_Toc373227723"/>
      <w:bookmarkStart w:id="504" w:name="_Toc78449811"/>
      <w:r>
        <w:rPr>
          <w:b/>
          <w:bCs/>
          <w:color w:val="auto"/>
          <w:sz w:val="32"/>
          <w:szCs w:val="32"/>
          <w:highlight w:val="none"/>
        </w:rPr>
        <w:t xml:space="preserve">7.1 </w:t>
      </w:r>
      <w:r>
        <w:rPr>
          <w:rFonts w:hint="eastAsia" w:cs="黑体"/>
          <w:b/>
          <w:bCs/>
          <w:color w:val="auto"/>
          <w:sz w:val="32"/>
          <w:szCs w:val="32"/>
          <w:highlight w:val="none"/>
        </w:rPr>
        <w:t>施工组织设计</w:t>
      </w:r>
      <w:bookmarkEnd w:id="498"/>
      <w:bookmarkEnd w:id="499"/>
      <w:bookmarkEnd w:id="500"/>
      <w:bookmarkEnd w:id="501"/>
      <w:bookmarkEnd w:id="502"/>
      <w:bookmarkEnd w:id="503"/>
      <w:bookmarkEnd w:id="504"/>
    </w:p>
    <w:p w14:paraId="6A9FC377">
      <w:pPr>
        <w:autoSpaceDE w:val="0"/>
        <w:autoSpaceDN w:val="0"/>
        <w:adjustRightInd w:val="0"/>
        <w:spacing w:line="360" w:lineRule="auto"/>
        <w:ind w:firstLine="420" w:firstLineChars="200"/>
        <w:jc w:val="left"/>
        <w:rPr>
          <w:color w:val="auto"/>
          <w:highlight w:val="none"/>
          <w:u w:val="single"/>
        </w:rPr>
      </w:pPr>
      <w:r>
        <w:rPr>
          <w:color w:val="auto"/>
          <w:highlight w:val="none"/>
        </w:rPr>
        <w:t xml:space="preserve">7.1.1 </w:t>
      </w:r>
      <w:r>
        <w:rPr>
          <w:rFonts w:hint="eastAsia" w:hAnsi="宋体" w:cs="宋体"/>
          <w:color w:val="auto"/>
          <w:highlight w:val="none"/>
        </w:rPr>
        <w:t>合</w:t>
      </w:r>
      <w:r>
        <w:rPr>
          <w:rFonts w:hint="eastAsia" w:hAnsi="宋体" w:cs="宋体"/>
          <w:color w:val="auto"/>
          <w:kern w:val="0"/>
          <w:highlight w:val="none"/>
        </w:rPr>
        <w:t>同当事人约定的施工组织设计应包括的其他内容：</w:t>
      </w:r>
      <w:r>
        <w:rPr>
          <w:rFonts w:hint="eastAsia" w:ascii="宋体" w:hAnsi="宋体" w:cs="宋体"/>
          <w:color w:val="auto"/>
          <w:highlight w:val="none"/>
          <w:u w:val="single"/>
        </w:rPr>
        <w:t>按招标文件约定，招标文件无约定的按通用合同条款或双方另行约定</w:t>
      </w:r>
      <w:r>
        <w:rPr>
          <w:rFonts w:hint="eastAsia" w:hAnsi="宋体" w:cs="宋体"/>
          <w:color w:val="auto"/>
          <w:highlight w:val="none"/>
        </w:rPr>
        <w:t>。</w:t>
      </w:r>
    </w:p>
    <w:p w14:paraId="15776595">
      <w:pPr>
        <w:autoSpaceDE w:val="0"/>
        <w:autoSpaceDN w:val="0"/>
        <w:adjustRightInd w:val="0"/>
        <w:spacing w:line="360" w:lineRule="auto"/>
        <w:ind w:firstLine="420" w:firstLineChars="200"/>
        <w:jc w:val="left"/>
        <w:rPr>
          <w:color w:val="auto"/>
          <w:kern w:val="0"/>
          <w:highlight w:val="none"/>
        </w:rPr>
      </w:pPr>
      <w:r>
        <w:rPr>
          <w:color w:val="auto"/>
          <w:highlight w:val="none"/>
        </w:rPr>
        <w:t xml:space="preserve">7.1.2 </w:t>
      </w:r>
      <w:r>
        <w:rPr>
          <w:rFonts w:hint="eastAsia" w:hAnsi="宋体" w:cs="宋体"/>
          <w:color w:val="auto"/>
          <w:kern w:val="0"/>
          <w:highlight w:val="none"/>
        </w:rPr>
        <w:t>施工组织设计的提交和修改</w:t>
      </w:r>
    </w:p>
    <w:p w14:paraId="298E3797">
      <w:pPr>
        <w:autoSpaceDE w:val="0"/>
        <w:autoSpaceDN w:val="0"/>
        <w:adjustRightInd w:val="0"/>
        <w:spacing w:line="360" w:lineRule="auto"/>
        <w:ind w:firstLine="420" w:firstLineChars="200"/>
        <w:jc w:val="left"/>
        <w:rPr>
          <w:color w:val="auto"/>
          <w:highlight w:val="none"/>
          <w:u w:val="single"/>
        </w:rPr>
      </w:pPr>
      <w:r>
        <w:rPr>
          <w:rFonts w:hint="eastAsia" w:hAnsi="宋体" w:cs="宋体"/>
          <w:color w:val="auto"/>
          <w:kern w:val="0"/>
          <w:highlight w:val="none"/>
        </w:rPr>
        <w:t>承包人提交详细施工组织设计的期限的约定：</w:t>
      </w:r>
      <w:r>
        <w:rPr>
          <w:rFonts w:hint="eastAsia"/>
          <w:color w:val="auto"/>
          <w:highlight w:val="none"/>
          <w:u w:val="single"/>
        </w:rPr>
        <w:t>承包人在图纸会审和设计交底之日起七天内提供施工组织设计（施工方案）和工程进度计划。发包人对合同签定后的施工组织设计的确认是对施工组织设计可行性的确认，并不是对所涉及费用的确认，施工组织设计属承包人自身的施工措施。承包人应对全部现场作业和施工方法的完备性、稳定性和安全性承担全部法律责任及经济责任。发包人的批准仅为本工程管理程序中的确认，不承担技术及其它责任</w:t>
      </w:r>
      <w:r>
        <w:rPr>
          <w:rFonts w:hint="eastAsia" w:hAnsi="宋体" w:cs="宋体"/>
          <w:color w:val="auto"/>
          <w:highlight w:val="none"/>
        </w:rPr>
        <w:t>。</w:t>
      </w:r>
    </w:p>
    <w:p w14:paraId="1FF51341">
      <w:pPr>
        <w:spacing w:line="360" w:lineRule="auto"/>
        <w:ind w:firstLine="420" w:firstLineChars="200"/>
        <w:jc w:val="left"/>
        <w:rPr>
          <w:color w:val="auto"/>
          <w:highlight w:val="none"/>
        </w:rPr>
      </w:pPr>
      <w:r>
        <w:rPr>
          <w:rFonts w:hint="eastAsia" w:hAnsi="宋体" w:cs="宋体"/>
          <w:color w:val="auto"/>
          <w:highlight w:val="none"/>
        </w:rPr>
        <w:t>发包人和监理人在收到详细的施工组织设计后确认或提出修改意见的期限：</w:t>
      </w:r>
      <w:r>
        <w:rPr>
          <w:rFonts w:hint="eastAsia" w:ascii="宋体" w:hAnsi="宋体" w:cs="宋体"/>
          <w:color w:val="auto"/>
          <w:highlight w:val="none"/>
          <w:u w:val="single"/>
        </w:rPr>
        <w:t>从收到承包人提供的施工组织设计（施工方案）之日起七天内予以确认，如有重大异议必须在收到上述资料之日起五天内以书面形式送达承包人，逾期不确认也不提出书面意见的，视为同意</w:t>
      </w:r>
      <w:r>
        <w:rPr>
          <w:rFonts w:hint="eastAsia" w:hAnsi="宋体" w:cs="宋体"/>
          <w:color w:val="auto"/>
          <w:highlight w:val="none"/>
        </w:rPr>
        <w:t>。</w:t>
      </w:r>
    </w:p>
    <w:p w14:paraId="578C0A5B">
      <w:pPr>
        <w:keepNext/>
        <w:keepLines/>
        <w:spacing w:line="600" w:lineRule="exact"/>
        <w:ind w:firstLine="643" w:firstLineChars="200"/>
        <w:outlineLvl w:val="2"/>
        <w:rPr>
          <w:b/>
          <w:bCs/>
          <w:color w:val="auto"/>
          <w:sz w:val="32"/>
          <w:szCs w:val="32"/>
          <w:highlight w:val="none"/>
        </w:rPr>
      </w:pPr>
      <w:bookmarkStart w:id="505" w:name="_Toc1674747833"/>
      <w:bookmarkStart w:id="506" w:name="_Toc389065290"/>
      <w:bookmarkStart w:id="507" w:name="_Toc1393005721"/>
      <w:bookmarkStart w:id="508" w:name="_Toc373227724"/>
      <w:bookmarkStart w:id="509" w:name="_Toc373478371"/>
      <w:bookmarkStart w:id="510" w:name="_Toc407135226"/>
      <w:bookmarkStart w:id="511" w:name="_Toc78449812"/>
      <w:r>
        <w:rPr>
          <w:b/>
          <w:bCs/>
          <w:color w:val="auto"/>
          <w:sz w:val="32"/>
          <w:szCs w:val="32"/>
          <w:highlight w:val="none"/>
        </w:rPr>
        <w:t>7</w:t>
      </w:r>
      <w:bookmarkStart w:id="512" w:name="_Toc300934966"/>
      <w:bookmarkStart w:id="513" w:name="_Toc303539123"/>
      <w:bookmarkStart w:id="514" w:name="_Toc304295541"/>
      <w:bookmarkStart w:id="515" w:name="_Toc297123514"/>
      <w:bookmarkStart w:id="516" w:name="_Toc312677479"/>
      <w:bookmarkStart w:id="517" w:name="_Toc312678005"/>
      <w:bookmarkStart w:id="518" w:name="_Toc297216173"/>
      <w:r>
        <w:rPr>
          <w:b/>
          <w:bCs/>
          <w:color w:val="auto"/>
          <w:sz w:val="32"/>
          <w:szCs w:val="32"/>
          <w:highlight w:val="none"/>
        </w:rPr>
        <w:t xml:space="preserve">.2 </w:t>
      </w:r>
      <w:r>
        <w:rPr>
          <w:rFonts w:hint="eastAsia" w:cs="黑体"/>
          <w:b/>
          <w:bCs/>
          <w:color w:val="auto"/>
          <w:sz w:val="32"/>
          <w:szCs w:val="32"/>
          <w:highlight w:val="none"/>
        </w:rPr>
        <w:t>施工进度计划</w:t>
      </w:r>
      <w:bookmarkEnd w:id="505"/>
      <w:bookmarkEnd w:id="506"/>
      <w:bookmarkEnd w:id="507"/>
      <w:bookmarkEnd w:id="508"/>
      <w:bookmarkEnd w:id="509"/>
      <w:bookmarkEnd w:id="510"/>
      <w:bookmarkEnd w:id="511"/>
    </w:p>
    <w:p w14:paraId="77A87A98">
      <w:pPr>
        <w:spacing w:line="360" w:lineRule="auto"/>
        <w:ind w:firstLine="420" w:firstLineChars="200"/>
        <w:jc w:val="left"/>
        <w:rPr>
          <w:color w:val="auto"/>
          <w:highlight w:val="none"/>
        </w:rPr>
      </w:pPr>
      <w:r>
        <w:rPr>
          <w:color w:val="auto"/>
          <w:highlight w:val="none"/>
        </w:rPr>
        <w:t xml:space="preserve">7.2.2 </w:t>
      </w:r>
      <w:r>
        <w:rPr>
          <w:rFonts w:hint="eastAsia" w:hAnsi="宋体" w:cs="宋体"/>
          <w:color w:val="auto"/>
          <w:highlight w:val="none"/>
        </w:rPr>
        <w:t>施工进度计划的修订</w:t>
      </w:r>
    </w:p>
    <w:p w14:paraId="07101F0D">
      <w:pPr>
        <w:spacing w:line="360" w:lineRule="auto"/>
        <w:ind w:firstLine="420" w:firstLineChars="200"/>
        <w:jc w:val="left"/>
        <w:rPr>
          <w:rFonts w:hAnsi="宋体" w:cs="宋体"/>
          <w:color w:val="auto"/>
          <w:highlight w:val="none"/>
        </w:rPr>
      </w:pPr>
      <w:r>
        <w:rPr>
          <w:rFonts w:hint="eastAsia" w:hAnsi="宋体" w:cs="宋体"/>
          <w:color w:val="auto"/>
          <w:highlight w:val="none"/>
        </w:rPr>
        <w:t>发包人和监理人在收到修订的施工进度计划后确认或提出修改意见的期限：</w:t>
      </w:r>
      <w:r>
        <w:rPr>
          <w:rFonts w:hint="eastAsia" w:ascii="宋体" w:hAnsi="宋体" w:cs="宋体"/>
          <w:color w:val="auto"/>
          <w:highlight w:val="none"/>
          <w:u w:val="single"/>
        </w:rPr>
        <w:t>收到之后3日内</w:t>
      </w:r>
      <w:r>
        <w:rPr>
          <w:rFonts w:hint="eastAsia" w:hAnsi="宋体" w:cs="宋体"/>
          <w:color w:val="auto"/>
          <w:highlight w:val="none"/>
        </w:rPr>
        <w:t>。</w:t>
      </w:r>
    </w:p>
    <w:p w14:paraId="6D0DE3E5">
      <w:pPr>
        <w:spacing w:line="360" w:lineRule="auto"/>
        <w:ind w:firstLine="420" w:firstLineChars="200"/>
        <w:jc w:val="left"/>
        <w:rPr>
          <w:rFonts w:hAnsi="宋体" w:cs="宋体"/>
          <w:color w:val="auto"/>
          <w:highlight w:val="none"/>
        </w:rPr>
      </w:pPr>
      <w:r>
        <w:rPr>
          <w:rFonts w:hint="eastAsia" w:hAnsi="宋体" w:cs="宋体"/>
          <w:color w:val="auto"/>
          <w:highlight w:val="none"/>
        </w:rPr>
        <w:t>7.2.3承包人须根据发包人和监理人确认的施工总进度计划按月做出施工月进度计划报监理人和发包人，施工月进度计划须符合施工总进度计划的控制节点。如果当月施工进度与总进度计划有滞后，须在下月进行滞后纠偏。如果纠偏不到位，发包人有权对承包人进行处罚，处罚金额为2000~20000元（人民币）/次，如果出现连续三个月处罚，发包人有权要求承包人更换项目经理或主管生产的负责人。</w:t>
      </w:r>
    </w:p>
    <w:p w14:paraId="3F727422">
      <w:pPr>
        <w:spacing w:line="360" w:lineRule="auto"/>
        <w:ind w:firstLine="420" w:firstLineChars="200"/>
        <w:jc w:val="left"/>
        <w:rPr>
          <w:rFonts w:hAnsi="宋体" w:cs="宋体"/>
          <w:color w:val="auto"/>
          <w:highlight w:val="none"/>
        </w:rPr>
      </w:pPr>
      <w:r>
        <w:rPr>
          <w:rFonts w:hint="eastAsia" w:hAnsi="宋体" w:cs="宋体"/>
          <w:color w:val="auto"/>
          <w:highlight w:val="none"/>
        </w:rPr>
        <w:t>7.2.4承包人须在发包人开出罚款通知书即日起七个工作日内，到发包人的财务部门缴纳相应的罚款，若逾期未缴纳罚款，发包人有权停止拨付当月或下月的工程进度款，所造成的责任由承包人承担。</w:t>
      </w:r>
    </w:p>
    <w:p w14:paraId="552E44D3">
      <w:pPr>
        <w:keepNext/>
        <w:keepLines/>
        <w:spacing w:line="600" w:lineRule="exact"/>
        <w:ind w:firstLine="643" w:firstLineChars="200"/>
        <w:outlineLvl w:val="2"/>
        <w:rPr>
          <w:b/>
          <w:bCs/>
          <w:color w:val="auto"/>
          <w:sz w:val="32"/>
          <w:szCs w:val="32"/>
          <w:highlight w:val="none"/>
        </w:rPr>
      </w:pPr>
      <w:bookmarkStart w:id="519" w:name="_Toc389065291"/>
      <w:bookmarkStart w:id="520" w:name="_Toc1498273563"/>
      <w:bookmarkStart w:id="521" w:name="_Toc407135227"/>
      <w:bookmarkStart w:id="522" w:name="_Toc373227725"/>
      <w:bookmarkStart w:id="523" w:name="_Toc373478372"/>
      <w:bookmarkStart w:id="524" w:name="_Toc423062567"/>
      <w:bookmarkStart w:id="525" w:name="_Toc78449813"/>
      <w:r>
        <w:rPr>
          <w:b/>
          <w:bCs/>
          <w:color w:val="auto"/>
          <w:sz w:val="32"/>
          <w:szCs w:val="32"/>
          <w:highlight w:val="none"/>
        </w:rPr>
        <w:t xml:space="preserve">7.3 </w:t>
      </w:r>
      <w:r>
        <w:rPr>
          <w:rFonts w:hint="eastAsia" w:cs="黑体"/>
          <w:b/>
          <w:bCs/>
          <w:color w:val="auto"/>
          <w:sz w:val="32"/>
          <w:szCs w:val="32"/>
          <w:highlight w:val="none"/>
        </w:rPr>
        <w:t>开工</w:t>
      </w:r>
      <w:bookmarkEnd w:id="519"/>
      <w:bookmarkEnd w:id="520"/>
      <w:bookmarkEnd w:id="521"/>
      <w:bookmarkEnd w:id="522"/>
      <w:bookmarkEnd w:id="523"/>
      <w:bookmarkEnd w:id="524"/>
      <w:bookmarkEnd w:id="525"/>
    </w:p>
    <w:p w14:paraId="1680B0CF">
      <w:pPr>
        <w:spacing w:line="360" w:lineRule="auto"/>
        <w:ind w:firstLine="420" w:firstLineChars="200"/>
        <w:jc w:val="left"/>
        <w:rPr>
          <w:color w:val="auto"/>
          <w:highlight w:val="none"/>
        </w:rPr>
      </w:pPr>
      <w:r>
        <w:rPr>
          <w:color w:val="auto"/>
          <w:highlight w:val="none"/>
        </w:rPr>
        <w:t xml:space="preserve">7.3.1 </w:t>
      </w:r>
      <w:r>
        <w:rPr>
          <w:rFonts w:hint="eastAsia" w:hAnsi="宋体" w:cs="宋体"/>
          <w:color w:val="auto"/>
          <w:highlight w:val="none"/>
        </w:rPr>
        <w:t>开工准备</w:t>
      </w:r>
    </w:p>
    <w:p w14:paraId="0E6212C7">
      <w:pPr>
        <w:spacing w:line="360" w:lineRule="auto"/>
        <w:ind w:firstLine="426"/>
        <w:jc w:val="left"/>
        <w:rPr>
          <w:color w:val="auto"/>
          <w:highlight w:val="none"/>
          <w:u w:val="single"/>
        </w:rPr>
      </w:pPr>
      <w:r>
        <w:rPr>
          <w:rFonts w:hint="eastAsia" w:hAnsi="宋体" w:cs="宋体"/>
          <w:color w:val="auto"/>
          <w:highlight w:val="none"/>
        </w:rPr>
        <w:t>关于承包人提交</w:t>
      </w:r>
      <w:r>
        <w:rPr>
          <w:rFonts w:hint="eastAsia" w:hAnsi="宋体" w:cs="宋体"/>
          <w:color w:val="auto"/>
          <w:kern w:val="0"/>
          <w:highlight w:val="none"/>
        </w:rPr>
        <w:t>工程开工报审表的期限：</w:t>
      </w:r>
      <w:r>
        <w:rPr>
          <w:rFonts w:hint="eastAsia" w:ascii="宋体" w:hAnsi="宋体" w:cs="宋体"/>
          <w:color w:val="auto"/>
          <w:highlight w:val="none"/>
          <w:u w:val="single"/>
        </w:rPr>
        <w:t>承包人在图纸会审和设计交底之日起7天内报送</w:t>
      </w:r>
      <w:r>
        <w:rPr>
          <w:rFonts w:hint="eastAsia" w:hAnsi="宋体" w:cs="宋体"/>
          <w:color w:val="auto"/>
          <w:highlight w:val="none"/>
        </w:rPr>
        <w:t>。</w:t>
      </w:r>
    </w:p>
    <w:p w14:paraId="2F344AB2">
      <w:pPr>
        <w:spacing w:line="360" w:lineRule="auto"/>
        <w:ind w:firstLine="426"/>
        <w:jc w:val="left"/>
        <w:rPr>
          <w:color w:val="auto"/>
          <w:highlight w:val="none"/>
          <w:u w:val="single"/>
        </w:rPr>
      </w:pPr>
      <w:r>
        <w:rPr>
          <w:rFonts w:hint="eastAsia" w:hAnsi="宋体" w:cs="宋体"/>
          <w:color w:val="auto"/>
          <w:highlight w:val="none"/>
        </w:rPr>
        <w:t>关于发包人应完成的其他开工准备工作及期限：</w:t>
      </w:r>
      <w:r>
        <w:rPr>
          <w:rFonts w:hint="eastAsia" w:ascii="宋体" w:hAnsi="宋体" w:cs="宋体"/>
          <w:color w:val="auto"/>
          <w:highlight w:val="none"/>
          <w:u w:val="single"/>
        </w:rPr>
        <w:t>按本合同《通用条款》相关规定执行</w:t>
      </w:r>
      <w:r>
        <w:rPr>
          <w:rFonts w:hint="eastAsia" w:hAnsi="宋体" w:cs="宋体"/>
          <w:color w:val="auto"/>
          <w:highlight w:val="none"/>
        </w:rPr>
        <w:t>。</w:t>
      </w:r>
    </w:p>
    <w:p w14:paraId="3CE95A3E">
      <w:pPr>
        <w:spacing w:line="360" w:lineRule="auto"/>
        <w:ind w:firstLine="420" w:firstLineChars="200"/>
        <w:jc w:val="left"/>
        <w:rPr>
          <w:color w:val="auto"/>
          <w:highlight w:val="none"/>
          <w:u w:val="single"/>
        </w:rPr>
      </w:pPr>
      <w:r>
        <w:rPr>
          <w:rFonts w:hint="eastAsia" w:hAnsi="宋体" w:cs="宋体"/>
          <w:color w:val="auto"/>
          <w:highlight w:val="none"/>
        </w:rPr>
        <w:t>关于承包人应完成的其他开工准备工作及期限：</w:t>
      </w:r>
      <w:r>
        <w:rPr>
          <w:rFonts w:hint="eastAsia" w:ascii="宋体" w:hAnsi="宋体" w:cs="宋体"/>
          <w:color w:val="auto"/>
          <w:highlight w:val="none"/>
          <w:u w:val="single"/>
        </w:rPr>
        <w:t>按本合同《通用条款》相关规定执行</w:t>
      </w:r>
      <w:r>
        <w:rPr>
          <w:rFonts w:hint="eastAsia" w:hAnsi="宋体" w:cs="宋体"/>
          <w:color w:val="auto"/>
          <w:highlight w:val="none"/>
        </w:rPr>
        <w:t>。</w:t>
      </w:r>
    </w:p>
    <w:p w14:paraId="4B68399B">
      <w:pPr>
        <w:spacing w:line="360" w:lineRule="auto"/>
        <w:ind w:firstLine="420" w:firstLineChars="200"/>
        <w:jc w:val="left"/>
        <w:rPr>
          <w:color w:val="auto"/>
          <w:highlight w:val="none"/>
        </w:rPr>
      </w:pPr>
      <w:r>
        <w:rPr>
          <w:color w:val="auto"/>
          <w:highlight w:val="none"/>
        </w:rPr>
        <w:t xml:space="preserve">7.3.2 </w:t>
      </w:r>
      <w:r>
        <w:rPr>
          <w:rFonts w:hint="eastAsia" w:hAnsi="宋体" w:cs="宋体"/>
          <w:color w:val="auto"/>
          <w:highlight w:val="none"/>
        </w:rPr>
        <w:t>开工通知</w:t>
      </w:r>
    </w:p>
    <w:p w14:paraId="200AFF1A">
      <w:pPr>
        <w:spacing w:line="360" w:lineRule="auto"/>
        <w:ind w:firstLine="420" w:firstLineChars="200"/>
        <w:jc w:val="left"/>
        <w:rPr>
          <w:color w:val="auto"/>
          <w:highlight w:val="none"/>
        </w:rPr>
      </w:pPr>
      <w:r>
        <w:rPr>
          <w:rFonts w:hint="eastAsia" w:hAnsi="宋体" w:cs="宋体"/>
          <w:color w:val="auto"/>
          <w:highlight w:val="none"/>
        </w:rPr>
        <w:t>因发包人原因造成监理人未能在计划开工日期之日起</w:t>
      </w:r>
      <w:r>
        <w:rPr>
          <w:rFonts w:hint="eastAsia"/>
          <w:color w:val="auto"/>
          <w:highlight w:val="none"/>
          <w:u w:val="single"/>
        </w:rPr>
        <w:t>90</w:t>
      </w:r>
      <w:r>
        <w:rPr>
          <w:rFonts w:hint="eastAsia" w:hAnsi="宋体" w:cs="宋体"/>
          <w:color w:val="auto"/>
          <w:highlight w:val="none"/>
        </w:rPr>
        <w:t>天内发出开工通知的，承包人有权提出价格调整要求，或者解除合同。</w:t>
      </w:r>
    </w:p>
    <w:bookmarkEnd w:id="512"/>
    <w:bookmarkEnd w:id="513"/>
    <w:bookmarkEnd w:id="514"/>
    <w:bookmarkEnd w:id="515"/>
    <w:bookmarkEnd w:id="516"/>
    <w:bookmarkEnd w:id="517"/>
    <w:bookmarkEnd w:id="518"/>
    <w:p w14:paraId="372D3932">
      <w:pPr>
        <w:keepNext/>
        <w:keepLines/>
        <w:spacing w:line="600" w:lineRule="exact"/>
        <w:ind w:firstLine="643" w:firstLineChars="200"/>
        <w:outlineLvl w:val="2"/>
        <w:rPr>
          <w:b/>
          <w:bCs/>
          <w:color w:val="auto"/>
          <w:sz w:val="32"/>
          <w:szCs w:val="32"/>
          <w:highlight w:val="none"/>
        </w:rPr>
      </w:pPr>
      <w:bookmarkStart w:id="526" w:name="_Toc407135228"/>
      <w:bookmarkStart w:id="527" w:name="_Toc78449814"/>
      <w:bookmarkStart w:id="528" w:name="_Toc86855608"/>
      <w:bookmarkStart w:id="529" w:name="_Toc373478373"/>
      <w:bookmarkStart w:id="530" w:name="_Toc389065292"/>
      <w:bookmarkStart w:id="531" w:name="_Toc373227726"/>
      <w:bookmarkStart w:id="532" w:name="_Toc741356765"/>
      <w:r>
        <w:rPr>
          <w:b/>
          <w:bCs/>
          <w:color w:val="auto"/>
          <w:sz w:val="32"/>
          <w:szCs w:val="32"/>
          <w:highlight w:val="none"/>
        </w:rPr>
        <w:t xml:space="preserve">7.4 </w:t>
      </w:r>
      <w:r>
        <w:rPr>
          <w:rFonts w:hint="eastAsia" w:hAnsi="宋体" w:cs="黑体"/>
          <w:b/>
          <w:bCs/>
          <w:color w:val="auto"/>
          <w:sz w:val="32"/>
          <w:szCs w:val="32"/>
          <w:highlight w:val="none"/>
        </w:rPr>
        <w:t>测量放线</w:t>
      </w:r>
      <w:bookmarkEnd w:id="526"/>
      <w:bookmarkEnd w:id="527"/>
      <w:bookmarkEnd w:id="528"/>
      <w:bookmarkEnd w:id="529"/>
      <w:bookmarkEnd w:id="530"/>
      <w:bookmarkEnd w:id="531"/>
      <w:bookmarkEnd w:id="532"/>
    </w:p>
    <w:p w14:paraId="661DDF40">
      <w:pPr>
        <w:spacing w:line="360" w:lineRule="auto"/>
        <w:ind w:firstLine="420" w:firstLineChars="200"/>
        <w:jc w:val="left"/>
        <w:rPr>
          <w:rFonts w:hAnsi="宋体"/>
          <w:color w:val="auto"/>
          <w:highlight w:val="none"/>
        </w:rPr>
      </w:pPr>
      <w:r>
        <w:rPr>
          <w:color w:val="auto"/>
          <w:highlight w:val="none"/>
        </w:rPr>
        <w:t>7.4.1</w:t>
      </w:r>
      <w:r>
        <w:rPr>
          <w:rFonts w:hint="eastAsia" w:hAnsi="宋体" w:cs="宋体"/>
          <w:color w:val="auto"/>
          <w:highlight w:val="none"/>
        </w:rPr>
        <w:t>发包人通过监理人向承包人提供测量基准点、基准线和水准点及其书面资料的期限：</w:t>
      </w:r>
    </w:p>
    <w:p w14:paraId="27C934B6">
      <w:pPr>
        <w:spacing w:line="360" w:lineRule="auto"/>
        <w:jc w:val="left"/>
        <w:rPr>
          <w:color w:val="auto"/>
          <w:highlight w:val="none"/>
          <w:u w:val="single"/>
        </w:rPr>
      </w:pPr>
      <w:r>
        <w:rPr>
          <w:rFonts w:hint="eastAsia" w:ascii="宋体" w:hAnsi="宋体" w:cs="宋体"/>
          <w:color w:val="auto"/>
          <w:highlight w:val="none"/>
          <w:u w:val="single"/>
        </w:rPr>
        <w:t>开工前 7 天，以书面形式交给承包人，双方现场进行交验</w:t>
      </w:r>
      <w:r>
        <w:rPr>
          <w:rFonts w:hint="eastAsia" w:hAnsi="宋体" w:cs="宋体"/>
          <w:color w:val="auto"/>
          <w:highlight w:val="none"/>
        </w:rPr>
        <w:t>。</w:t>
      </w:r>
    </w:p>
    <w:p w14:paraId="7FCF0C18">
      <w:pPr>
        <w:keepNext/>
        <w:keepLines/>
        <w:spacing w:line="600" w:lineRule="exact"/>
        <w:ind w:firstLine="643" w:firstLineChars="200"/>
        <w:outlineLvl w:val="2"/>
        <w:rPr>
          <w:b/>
          <w:bCs/>
          <w:color w:val="auto"/>
          <w:sz w:val="32"/>
          <w:szCs w:val="32"/>
          <w:highlight w:val="none"/>
        </w:rPr>
      </w:pPr>
      <w:bookmarkStart w:id="533" w:name="_Toc407135229"/>
      <w:bookmarkStart w:id="534" w:name="_Toc78449815"/>
      <w:bookmarkStart w:id="535" w:name="_Toc1863025072"/>
      <w:bookmarkStart w:id="536" w:name="_Toc373478374"/>
      <w:bookmarkStart w:id="537" w:name="_Toc1417437583"/>
      <w:bookmarkStart w:id="538" w:name="_Toc389065293"/>
      <w:bookmarkStart w:id="539" w:name="_Toc373227727"/>
      <w:r>
        <w:rPr>
          <w:b/>
          <w:bCs/>
          <w:color w:val="auto"/>
          <w:sz w:val="32"/>
          <w:szCs w:val="32"/>
          <w:highlight w:val="none"/>
        </w:rPr>
        <w:t>7</w:t>
      </w:r>
      <w:bookmarkStart w:id="540" w:name="_Toc297216175"/>
      <w:bookmarkStart w:id="541" w:name="_Toc300934968"/>
      <w:bookmarkStart w:id="542" w:name="_Toc303539125"/>
      <w:bookmarkStart w:id="543" w:name="_Toc304295546"/>
      <w:bookmarkStart w:id="544" w:name="_Toc312678010"/>
      <w:bookmarkStart w:id="545" w:name="_Toc312677484"/>
      <w:bookmarkStart w:id="546" w:name="_Toc297123516"/>
      <w:r>
        <w:rPr>
          <w:b/>
          <w:bCs/>
          <w:color w:val="auto"/>
          <w:sz w:val="32"/>
          <w:szCs w:val="32"/>
          <w:highlight w:val="none"/>
        </w:rPr>
        <w:t xml:space="preserve">.5 </w:t>
      </w:r>
      <w:r>
        <w:rPr>
          <w:rFonts w:hint="eastAsia" w:hAnsi="宋体" w:cs="黑体"/>
          <w:b/>
          <w:bCs/>
          <w:color w:val="auto"/>
          <w:sz w:val="32"/>
          <w:szCs w:val="32"/>
          <w:highlight w:val="none"/>
        </w:rPr>
        <w:t>工期延误</w:t>
      </w:r>
      <w:bookmarkEnd w:id="533"/>
      <w:bookmarkEnd w:id="534"/>
      <w:bookmarkEnd w:id="535"/>
      <w:bookmarkEnd w:id="536"/>
      <w:bookmarkEnd w:id="537"/>
      <w:bookmarkEnd w:id="538"/>
      <w:bookmarkEnd w:id="539"/>
    </w:p>
    <w:bookmarkEnd w:id="540"/>
    <w:bookmarkEnd w:id="541"/>
    <w:bookmarkEnd w:id="542"/>
    <w:bookmarkEnd w:id="543"/>
    <w:bookmarkEnd w:id="544"/>
    <w:bookmarkEnd w:id="545"/>
    <w:bookmarkEnd w:id="546"/>
    <w:p w14:paraId="7CDD3CBD">
      <w:pPr>
        <w:spacing w:line="360" w:lineRule="auto"/>
        <w:ind w:firstLine="420" w:firstLineChars="200"/>
        <w:jc w:val="left"/>
        <w:rPr>
          <w:color w:val="auto"/>
          <w:highlight w:val="none"/>
        </w:rPr>
      </w:pPr>
      <w:r>
        <w:rPr>
          <w:color w:val="auto"/>
          <w:highlight w:val="none"/>
        </w:rPr>
        <w:t xml:space="preserve">7.5.1 </w:t>
      </w:r>
      <w:r>
        <w:rPr>
          <w:rFonts w:hint="eastAsia" w:hAnsi="宋体" w:cs="宋体"/>
          <w:color w:val="auto"/>
          <w:highlight w:val="none"/>
        </w:rPr>
        <w:t>因发包人原因导致工期延误</w:t>
      </w:r>
    </w:p>
    <w:p w14:paraId="0F0FD3EB">
      <w:pPr>
        <w:spacing w:line="360" w:lineRule="auto"/>
        <w:ind w:firstLine="420" w:firstLineChars="200"/>
        <w:jc w:val="left"/>
        <w:rPr>
          <w:color w:val="auto"/>
          <w:highlight w:val="none"/>
          <w:u w:val="single"/>
        </w:rPr>
      </w:pPr>
      <w:r>
        <w:rPr>
          <w:rFonts w:hint="eastAsia" w:hAnsi="宋体" w:cs="宋体"/>
          <w:color w:val="auto"/>
          <w:highlight w:val="none"/>
        </w:rPr>
        <w:t>（</w:t>
      </w:r>
      <w:r>
        <w:rPr>
          <w:color w:val="auto"/>
          <w:highlight w:val="none"/>
        </w:rPr>
        <w:t>7</w:t>
      </w:r>
      <w:r>
        <w:rPr>
          <w:rFonts w:hint="eastAsia" w:hAnsi="宋体" w:cs="宋体"/>
          <w:color w:val="auto"/>
          <w:highlight w:val="none"/>
        </w:rPr>
        <w:t>）因发包人原因导致工期延误的其他情形：</w:t>
      </w:r>
      <w:r>
        <w:rPr>
          <w:rFonts w:hint="eastAsia" w:ascii="宋体" w:hAnsi="宋体" w:cs="宋体"/>
          <w:color w:val="auto"/>
          <w:szCs w:val="21"/>
          <w:highlight w:val="none"/>
          <w:u w:val="single"/>
        </w:rPr>
        <w:t>①重大图纸变更（涉及使用功能、建筑平面布置、结构形式、建设规模等变更）影响关健线路工序施工；②施工期间如因停电、停水连续8小时以上影响正常施工的；③政府指令该项目停工；④在施工过程中遇到地下水、地下障碍物、淤泥、流砂、溶洞、岩石、文物或地下管线或地基处理等影响关健线路工序施工的；⑤因发包人未能及时确认变更价格或甲供材料提供延误的；⑥不可抗力造成的工期延误情形；⑦因发包人原因造成的延误开工、施工障碍、停建、缓建等情况；⑧发包人未能按专用条款的约定提供图纸及开工条件；⑨政府重大活动发布要求停工命令（东盟博览会、中高考期间除外）</w:t>
      </w:r>
      <w:r>
        <w:rPr>
          <w:rFonts w:hint="eastAsia" w:hAnsi="宋体" w:cs="宋体"/>
          <w:color w:val="auto"/>
          <w:highlight w:val="none"/>
        </w:rPr>
        <w:t>。</w:t>
      </w:r>
    </w:p>
    <w:p w14:paraId="2B8A73D5">
      <w:pPr>
        <w:spacing w:line="360" w:lineRule="auto"/>
        <w:ind w:firstLine="420" w:firstLineChars="200"/>
        <w:jc w:val="left"/>
        <w:rPr>
          <w:color w:val="auto"/>
          <w:highlight w:val="none"/>
        </w:rPr>
      </w:pPr>
      <w:r>
        <w:rPr>
          <w:color w:val="auto"/>
          <w:highlight w:val="none"/>
        </w:rPr>
        <w:t>7</w:t>
      </w:r>
      <w:bookmarkStart w:id="547" w:name="_Toc312678012"/>
      <w:bookmarkStart w:id="548" w:name="_Toc312677486"/>
      <w:bookmarkStart w:id="549" w:name="_Toc318581169"/>
      <w:bookmarkStart w:id="550" w:name="_Toc297216177"/>
      <w:bookmarkStart w:id="551" w:name="_Toc297123518"/>
      <w:bookmarkStart w:id="552" w:name="_Toc300934970"/>
      <w:bookmarkStart w:id="553" w:name="_Toc303539127"/>
      <w:bookmarkStart w:id="554" w:name="_Toc304295548"/>
      <w:r>
        <w:rPr>
          <w:color w:val="auto"/>
          <w:highlight w:val="none"/>
        </w:rPr>
        <w:t xml:space="preserve">.5.2 </w:t>
      </w:r>
      <w:r>
        <w:rPr>
          <w:rFonts w:hint="eastAsia" w:hAnsi="宋体" w:cs="宋体"/>
          <w:color w:val="auto"/>
          <w:highlight w:val="none"/>
        </w:rPr>
        <w:t>因承包人原因导致工期延误</w:t>
      </w:r>
    </w:p>
    <w:bookmarkEnd w:id="547"/>
    <w:bookmarkEnd w:id="548"/>
    <w:bookmarkEnd w:id="549"/>
    <w:p w14:paraId="5E58D314">
      <w:pPr>
        <w:spacing w:line="360" w:lineRule="auto"/>
        <w:ind w:firstLine="420" w:firstLineChars="200"/>
        <w:jc w:val="left"/>
        <w:rPr>
          <w:color w:val="auto"/>
          <w:highlight w:val="none"/>
        </w:rPr>
      </w:pPr>
      <w:r>
        <w:rPr>
          <w:rFonts w:hint="eastAsia" w:hAnsi="宋体" w:cs="宋体"/>
          <w:color w:val="auto"/>
          <w:highlight w:val="none"/>
        </w:rPr>
        <w:t>双方约定经监理工程师确认，工期相应顺延的情况：</w:t>
      </w:r>
      <w:r>
        <w:rPr>
          <w:rFonts w:hint="eastAsia" w:ascii="宋体" w:hAnsi="宋体" w:cs="宋体"/>
          <w:color w:val="auto"/>
          <w:highlight w:val="none"/>
          <w:u w:val="single"/>
        </w:rPr>
        <w:t>不可抗拒力的原因或其他非承包人原因（如施工期间再次出现疫情严重，导致再次停工（以政府相关部门通知为准），导致合同工期延误的，按本合同相关条款执行，合同未约定或约定不明的参照《自治区住房城乡建设厅关于新冠肺炎疫情防控期间建设工程计价的指导意见》的第一款执行）</w:t>
      </w:r>
      <w:r>
        <w:rPr>
          <w:rFonts w:hint="eastAsia" w:hAnsi="宋体" w:cs="宋体"/>
          <w:color w:val="auto"/>
          <w:highlight w:val="none"/>
        </w:rPr>
        <w:t>。</w:t>
      </w:r>
    </w:p>
    <w:p w14:paraId="4D949A60">
      <w:pPr>
        <w:spacing w:line="360" w:lineRule="auto"/>
        <w:ind w:firstLine="420" w:firstLineChars="200"/>
        <w:jc w:val="left"/>
        <w:rPr>
          <w:rFonts w:ascii="宋体" w:hAnsi="宋体" w:cs="宋体"/>
          <w:bCs/>
          <w:color w:val="auto"/>
          <w:highlight w:val="none"/>
          <w:u w:val="single"/>
        </w:rPr>
      </w:pPr>
      <w:r>
        <w:rPr>
          <w:rFonts w:hint="eastAsia" w:hAnsi="宋体" w:cs="宋体"/>
          <w:color w:val="auto"/>
          <w:highlight w:val="none"/>
        </w:rPr>
        <w:t>因</w:t>
      </w:r>
      <w:bookmarkStart w:id="555" w:name="_Toc312678013"/>
      <w:bookmarkStart w:id="556" w:name="_Toc318581170"/>
      <w:bookmarkStart w:id="557" w:name="_Toc312677487"/>
      <w:r>
        <w:rPr>
          <w:rFonts w:hint="eastAsia" w:hAnsi="宋体" w:cs="宋体"/>
          <w:color w:val="auto"/>
          <w:highlight w:val="none"/>
        </w:rPr>
        <w:t>承包人原因造成工期延误，逾期竣工违约金的计算方法为：</w:t>
      </w:r>
      <w:r>
        <w:rPr>
          <w:rFonts w:hint="eastAsia" w:ascii="宋体" w:hAnsi="宋体" w:cs="宋体"/>
          <w:bCs/>
          <w:color w:val="auto"/>
          <w:highlight w:val="none"/>
          <w:u w:val="single"/>
        </w:rPr>
        <w:t>承包人不能按合同约定的时间竣工，承包人应承担违约责任。应向发包人支付误期违约金（每天违约金额为合同价款的千分之五），误期时间从规定竣工日期起直到全部工程竣工验收各方签章日期之间的天数（扣除发包人批准顺延的工期）。发包人可从应向承包人支付的任何金额中扣除此项违约金或其他方式收回此款，此违约金的支付并不能解除承包人应完成工程的责任或合同规定的其他责任。工期延误超过30天，发包人有权单方解除合同，并要求承包人赔偿发包人损失并承担其他相关法律责任</w:t>
      </w:r>
      <w:bookmarkEnd w:id="550"/>
      <w:bookmarkEnd w:id="551"/>
      <w:bookmarkEnd w:id="552"/>
      <w:bookmarkEnd w:id="553"/>
      <w:bookmarkEnd w:id="554"/>
      <w:bookmarkEnd w:id="555"/>
      <w:bookmarkEnd w:id="556"/>
      <w:bookmarkEnd w:id="557"/>
      <w:bookmarkStart w:id="558" w:name="_Toc318581171"/>
      <w:bookmarkStart w:id="559" w:name="_Toc312678014"/>
      <w:r>
        <w:rPr>
          <w:rFonts w:hint="eastAsia" w:ascii="宋体" w:hAnsi="宋体" w:cs="宋体"/>
          <w:bCs/>
          <w:color w:val="auto"/>
          <w:highlight w:val="none"/>
          <w:u w:val="single"/>
        </w:rPr>
        <w:t>。</w:t>
      </w:r>
    </w:p>
    <w:p w14:paraId="5E9F33DB">
      <w:pPr>
        <w:spacing w:line="360" w:lineRule="auto"/>
        <w:ind w:firstLine="420" w:firstLineChars="200"/>
        <w:jc w:val="left"/>
        <w:rPr>
          <w:rFonts w:ascii="宋体" w:hAnsi="宋体" w:cs="宋体"/>
          <w:bCs/>
          <w:color w:val="auto"/>
          <w:highlight w:val="none"/>
          <w:u w:val="single"/>
        </w:rPr>
      </w:pPr>
      <w:r>
        <w:rPr>
          <w:rFonts w:hint="eastAsia" w:ascii="宋体" w:hAnsi="宋体" w:cs="宋体"/>
          <w:bCs/>
          <w:color w:val="auto"/>
          <w:highlight w:val="none"/>
          <w:u w:val="single"/>
        </w:rPr>
        <w:t>因承包人原因造成工期延误，逾期竣工违约金的上限：本合同工程结算造价的2%。</w:t>
      </w:r>
    </w:p>
    <w:p w14:paraId="6BEFFC20">
      <w:pPr>
        <w:widowControl/>
        <w:autoSpaceDE w:val="0"/>
        <w:autoSpaceDN w:val="0"/>
        <w:spacing w:line="400" w:lineRule="exact"/>
        <w:ind w:firstLine="422" w:firstLineChars="200"/>
        <w:jc w:val="left"/>
        <w:outlineLvl w:val="2"/>
        <w:rPr>
          <w:rFonts w:ascii="宋体" w:hAnsi="宋体" w:cs="宋体"/>
          <w:color w:val="auto"/>
          <w:szCs w:val="21"/>
          <w:highlight w:val="none"/>
        </w:rPr>
      </w:pPr>
      <w:r>
        <w:rPr>
          <w:rFonts w:hint="eastAsia" w:ascii="宋体" w:hAnsi="宋体" w:cs="宋体"/>
          <w:b/>
          <w:color w:val="auto"/>
          <w:highlight w:val="none"/>
        </w:rPr>
        <w:t>合同工期延误措施：</w:t>
      </w:r>
      <w:r>
        <w:rPr>
          <w:rFonts w:hint="eastAsia" w:ascii="宋体" w:hAnsi="宋体" w:cs="宋体"/>
          <w:b/>
          <w:color w:val="auto"/>
          <w:szCs w:val="21"/>
          <w:highlight w:val="none"/>
        </w:rPr>
        <w:t>（</w:t>
      </w:r>
      <w:r>
        <w:rPr>
          <w:rFonts w:hint="eastAsia" w:ascii="宋体" w:hAnsi="宋体" w:cs="宋体"/>
          <w:color w:val="auto"/>
          <w:szCs w:val="21"/>
          <w:highlight w:val="none"/>
        </w:rPr>
        <w:t>1）因承包人原因导致工期延误15天以内的，发包人有权扣除</w:t>
      </w:r>
      <w:r>
        <w:rPr>
          <w:rFonts w:hint="eastAsia" w:ascii="宋体" w:hAnsi="宋体" w:cs="宋体"/>
          <w:bCs/>
          <w:color w:val="auto"/>
          <w:highlight w:val="none"/>
          <w:u w:val="single"/>
        </w:rPr>
        <w:t>本合同工程结算造价的1%</w:t>
      </w:r>
      <w:r>
        <w:rPr>
          <w:rFonts w:hint="eastAsia" w:ascii="宋体" w:hAnsi="宋体" w:cs="宋体"/>
          <w:color w:val="auto"/>
          <w:szCs w:val="21"/>
          <w:highlight w:val="none"/>
        </w:rPr>
        <w:t>，扣除后，方可继续施工。</w:t>
      </w:r>
    </w:p>
    <w:p w14:paraId="7B77819D">
      <w:pPr>
        <w:widowControl/>
        <w:spacing w:line="400" w:lineRule="exact"/>
        <w:ind w:firstLine="393"/>
        <w:rPr>
          <w:rFonts w:ascii="宋体" w:hAnsi="宋体" w:cs="宋体"/>
          <w:color w:val="auto"/>
          <w:highlight w:val="none"/>
        </w:rPr>
      </w:pPr>
      <w:r>
        <w:rPr>
          <w:rFonts w:hint="eastAsia" w:ascii="宋体" w:hAnsi="宋体" w:cs="宋体"/>
          <w:color w:val="auto"/>
          <w:szCs w:val="21"/>
          <w:highlight w:val="none"/>
        </w:rPr>
        <w:t>（2）因承包人原因导致工期延误15天以上，发包人有权扣除</w:t>
      </w:r>
      <w:r>
        <w:rPr>
          <w:rFonts w:hint="eastAsia" w:ascii="宋体" w:hAnsi="宋体" w:cs="宋体"/>
          <w:bCs/>
          <w:color w:val="auto"/>
          <w:highlight w:val="none"/>
          <w:u w:val="single"/>
        </w:rPr>
        <w:t>本合同工程结算造价的2%</w:t>
      </w:r>
      <w:r>
        <w:rPr>
          <w:rFonts w:hint="eastAsia" w:ascii="宋体" w:hAnsi="宋体" w:cs="宋体"/>
          <w:color w:val="auto"/>
          <w:szCs w:val="21"/>
          <w:highlight w:val="none"/>
        </w:rPr>
        <w:t>，并有权解除施工合同。待新承包人进场并完成项目建设后，再对原施工合同完成部分进行结算</w:t>
      </w:r>
      <w:r>
        <w:rPr>
          <w:rFonts w:ascii="宋体" w:hAnsi="宋体" w:cs="宋体"/>
          <w:color w:val="auto"/>
          <w:szCs w:val="21"/>
          <w:highlight w:val="none"/>
        </w:rPr>
        <w:t>，扣除工期延误违约金后</w:t>
      </w:r>
      <w:r>
        <w:rPr>
          <w:rFonts w:hint="eastAsia" w:ascii="宋体" w:hAnsi="宋体" w:cs="宋体"/>
          <w:color w:val="auto"/>
          <w:szCs w:val="21"/>
          <w:highlight w:val="none"/>
        </w:rPr>
        <w:t>支付。</w:t>
      </w:r>
    </w:p>
    <w:p w14:paraId="0A8DDF7A">
      <w:pPr>
        <w:rPr>
          <w:color w:val="auto"/>
          <w:highlight w:val="none"/>
        </w:rPr>
      </w:pPr>
    </w:p>
    <w:bookmarkEnd w:id="558"/>
    <w:bookmarkEnd w:id="559"/>
    <w:p w14:paraId="73F07F4D">
      <w:pPr>
        <w:keepNext/>
        <w:keepLines/>
        <w:spacing w:line="600" w:lineRule="exact"/>
        <w:ind w:firstLine="643" w:firstLineChars="200"/>
        <w:outlineLvl w:val="2"/>
        <w:rPr>
          <w:b/>
          <w:bCs/>
          <w:color w:val="auto"/>
          <w:sz w:val="32"/>
          <w:szCs w:val="32"/>
          <w:highlight w:val="none"/>
        </w:rPr>
      </w:pPr>
      <w:bookmarkStart w:id="560" w:name="_Toc373227728"/>
      <w:bookmarkStart w:id="561" w:name="_Toc1954543271"/>
      <w:bookmarkStart w:id="562" w:name="_Toc407135230"/>
      <w:bookmarkStart w:id="563" w:name="_Toc373478375"/>
      <w:bookmarkStart w:id="564" w:name="_Toc389065294"/>
      <w:bookmarkStart w:id="565" w:name="_Toc78449816"/>
      <w:bookmarkStart w:id="566" w:name="_Toc888037017"/>
      <w:r>
        <w:rPr>
          <w:b/>
          <w:bCs/>
          <w:color w:val="auto"/>
          <w:sz w:val="32"/>
          <w:szCs w:val="32"/>
          <w:highlight w:val="none"/>
        </w:rPr>
        <w:t>7</w:t>
      </w:r>
      <w:bookmarkStart w:id="567" w:name="_Toc312678015"/>
      <w:bookmarkStart w:id="568" w:name="_Toc304295549"/>
      <w:bookmarkStart w:id="569" w:name="_Toc297123519"/>
      <w:bookmarkStart w:id="570" w:name="_Toc300934971"/>
      <w:bookmarkStart w:id="571" w:name="_Toc297216178"/>
      <w:bookmarkStart w:id="572" w:name="_Toc303539128"/>
      <w:r>
        <w:rPr>
          <w:b/>
          <w:bCs/>
          <w:color w:val="auto"/>
          <w:sz w:val="32"/>
          <w:szCs w:val="32"/>
          <w:highlight w:val="none"/>
        </w:rPr>
        <w:t xml:space="preserve">.6 </w:t>
      </w:r>
      <w:r>
        <w:rPr>
          <w:rFonts w:hint="eastAsia" w:cs="黑体"/>
          <w:b/>
          <w:bCs/>
          <w:color w:val="auto"/>
          <w:sz w:val="32"/>
          <w:szCs w:val="32"/>
          <w:highlight w:val="none"/>
        </w:rPr>
        <w:t>不</w:t>
      </w:r>
      <w:bookmarkEnd w:id="567"/>
      <w:bookmarkEnd w:id="568"/>
      <w:bookmarkEnd w:id="569"/>
      <w:bookmarkEnd w:id="570"/>
      <w:bookmarkEnd w:id="571"/>
      <w:bookmarkEnd w:id="572"/>
      <w:r>
        <w:rPr>
          <w:rFonts w:hint="eastAsia" w:cs="黑体"/>
          <w:b/>
          <w:bCs/>
          <w:color w:val="auto"/>
          <w:sz w:val="32"/>
          <w:szCs w:val="32"/>
          <w:highlight w:val="none"/>
        </w:rPr>
        <w:t>利物质条件</w:t>
      </w:r>
      <w:bookmarkEnd w:id="560"/>
      <w:bookmarkEnd w:id="561"/>
      <w:bookmarkEnd w:id="562"/>
      <w:bookmarkEnd w:id="563"/>
      <w:bookmarkEnd w:id="564"/>
      <w:bookmarkEnd w:id="565"/>
      <w:bookmarkEnd w:id="566"/>
    </w:p>
    <w:p w14:paraId="3E678434">
      <w:pPr>
        <w:spacing w:line="360" w:lineRule="auto"/>
        <w:ind w:firstLine="420" w:firstLineChars="200"/>
        <w:jc w:val="left"/>
        <w:rPr>
          <w:color w:val="auto"/>
          <w:highlight w:val="none"/>
          <w:u w:val="single"/>
        </w:rPr>
      </w:pPr>
      <w:bookmarkStart w:id="573" w:name="_Toc300934972"/>
      <w:bookmarkStart w:id="574" w:name="_Toc312678016"/>
      <w:bookmarkStart w:id="575" w:name="_Toc297216179"/>
      <w:bookmarkStart w:id="576" w:name="_Toc304295550"/>
      <w:bookmarkStart w:id="577" w:name="_Toc318581172"/>
      <w:bookmarkStart w:id="578" w:name="_Toc297123520"/>
      <w:bookmarkStart w:id="579" w:name="_Toc303539129"/>
      <w:r>
        <w:rPr>
          <w:rFonts w:hint="eastAsia" w:hAnsi="宋体" w:cs="宋体"/>
          <w:color w:val="auto"/>
          <w:highlight w:val="none"/>
        </w:rPr>
        <w:t>不利物质条件的其他情形和有关约定：</w:t>
      </w:r>
      <w:r>
        <w:rPr>
          <w:rFonts w:hint="eastAsia" w:ascii="宋体" w:hAnsi="宋体" w:cs="宋体"/>
          <w:color w:val="auto"/>
          <w:highlight w:val="none"/>
          <w:u w:val="single"/>
        </w:rPr>
        <w:t>按本合同《通用条款》第 7.6 条规定</w:t>
      </w:r>
      <w:r>
        <w:rPr>
          <w:rFonts w:hint="eastAsia" w:hAnsi="宋体" w:cs="宋体"/>
          <w:color w:val="auto"/>
          <w:highlight w:val="none"/>
        </w:rPr>
        <w:t>。</w:t>
      </w:r>
    </w:p>
    <w:bookmarkEnd w:id="573"/>
    <w:bookmarkEnd w:id="574"/>
    <w:bookmarkEnd w:id="575"/>
    <w:bookmarkEnd w:id="576"/>
    <w:bookmarkEnd w:id="577"/>
    <w:bookmarkEnd w:id="578"/>
    <w:bookmarkEnd w:id="579"/>
    <w:p w14:paraId="3521FAA9">
      <w:pPr>
        <w:keepNext/>
        <w:keepLines/>
        <w:spacing w:line="600" w:lineRule="exact"/>
        <w:ind w:firstLine="643" w:firstLineChars="200"/>
        <w:outlineLvl w:val="2"/>
        <w:rPr>
          <w:b/>
          <w:bCs/>
          <w:color w:val="auto"/>
          <w:sz w:val="32"/>
          <w:szCs w:val="32"/>
          <w:highlight w:val="none"/>
        </w:rPr>
      </w:pPr>
      <w:bookmarkStart w:id="580" w:name="_Toc851880484"/>
      <w:bookmarkStart w:id="581" w:name="_Toc389065295"/>
      <w:bookmarkStart w:id="582" w:name="_Toc407135231"/>
      <w:bookmarkStart w:id="583" w:name="_Toc2031116443"/>
      <w:bookmarkStart w:id="584" w:name="_Toc78449817"/>
      <w:bookmarkStart w:id="585" w:name="_Toc373227729"/>
      <w:bookmarkStart w:id="586" w:name="_Toc373478376"/>
      <w:r>
        <w:rPr>
          <w:b/>
          <w:bCs/>
          <w:color w:val="auto"/>
          <w:sz w:val="32"/>
          <w:szCs w:val="32"/>
          <w:highlight w:val="none"/>
        </w:rPr>
        <w:t>7</w:t>
      </w:r>
      <w:bookmarkStart w:id="587" w:name="_Toc300934973"/>
      <w:bookmarkStart w:id="588" w:name="_Toc312678017"/>
      <w:bookmarkStart w:id="589" w:name="_Toc304295551"/>
      <w:bookmarkStart w:id="590" w:name="_Toc297216180"/>
      <w:bookmarkStart w:id="591" w:name="_Toc297123521"/>
      <w:bookmarkStart w:id="592" w:name="_Toc303539130"/>
      <w:r>
        <w:rPr>
          <w:b/>
          <w:bCs/>
          <w:color w:val="auto"/>
          <w:sz w:val="32"/>
          <w:szCs w:val="32"/>
          <w:highlight w:val="none"/>
        </w:rPr>
        <w:t xml:space="preserve">.7 </w:t>
      </w:r>
      <w:r>
        <w:rPr>
          <w:rFonts w:hint="eastAsia" w:cs="黑体"/>
          <w:b/>
          <w:bCs/>
          <w:color w:val="auto"/>
          <w:sz w:val="32"/>
          <w:szCs w:val="32"/>
          <w:highlight w:val="none"/>
        </w:rPr>
        <w:t>异常恶劣的气候条件</w:t>
      </w:r>
      <w:bookmarkEnd w:id="580"/>
      <w:bookmarkEnd w:id="581"/>
      <w:bookmarkEnd w:id="582"/>
      <w:bookmarkEnd w:id="583"/>
      <w:bookmarkEnd w:id="584"/>
      <w:bookmarkEnd w:id="585"/>
      <w:bookmarkEnd w:id="586"/>
    </w:p>
    <w:bookmarkEnd w:id="587"/>
    <w:bookmarkEnd w:id="588"/>
    <w:bookmarkEnd w:id="589"/>
    <w:bookmarkEnd w:id="590"/>
    <w:bookmarkEnd w:id="591"/>
    <w:bookmarkEnd w:id="592"/>
    <w:p w14:paraId="704A14FC">
      <w:pPr>
        <w:spacing w:line="360" w:lineRule="auto"/>
        <w:ind w:firstLine="420" w:firstLineChars="200"/>
        <w:jc w:val="left"/>
        <w:rPr>
          <w:color w:val="auto"/>
          <w:highlight w:val="none"/>
        </w:rPr>
      </w:pPr>
      <w:r>
        <w:rPr>
          <w:rFonts w:hint="eastAsia" w:hAnsi="宋体" w:cs="宋体"/>
          <w:color w:val="auto"/>
          <w:highlight w:val="none"/>
        </w:rPr>
        <w:t>发包人和承包人同意以下情形视为异常恶劣的气候条件：</w:t>
      </w:r>
    </w:p>
    <w:p w14:paraId="4F8C6D41">
      <w:pPr>
        <w:spacing w:line="400" w:lineRule="exact"/>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u w:val="single"/>
        </w:rPr>
        <w:t>6级以上地震和8 级以上大风   ；</w:t>
      </w:r>
    </w:p>
    <w:p w14:paraId="5750E415">
      <w:pPr>
        <w:spacing w:line="400" w:lineRule="exact"/>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u w:val="single"/>
        </w:rPr>
        <w:t xml:space="preserve"> 持续1天的降雨达200mm的暴雨（以气象部门公布的为准）  </w:t>
      </w:r>
      <w:r>
        <w:rPr>
          <w:rFonts w:hint="eastAsia" w:ascii="宋体" w:hAnsi="宋体" w:cs="宋体"/>
          <w:color w:val="auto"/>
          <w:highlight w:val="none"/>
        </w:rPr>
        <w:t>；</w:t>
      </w:r>
    </w:p>
    <w:p w14:paraId="590DB622">
      <w:pPr>
        <w:spacing w:line="400" w:lineRule="exact"/>
        <w:rPr>
          <w:rFonts w:ascii="宋体" w:hAnsi="宋体" w:cs="宋体"/>
          <w:color w:val="auto"/>
          <w:highlight w:val="none"/>
          <w:u w:val="single"/>
        </w:rPr>
      </w:pPr>
      <w:r>
        <w:rPr>
          <w:rFonts w:hint="eastAsia" w:ascii="宋体" w:hAnsi="宋体" w:cs="宋体"/>
          <w:color w:val="auto"/>
          <w:highlight w:val="none"/>
        </w:rPr>
        <w:t>（3）</w:t>
      </w:r>
      <w:r>
        <w:rPr>
          <w:rFonts w:hint="eastAsia" w:ascii="宋体" w:hAnsi="宋体" w:cs="宋体"/>
          <w:color w:val="auto"/>
          <w:highlight w:val="none"/>
          <w:u w:val="single"/>
        </w:rPr>
        <w:t xml:space="preserve">日气温超过40摄氏度的高温大于3天； </w:t>
      </w:r>
    </w:p>
    <w:p w14:paraId="3D1D9D57">
      <w:pPr>
        <w:spacing w:line="400" w:lineRule="exact"/>
        <w:rPr>
          <w:rFonts w:ascii="宋体" w:hAnsi="宋体" w:cs="宋体"/>
          <w:color w:val="auto"/>
          <w:highlight w:val="none"/>
          <w:u w:val="single"/>
        </w:rPr>
      </w:pPr>
      <w:r>
        <w:rPr>
          <w:rFonts w:hint="eastAsia" w:ascii="宋体" w:hAnsi="宋体" w:cs="宋体"/>
          <w:color w:val="auto"/>
          <w:highlight w:val="none"/>
        </w:rPr>
        <w:t>（4）</w:t>
      </w:r>
      <w:r>
        <w:rPr>
          <w:rFonts w:hint="eastAsia" w:ascii="宋体" w:hAnsi="宋体" w:cs="宋体"/>
          <w:color w:val="auto"/>
          <w:highlight w:val="none"/>
          <w:u w:val="single"/>
        </w:rPr>
        <w:t>日气温低于零摄氏度的严寒大于3天；</w:t>
      </w:r>
    </w:p>
    <w:p w14:paraId="051568E0">
      <w:pPr>
        <w:spacing w:line="400" w:lineRule="exact"/>
        <w:rPr>
          <w:rFonts w:ascii="宋体" w:hAnsi="宋体" w:cs="宋体"/>
          <w:color w:val="auto"/>
          <w:highlight w:val="none"/>
          <w:u w:val="single"/>
        </w:rPr>
      </w:pPr>
      <w:r>
        <w:rPr>
          <w:rFonts w:hint="eastAsia" w:ascii="宋体" w:hAnsi="宋体" w:cs="宋体"/>
          <w:color w:val="auto"/>
          <w:highlight w:val="none"/>
        </w:rPr>
        <w:t>（5）</w:t>
      </w:r>
      <w:r>
        <w:rPr>
          <w:rFonts w:hint="eastAsia" w:ascii="宋体" w:hAnsi="宋体" w:cs="宋体"/>
          <w:color w:val="auto"/>
          <w:highlight w:val="none"/>
          <w:u w:val="single"/>
        </w:rPr>
        <w:t>特大的洪水灾害；</w:t>
      </w:r>
    </w:p>
    <w:p w14:paraId="222B6F5E">
      <w:pPr>
        <w:spacing w:line="400" w:lineRule="exact"/>
        <w:rPr>
          <w:rFonts w:ascii="宋体" w:hAnsi="宋体" w:cs="宋体"/>
          <w:color w:val="auto"/>
          <w:highlight w:val="none"/>
        </w:rPr>
      </w:pPr>
      <w:r>
        <w:rPr>
          <w:rFonts w:hint="eastAsia" w:ascii="宋体" w:hAnsi="宋体" w:cs="宋体"/>
          <w:color w:val="auto"/>
          <w:highlight w:val="none"/>
        </w:rPr>
        <w:t>（6）</w:t>
      </w:r>
      <w:r>
        <w:rPr>
          <w:rFonts w:hint="eastAsia" w:ascii="宋体" w:hAnsi="宋体" w:cs="宋体"/>
          <w:color w:val="auto"/>
          <w:highlight w:val="none"/>
          <w:u w:val="single"/>
        </w:rPr>
        <w:t>造成工程损坏的冰雹和大雪灾害及其他异常恶劣气候灾害</w:t>
      </w:r>
      <w:r>
        <w:rPr>
          <w:rFonts w:hint="eastAsia" w:ascii="宋体" w:hAnsi="宋体" w:cs="宋体"/>
          <w:color w:val="auto"/>
          <w:highlight w:val="none"/>
        </w:rPr>
        <w:t>。</w:t>
      </w:r>
    </w:p>
    <w:p w14:paraId="5FDAFF50">
      <w:pPr>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异常恶劣的气候条件的认定标准，以政府有关部门发布的文件规定为。</w:t>
      </w:r>
    </w:p>
    <w:p w14:paraId="4CFDBEFD">
      <w:pPr>
        <w:keepNext/>
        <w:keepLines/>
        <w:spacing w:line="600" w:lineRule="exact"/>
        <w:ind w:firstLine="643" w:firstLineChars="200"/>
        <w:outlineLvl w:val="2"/>
        <w:rPr>
          <w:b/>
          <w:bCs/>
          <w:color w:val="auto"/>
          <w:sz w:val="32"/>
          <w:szCs w:val="32"/>
          <w:highlight w:val="none"/>
        </w:rPr>
      </w:pPr>
      <w:bookmarkStart w:id="593" w:name="_Toc2087373611"/>
      <w:bookmarkStart w:id="594" w:name="_Toc373227730"/>
      <w:bookmarkStart w:id="595" w:name="_Toc373478377"/>
      <w:bookmarkStart w:id="596" w:name="_Toc78449818"/>
      <w:bookmarkStart w:id="597" w:name="_Toc407135232"/>
      <w:bookmarkStart w:id="598" w:name="_Toc389065296"/>
      <w:bookmarkStart w:id="599" w:name="_Toc657185480"/>
      <w:r>
        <w:rPr>
          <w:b/>
          <w:bCs/>
          <w:color w:val="auto"/>
          <w:sz w:val="32"/>
          <w:szCs w:val="32"/>
          <w:highlight w:val="none"/>
        </w:rPr>
        <w:t xml:space="preserve">7.9 </w:t>
      </w:r>
      <w:r>
        <w:rPr>
          <w:rFonts w:hint="eastAsia" w:hAnsi="宋体" w:cs="黑体"/>
          <w:b/>
          <w:bCs/>
          <w:color w:val="auto"/>
          <w:sz w:val="32"/>
          <w:szCs w:val="32"/>
          <w:highlight w:val="none"/>
        </w:rPr>
        <w:t>提前竣工</w:t>
      </w:r>
      <w:bookmarkEnd w:id="593"/>
      <w:bookmarkEnd w:id="594"/>
      <w:bookmarkEnd w:id="595"/>
      <w:bookmarkEnd w:id="596"/>
      <w:bookmarkEnd w:id="597"/>
      <w:bookmarkEnd w:id="598"/>
      <w:bookmarkEnd w:id="599"/>
    </w:p>
    <w:p w14:paraId="76899457">
      <w:pPr>
        <w:spacing w:line="360" w:lineRule="auto"/>
        <w:ind w:firstLine="420" w:firstLineChars="200"/>
        <w:jc w:val="left"/>
        <w:rPr>
          <w:rFonts w:hAnsi="宋体"/>
          <w:color w:val="auto"/>
          <w:highlight w:val="none"/>
        </w:rPr>
      </w:pPr>
      <w:r>
        <w:rPr>
          <w:color w:val="auto"/>
          <w:highlight w:val="none"/>
        </w:rPr>
        <w:t>7.9.2</w:t>
      </w:r>
      <w:r>
        <w:rPr>
          <w:rFonts w:hint="eastAsia" w:hAnsi="宋体" w:cs="宋体"/>
          <w:color w:val="auto"/>
          <w:highlight w:val="none"/>
        </w:rPr>
        <w:t>提前竣工（赶工）增加费的计算方法：</w:t>
      </w:r>
      <w:r>
        <w:rPr>
          <w:rFonts w:hint="eastAsia" w:ascii="宋体" w:hAnsi="宋体" w:cs="宋体"/>
          <w:color w:val="auto"/>
          <w:highlight w:val="none"/>
          <w:u w:val="single"/>
        </w:rPr>
        <w:t xml:space="preserve">无  </w:t>
      </w:r>
      <w:r>
        <w:rPr>
          <w:rFonts w:hint="eastAsia" w:hAnsi="宋体" w:cs="宋体"/>
          <w:color w:val="auto"/>
          <w:highlight w:val="none"/>
        </w:rPr>
        <w:t>。</w:t>
      </w:r>
    </w:p>
    <w:p w14:paraId="2A81F5A2">
      <w:pPr>
        <w:keepNext/>
        <w:keepLines/>
        <w:spacing w:before="260" w:after="260" w:line="413" w:lineRule="auto"/>
        <w:outlineLvl w:val="1"/>
        <w:rPr>
          <w:rFonts w:ascii="Arial" w:hAnsi="Arial" w:eastAsia="黑体"/>
          <w:b/>
          <w:bCs/>
          <w:color w:val="auto"/>
          <w:sz w:val="32"/>
          <w:szCs w:val="32"/>
          <w:highlight w:val="none"/>
        </w:rPr>
      </w:pPr>
      <w:bookmarkStart w:id="600" w:name="_Toc1302158431"/>
      <w:bookmarkStart w:id="601" w:name="_Toc407135233"/>
      <w:bookmarkStart w:id="602" w:name="_Toc373227731"/>
      <w:bookmarkStart w:id="603" w:name="_Toc389065297"/>
      <w:bookmarkStart w:id="604" w:name="_Toc78449819"/>
      <w:bookmarkStart w:id="605" w:name="_Toc351203640"/>
      <w:bookmarkStart w:id="606" w:name="_Toc1400878670"/>
      <w:bookmarkStart w:id="607" w:name="_Toc373478378"/>
      <w:r>
        <w:rPr>
          <w:rFonts w:ascii="Arial" w:hAnsi="Arial" w:eastAsia="黑体"/>
          <w:b/>
          <w:bCs/>
          <w:color w:val="auto"/>
          <w:sz w:val="32"/>
          <w:szCs w:val="32"/>
          <w:highlight w:val="none"/>
        </w:rPr>
        <w:t xml:space="preserve">8. </w:t>
      </w:r>
      <w:r>
        <w:rPr>
          <w:rFonts w:hint="eastAsia" w:ascii="Arial" w:hAnsi="Arial" w:eastAsia="黑体" w:cs="黑体"/>
          <w:b/>
          <w:bCs/>
          <w:color w:val="auto"/>
          <w:sz w:val="32"/>
          <w:szCs w:val="32"/>
          <w:highlight w:val="none"/>
        </w:rPr>
        <w:t>材料与设备</w:t>
      </w:r>
      <w:bookmarkEnd w:id="600"/>
      <w:bookmarkEnd w:id="601"/>
      <w:bookmarkEnd w:id="602"/>
      <w:bookmarkEnd w:id="603"/>
      <w:bookmarkEnd w:id="604"/>
      <w:bookmarkEnd w:id="605"/>
      <w:bookmarkEnd w:id="606"/>
      <w:bookmarkEnd w:id="607"/>
    </w:p>
    <w:bookmarkEnd w:id="444"/>
    <w:bookmarkEnd w:id="445"/>
    <w:bookmarkEnd w:id="446"/>
    <w:bookmarkEnd w:id="447"/>
    <w:bookmarkEnd w:id="448"/>
    <w:bookmarkEnd w:id="449"/>
    <w:bookmarkEnd w:id="450"/>
    <w:bookmarkEnd w:id="451"/>
    <w:bookmarkEnd w:id="452"/>
    <w:bookmarkEnd w:id="453"/>
    <w:p w14:paraId="5D8E5E73">
      <w:pPr>
        <w:keepNext/>
        <w:keepLines/>
        <w:spacing w:line="600" w:lineRule="exact"/>
        <w:ind w:firstLine="643" w:firstLineChars="200"/>
        <w:outlineLvl w:val="2"/>
        <w:rPr>
          <w:b/>
          <w:bCs/>
          <w:color w:val="auto"/>
          <w:sz w:val="32"/>
          <w:szCs w:val="32"/>
          <w:highlight w:val="none"/>
        </w:rPr>
      </w:pPr>
      <w:bookmarkStart w:id="608" w:name="_Toc78449820"/>
      <w:bookmarkStart w:id="609" w:name="_Toc1119561048"/>
      <w:bookmarkStart w:id="610" w:name="_Toc389065298"/>
      <w:bookmarkStart w:id="611" w:name="_Toc1078610395"/>
      <w:bookmarkStart w:id="612" w:name="_Toc407135234"/>
      <w:bookmarkStart w:id="613" w:name="_Toc373478379"/>
      <w:bookmarkStart w:id="614" w:name="_Toc373227732"/>
      <w:r>
        <w:rPr>
          <w:b/>
          <w:bCs/>
          <w:color w:val="auto"/>
          <w:sz w:val="32"/>
          <w:szCs w:val="32"/>
          <w:highlight w:val="none"/>
        </w:rPr>
        <w:t xml:space="preserve">8.2 </w:t>
      </w:r>
      <w:r>
        <w:rPr>
          <w:rFonts w:hint="eastAsia" w:cs="黑体"/>
          <w:b/>
          <w:bCs/>
          <w:color w:val="auto"/>
          <w:sz w:val="32"/>
          <w:szCs w:val="32"/>
          <w:highlight w:val="none"/>
        </w:rPr>
        <w:t>承包人采购材料与工程设备</w:t>
      </w:r>
      <w:bookmarkEnd w:id="608"/>
      <w:bookmarkEnd w:id="609"/>
      <w:bookmarkEnd w:id="610"/>
      <w:bookmarkEnd w:id="611"/>
      <w:bookmarkEnd w:id="612"/>
      <w:bookmarkEnd w:id="613"/>
      <w:bookmarkEnd w:id="614"/>
    </w:p>
    <w:p w14:paraId="6B11206D">
      <w:pPr>
        <w:autoSpaceDE w:val="0"/>
        <w:autoSpaceDN w:val="0"/>
        <w:adjustRightInd w:val="0"/>
        <w:spacing w:line="360" w:lineRule="auto"/>
        <w:ind w:firstLine="420" w:firstLineChars="200"/>
        <w:jc w:val="left"/>
        <w:rPr>
          <w:rFonts w:cs="宋体"/>
          <w:color w:val="auto"/>
          <w:highlight w:val="none"/>
        </w:rPr>
      </w:pPr>
      <w:r>
        <w:rPr>
          <w:rFonts w:hint="eastAsia" w:cs="宋体"/>
          <w:color w:val="auto"/>
          <w:kern w:val="0"/>
          <w:highlight w:val="none"/>
        </w:rPr>
        <w:t>除已标价工程量清单《发包人提供主要材料和工程设备一览表》（表</w:t>
      </w:r>
      <w:r>
        <w:rPr>
          <w:color w:val="auto"/>
          <w:kern w:val="0"/>
          <w:highlight w:val="none"/>
        </w:rPr>
        <w:t>-21</w:t>
      </w:r>
      <w:r>
        <w:rPr>
          <w:rFonts w:hint="eastAsia" w:cs="宋体"/>
          <w:color w:val="auto"/>
          <w:kern w:val="0"/>
          <w:highlight w:val="none"/>
        </w:rPr>
        <w:t>）中明确的材料、工程设备外</w:t>
      </w:r>
      <w:r>
        <w:rPr>
          <w:rFonts w:hint="eastAsia" w:cs="宋体"/>
          <w:color w:val="auto"/>
          <w:highlight w:val="none"/>
        </w:rPr>
        <w:t>，由承包人负责材料和工程设备的采购、运输和保管。</w:t>
      </w:r>
      <w:bookmarkStart w:id="615" w:name="_Toc389065299"/>
      <w:bookmarkStart w:id="616" w:name="_Toc373227733"/>
      <w:bookmarkStart w:id="617" w:name="_Toc373478380"/>
    </w:p>
    <w:p w14:paraId="2CB9F42C">
      <w:pPr>
        <w:autoSpaceDE w:val="0"/>
        <w:autoSpaceDN w:val="0"/>
        <w:adjustRightInd w:val="0"/>
        <w:spacing w:line="360" w:lineRule="auto"/>
        <w:ind w:firstLine="420" w:firstLineChars="200"/>
        <w:jc w:val="left"/>
        <w:rPr>
          <w:rFonts w:cs="宋体"/>
          <w:color w:val="auto"/>
          <w:highlight w:val="none"/>
        </w:rPr>
      </w:pPr>
      <w:r>
        <w:rPr>
          <w:rFonts w:hint="eastAsia" w:cs="宋体"/>
          <w:color w:val="auto"/>
          <w:highlight w:val="none"/>
        </w:rPr>
        <w:t>对发包人在招标时有“参照或相当于**品牌、级别”约定的材料或设备，承包人采购时必须按类似于或优于所约定品牌、等级进行采购，施工期间该部分材料或设备如未超过招标约定的风险幅度的，结算时按投标单价支付，不得调整。</w:t>
      </w:r>
    </w:p>
    <w:p w14:paraId="233720F6">
      <w:pPr>
        <w:autoSpaceDE w:val="0"/>
        <w:autoSpaceDN w:val="0"/>
        <w:adjustRightInd w:val="0"/>
        <w:spacing w:line="360" w:lineRule="auto"/>
        <w:ind w:firstLine="420" w:firstLineChars="200"/>
        <w:jc w:val="left"/>
        <w:rPr>
          <w:rFonts w:cs="宋体"/>
          <w:color w:val="auto"/>
          <w:highlight w:val="none"/>
        </w:rPr>
      </w:pPr>
      <w:r>
        <w:rPr>
          <w:rFonts w:hint="eastAsia" w:cs="宋体"/>
          <w:color w:val="auto"/>
          <w:highlight w:val="none"/>
        </w:rPr>
        <w:t>满足南宁市城乡建设委员会南宁市工业和信息化委员会关于重新印发《南宁市城乡建设委员会和南宁市工业和信息化委员会关于推广应用高性能混凝土的通知》的通知（南建规【2016】1号）要求的，本工程必须使用高性能混凝土。</w:t>
      </w:r>
    </w:p>
    <w:p w14:paraId="43034A65">
      <w:pPr>
        <w:autoSpaceDE w:val="0"/>
        <w:autoSpaceDN w:val="0"/>
        <w:adjustRightInd w:val="0"/>
        <w:spacing w:line="360" w:lineRule="auto"/>
        <w:ind w:firstLine="420" w:firstLineChars="200"/>
        <w:jc w:val="left"/>
        <w:rPr>
          <w:rFonts w:cs="宋体"/>
          <w:color w:val="auto"/>
          <w:highlight w:val="none"/>
        </w:rPr>
      </w:pPr>
      <w:r>
        <w:rPr>
          <w:rFonts w:hint="eastAsia" w:cs="宋体"/>
          <w:color w:val="auto"/>
          <w:highlight w:val="none"/>
        </w:rPr>
        <w:t>满足南宁市人民政府印发的《南宁市人民政府关于推广使用预拌砂浆的实施意见》（南府规〔2016〕12 号）要求的，本工程必须使用预拌砂浆。</w:t>
      </w:r>
    </w:p>
    <w:p w14:paraId="333997AD">
      <w:pPr>
        <w:autoSpaceDE w:val="0"/>
        <w:autoSpaceDN w:val="0"/>
        <w:adjustRightIn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满足《南宁市松材线虫病防控工作领导小组工作制度》要求，要求涉木产品供货商对应施检疫的产品提供《植物检疫证书》；涉及松木质包装材料的，积极配合林业部门做好检疫工作。</w:t>
      </w:r>
    </w:p>
    <w:p w14:paraId="5584FF5E">
      <w:pPr>
        <w:autoSpaceDE w:val="0"/>
        <w:autoSpaceDN w:val="0"/>
        <w:adjustRightInd w:val="0"/>
        <w:spacing w:line="360" w:lineRule="auto"/>
        <w:ind w:firstLine="420" w:firstLineChars="200"/>
        <w:jc w:val="left"/>
        <w:rPr>
          <w:color w:val="auto"/>
          <w:highlight w:val="none"/>
        </w:rPr>
      </w:pPr>
      <w:r>
        <w:rPr>
          <w:rFonts w:hint="eastAsia" w:cs="宋体"/>
          <w:color w:val="auto"/>
          <w:highlight w:val="none"/>
        </w:rPr>
        <w:t>禁止使用松木、松木包装材料设备、种子、苗木、花卉及繁殖材料。</w:t>
      </w:r>
    </w:p>
    <w:p w14:paraId="44B1254B">
      <w:pPr>
        <w:keepNext/>
        <w:keepLines/>
        <w:spacing w:line="600" w:lineRule="exact"/>
        <w:ind w:firstLine="643" w:firstLineChars="200"/>
        <w:outlineLvl w:val="2"/>
        <w:rPr>
          <w:b/>
          <w:bCs/>
          <w:color w:val="auto"/>
          <w:sz w:val="32"/>
          <w:szCs w:val="32"/>
          <w:highlight w:val="none"/>
        </w:rPr>
      </w:pPr>
      <w:bookmarkStart w:id="618" w:name="_Toc1355357553"/>
      <w:bookmarkStart w:id="619" w:name="_Toc407135235"/>
      <w:bookmarkStart w:id="620" w:name="_Toc78449821"/>
      <w:bookmarkStart w:id="621" w:name="_Toc800965933"/>
      <w:r>
        <w:rPr>
          <w:b/>
          <w:bCs/>
          <w:color w:val="auto"/>
          <w:sz w:val="32"/>
          <w:szCs w:val="32"/>
          <w:highlight w:val="none"/>
        </w:rPr>
        <w:t>8</w:t>
      </w:r>
      <w:bookmarkStart w:id="622" w:name="_Toc303539136"/>
      <w:bookmarkStart w:id="623" w:name="_Toc297123527"/>
      <w:bookmarkStart w:id="624" w:name="_Toc304295556"/>
      <w:bookmarkStart w:id="625" w:name="_Toc297120467"/>
      <w:bookmarkStart w:id="626" w:name="_Toc312677493"/>
      <w:bookmarkStart w:id="627" w:name="_Toc296346668"/>
      <w:bookmarkStart w:id="628" w:name="_Toc292559372"/>
      <w:bookmarkStart w:id="629" w:name="_Toc296503167"/>
      <w:bookmarkStart w:id="630" w:name="_Toc296891207"/>
      <w:bookmarkStart w:id="631" w:name="_Toc280868654"/>
      <w:bookmarkStart w:id="632" w:name="_Toc292559877"/>
      <w:bookmarkStart w:id="633" w:name="_Toc296347166"/>
      <w:bookmarkStart w:id="634" w:name="_Toc296890995"/>
      <w:bookmarkStart w:id="635" w:name="_Toc300934979"/>
      <w:bookmarkStart w:id="636" w:name="_Toc296944506"/>
      <w:bookmarkStart w:id="637" w:name="_Toc312678019"/>
      <w:bookmarkStart w:id="638" w:name="_Toc297048353"/>
      <w:bookmarkStart w:id="639" w:name="_Toc297216186"/>
      <w:bookmarkStart w:id="640" w:name="_Toc280868656"/>
      <w:bookmarkStart w:id="641" w:name="_Toc280868655"/>
      <w:bookmarkStart w:id="642" w:name="_Toc267251424"/>
      <w:r>
        <w:rPr>
          <w:b/>
          <w:bCs/>
          <w:color w:val="auto"/>
          <w:sz w:val="32"/>
          <w:szCs w:val="32"/>
          <w:highlight w:val="none"/>
        </w:rPr>
        <w:t xml:space="preserve">.4 </w:t>
      </w:r>
      <w:r>
        <w:rPr>
          <w:rFonts w:hint="eastAsia" w:cs="黑体"/>
          <w:b/>
          <w:bCs/>
          <w:color w:val="auto"/>
          <w:sz w:val="32"/>
          <w:szCs w:val="32"/>
          <w:highlight w:val="none"/>
        </w:rPr>
        <w:t>材料与工程设备的保管与使用</w:t>
      </w:r>
      <w:bookmarkEnd w:id="615"/>
      <w:bookmarkEnd w:id="616"/>
      <w:bookmarkEnd w:id="617"/>
      <w:bookmarkEnd w:id="618"/>
      <w:bookmarkEnd w:id="619"/>
      <w:bookmarkEnd w:id="620"/>
      <w:bookmarkEnd w:id="621"/>
    </w:p>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p w14:paraId="741A953A">
      <w:pPr>
        <w:spacing w:line="360" w:lineRule="auto"/>
        <w:ind w:firstLine="420" w:firstLineChars="200"/>
        <w:jc w:val="left"/>
        <w:rPr>
          <w:color w:val="auto"/>
          <w:highlight w:val="none"/>
          <w:u w:val="single"/>
        </w:rPr>
      </w:pPr>
      <w:r>
        <w:rPr>
          <w:color w:val="auto"/>
          <w:highlight w:val="none"/>
        </w:rPr>
        <w:t>8</w:t>
      </w:r>
      <w:bookmarkStart w:id="643" w:name="_Toc292559878"/>
      <w:bookmarkStart w:id="644" w:name="_Toc292559373"/>
      <w:bookmarkStart w:id="645" w:name="_Toc296891208"/>
      <w:bookmarkStart w:id="646" w:name="_Toc297048354"/>
      <w:bookmarkStart w:id="647" w:name="_Toc297123528"/>
      <w:bookmarkStart w:id="648" w:name="_Toc297120468"/>
      <w:bookmarkStart w:id="649" w:name="_Toc296347167"/>
      <w:bookmarkStart w:id="650" w:name="_Toc318581173"/>
      <w:bookmarkStart w:id="651" w:name="_Toc300934980"/>
      <w:bookmarkStart w:id="652" w:name="_Toc312678020"/>
      <w:bookmarkStart w:id="653" w:name="_Toc296346669"/>
      <w:bookmarkStart w:id="654" w:name="_Toc296503168"/>
      <w:bookmarkStart w:id="655" w:name="_Toc296890996"/>
      <w:bookmarkStart w:id="656" w:name="_Toc304295557"/>
      <w:bookmarkStart w:id="657" w:name="_Toc303539137"/>
      <w:bookmarkStart w:id="658" w:name="_Toc312677494"/>
      <w:bookmarkStart w:id="659" w:name="_Toc297216187"/>
      <w:bookmarkStart w:id="660" w:name="_Toc296944507"/>
      <w:r>
        <w:rPr>
          <w:color w:val="auto"/>
          <w:highlight w:val="none"/>
        </w:rPr>
        <w:t>.4.1</w:t>
      </w:r>
      <w:r>
        <w:rPr>
          <w:rFonts w:hint="eastAsia" w:hAnsi="宋体" w:cs="宋体"/>
          <w:color w:val="auto"/>
          <w:highlight w:val="none"/>
        </w:rPr>
        <w:t>发包人供应的材料设备的保管费用的承担：</w:t>
      </w:r>
      <w:r>
        <w:rPr>
          <w:rFonts w:hint="eastAsia" w:ascii="宋体" w:hAnsi="宋体" w:cs="宋体"/>
          <w:color w:val="auto"/>
          <w:highlight w:val="none"/>
          <w:u w:val="single"/>
        </w:rPr>
        <w:t>材料设备堆放至发包人指定的存放地点后，所发生的一切保管、运输费用均由承包人承担，因保管不力所造成的损失由承包人负责。移交承包人之前由发包人承担</w:t>
      </w:r>
      <w:r>
        <w:rPr>
          <w:rFonts w:hint="eastAsia" w:hAnsi="宋体" w:cs="宋体"/>
          <w:color w:val="auto"/>
          <w:highlight w:val="none"/>
        </w:rPr>
        <w:t>。</w:t>
      </w:r>
    </w:p>
    <w:bookmarkEnd w:id="643"/>
    <w:bookmarkEnd w:id="644"/>
    <w:p w14:paraId="071B5247">
      <w:pPr>
        <w:keepNext/>
        <w:keepLines/>
        <w:spacing w:line="600" w:lineRule="exact"/>
        <w:ind w:firstLine="643" w:firstLineChars="200"/>
        <w:outlineLvl w:val="2"/>
        <w:rPr>
          <w:b/>
          <w:bCs/>
          <w:color w:val="auto"/>
          <w:sz w:val="32"/>
          <w:szCs w:val="32"/>
          <w:highlight w:val="none"/>
        </w:rPr>
      </w:pPr>
      <w:bookmarkStart w:id="661" w:name="_Toc125914831"/>
      <w:bookmarkStart w:id="662" w:name="_Toc1948522881"/>
      <w:bookmarkStart w:id="663" w:name="_Toc407135236"/>
      <w:bookmarkStart w:id="664" w:name="_Toc78449822"/>
      <w:bookmarkStart w:id="665" w:name="_Toc389065300"/>
      <w:bookmarkStart w:id="666" w:name="_Toc373478381"/>
      <w:bookmarkStart w:id="667" w:name="_Toc373227734"/>
      <w:r>
        <w:rPr>
          <w:b/>
          <w:bCs/>
          <w:color w:val="auto"/>
          <w:sz w:val="32"/>
          <w:szCs w:val="32"/>
          <w:highlight w:val="none"/>
        </w:rPr>
        <w:t xml:space="preserve">8.6 </w:t>
      </w:r>
      <w:r>
        <w:rPr>
          <w:rFonts w:hint="eastAsia" w:hAnsi="宋体" w:cs="黑体"/>
          <w:b/>
          <w:bCs/>
          <w:color w:val="auto"/>
          <w:sz w:val="32"/>
          <w:szCs w:val="32"/>
          <w:highlight w:val="none"/>
        </w:rPr>
        <w:t>样品</w:t>
      </w:r>
      <w:bookmarkEnd w:id="661"/>
      <w:bookmarkEnd w:id="662"/>
      <w:bookmarkEnd w:id="663"/>
      <w:bookmarkEnd w:id="664"/>
      <w:bookmarkEnd w:id="665"/>
      <w:bookmarkEnd w:id="666"/>
      <w:bookmarkEnd w:id="667"/>
    </w:p>
    <w:p w14:paraId="1710CC39">
      <w:pPr>
        <w:autoSpaceDE w:val="0"/>
        <w:autoSpaceDN w:val="0"/>
        <w:adjustRightInd w:val="0"/>
        <w:spacing w:line="360" w:lineRule="auto"/>
        <w:ind w:firstLine="420" w:firstLineChars="200"/>
        <w:jc w:val="left"/>
        <w:rPr>
          <w:color w:val="auto"/>
          <w:kern w:val="0"/>
          <w:highlight w:val="none"/>
        </w:rPr>
      </w:pPr>
      <w:r>
        <w:rPr>
          <w:color w:val="auto"/>
          <w:kern w:val="0"/>
          <w:highlight w:val="none"/>
        </w:rPr>
        <w:t xml:space="preserve">8.6.1 </w:t>
      </w:r>
      <w:r>
        <w:rPr>
          <w:rFonts w:hint="eastAsia" w:hAnsi="宋体" w:cs="宋体"/>
          <w:color w:val="auto"/>
          <w:kern w:val="0"/>
          <w:highlight w:val="none"/>
        </w:rPr>
        <w:t>样品的报送与封存</w:t>
      </w:r>
    </w:p>
    <w:p w14:paraId="1F62381C">
      <w:pPr>
        <w:autoSpaceDE w:val="0"/>
        <w:autoSpaceDN w:val="0"/>
        <w:adjustRightInd w:val="0"/>
        <w:spacing w:line="360" w:lineRule="auto"/>
        <w:ind w:firstLine="420" w:firstLineChars="200"/>
        <w:jc w:val="left"/>
        <w:rPr>
          <w:color w:val="auto"/>
          <w:highlight w:val="none"/>
          <w:u w:val="single"/>
        </w:rPr>
      </w:pPr>
      <w:r>
        <w:rPr>
          <w:rFonts w:hint="eastAsia" w:hAnsi="宋体" w:cs="宋体"/>
          <w:color w:val="auto"/>
          <w:kern w:val="0"/>
          <w:highlight w:val="none"/>
        </w:rPr>
        <w:t>需要承包人报送样品的材料或工程设备，样品的种类、名称、规格、数量要求：</w:t>
      </w:r>
      <w:r>
        <w:rPr>
          <w:rFonts w:hint="eastAsia" w:hAnsi="宋体" w:cs="宋体"/>
          <w:color w:val="auto"/>
          <w:highlight w:val="none"/>
          <w:u w:val="single"/>
        </w:rPr>
        <w:t>主要材料涉及品种、款式、颜色等方面内容的，承包人应提交准备合格的材料样品送发包人选定。</w:t>
      </w:r>
    </w:p>
    <w:p w14:paraId="24FEF8A5">
      <w:pPr>
        <w:keepNext/>
        <w:keepLines/>
        <w:spacing w:line="600" w:lineRule="exact"/>
        <w:ind w:firstLine="643" w:firstLineChars="200"/>
        <w:outlineLvl w:val="2"/>
        <w:rPr>
          <w:b/>
          <w:bCs/>
          <w:color w:val="auto"/>
          <w:sz w:val="32"/>
          <w:szCs w:val="32"/>
          <w:highlight w:val="none"/>
        </w:rPr>
      </w:pPr>
      <w:bookmarkStart w:id="668" w:name="_Toc997640704"/>
      <w:bookmarkStart w:id="669" w:name="_Toc78449823"/>
      <w:bookmarkStart w:id="670" w:name="_Toc373478382"/>
      <w:bookmarkStart w:id="671" w:name="_Toc407135237"/>
      <w:bookmarkStart w:id="672" w:name="_Toc373227735"/>
      <w:bookmarkStart w:id="673" w:name="_Toc1049576644"/>
      <w:bookmarkStart w:id="674" w:name="_Toc389065301"/>
      <w:r>
        <w:rPr>
          <w:b/>
          <w:bCs/>
          <w:color w:val="auto"/>
          <w:sz w:val="32"/>
          <w:szCs w:val="32"/>
          <w:highlight w:val="none"/>
        </w:rPr>
        <w:t xml:space="preserve">8.8 </w:t>
      </w:r>
      <w:r>
        <w:rPr>
          <w:rFonts w:hint="eastAsia" w:cs="黑体"/>
          <w:b/>
          <w:bCs/>
          <w:color w:val="auto"/>
          <w:sz w:val="32"/>
          <w:szCs w:val="32"/>
          <w:highlight w:val="none"/>
        </w:rPr>
        <w:t>施工设备和临时设施</w:t>
      </w:r>
      <w:bookmarkEnd w:id="668"/>
      <w:bookmarkEnd w:id="669"/>
      <w:bookmarkEnd w:id="670"/>
      <w:bookmarkEnd w:id="671"/>
      <w:bookmarkEnd w:id="672"/>
      <w:bookmarkEnd w:id="673"/>
      <w:bookmarkEnd w:id="674"/>
    </w:p>
    <w:p w14:paraId="64D02E4B">
      <w:pPr>
        <w:autoSpaceDE w:val="0"/>
        <w:autoSpaceDN w:val="0"/>
        <w:adjustRightInd w:val="0"/>
        <w:spacing w:line="360" w:lineRule="auto"/>
        <w:ind w:firstLine="420" w:firstLineChars="200"/>
        <w:jc w:val="left"/>
        <w:rPr>
          <w:color w:val="auto"/>
          <w:highlight w:val="none"/>
        </w:rPr>
      </w:pPr>
      <w:r>
        <w:rPr>
          <w:color w:val="auto"/>
          <w:highlight w:val="none"/>
        </w:rPr>
        <w:t xml:space="preserve">8.8.1 </w:t>
      </w:r>
      <w:r>
        <w:rPr>
          <w:rFonts w:hint="eastAsia" w:hAnsi="宋体" w:cs="宋体"/>
          <w:color w:val="auto"/>
          <w:highlight w:val="none"/>
        </w:rPr>
        <w:t>承包人提供的施工设备和临时设施</w:t>
      </w:r>
    </w:p>
    <w:p w14:paraId="2D6A0421">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除专用合同条款另有约定的其他独立承包人和监理人指示的他人提供条件外，承包人运入施工场地的所有施工设备以及在施工场地建设的临时设施仅限于用于合同工程。</w:t>
      </w:r>
      <w:r>
        <w:rPr>
          <w:rFonts w:hint="eastAsia" w:ascii="宋体" w:hAnsi="宋体" w:cs="宋体"/>
          <w:color w:val="auto"/>
          <w:highlight w:val="none"/>
        </w:rPr>
        <w:t>承包人用于本工程的主要机械设备清单见合同附件</w:t>
      </w:r>
      <w:r>
        <w:rPr>
          <w:rFonts w:ascii="宋体" w:hAnsi="宋体" w:cs="宋体"/>
          <w:color w:val="auto"/>
          <w:highlight w:val="none"/>
        </w:rPr>
        <w:t>5</w:t>
      </w:r>
      <w:r>
        <w:rPr>
          <w:rFonts w:hint="eastAsia" w:ascii="宋体" w:hAnsi="宋体" w:cs="宋体"/>
          <w:color w:val="auto"/>
          <w:highlight w:val="none"/>
        </w:rPr>
        <w:t>。</w:t>
      </w:r>
    </w:p>
    <w:p w14:paraId="56B05835">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关于修建临时设施费用承担的约定：</w:t>
      </w:r>
    </w:p>
    <w:p w14:paraId="65D59A47">
      <w:pPr>
        <w:autoSpaceDE w:val="0"/>
        <w:autoSpaceDN w:val="0"/>
        <w:adjustRightInd w:val="0"/>
        <w:spacing w:line="400" w:lineRule="exact"/>
        <w:ind w:firstLine="420" w:firstLineChars="200"/>
        <w:jc w:val="left"/>
        <w:rPr>
          <w:rFonts w:ascii="宋体" w:hAnsi="宋体" w:cs="宋体"/>
          <w:color w:val="auto"/>
          <w:highlight w:val="none"/>
          <w:u w:val="single"/>
        </w:rPr>
      </w:pPr>
      <w:r>
        <w:rPr>
          <w:rFonts w:hint="eastAsia" w:ascii="宋体" w:hAnsi="宋体" w:cs="宋体"/>
          <w:color w:val="auto"/>
          <w:highlight w:val="none"/>
          <w:u w:val="single"/>
        </w:rPr>
        <w:t>①承包人的临时用地（含项目部驻地等）租用费（含拆迁补偿）、临时用地的环保、恢复、临时用地的青苗补偿及地面附着物拆除等费用均由承包人负责，以上费用在投标报价中综合考虑。</w:t>
      </w:r>
    </w:p>
    <w:p w14:paraId="0824860E">
      <w:pPr>
        <w:autoSpaceDE w:val="0"/>
        <w:autoSpaceDN w:val="0"/>
        <w:adjustRightInd w:val="0"/>
        <w:spacing w:line="400" w:lineRule="exact"/>
        <w:ind w:firstLine="420" w:firstLineChars="200"/>
        <w:jc w:val="left"/>
        <w:rPr>
          <w:rFonts w:ascii="宋体" w:hAnsi="宋体" w:cs="宋体"/>
          <w:color w:val="auto"/>
          <w:highlight w:val="none"/>
          <w:u w:val="single"/>
        </w:rPr>
      </w:pPr>
      <w:r>
        <w:rPr>
          <w:rFonts w:hint="eastAsia" w:ascii="宋体" w:hAnsi="宋体" w:cs="宋体"/>
          <w:color w:val="auto"/>
          <w:highlight w:val="none"/>
          <w:u w:val="single"/>
        </w:rPr>
        <w:t>②承包人负责合同实施期间其合同段内临时交通道路（含场内外连接公共交通道路）和交通设施的修建、维修、养护和交通管理工作，并承担一切费用。</w:t>
      </w:r>
    </w:p>
    <w:p w14:paraId="257C4B98">
      <w:pPr>
        <w:autoSpaceDE w:val="0"/>
        <w:autoSpaceDN w:val="0"/>
        <w:adjustRightInd w:val="0"/>
        <w:spacing w:line="360" w:lineRule="auto"/>
        <w:ind w:firstLine="420" w:firstLineChars="200"/>
        <w:jc w:val="left"/>
        <w:rPr>
          <w:rFonts w:hAnsi="宋体"/>
          <w:color w:val="auto"/>
          <w:highlight w:val="none"/>
          <w:u w:val="single"/>
        </w:rPr>
      </w:pPr>
      <w:r>
        <w:rPr>
          <w:rFonts w:hint="eastAsia" w:ascii="宋体" w:hAnsi="宋体" w:cs="宋体"/>
          <w:color w:val="auto"/>
          <w:highlight w:val="none"/>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各自合同金额对应比例分摊。</w:t>
      </w:r>
    </w:p>
    <w:p w14:paraId="53403F76">
      <w:pPr>
        <w:autoSpaceDE w:val="0"/>
        <w:autoSpaceDN w:val="0"/>
        <w:adjustRightInd w:val="0"/>
        <w:spacing w:line="360" w:lineRule="auto"/>
        <w:ind w:firstLine="420" w:firstLineChars="200"/>
        <w:jc w:val="left"/>
        <w:rPr>
          <w:color w:val="auto"/>
          <w:highlight w:val="none"/>
        </w:rPr>
      </w:pPr>
      <w:r>
        <w:rPr>
          <w:color w:val="auto"/>
          <w:highlight w:val="none"/>
        </w:rPr>
        <w:t xml:space="preserve">8.8.2 </w:t>
      </w:r>
      <w:r>
        <w:rPr>
          <w:rFonts w:hint="eastAsia" w:hAnsi="宋体" w:cs="宋体"/>
          <w:color w:val="auto"/>
          <w:highlight w:val="none"/>
        </w:rPr>
        <w:t>发包人提供的施工设备和临时设施</w:t>
      </w:r>
    </w:p>
    <w:p w14:paraId="2FAB33BA">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发包人提供的施工设备和临时设施：</w:t>
      </w:r>
      <w:r>
        <w:rPr>
          <w:rFonts w:hint="eastAsia" w:ascii="宋体" w:hAnsi="宋体" w:cs="宋体"/>
          <w:color w:val="auto"/>
          <w:highlight w:val="none"/>
          <w:u w:val="single"/>
        </w:rPr>
        <w:t>无</w:t>
      </w:r>
      <w:r>
        <w:rPr>
          <w:rFonts w:hint="eastAsia" w:hAnsi="宋体" w:cs="宋体"/>
          <w:color w:val="auto"/>
          <w:highlight w:val="none"/>
        </w:rPr>
        <w:t>。</w:t>
      </w:r>
    </w:p>
    <w:p w14:paraId="6C1655B9">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发包人提供的施工设备和临时设施的运行、维护、拆除、清运费用的承担人：</w:t>
      </w:r>
      <w:r>
        <w:rPr>
          <w:rFonts w:hint="eastAsia" w:ascii="宋体" w:hAnsi="宋体" w:cs="宋体"/>
          <w:color w:val="auto"/>
          <w:highlight w:val="none"/>
          <w:u w:val="single"/>
        </w:rPr>
        <w:t>承包人</w:t>
      </w:r>
      <w:r>
        <w:rPr>
          <w:rFonts w:hint="eastAsia" w:hAnsi="宋体" w:cs="宋体"/>
          <w:color w:val="auto"/>
          <w:highlight w:val="none"/>
        </w:rPr>
        <w:t>。</w:t>
      </w:r>
    </w:p>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14:paraId="6168525D">
      <w:pPr>
        <w:keepNext/>
        <w:keepLines/>
        <w:spacing w:before="260" w:after="260" w:line="413" w:lineRule="auto"/>
        <w:outlineLvl w:val="1"/>
        <w:rPr>
          <w:rFonts w:ascii="Arial" w:hAnsi="Arial" w:eastAsia="黑体"/>
          <w:b/>
          <w:bCs/>
          <w:color w:val="auto"/>
          <w:sz w:val="32"/>
          <w:szCs w:val="32"/>
          <w:highlight w:val="none"/>
        </w:rPr>
      </w:pPr>
      <w:bookmarkStart w:id="675" w:name="_Toc351203641"/>
      <w:bookmarkStart w:id="676" w:name="_Toc2039161841"/>
      <w:bookmarkStart w:id="677" w:name="_Toc2027787496"/>
      <w:bookmarkStart w:id="678" w:name="_Toc373227736"/>
      <w:bookmarkStart w:id="679" w:name="_Toc389065302"/>
      <w:bookmarkStart w:id="680" w:name="_Toc78449824"/>
      <w:bookmarkStart w:id="681" w:name="_Toc373478383"/>
      <w:bookmarkStart w:id="682" w:name="_Toc407135238"/>
      <w:r>
        <w:rPr>
          <w:rFonts w:ascii="Arial" w:hAnsi="Arial" w:eastAsia="黑体"/>
          <w:b/>
          <w:bCs/>
          <w:color w:val="auto"/>
          <w:sz w:val="32"/>
          <w:szCs w:val="32"/>
          <w:highlight w:val="none"/>
        </w:rPr>
        <w:t>9</w:t>
      </w:r>
      <w:bookmarkEnd w:id="640"/>
      <w:bookmarkEnd w:id="641"/>
      <w:bookmarkEnd w:id="642"/>
      <w:bookmarkStart w:id="683" w:name="_Toc303539139"/>
      <w:bookmarkStart w:id="684" w:name="_Toc304295559"/>
      <w:bookmarkStart w:id="685" w:name="_Toc312678021"/>
      <w:bookmarkStart w:id="686" w:name="_Toc297123533"/>
      <w:bookmarkStart w:id="687" w:name="_Toc312677495"/>
      <w:bookmarkStart w:id="688" w:name="_Toc300934982"/>
      <w:bookmarkStart w:id="689" w:name="_Toc297216192"/>
      <w:bookmarkStart w:id="690" w:name="_Toc296503173"/>
      <w:bookmarkStart w:id="691" w:name="_Toc297048359"/>
      <w:bookmarkStart w:id="692" w:name="_Toc267251428"/>
      <w:bookmarkStart w:id="693" w:name="_Toc296891001"/>
      <w:bookmarkStart w:id="694" w:name="_Toc292559378"/>
      <w:bookmarkStart w:id="695" w:name="_Toc296347172"/>
      <w:bookmarkStart w:id="696" w:name="_Toc296891213"/>
      <w:bookmarkStart w:id="697" w:name="_Toc267251427"/>
      <w:bookmarkStart w:id="698" w:name="_Toc296944512"/>
      <w:bookmarkStart w:id="699" w:name="_Toc297120473"/>
      <w:bookmarkStart w:id="700" w:name="_Toc296346674"/>
      <w:bookmarkStart w:id="701" w:name="_Toc292559883"/>
      <w:r>
        <w:rPr>
          <w:rFonts w:ascii="Arial" w:hAnsi="Arial" w:eastAsia="黑体"/>
          <w:b/>
          <w:bCs/>
          <w:color w:val="auto"/>
          <w:sz w:val="32"/>
          <w:szCs w:val="32"/>
          <w:highlight w:val="none"/>
        </w:rPr>
        <w:t xml:space="preserve">. </w:t>
      </w:r>
      <w:r>
        <w:rPr>
          <w:rFonts w:hint="eastAsia" w:ascii="Arial" w:hAnsi="Arial" w:eastAsia="黑体" w:cs="黑体"/>
          <w:b/>
          <w:bCs/>
          <w:color w:val="auto"/>
          <w:sz w:val="32"/>
          <w:szCs w:val="32"/>
          <w:highlight w:val="none"/>
        </w:rPr>
        <w:t>试验与检验</w:t>
      </w:r>
      <w:bookmarkEnd w:id="675"/>
      <w:bookmarkEnd w:id="676"/>
      <w:bookmarkEnd w:id="677"/>
      <w:bookmarkEnd w:id="678"/>
      <w:bookmarkEnd w:id="679"/>
      <w:bookmarkEnd w:id="680"/>
      <w:bookmarkEnd w:id="681"/>
      <w:bookmarkEnd w:id="682"/>
    </w:p>
    <w:bookmarkEnd w:id="683"/>
    <w:bookmarkEnd w:id="684"/>
    <w:bookmarkEnd w:id="685"/>
    <w:bookmarkEnd w:id="686"/>
    <w:bookmarkEnd w:id="687"/>
    <w:bookmarkEnd w:id="688"/>
    <w:bookmarkEnd w:id="689"/>
    <w:p w14:paraId="3651201C">
      <w:pPr>
        <w:keepNext/>
        <w:keepLines/>
        <w:spacing w:line="600" w:lineRule="exact"/>
        <w:ind w:firstLine="643" w:firstLineChars="200"/>
        <w:outlineLvl w:val="2"/>
        <w:rPr>
          <w:b/>
          <w:bCs/>
          <w:color w:val="auto"/>
          <w:sz w:val="32"/>
          <w:szCs w:val="32"/>
          <w:highlight w:val="none"/>
        </w:rPr>
      </w:pPr>
      <w:bookmarkStart w:id="702" w:name="_Toc373227737"/>
      <w:bookmarkStart w:id="703" w:name="_Toc530697003"/>
      <w:bookmarkStart w:id="704" w:name="_Toc78449825"/>
      <w:bookmarkStart w:id="705" w:name="_Toc1307315193"/>
      <w:bookmarkStart w:id="706" w:name="_Toc407135239"/>
      <w:bookmarkStart w:id="707" w:name="_Toc373478384"/>
      <w:bookmarkStart w:id="708" w:name="_Toc389065303"/>
      <w:r>
        <w:rPr>
          <w:b/>
          <w:bCs/>
          <w:color w:val="auto"/>
          <w:sz w:val="32"/>
          <w:szCs w:val="32"/>
          <w:highlight w:val="none"/>
        </w:rPr>
        <w:t>9</w:t>
      </w:r>
      <w:bookmarkStart w:id="709" w:name="_Toc297123534"/>
      <w:bookmarkStart w:id="710" w:name="_Toc312678022"/>
      <w:bookmarkStart w:id="711" w:name="_Toc297216193"/>
      <w:bookmarkStart w:id="712" w:name="_Toc304295560"/>
      <w:bookmarkStart w:id="713" w:name="_Toc303539140"/>
      <w:bookmarkStart w:id="714" w:name="_Toc312677496"/>
      <w:bookmarkStart w:id="715" w:name="_Toc300934983"/>
      <w:r>
        <w:rPr>
          <w:b/>
          <w:bCs/>
          <w:color w:val="auto"/>
          <w:sz w:val="32"/>
          <w:szCs w:val="32"/>
          <w:highlight w:val="none"/>
        </w:rPr>
        <w:t xml:space="preserve">.1 </w:t>
      </w:r>
      <w:r>
        <w:rPr>
          <w:rFonts w:hint="eastAsia" w:cs="黑体"/>
          <w:b/>
          <w:bCs/>
          <w:color w:val="auto"/>
          <w:sz w:val="32"/>
          <w:szCs w:val="32"/>
          <w:highlight w:val="none"/>
        </w:rPr>
        <w:t>试验设备与试验人员</w:t>
      </w:r>
      <w:bookmarkEnd w:id="702"/>
      <w:bookmarkEnd w:id="703"/>
      <w:bookmarkEnd w:id="704"/>
      <w:bookmarkEnd w:id="705"/>
      <w:bookmarkEnd w:id="706"/>
      <w:bookmarkEnd w:id="707"/>
      <w:bookmarkEnd w:id="708"/>
    </w:p>
    <w:bookmarkEnd w:id="709"/>
    <w:bookmarkEnd w:id="710"/>
    <w:bookmarkEnd w:id="711"/>
    <w:bookmarkEnd w:id="712"/>
    <w:bookmarkEnd w:id="713"/>
    <w:bookmarkEnd w:id="714"/>
    <w:bookmarkEnd w:id="715"/>
    <w:p w14:paraId="0556D4AB">
      <w:pPr>
        <w:spacing w:line="360" w:lineRule="auto"/>
        <w:ind w:firstLine="420" w:firstLineChars="200"/>
        <w:jc w:val="left"/>
        <w:rPr>
          <w:color w:val="auto"/>
          <w:highlight w:val="none"/>
        </w:rPr>
      </w:pPr>
      <w:r>
        <w:rPr>
          <w:color w:val="auto"/>
          <w:highlight w:val="none"/>
        </w:rPr>
        <w:t>9</w:t>
      </w:r>
      <w:bookmarkStart w:id="716" w:name="_Toc300934984"/>
      <w:bookmarkStart w:id="717" w:name="_Toc312678023"/>
      <w:bookmarkStart w:id="718" w:name="_Toc304295561"/>
      <w:bookmarkStart w:id="719" w:name="_Toc297123535"/>
      <w:bookmarkStart w:id="720" w:name="_Toc297216194"/>
      <w:bookmarkStart w:id="721" w:name="_Toc312677497"/>
      <w:bookmarkStart w:id="722" w:name="_Toc303539141"/>
      <w:bookmarkStart w:id="723" w:name="_Toc318581174"/>
      <w:r>
        <w:rPr>
          <w:color w:val="auto"/>
          <w:highlight w:val="none"/>
        </w:rPr>
        <w:t xml:space="preserve">.1.2 </w:t>
      </w:r>
      <w:r>
        <w:rPr>
          <w:rFonts w:hint="eastAsia" w:hAnsi="宋体" w:cs="宋体"/>
          <w:color w:val="auto"/>
          <w:highlight w:val="none"/>
        </w:rPr>
        <w:t>试验设备</w:t>
      </w:r>
    </w:p>
    <w:p w14:paraId="5D5C8357">
      <w:pPr>
        <w:spacing w:line="360" w:lineRule="auto"/>
        <w:ind w:firstLine="420" w:firstLineChars="200"/>
        <w:jc w:val="left"/>
        <w:rPr>
          <w:color w:val="auto"/>
          <w:highlight w:val="none"/>
          <w:u w:val="single"/>
        </w:rPr>
      </w:pPr>
      <w:r>
        <w:rPr>
          <w:rFonts w:hint="eastAsia" w:hAnsi="宋体" w:cs="宋体"/>
          <w:color w:val="auto"/>
          <w:highlight w:val="none"/>
        </w:rPr>
        <w:t>施工现场需要配置的试验场所：</w:t>
      </w:r>
      <w:bookmarkEnd w:id="716"/>
      <w:bookmarkEnd w:id="717"/>
      <w:bookmarkEnd w:id="718"/>
      <w:bookmarkEnd w:id="719"/>
      <w:bookmarkEnd w:id="720"/>
      <w:bookmarkEnd w:id="721"/>
      <w:bookmarkEnd w:id="722"/>
      <w:bookmarkStart w:id="724" w:name="_Toc312678024"/>
      <w:bookmarkStart w:id="725" w:name="_Toc312677498"/>
      <w:bookmarkStart w:id="726" w:name="_Toc303539142"/>
      <w:bookmarkStart w:id="727" w:name="_Toc297216195"/>
      <w:bookmarkStart w:id="728" w:name="_Toc297123536"/>
      <w:bookmarkStart w:id="729" w:name="_Toc300934985"/>
      <w:bookmarkStart w:id="730" w:name="_Toc304295562"/>
      <w:r>
        <w:rPr>
          <w:rFonts w:hint="eastAsia" w:ascii="宋体" w:hAnsi="宋体" w:cs="宋体"/>
          <w:color w:val="auto"/>
          <w:highlight w:val="none"/>
          <w:u w:val="single"/>
        </w:rPr>
        <w:t xml:space="preserve">承包人根据现场实际需要另行配置 </w:t>
      </w:r>
      <w:r>
        <w:rPr>
          <w:rFonts w:hint="eastAsia" w:hAnsi="宋体" w:cs="宋体"/>
          <w:color w:val="auto"/>
          <w:highlight w:val="none"/>
        </w:rPr>
        <w:t>。</w:t>
      </w:r>
    </w:p>
    <w:p w14:paraId="556BE907">
      <w:pPr>
        <w:spacing w:line="360" w:lineRule="auto"/>
        <w:ind w:firstLine="420" w:firstLineChars="200"/>
        <w:jc w:val="left"/>
        <w:rPr>
          <w:color w:val="auto"/>
          <w:highlight w:val="none"/>
          <w:u w:val="single"/>
        </w:rPr>
      </w:pPr>
      <w:r>
        <w:rPr>
          <w:rFonts w:hint="eastAsia" w:hAnsi="宋体" w:cs="宋体"/>
          <w:color w:val="auto"/>
          <w:highlight w:val="none"/>
        </w:rPr>
        <w:t>施工现场需要配备的试验设备：</w:t>
      </w:r>
      <w:r>
        <w:rPr>
          <w:rFonts w:hint="eastAsia" w:ascii="宋体" w:hAnsi="宋体" w:cs="宋体"/>
          <w:color w:val="auto"/>
          <w:highlight w:val="none"/>
          <w:u w:val="single"/>
        </w:rPr>
        <w:t xml:space="preserve">承包人根据现场实际需要另行配置 </w:t>
      </w:r>
      <w:r>
        <w:rPr>
          <w:rFonts w:hint="eastAsia" w:hAnsi="宋体" w:cs="宋体"/>
          <w:color w:val="auto"/>
          <w:highlight w:val="none"/>
        </w:rPr>
        <w:t>。</w:t>
      </w:r>
    </w:p>
    <w:p w14:paraId="7EF72BAF">
      <w:pPr>
        <w:spacing w:line="360" w:lineRule="auto"/>
        <w:ind w:firstLine="420" w:firstLineChars="200"/>
        <w:jc w:val="left"/>
        <w:rPr>
          <w:color w:val="auto"/>
          <w:highlight w:val="none"/>
          <w:u w:val="single"/>
        </w:rPr>
      </w:pPr>
      <w:r>
        <w:rPr>
          <w:rFonts w:hint="eastAsia" w:hAnsi="宋体" w:cs="宋体"/>
          <w:color w:val="auto"/>
          <w:highlight w:val="none"/>
        </w:rPr>
        <w:t>施工现场需要具备的其他试验条件：</w:t>
      </w:r>
      <w:r>
        <w:rPr>
          <w:rFonts w:hint="eastAsia" w:ascii="宋体" w:hAnsi="宋体" w:cs="宋体"/>
          <w:color w:val="auto"/>
          <w:highlight w:val="none"/>
          <w:u w:val="single"/>
        </w:rPr>
        <w:t>由承包人自行解决</w:t>
      </w:r>
      <w:r>
        <w:rPr>
          <w:rFonts w:hint="eastAsia" w:hAnsi="宋体" w:cs="宋体"/>
          <w:color w:val="auto"/>
          <w:highlight w:val="none"/>
        </w:rPr>
        <w:t>。</w:t>
      </w:r>
    </w:p>
    <w:p w14:paraId="0F86BC3D">
      <w:pPr>
        <w:keepNext/>
        <w:keepLines/>
        <w:spacing w:line="600" w:lineRule="exact"/>
        <w:ind w:firstLine="643" w:firstLineChars="200"/>
        <w:outlineLvl w:val="2"/>
        <w:rPr>
          <w:b/>
          <w:bCs/>
          <w:color w:val="auto"/>
          <w:sz w:val="32"/>
          <w:szCs w:val="32"/>
          <w:highlight w:val="none"/>
        </w:rPr>
      </w:pPr>
      <w:bookmarkStart w:id="731" w:name="_Toc492347879"/>
      <w:bookmarkStart w:id="732" w:name="_Toc407135240"/>
      <w:bookmarkStart w:id="733" w:name="_Toc78449826"/>
      <w:bookmarkStart w:id="734" w:name="_Toc2012255079"/>
      <w:bookmarkStart w:id="735" w:name="_Toc389065304"/>
      <w:bookmarkStart w:id="736" w:name="_Toc373227738"/>
      <w:bookmarkStart w:id="737" w:name="_Toc373478385"/>
      <w:r>
        <w:rPr>
          <w:b/>
          <w:bCs/>
          <w:color w:val="auto"/>
          <w:sz w:val="32"/>
          <w:szCs w:val="32"/>
          <w:highlight w:val="none"/>
        </w:rPr>
        <w:t xml:space="preserve">9.4 </w:t>
      </w:r>
      <w:r>
        <w:rPr>
          <w:rFonts w:hint="eastAsia" w:hAnsi="宋体" w:cs="黑体"/>
          <w:b/>
          <w:bCs/>
          <w:color w:val="auto"/>
          <w:sz w:val="32"/>
          <w:szCs w:val="32"/>
          <w:highlight w:val="none"/>
        </w:rPr>
        <w:t>现场工艺试验</w:t>
      </w:r>
      <w:bookmarkEnd w:id="731"/>
      <w:bookmarkEnd w:id="732"/>
      <w:bookmarkEnd w:id="733"/>
      <w:bookmarkEnd w:id="734"/>
      <w:bookmarkEnd w:id="735"/>
      <w:bookmarkEnd w:id="736"/>
      <w:bookmarkEnd w:id="737"/>
    </w:p>
    <w:p w14:paraId="0AEAEFAA">
      <w:pPr>
        <w:spacing w:line="360" w:lineRule="auto"/>
        <w:ind w:firstLine="420" w:firstLineChars="200"/>
        <w:jc w:val="left"/>
        <w:rPr>
          <w:color w:val="auto"/>
          <w:highlight w:val="none"/>
        </w:rPr>
      </w:pPr>
      <w:r>
        <w:rPr>
          <w:rFonts w:hint="eastAsia" w:hAnsi="宋体" w:cs="宋体"/>
          <w:color w:val="auto"/>
          <w:highlight w:val="none"/>
        </w:rPr>
        <w:t>现场工艺试验的有关约定：</w:t>
      </w:r>
      <w:r>
        <w:rPr>
          <w:rFonts w:hint="eastAsia" w:ascii="宋体" w:hAnsi="宋体" w:cs="宋体"/>
          <w:color w:val="auto"/>
          <w:highlight w:val="none"/>
          <w:u w:val="single"/>
        </w:rPr>
        <w:t>按通用合同条款第9.4款执行</w:t>
      </w:r>
      <w:r>
        <w:rPr>
          <w:rFonts w:hint="eastAsia" w:hAnsi="宋体" w:cs="宋体"/>
          <w:color w:val="auto"/>
          <w:highlight w:val="none"/>
        </w:rPr>
        <w:t>。</w:t>
      </w:r>
    </w:p>
    <w:p w14:paraId="258FF190">
      <w:pPr>
        <w:keepNext/>
        <w:keepLines/>
        <w:spacing w:line="600" w:lineRule="exact"/>
        <w:ind w:firstLine="643" w:firstLineChars="200"/>
        <w:outlineLvl w:val="2"/>
        <w:rPr>
          <w:b/>
          <w:bCs/>
          <w:color w:val="auto"/>
          <w:sz w:val="32"/>
          <w:szCs w:val="32"/>
          <w:highlight w:val="none"/>
        </w:rPr>
      </w:pPr>
      <w:bookmarkStart w:id="738" w:name="_Toc1539824686"/>
      <w:bookmarkStart w:id="739" w:name="_Toc78449827"/>
      <w:bookmarkStart w:id="740" w:name="_Toc407135241"/>
      <w:bookmarkStart w:id="741" w:name="_Toc393419678"/>
      <w:bookmarkStart w:id="742" w:name="OLE_LINK1"/>
      <w:r>
        <w:rPr>
          <w:b/>
          <w:bCs/>
          <w:color w:val="auto"/>
          <w:sz w:val="32"/>
          <w:szCs w:val="32"/>
          <w:highlight w:val="none"/>
        </w:rPr>
        <w:t xml:space="preserve">9.5 </w:t>
      </w:r>
      <w:r>
        <w:rPr>
          <w:rFonts w:hint="eastAsia" w:hAnsi="宋体" w:cs="黑体"/>
          <w:b/>
          <w:bCs/>
          <w:color w:val="auto"/>
          <w:sz w:val="32"/>
          <w:szCs w:val="32"/>
          <w:highlight w:val="none"/>
        </w:rPr>
        <w:t>检验费用</w:t>
      </w:r>
      <w:bookmarkEnd w:id="738"/>
      <w:bookmarkEnd w:id="739"/>
      <w:bookmarkEnd w:id="740"/>
      <w:bookmarkEnd w:id="741"/>
    </w:p>
    <w:p w14:paraId="5593E15D">
      <w:pPr>
        <w:spacing w:line="360" w:lineRule="auto"/>
        <w:ind w:firstLine="411" w:firstLineChars="196"/>
        <w:rPr>
          <w:rFonts w:hAnsi="宋体" w:cs="宋体"/>
          <w:color w:val="auto"/>
          <w:highlight w:val="none"/>
        </w:rPr>
      </w:pPr>
      <w:r>
        <w:rPr>
          <w:rFonts w:hint="eastAsia" w:hAnsi="宋体" w:cs="宋体"/>
          <w:color w:val="auto"/>
          <w:highlight w:val="none"/>
        </w:rPr>
        <w:t>根据《建设工程质量检测管理办法》（建设部令第</w:t>
      </w:r>
      <w:r>
        <w:rPr>
          <w:color w:val="auto"/>
          <w:highlight w:val="none"/>
        </w:rPr>
        <w:t>141</w:t>
      </w:r>
      <w:r>
        <w:rPr>
          <w:rFonts w:hint="eastAsia" w:hAnsi="宋体" w:cs="宋体"/>
          <w:color w:val="auto"/>
          <w:highlight w:val="none"/>
        </w:rPr>
        <w:t>号）以及《广西壮族自治区建设工程质量检测管理规定》</w:t>
      </w:r>
      <w:r>
        <w:rPr>
          <w:rFonts w:hint="eastAsia" w:cs="宋体"/>
          <w:color w:val="auto"/>
          <w:highlight w:val="none"/>
        </w:rPr>
        <w:t>（</w:t>
      </w:r>
      <w:r>
        <w:rPr>
          <w:rFonts w:hint="eastAsia" w:hAnsi="宋体" w:cs="宋体"/>
          <w:color w:val="auto"/>
          <w:highlight w:val="none"/>
        </w:rPr>
        <w:t>桂建管</w:t>
      </w:r>
      <w:r>
        <w:rPr>
          <w:rFonts w:hint="eastAsia" w:cs="宋体"/>
          <w:color w:val="auto"/>
          <w:highlight w:val="none"/>
        </w:rPr>
        <w:t>〔</w:t>
      </w:r>
      <w:r>
        <w:rPr>
          <w:color w:val="auto"/>
          <w:highlight w:val="none"/>
        </w:rPr>
        <w:t>2013</w:t>
      </w:r>
      <w:r>
        <w:rPr>
          <w:rFonts w:hint="eastAsia" w:cs="宋体"/>
          <w:color w:val="auto"/>
          <w:highlight w:val="none"/>
        </w:rPr>
        <w:t>〕</w:t>
      </w:r>
      <w:r>
        <w:rPr>
          <w:color w:val="auto"/>
          <w:highlight w:val="none"/>
        </w:rPr>
        <w:t>11</w:t>
      </w:r>
      <w:r>
        <w:rPr>
          <w:rFonts w:hint="eastAsia" w:hAnsi="宋体" w:cs="宋体"/>
          <w:color w:val="auto"/>
          <w:highlight w:val="none"/>
        </w:rPr>
        <w:t>号</w:t>
      </w:r>
      <w:r>
        <w:rPr>
          <w:rFonts w:hint="eastAsia" w:cs="宋体"/>
          <w:color w:val="auto"/>
          <w:highlight w:val="none"/>
        </w:rPr>
        <w:t>）</w:t>
      </w:r>
      <w:r>
        <w:rPr>
          <w:rFonts w:hint="eastAsia" w:hAnsi="宋体" w:cs="宋体"/>
          <w:color w:val="auto"/>
          <w:highlight w:val="none"/>
        </w:rPr>
        <w:t>规定，工程质量检测业务由发包人委托有相应资质的检测机构检测。费用从发包人的项目建设经费中支出并直接支付给检测机构，不计入合同价款内。</w:t>
      </w:r>
    </w:p>
    <w:p w14:paraId="58DB34F6">
      <w:pPr>
        <w:spacing w:line="400" w:lineRule="exact"/>
        <w:ind w:firstLine="411" w:firstLineChars="196"/>
        <w:rPr>
          <w:rFonts w:ascii="宋体" w:hAnsi="宋体" w:cs="宋体"/>
          <w:b/>
          <w:color w:val="auto"/>
          <w:highlight w:val="none"/>
        </w:rPr>
      </w:pPr>
      <w:r>
        <w:rPr>
          <w:rFonts w:hint="eastAsia" w:ascii="宋体" w:hAnsi="宋体" w:cs="宋体"/>
          <w:bCs/>
          <w:color w:val="auto"/>
          <w:highlight w:val="none"/>
        </w:rPr>
        <w:t>承包人需自行配备简单的试验设备和仪器，以完成自检需要；需自行配备见证取样人员和配合现场试验工作、配合试验资料的完善和提交，相关费用已含在投保报价综合单价中。</w:t>
      </w:r>
    </w:p>
    <w:p w14:paraId="6B053486">
      <w:pPr>
        <w:rPr>
          <w:color w:val="auto"/>
          <w:highlight w:val="none"/>
        </w:rPr>
      </w:pPr>
    </w:p>
    <w:bookmarkEnd w:id="723"/>
    <w:bookmarkEnd w:id="724"/>
    <w:bookmarkEnd w:id="725"/>
    <w:bookmarkEnd w:id="726"/>
    <w:bookmarkEnd w:id="727"/>
    <w:bookmarkEnd w:id="728"/>
    <w:bookmarkEnd w:id="729"/>
    <w:bookmarkEnd w:id="730"/>
    <w:bookmarkEnd w:id="742"/>
    <w:p w14:paraId="7B1CF9D5">
      <w:pPr>
        <w:keepNext/>
        <w:keepLines/>
        <w:spacing w:before="260" w:after="260" w:line="413" w:lineRule="auto"/>
        <w:outlineLvl w:val="1"/>
        <w:rPr>
          <w:rFonts w:ascii="Arial" w:hAnsi="Arial" w:eastAsia="黑体"/>
          <w:b/>
          <w:bCs/>
          <w:color w:val="auto"/>
          <w:sz w:val="32"/>
          <w:szCs w:val="32"/>
          <w:highlight w:val="none"/>
        </w:rPr>
      </w:pPr>
      <w:bookmarkStart w:id="743" w:name="_Toc603662032"/>
      <w:bookmarkStart w:id="744" w:name="_Toc389065305"/>
      <w:bookmarkStart w:id="745" w:name="_Toc373478386"/>
      <w:bookmarkStart w:id="746" w:name="_Toc407135242"/>
      <w:bookmarkStart w:id="747" w:name="_Toc1278407274"/>
      <w:bookmarkStart w:id="748" w:name="_Toc373227739"/>
      <w:bookmarkStart w:id="749" w:name="_Toc78449828"/>
      <w:bookmarkStart w:id="750" w:name="_Toc351203642"/>
      <w:r>
        <w:rPr>
          <w:rFonts w:ascii="Arial" w:hAnsi="Arial" w:eastAsia="黑体"/>
          <w:b/>
          <w:bCs/>
          <w:color w:val="auto"/>
          <w:sz w:val="32"/>
          <w:szCs w:val="32"/>
          <w:highlight w:val="none"/>
        </w:rPr>
        <w:t>1</w:t>
      </w:r>
      <w:bookmarkEnd w:id="690"/>
      <w:bookmarkEnd w:id="691"/>
      <w:bookmarkEnd w:id="692"/>
      <w:bookmarkEnd w:id="693"/>
      <w:bookmarkEnd w:id="694"/>
      <w:bookmarkEnd w:id="695"/>
      <w:bookmarkEnd w:id="696"/>
      <w:bookmarkEnd w:id="697"/>
      <w:bookmarkEnd w:id="698"/>
      <w:bookmarkEnd w:id="699"/>
      <w:bookmarkEnd w:id="700"/>
      <w:bookmarkEnd w:id="701"/>
      <w:bookmarkStart w:id="751" w:name="_Toc292559903"/>
      <w:bookmarkStart w:id="752" w:name="_Toc297216199"/>
      <w:bookmarkStart w:id="753" w:name="_Toc304295566"/>
      <w:bookmarkStart w:id="754" w:name="_Toc296891233"/>
      <w:bookmarkStart w:id="755" w:name="_Toc296346694"/>
      <w:bookmarkStart w:id="756" w:name="_Toc300934989"/>
      <w:bookmarkStart w:id="757" w:name="_Toc297123540"/>
      <w:bookmarkStart w:id="758" w:name="_Toc303539146"/>
      <w:bookmarkStart w:id="759" w:name="_Toc296891021"/>
      <w:bookmarkStart w:id="760" w:name="_Toc297048379"/>
      <w:bookmarkStart w:id="761" w:name="_Toc296944532"/>
      <w:bookmarkStart w:id="762" w:name="_Toc292559398"/>
      <w:bookmarkStart w:id="763" w:name="_Toc297120493"/>
      <w:bookmarkStart w:id="764" w:name="_Toc296503193"/>
      <w:bookmarkStart w:id="765" w:name="_Toc296347192"/>
      <w:bookmarkStart w:id="766" w:name="_Toc312678025"/>
      <w:bookmarkStart w:id="767" w:name="_Toc312677499"/>
      <w:bookmarkStart w:id="768" w:name="_Toc267251435"/>
      <w:bookmarkStart w:id="769" w:name="_Toc267251433"/>
      <w:bookmarkStart w:id="770" w:name="_Toc267251437"/>
      <w:bookmarkStart w:id="771" w:name="_Toc267251440"/>
      <w:bookmarkStart w:id="772" w:name="_Toc267251439"/>
      <w:bookmarkStart w:id="773" w:name="_Toc267251441"/>
      <w:bookmarkStart w:id="774" w:name="_Toc267251442"/>
      <w:r>
        <w:rPr>
          <w:rFonts w:ascii="Arial" w:hAnsi="Arial" w:eastAsia="黑体"/>
          <w:b/>
          <w:bCs/>
          <w:color w:val="auto"/>
          <w:sz w:val="32"/>
          <w:szCs w:val="32"/>
          <w:highlight w:val="none"/>
        </w:rPr>
        <w:t xml:space="preserve">0. </w:t>
      </w:r>
      <w:r>
        <w:rPr>
          <w:rFonts w:hint="eastAsia" w:ascii="Arial" w:hAnsi="宋体" w:eastAsia="黑体" w:cs="黑体"/>
          <w:b/>
          <w:bCs/>
          <w:color w:val="auto"/>
          <w:sz w:val="32"/>
          <w:szCs w:val="32"/>
          <w:highlight w:val="none"/>
        </w:rPr>
        <w:t>变更</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p>
    <w:bookmarkEnd w:id="766"/>
    <w:bookmarkEnd w:id="767"/>
    <w:p w14:paraId="6C7CF9F7">
      <w:pPr>
        <w:keepNext/>
        <w:keepLines/>
        <w:spacing w:line="600" w:lineRule="exact"/>
        <w:ind w:firstLine="643" w:firstLineChars="200"/>
        <w:outlineLvl w:val="2"/>
        <w:rPr>
          <w:b/>
          <w:bCs/>
          <w:color w:val="auto"/>
          <w:sz w:val="32"/>
          <w:szCs w:val="32"/>
          <w:highlight w:val="none"/>
        </w:rPr>
      </w:pPr>
      <w:bookmarkStart w:id="775" w:name="_Toc1890371558"/>
      <w:bookmarkStart w:id="776" w:name="_Toc407135243"/>
      <w:bookmarkStart w:id="777" w:name="_Toc78449829"/>
      <w:bookmarkStart w:id="778" w:name="_Toc373478387"/>
      <w:bookmarkStart w:id="779" w:name="_Toc373227740"/>
      <w:bookmarkStart w:id="780" w:name="_Toc389065306"/>
      <w:bookmarkStart w:id="781" w:name="_Toc411143415"/>
      <w:r>
        <w:rPr>
          <w:b/>
          <w:bCs/>
          <w:color w:val="auto"/>
          <w:sz w:val="32"/>
          <w:szCs w:val="32"/>
          <w:highlight w:val="none"/>
        </w:rPr>
        <w:t>1</w:t>
      </w:r>
      <w:bookmarkStart w:id="782" w:name="_Toc297123541"/>
      <w:bookmarkStart w:id="783" w:name="_Toc296944533"/>
      <w:bookmarkStart w:id="784" w:name="_Toc312678026"/>
      <w:bookmarkStart w:id="785" w:name="_Toc296891234"/>
      <w:bookmarkStart w:id="786" w:name="_Toc296347193"/>
      <w:bookmarkStart w:id="787" w:name="_Toc292559399"/>
      <w:bookmarkStart w:id="788" w:name="_Toc292559904"/>
      <w:bookmarkStart w:id="789" w:name="_Toc297120494"/>
      <w:bookmarkStart w:id="790" w:name="_Toc303539147"/>
      <w:bookmarkStart w:id="791" w:name="_Toc312677500"/>
      <w:bookmarkStart w:id="792" w:name="_Toc296503194"/>
      <w:bookmarkStart w:id="793" w:name="_Toc296891022"/>
      <w:bookmarkStart w:id="794" w:name="_Toc300934990"/>
      <w:bookmarkStart w:id="795" w:name="_Toc297048380"/>
      <w:bookmarkStart w:id="796" w:name="_Toc297216200"/>
      <w:bookmarkStart w:id="797" w:name="_Toc296346695"/>
      <w:bookmarkStart w:id="798" w:name="_Toc304295567"/>
      <w:r>
        <w:rPr>
          <w:b/>
          <w:bCs/>
          <w:color w:val="auto"/>
          <w:sz w:val="32"/>
          <w:szCs w:val="32"/>
          <w:highlight w:val="none"/>
        </w:rPr>
        <w:t xml:space="preserve">0.1 </w:t>
      </w:r>
      <w:r>
        <w:rPr>
          <w:rFonts w:hint="eastAsia" w:hAnsi="宋体" w:cs="黑体"/>
          <w:b/>
          <w:bCs/>
          <w:color w:val="auto"/>
          <w:sz w:val="32"/>
          <w:szCs w:val="32"/>
          <w:highlight w:val="none"/>
        </w:rPr>
        <w:t>变更的范围</w:t>
      </w:r>
      <w:bookmarkEnd w:id="775"/>
      <w:bookmarkEnd w:id="776"/>
      <w:bookmarkEnd w:id="777"/>
      <w:bookmarkEnd w:id="778"/>
      <w:bookmarkEnd w:id="779"/>
      <w:bookmarkEnd w:id="780"/>
      <w:bookmarkEnd w:id="781"/>
    </w:p>
    <w:p w14:paraId="6AD79952">
      <w:pPr>
        <w:spacing w:line="360" w:lineRule="auto"/>
        <w:ind w:firstLine="426"/>
        <w:jc w:val="left"/>
        <w:rPr>
          <w:rFonts w:hAnsi="宋体" w:cs="宋体"/>
          <w:color w:val="auto"/>
          <w:highlight w:val="none"/>
        </w:rPr>
      </w:pPr>
      <w:r>
        <w:rPr>
          <w:rFonts w:hint="eastAsia" w:hAnsi="宋体" w:cs="宋体"/>
          <w:color w:val="auto"/>
          <w:highlight w:val="none"/>
        </w:rPr>
        <w:t>关于变更的范围的约定：</w:t>
      </w:r>
    </w:p>
    <w:p w14:paraId="4BA7780E">
      <w:pPr>
        <w:pStyle w:val="42"/>
        <w:spacing w:line="360" w:lineRule="exact"/>
        <w:ind w:firstLine="440"/>
        <w:rPr>
          <w:color w:val="auto"/>
          <w:sz w:val="21"/>
          <w:szCs w:val="21"/>
          <w:highlight w:val="none"/>
        </w:rPr>
      </w:pPr>
      <w:r>
        <w:rPr>
          <w:rFonts w:hint="eastAsia"/>
          <w:color w:val="auto"/>
          <w:sz w:val="21"/>
          <w:szCs w:val="21"/>
          <w:highlight w:val="none"/>
        </w:rPr>
        <w:t>在履行合同中发生以下情形之一，应按照本条规定进行变更。</w:t>
      </w:r>
    </w:p>
    <w:p w14:paraId="398A3DDD">
      <w:pPr>
        <w:pStyle w:val="42"/>
        <w:tabs>
          <w:tab w:val="left" w:pos="923"/>
        </w:tabs>
        <w:spacing w:line="360" w:lineRule="exact"/>
        <w:ind w:firstLine="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1</w:t>
      </w:r>
      <w:r>
        <w:rPr>
          <w:rFonts w:hint="eastAsia"/>
          <w:color w:val="auto"/>
          <w:sz w:val="21"/>
          <w:szCs w:val="21"/>
          <w:highlight w:val="none"/>
          <w:lang w:eastAsia="zh-CN"/>
        </w:rPr>
        <w:t>）</w:t>
      </w:r>
      <w:r>
        <w:rPr>
          <w:rFonts w:hint="eastAsia"/>
          <w:color w:val="auto"/>
          <w:sz w:val="21"/>
          <w:szCs w:val="21"/>
          <w:highlight w:val="none"/>
        </w:rPr>
        <w:t>取消合同中任何一项工作，但被取消的工作不能转由发包人或其它人实施；</w:t>
      </w:r>
    </w:p>
    <w:p w14:paraId="01BF3F52">
      <w:pPr>
        <w:pStyle w:val="42"/>
        <w:tabs>
          <w:tab w:val="left" w:pos="923"/>
        </w:tabs>
        <w:spacing w:line="360" w:lineRule="exact"/>
        <w:ind w:firstLine="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2</w:t>
      </w:r>
      <w:r>
        <w:rPr>
          <w:rFonts w:hint="eastAsia"/>
          <w:color w:val="auto"/>
          <w:sz w:val="21"/>
          <w:szCs w:val="21"/>
          <w:highlight w:val="none"/>
          <w:lang w:eastAsia="zh-CN"/>
        </w:rPr>
        <w:t>）</w:t>
      </w:r>
      <w:r>
        <w:rPr>
          <w:rFonts w:hint="eastAsia"/>
          <w:color w:val="auto"/>
          <w:sz w:val="21"/>
          <w:szCs w:val="21"/>
          <w:highlight w:val="none"/>
        </w:rPr>
        <w:t>设计缺陷、差错或遗漏，</w:t>
      </w:r>
      <w:r>
        <w:rPr>
          <w:rFonts w:hint="eastAsia"/>
          <w:color w:val="auto"/>
          <w:sz w:val="21"/>
          <w:szCs w:val="21"/>
          <w:highlight w:val="none"/>
          <w:lang w:eastAsia="zh-CN"/>
        </w:rPr>
        <w:t>增加、</w:t>
      </w:r>
      <w:r>
        <w:rPr>
          <w:rFonts w:hint="eastAsia"/>
          <w:color w:val="auto"/>
          <w:sz w:val="21"/>
          <w:szCs w:val="21"/>
          <w:highlight w:val="none"/>
        </w:rPr>
        <w:t>改变合同或图纸中合同中任何一项工作的质量或其它特性；</w:t>
      </w:r>
    </w:p>
    <w:p w14:paraId="08E54FF4">
      <w:pPr>
        <w:pStyle w:val="42"/>
        <w:tabs>
          <w:tab w:val="left" w:pos="923"/>
        </w:tabs>
        <w:spacing w:line="360" w:lineRule="exact"/>
        <w:ind w:firstLine="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3</w:t>
      </w:r>
      <w:r>
        <w:rPr>
          <w:rFonts w:hint="eastAsia"/>
          <w:color w:val="auto"/>
          <w:sz w:val="21"/>
          <w:szCs w:val="21"/>
          <w:highlight w:val="none"/>
          <w:lang w:eastAsia="zh-CN"/>
        </w:rPr>
        <w:t>）</w:t>
      </w:r>
      <w:r>
        <w:rPr>
          <w:rFonts w:hint="eastAsia"/>
          <w:color w:val="auto"/>
          <w:sz w:val="21"/>
          <w:szCs w:val="21"/>
          <w:highlight w:val="none"/>
        </w:rPr>
        <w:t>改变合同工程的基线、标高、位置或尺寸；</w:t>
      </w:r>
    </w:p>
    <w:p w14:paraId="47AA3FFE">
      <w:pPr>
        <w:pStyle w:val="42"/>
        <w:tabs>
          <w:tab w:val="left" w:pos="923"/>
        </w:tabs>
        <w:spacing w:line="365" w:lineRule="exact"/>
        <w:ind w:firstLine="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4</w:t>
      </w:r>
      <w:r>
        <w:rPr>
          <w:rFonts w:hint="eastAsia"/>
          <w:color w:val="auto"/>
          <w:sz w:val="21"/>
          <w:szCs w:val="21"/>
          <w:highlight w:val="none"/>
          <w:lang w:eastAsia="zh-CN"/>
        </w:rPr>
        <w:t>）</w:t>
      </w:r>
      <w:r>
        <w:rPr>
          <w:rFonts w:hint="eastAsia"/>
          <w:color w:val="auto"/>
          <w:sz w:val="21"/>
          <w:szCs w:val="21"/>
          <w:highlight w:val="none"/>
        </w:rPr>
        <w:t>改变合同中任何一项工作的施工时间或改变已批准的施工工艺或顺序；</w:t>
      </w:r>
    </w:p>
    <w:p w14:paraId="1FD38FA8">
      <w:pPr>
        <w:pStyle w:val="42"/>
        <w:tabs>
          <w:tab w:val="left" w:pos="923"/>
        </w:tabs>
        <w:spacing w:line="365" w:lineRule="exact"/>
        <w:ind w:firstLine="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5</w:t>
      </w:r>
      <w:r>
        <w:rPr>
          <w:rFonts w:hint="eastAsia"/>
          <w:color w:val="auto"/>
          <w:sz w:val="21"/>
          <w:szCs w:val="21"/>
          <w:highlight w:val="none"/>
          <w:lang w:eastAsia="zh-CN"/>
        </w:rPr>
        <w:t>）</w:t>
      </w:r>
      <w:r>
        <w:rPr>
          <w:rFonts w:hint="eastAsia"/>
          <w:color w:val="auto"/>
          <w:sz w:val="21"/>
          <w:szCs w:val="21"/>
          <w:highlight w:val="none"/>
        </w:rPr>
        <w:t>为完成工程需要追加的额外工作；</w:t>
      </w:r>
    </w:p>
    <w:p w14:paraId="1E3BC1F1">
      <w:pPr>
        <w:pStyle w:val="42"/>
        <w:tabs>
          <w:tab w:val="left" w:pos="920"/>
        </w:tabs>
        <w:spacing w:line="365" w:lineRule="exact"/>
        <w:ind w:firstLine="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6</w:t>
      </w:r>
      <w:r>
        <w:rPr>
          <w:rFonts w:hint="eastAsia"/>
          <w:color w:val="auto"/>
          <w:sz w:val="21"/>
          <w:szCs w:val="21"/>
          <w:highlight w:val="none"/>
          <w:lang w:eastAsia="zh-CN"/>
        </w:rPr>
        <w:t>）</w:t>
      </w:r>
      <w:r>
        <w:rPr>
          <w:rFonts w:hint="eastAsia"/>
          <w:color w:val="auto"/>
          <w:sz w:val="21"/>
          <w:szCs w:val="21"/>
          <w:highlight w:val="none"/>
        </w:rPr>
        <w:t>增加或减少专用合同条款中约定的关键项目工程量超过其工程总量的一定数量的百分比。</w:t>
      </w:r>
    </w:p>
    <w:p w14:paraId="79F71EB1">
      <w:pPr>
        <w:spacing w:line="360" w:lineRule="auto"/>
        <w:ind w:firstLine="426"/>
        <w:jc w:val="left"/>
        <w:rPr>
          <w:color w:val="auto"/>
          <w:highlight w:val="none"/>
        </w:rPr>
      </w:pPr>
      <w:r>
        <w:rPr>
          <w:rFonts w:hint="eastAsia" w:ascii="宋体" w:hAnsi="宋体" w:cs="宋体"/>
          <w:b/>
          <w:bCs/>
          <w:color w:val="auto"/>
          <w:szCs w:val="22"/>
          <w:highlight w:val="none"/>
          <w:u w:val="single"/>
        </w:rPr>
        <w:t>通用合同条款约定的范围外，发包人有权根据本工程的实际提出其他的变更事项。凡涉及合同价款增减变化的变更事项，设计变更必须经设计单位、总监理工程师和发包人代表共同签字，现场签证必须经总监理工程师和发包人代表共同签字，并经发包人盖章确认后的书面文件为准，否则不作为结算调整依据；审计单位审核确认执行本合同通用条款；承包人根据发包人书面确认的变更文件予以变更。变更文件中须明确原做法、变更后做法及工艺、材料名称、规格、品牌、尺寸等，标注要清晰</w:t>
      </w:r>
      <w:r>
        <w:rPr>
          <w:rFonts w:hint="eastAsia" w:hAnsi="宋体" w:cs="宋体"/>
          <w:color w:val="auto"/>
          <w:highlight w:val="none"/>
        </w:rPr>
        <w:t>。</w:t>
      </w:r>
    </w:p>
    <w:p w14:paraId="162195D6">
      <w:pPr>
        <w:keepNext/>
        <w:keepLines/>
        <w:spacing w:line="600" w:lineRule="exact"/>
        <w:ind w:firstLine="643" w:firstLineChars="200"/>
        <w:outlineLvl w:val="2"/>
        <w:rPr>
          <w:b/>
          <w:bCs/>
          <w:color w:val="auto"/>
          <w:sz w:val="32"/>
          <w:szCs w:val="32"/>
          <w:highlight w:val="none"/>
        </w:rPr>
      </w:pPr>
      <w:bookmarkStart w:id="799" w:name="_Toc407135244"/>
      <w:bookmarkStart w:id="800" w:name="_Toc373227741"/>
      <w:bookmarkStart w:id="801" w:name="_Toc389065307"/>
      <w:bookmarkStart w:id="802" w:name="_Toc373478388"/>
      <w:bookmarkStart w:id="803" w:name="_Toc450749207"/>
      <w:bookmarkStart w:id="804" w:name="_Toc78449830"/>
      <w:bookmarkStart w:id="805" w:name="_Toc1641633295"/>
      <w:r>
        <w:rPr>
          <w:b/>
          <w:bCs/>
          <w:color w:val="auto"/>
          <w:sz w:val="32"/>
          <w:szCs w:val="32"/>
          <w:highlight w:val="none"/>
        </w:rPr>
        <w:t xml:space="preserve">10.3 </w:t>
      </w:r>
      <w:r>
        <w:rPr>
          <w:rFonts w:hint="eastAsia" w:hAnsi="宋体" w:cs="黑体"/>
          <w:b/>
          <w:bCs/>
          <w:color w:val="auto"/>
          <w:sz w:val="32"/>
          <w:szCs w:val="32"/>
          <w:highlight w:val="none"/>
        </w:rPr>
        <w:t>变更程序</w:t>
      </w:r>
      <w:bookmarkEnd w:id="799"/>
      <w:bookmarkEnd w:id="800"/>
      <w:bookmarkEnd w:id="801"/>
      <w:bookmarkEnd w:id="802"/>
      <w:bookmarkEnd w:id="803"/>
      <w:bookmarkEnd w:id="804"/>
      <w:bookmarkEnd w:id="805"/>
    </w:p>
    <w:p w14:paraId="572A0DEF">
      <w:pPr>
        <w:pStyle w:val="16"/>
        <w:spacing w:line="360" w:lineRule="auto"/>
        <w:ind w:firstLine="441" w:firstLineChars="210"/>
        <w:rPr>
          <w:rFonts w:ascii="Times New Roman" w:hAnsi="Times New Roman"/>
          <w:color w:val="auto"/>
          <w:sz w:val="21"/>
          <w:szCs w:val="21"/>
          <w:highlight w:val="none"/>
        </w:rPr>
      </w:pPr>
      <w:r>
        <w:rPr>
          <w:rFonts w:ascii="Times New Roman" w:hAnsi="Times New Roman"/>
          <w:color w:val="auto"/>
          <w:sz w:val="21"/>
          <w:szCs w:val="21"/>
          <w:highlight w:val="none"/>
        </w:rPr>
        <w:t>10.3.1</w:t>
      </w:r>
      <w:r>
        <w:rPr>
          <w:rFonts w:hint="eastAsia" w:ascii="Times New Roman" w:hAnsi="Times New Roman"/>
          <w:color w:val="auto"/>
          <w:sz w:val="21"/>
          <w:szCs w:val="21"/>
          <w:highlight w:val="none"/>
        </w:rPr>
        <w:t>国有投资项目：</w:t>
      </w:r>
    </w:p>
    <w:p w14:paraId="042DD09B">
      <w:pPr>
        <w:pStyle w:val="16"/>
        <w:spacing w:line="360" w:lineRule="auto"/>
        <w:ind w:firstLine="441" w:firstLineChars="210"/>
        <w:rPr>
          <w:rFonts w:ascii="Times New Roman" w:hAnsi="宋体"/>
          <w:bCs/>
          <w:color w:val="auto"/>
          <w:sz w:val="21"/>
          <w:szCs w:val="21"/>
          <w:highlight w:val="none"/>
        </w:rPr>
      </w:pPr>
      <w:r>
        <w:rPr>
          <w:rFonts w:hint="eastAsia" w:ascii="Times New Roman" w:hAnsi="宋体"/>
          <w:bCs/>
          <w:color w:val="auto"/>
          <w:sz w:val="21"/>
          <w:szCs w:val="21"/>
          <w:highlight w:val="none"/>
        </w:rPr>
        <w:t>⑴设计变更和工程签证，按关于《青秀区政府投资项目管理办法（试行）》的通知（青政规〔2023〕1号）有关项目管理办法的规定办理。属不可抗力（自然灾害、突发事件等）造成变更的，按特事特办原则予以办理。</w:t>
      </w:r>
    </w:p>
    <w:p w14:paraId="4F272E73">
      <w:pPr>
        <w:pStyle w:val="16"/>
        <w:spacing w:line="360" w:lineRule="auto"/>
        <w:ind w:firstLine="858" w:firstLineChars="409"/>
        <w:rPr>
          <w:rFonts w:ascii="Times New Roman" w:hAnsi="宋体"/>
          <w:bCs/>
          <w:color w:val="auto"/>
          <w:sz w:val="21"/>
          <w:szCs w:val="21"/>
          <w:highlight w:val="none"/>
        </w:rPr>
      </w:pPr>
      <w:r>
        <w:rPr>
          <w:rFonts w:hint="eastAsia" w:ascii="Times New Roman" w:hAnsi="宋体"/>
          <w:bCs/>
          <w:color w:val="auto"/>
          <w:sz w:val="21"/>
          <w:szCs w:val="21"/>
          <w:highlight w:val="none"/>
        </w:rPr>
        <w:t>变更价款的确定按专用条款第10.4条执行。</w:t>
      </w:r>
    </w:p>
    <w:p w14:paraId="30DD22E4">
      <w:pPr>
        <w:spacing w:line="360" w:lineRule="auto"/>
        <w:ind w:firstLine="441" w:firstLineChars="210"/>
        <w:rPr>
          <w:rFonts w:hint="eastAsia" w:hAnsi="宋体" w:eastAsia="宋体"/>
          <w:bCs/>
          <w:color w:val="auto"/>
          <w:szCs w:val="21"/>
          <w:highlight w:val="none"/>
          <w:lang w:val="en-US" w:eastAsia="zh-CN"/>
        </w:rPr>
      </w:pPr>
      <w:r>
        <w:rPr>
          <w:color w:val="auto"/>
          <w:highlight w:val="none"/>
        </w:rPr>
        <w:t xml:space="preserve">10.3.2 </w:t>
      </w:r>
      <w:r>
        <w:rPr>
          <w:rFonts w:hint="eastAsia" w:cs="宋体"/>
          <w:color w:val="auto"/>
          <w:highlight w:val="none"/>
        </w:rPr>
        <w:t>非国有投资项目：</w:t>
      </w:r>
      <w:r>
        <w:rPr>
          <w:rFonts w:hint="eastAsia" w:cs="宋体"/>
          <w:color w:val="auto"/>
          <w:highlight w:val="none"/>
          <w:lang w:val="en-US" w:eastAsia="zh-CN"/>
        </w:rPr>
        <w:t>/。</w:t>
      </w:r>
    </w:p>
    <w:p w14:paraId="42E39941">
      <w:pPr>
        <w:keepNext/>
        <w:keepLines/>
        <w:spacing w:line="600" w:lineRule="exact"/>
        <w:ind w:firstLine="643" w:firstLineChars="200"/>
        <w:outlineLvl w:val="2"/>
        <w:rPr>
          <w:b/>
          <w:bCs/>
          <w:color w:val="auto"/>
          <w:sz w:val="32"/>
          <w:szCs w:val="32"/>
          <w:highlight w:val="none"/>
        </w:rPr>
      </w:pPr>
      <w:bookmarkStart w:id="806" w:name="_Toc780640360"/>
      <w:bookmarkStart w:id="807" w:name="_Toc373227742"/>
      <w:bookmarkStart w:id="808" w:name="_Toc373478389"/>
      <w:bookmarkStart w:id="809" w:name="_Toc407135245"/>
      <w:bookmarkStart w:id="810" w:name="_Toc1645711468"/>
      <w:bookmarkStart w:id="811" w:name="_Toc389065308"/>
      <w:bookmarkStart w:id="812" w:name="_Toc78449831"/>
      <w:r>
        <w:rPr>
          <w:b/>
          <w:bCs/>
          <w:color w:val="auto"/>
          <w:sz w:val="32"/>
          <w:szCs w:val="32"/>
          <w:highlight w:val="none"/>
        </w:rPr>
        <w:t xml:space="preserve">10.4 </w:t>
      </w:r>
      <w:r>
        <w:rPr>
          <w:rFonts w:hint="eastAsia" w:hAnsi="宋体" w:cs="黑体"/>
          <w:b/>
          <w:bCs/>
          <w:color w:val="auto"/>
          <w:sz w:val="32"/>
          <w:szCs w:val="32"/>
          <w:highlight w:val="none"/>
        </w:rPr>
        <w:t>变更估价</w:t>
      </w:r>
      <w:bookmarkEnd w:id="806"/>
      <w:bookmarkEnd w:id="807"/>
      <w:bookmarkEnd w:id="808"/>
      <w:bookmarkEnd w:id="809"/>
      <w:bookmarkEnd w:id="810"/>
      <w:bookmarkEnd w:id="811"/>
      <w:bookmarkEnd w:id="812"/>
    </w:p>
    <w:p w14:paraId="5D58DD5B">
      <w:pPr>
        <w:spacing w:line="360" w:lineRule="auto"/>
        <w:ind w:firstLine="420" w:firstLineChars="200"/>
        <w:jc w:val="left"/>
        <w:rPr>
          <w:color w:val="auto"/>
          <w:highlight w:val="none"/>
        </w:rPr>
      </w:pPr>
      <w:r>
        <w:rPr>
          <w:color w:val="auto"/>
          <w:highlight w:val="none"/>
        </w:rPr>
        <w:t xml:space="preserve">10.4.1 </w:t>
      </w:r>
      <w:r>
        <w:rPr>
          <w:rFonts w:hint="eastAsia" w:hAnsi="宋体" w:cs="宋体"/>
          <w:color w:val="auto"/>
          <w:highlight w:val="none"/>
        </w:rPr>
        <w:t>变更估价原则</w:t>
      </w:r>
    </w:p>
    <w:p w14:paraId="7DF86E7A">
      <w:pPr>
        <w:spacing w:line="360" w:lineRule="auto"/>
        <w:ind w:firstLine="420" w:firstLineChars="200"/>
        <w:jc w:val="left"/>
        <w:rPr>
          <w:rFonts w:cs="宋体"/>
          <w:color w:val="auto"/>
          <w:highlight w:val="none"/>
          <w:u w:val="single"/>
        </w:rPr>
      </w:pPr>
      <w:r>
        <w:rPr>
          <w:rFonts w:hint="eastAsia" w:hAnsi="宋体" w:cs="宋体"/>
          <w:color w:val="auto"/>
          <w:highlight w:val="none"/>
        </w:rPr>
        <w:t>关于变更估价的约定</w:t>
      </w:r>
      <w:r>
        <w:rPr>
          <w:color w:val="auto"/>
          <w:highlight w:val="none"/>
        </w:rPr>
        <w:t xml:space="preserve">: </w:t>
      </w:r>
      <w:bookmarkStart w:id="813" w:name="_Toc251051742"/>
      <w:r>
        <w:rPr>
          <w:rFonts w:hint="eastAsia" w:hAnsi="宋体" w:cs="宋体"/>
          <w:color w:val="auto"/>
          <w:highlight w:val="none"/>
          <w:u w:val="single"/>
        </w:rPr>
        <w:t>工程变更合同价款按下列方法进行：</w:t>
      </w:r>
      <w:r>
        <w:rPr>
          <w:rFonts w:hint="eastAsia" w:ascii="Calibri" w:hAnsi="宋体" w:cs="宋体"/>
          <w:color w:val="auto"/>
          <w:szCs w:val="22"/>
          <w:highlight w:val="none"/>
          <w:u w:val="single"/>
        </w:rPr>
        <w:t>（</w:t>
      </w:r>
      <w:r>
        <w:rPr>
          <w:rFonts w:ascii="Calibri" w:hAnsi="Calibri"/>
          <w:color w:val="auto"/>
          <w:szCs w:val="22"/>
          <w:highlight w:val="none"/>
          <w:u w:val="single"/>
        </w:rPr>
        <w:t>1</w:t>
      </w:r>
      <w:r>
        <w:rPr>
          <w:rFonts w:hint="eastAsia" w:ascii="Calibri" w:hAnsi="宋体" w:cs="宋体"/>
          <w:color w:val="auto"/>
          <w:szCs w:val="22"/>
          <w:highlight w:val="none"/>
          <w:u w:val="single"/>
        </w:rPr>
        <w:t>）合同中已有相同清单项目的，按合同该清单项目价格进行计算；（</w:t>
      </w:r>
      <w:r>
        <w:rPr>
          <w:rFonts w:ascii="Calibri" w:hAnsi="Calibri"/>
          <w:color w:val="auto"/>
          <w:szCs w:val="22"/>
          <w:highlight w:val="none"/>
          <w:u w:val="single"/>
        </w:rPr>
        <w:t>2</w:t>
      </w:r>
      <w:r>
        <w:rPr>
          <w:rFonts w:hint="eastAsia" w:ascii="Calibri" w:hAnsi="宋体" w:cs="宋体"/>
          <w:color w:val="auto"/>
          <w:szCs w:val="22"/>
          <w:highlight w:val="none"/>
          <w:u w:val="single"/>
        </w:rPr>
        <w:t>）合同中只有类似清单项目的，参照该类似清单项目价格进行计算；（</w:t>
      </w:r>
      <w:r>
        <w:rPr>
          <w:rFonts w:ascii="Calibri" w:hAnsi="Calibri"/>
          <w:color w:val="auto"/>
          <w:szCs w:val="22"/>
          <w:highlight w:val="none"/>
          <w:u w:val="single"/>
        </w:rPr>
        <w:t>3</w:t>
      </w:r>
      <w:r>
        <w:rPr>
          <w:rFonts w:hint="eastAsia" w:ascii="Calibri" w:hAnsi="宋体" w:cs="宋体"/>
          <w:color w:val="auto"/>
          <w:szCs w:val="22"/>
          <w:highlight w:val="none"/>
          <w:u w:val="single"/>
        </w:rPr>
        <w:t>）合同中没有适用或类似清单项目的价格计算方法：有定额的套定额，并</w:t>
      </w:r>
      <w:r>
        <w:rPr>
          <w:rFonts w:ascii="Calibri" w:hAnsi="宋体" w:cs="宋体"/>
          <w:color w:val="auto"/>
          <w:szCs w:val="22"/>
          <w:highlight w:val="none"/>
          <w:u w:val="single"/>
        </w:rPr>
        <w:t>乘以下浮系数（</w:t>
      </w:r>
      <w:r>
        <w:rPr>
          <w:rFonts w:hint="eastAsia" w:ascii="Calibri" w:hAnsi="宋体" w:cs="宋体"/>
          <w:color w:val="auto"/>
          <w:szCs w:val="22"/>
          <w:highlight w:val="none"/>
          <w:u w:val="single"/>
          <w:lang w:val="en-US" w:eastAsia="zh-CN"/>
        </w:rPr>
        <w:t>成交</w:t>
      </w:r>
      <w:r>
        <w:rPr>
          <w:rFonts w:ascii="Calibri" w:hAnsi="宋体" w:cs="宋体"/>
          <w:color w:val="auto"/>
          <w:szCs w:val="22"/>
          <w:highlight w:val="none"/>
          <w:u w:val="single"/>
        </w:rPr>
        <w:t>价/经招标人公布的工程招标控制价）计算</w:t>
      </w:r>
      <w:r>
        <w:rPr>
          <w:rFonts w:hint="eastAsia" w:ascii="Calibri" w:hAnsi="宋体" w:cs="宋体"/>
          <w:color w:val="auto"/>
          <w:szCs w:val="22"/>
          <w:highlight w:val="none"/>
          <w:u w:val="single"/>
        </w:rPr>
        <w:t>，其中：材料设备价格按施工期间的《</w:t>
      </w:r>
      <w:r>
        <w:rPr>
          <w:rFonts w:hint="eastAsia" w:ascii="Calibri" w:hAnsi="Calibri"/>
          <w:color w:val="auto"/>
          <w:szCs w:val="22"/>
          <w:highlight w:val="none"/>
          <w:u w:val="single"/>
        </w:rPr>
        <w:t>南宁</w:t>
      </w:r>
      <w:r>
        <w:rPr>
          <w:rFonts w:hint="eastAsia" w:ascii="Calibri" w:hAnsi="宋体" w:cs="宋体"/>
          <w:color w:val="auto"/>
          <w:szCs w:val="22"/>
          <w:highlight w:val="none"/>
          <w:u w:val="single"/>
        </w:rPr>
        <w:t>市建设工程造价信息》相应信息价的加权平均值计算，《</w:t>
      </w:r>
      <w:r>
        <w:rPr>
          <w:rFonts w:hint="eastAsia" w:ascii="Calibri" w:hAnsi="Calibri"/>
          <w:color w:val="auto"/>
          <w:szCs w:val="22"/>
          <w:highlight w:val="none"/>
          <w:u w:val="single"/>
        </w:rPr>
        <w:t>南宁</w:t>
      </w:r>
      <w:r>
        <w:rPr>
          <w:rFonts w:hint="eastAsia" w:ascii="Calibri" w:hAnsi="宋体" w:cs="宋体"/>
          <w:color w:val="auto"/>
          <w:szCs w:val="22"/>
          <w:highlight w:val="none"/>
          <w:u w:val="single"/>
        </w:rPr>
        <w:t>市建设工程造价信息》没有相应信息价的，由建设单位、施工单位、监理单位或造价咨询单位根据市场行情协商确定；无定额可套的，由建设单位、施工单位、监理单位或造价咨询单位根据市场行情协商确定包含除税金以外所有费用的税前综合价格</w:t>
      </w:r>
      <w:r>
        <w:rPr>
          <w:rFonts w:hint="eastAsia" w:ascii="Calibri" w:hAnsi="宋体" w:cs="宋体"/>
          <w:color w:val="auto"/>
          <w:szCs w:val="22"/>
          <w:highlight w:val="none"/>
        </w:rPr>
        <w:t>。以上约定同时适用于招标工程量清单缺项以及工程量清单项目特征与图纸不符时的价款确定。</w:t>
      </w:r>
      <w:r>
        <w:rPr>
          <w:rFonts w:ascii="Calibri" w:hAnsi="宋体"/>
          <w:bCs/>
          <w:color w:val="auto"/>
          <w:highlight w:val="none"/>
          <w:u w:val="single"/>
        </w:rPr>
        <w:t>对于</w:t>
      </w:r>
      <w:r>
        <w:rPr>
          <w:rFonts w:hint="eastAsia" w:ascii="Calibri" w:hAnsi="宋体"/>
          <w:bCs/>
          <w:color w:val="auto"/>
          <w:highlight w:val="none"/>
          <w:u w:val="single"/>
        </w:rPr>
        <w:t>政府及</w:t>
      </w:r>
      <w:r>
        <w:rPr>
          <w:rFonts w:ascii="Calibri" w:hAnsi="宋体"/>
          <w:bCs/>
          <w:color w:val="auto"/>
          <w:highlight w:val="none"/>
          <w:u w:val="single"/>
        </w:rPr>
        <w:t>国有资</w:t>
      </w:r>
      <w:r>
        <w:rPr>
          <w:rFonts w:hint="eastAsia" w:ascii="Calibri" w:hAnsi="宋体"/>
          <w:bCs/>
          <w:color w:val="auto"/>
          <w:highlight w:val="none"/>
          <w:u w:val="single"/>
        </w:rPr>
        <w:t>金</w:t>
      </w:r>
      <w:r>
        <w:rPr>
          <w:rFonts w:ascii="Calibri" w:hAnsi="宋体"/>
          <w:bCs/>
          <w:color w:val="auto"/>
          <w:highlight w:val="none"/>
          <w:u w:val="single"/>
        </w:rPr>
        <w:t>投资的项目，新增项目的单价必须经</w:t>
      </w:r>
      <w:r>
        <w:rPr>
          <w:rFonts w:hint="eastAsia" w:ascii="Calibri" w:hAnsi="宋体"/>
          <w:bCs/>
          <w:color w:val="auto"/>
          <w:highlight w:val="none"/>
          <w:u w:val="single"/>
        </w:rPr>
        <w:t>发包人、监理单位及</w:t>
      </w:r>
      <w:r>
        <w:rPr>
          <w:rFonts w:hint="eastAsia" w:ascii="Calibri" w:hAnsi="宋体"/>
          <w:bCs/>
          <w:color w:val="auto"/>
          <w:highlight w:val="none"/>
          <w:u w:val="single"/>
          <w:lang w:eastAsia="zh-CN"/>
        </w:rPr>
        <w:t>财政部门</w:t>
      </w:r>
      <w:r>
        <w:rPr>
          <w:rFonts w:ascii="Calibri" w:hAnsi="宋体"/>
          <w:bCs/>
          <w:color w:val="auto"/>
          <w:highlight w:val="none"/>
          <w:u w:val="single"/>
        </w:rPr>
        <w:t>审定</w:t>
      </w:r>
      <w:bookmarkEnd w:id="813"/>
      <w:r>
        <w:rPr>
          <w:rFonts w:hint="eastAsia" w:hAnsi="宋体" w:cs="宋体"/>
          <w:color w:val="auto"/>
          <w:highlight w:val="none"/>
        </w:rPr>
        <w:t>。</w:t>
      </w:r>
    </w:p>
    <w:p w14:paraId="314D6513">
      <w:pPr>
        <w:spacing w:line="360" w:lineRule="auto"/>
        <w:ind w:firstLine="420" w:firstLineChars="200"/>
        <w:jc w:val="left"/>
        <w:rPr>
          <w:rFonts w:cs="宋体"/>
          <w:color w:val="auto"/>
          <w:highlight w:val="none"/>
          <w:u w:val="single"/>
        </w:rPr>
      </w:pPr>
      <w:r>
        <w:rPr>
          <w:rFonts w:hint="eastAsia" w:cs="宋体"/>
          <w:color w:val="auto"/>
          <w:highlight w:val="none"/>
          <w:u w:val="single"/>
        </w:rPr>
        <w:t>工程变更导致实际完成的变更工程量与已标价清单或预算书中列明的该项目工程量有偏差时，其综合单价的确定按专用条款“</w:t>
      </w:r>
      <w:r>
        <w:rPr>
          <w:color w:val="auto"/>
          <w:highlight w:val="none"/>
          <w:u w:val="single"/>
        </w:rPr>
        <w:t>1.13</w:t>
      </w:r>
      <w:r>
        <w:rPr>
          <w:rFonts w:hint="eastAsia" w:cs="宋体"/>
          <w:color w:val="auto"/>
          <w:highlight w:val="none"/>
          <w:u w:val="single"/>
        </w:rPr>
        <w:t>工程量清单错误的修正”执行。</w:t>
      </w:r>
    </w:p>
    <w:p w14:paraId="1EBA1FDB">
      <w:pPr>
        <w:keepNext/>
        <w:keepLines/>
        <w:spacing w:line="600" w:lineRule="exact"/>
        <w:ind w:firstLine="643" w:firstLineChars="200"/>
        <w:outlineLvl w:val="2"/>
        <w:rPr>
          <w:b/>
          <w:bCs/>
          <w:color w:val="auto"/>
          <w:sz w:val="32"/>
          <w:szCs w:val="32"/>
          <w:highlight w:val="none"/>
        </w:rPr>
      </w:pPr>
      <w:bookmarkStart w:id="814" w:name="_Toc407135246"/>
      <w:bookmarkStart w:id="815" w:name="_Toc373227743"/>
      <w:bookmarkStart w:id="816" w:name="_Toc78449832"/>
      <w:bookmarkStart w:id="817" w:name="_Toc650800266"/>
      <w:bookmarkStart w:id="818" w:name="_Toc389065309"/>
      <w:bookmarkStart w:id="819" w:name="_Toc1342657745"/>
      <w:bookmarkStart w:id="820" w:name="_Toc373478390"/>
      <w:r>
        <w:rPr>
          <w:b/>
          <w:bCs/>
          <w:color w:val="auto"/>
          <w:sz w:val="32"/>
          <w:szCs w:val="32"/>
          <w:highlight w:val="none"/>
        </w:rPr>
        <w:t>1</w:t>
      </w:r>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Start w:id="821" w:name="_Toc303539150"/>
      <w:bookmarkStart w:id="822" w:name="_Toc296503197"/>
      <w:bookmarkStart w:id="823" w:name="_Toc297120497"/>
      <w:bookmarkStart w:id="824" w:name="_Toc297123544"/>
      <w:bookmarkStart w:id="825" w:name="_Toc300934993"/>
      <w:bookmarkStart w:id="826" w:name="_Toc296891025"/>
      <w:bookmarkStart w:id="827" w:name="_Toc296944536"/>
      <w:bookmarkStart w:id="828" w:name="_Toc296891237"/>
      <w:bookmarkStart w:id="829" w:name="_Toc296347196"/>
      <w:bookmarkStart w:id="830" w:name="_Toc292559402"/>
      <w:bookmarkStart w:id="831" w:name="_Toc297216203"/>
      <w:bookmarkStart w:id="832" w:name="_Toc297048383"/>
      <w:bookmarkStart w:id="833" w:name="_Toc296346698"/>
      <w:bookmarkStart w:id="834" w:name="_Toc292559907"/>
      <w:bookmarkStart w:id="835" w:name="_Toc312677503"/>
      <w:bookmarkStart w:id="836" w:name="_Toc312678029"/>
      <w:bookmarkStart w:id="837" w:name="_Toc304295570"/>
      <w:r>
        <w:rPr>
          <w:b/>
          <w:bCs/>
          <w:color w:val="auto"/>
          <w:sz w:val="32"/>
          <w:szCs w:val="32"/>
          <w:highlight w:val="none"/>
        </w:rPr>
        <w:t xml:space="preserve">0.5 </w:t>
      </w:r>
      <w:r>
        <w:rPr>
          <w:rFonts w:hint="eastAsia" w:cs="黑体"/>
          <w:b/>
          <w:bCs/>
          <w:color w:val="auto"/>
          <w:sz w:val="32"/>
          <w:szCs w:val="32"/>
          <w:highlight w:val="none"/>
        </w:rPr>
        <w:t>承</w:t>
      </w:r>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Start w:id="838" w:name="_Toc300934994"/>
      <w:bookmarkStart w:id="839" w:name="_Toc296944542"/>
      <w:bookmarkStart w:id="840" w:name="_Toc296891243"/>
      <w:bookmarkStart w:id="841" w:name="_Toc296503203"/>
      <w:bookmarkStart w:id="842" w:name="_Toc296347202"/>
      <w:bookmarkStart w:id="843" w:name="_Toc292559408"/>
      <w:bookmarkStart w:id="844" w:name="_Toc296346704"/>
      <w:bookmarkStart w:id="845" w:name="_Toc303539151"/>
      <w:bookmarkStart w:id="846" w:name="_Toc297048389"/>
      <w:bookmarkStart w:id="847" w:name="_Toc297123545"/>
      <w:bookmarkStart w:id="848" w:name="_Toc297216204"/>
      <w:bookmarkStart w:id="849" w:name="_Toc297120503"/>
      <w:bookmarkStart w:id="850" w:name="_Toc292559913"/>
      <w:bookmarkStart w:id="851" w:name="_Toc296891031"/>
      <w:r>
        <w:rPr>
          <w:rFonts w:hint="eastAsia" w:cs="黑体"/>
          <w:b/>
          <w:bCs/>
          <w:color w:val="auto"/>
          <w:sz w:val="32"/>
          <w:szCs w:val="32"/>
          <w:highlight w:val="none"/>
        </w:rPr>
        <w:t>包人的合理化建议</w:t>
      </w:r>
      <w:bookmarkEnd w:id="814"/>
      <w:bookmarkEnd w:id="815"/>
      <w:bookmarkEnd w:id="816"/>
      <w:bookmarkEnd w:id="817"/>
      <w:bookmarkEnd w:id="818"/>
      <w:bookmarkEnd w:id="819"/>
      <w:bookmarkEnd w:id="820"/>
    </w:p>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p w14:paraId="55D33B96">
      <w:pPr>
        <w:spacing w:line="360" w:lineRule="auto"/>
        <w:ind w:firstLine="420" w:firstLineChars="200"/>
        <w:jc w:val="left"/>
        <w:rPr>
          <w:color w:val="auto"/>
          <w:highlight w:val="none"/>
          <w:u w:val="single"/>
        </w:rPr>
      </w:pPr>
      <w:r>
        <w:rPr>
          <w:rFonts w:hint="eastAsia" w:hAnsi="宋体" w:cs="宋体"/>
          <w:color w:val="auto"/>
          <w:highlight w:val="none"/>
        </w:rPr>
        <w:t>承</w:t>
      </w:r>
      <w:bookmarkStart w:id="852" w:name="_Toc312678030"/>
      <w:bookmarkStart w:id="853" w:name="_Toc296944543"/>
      <w:bookmarkStart w:id="854" w:name="_Toc297123546"/>
      <w:bookmarkStart w:id="855" w:name="_Toc297048390"/>
      <w:bookmarkStart w:id="856" w:name="_Toc318581175"/>
      <w:bookmarkStart w:id="857" w:name="_Toc292559409"/>
      <w:bookmarkStart w:id="858" w:name="_Toc296347203"/>
      <w:bookmarkStart w:id="859" w:name="_Toc304295571"/>
      <w:bookmarkStart w:id="860" w:name="_Toc303539152"/>
      <w:bookmarkStart w:id="861" w:name="_Toc297216205"/>
      <w:bookmarkStart w:id="862" w:name="_Toc296891244"/>
      <w:bookmarkStart w:id="863" w:name="_Toc296891032"/>
      <w:bookmarkStart w:id="864" w:name="_Toc296346705"/>
      <w:bookmarkStart w:id="865" w:name="_Toc297120504"/>
      <w:bookmarkStart w:id="866" w:name="_Toc292559914"/>
      <w:bookmarkStart w:id="867" w:name="_Toc312677504"/>
      <w:bookmarkStart w:id="868" w:name="_Toc300934995"/>
      <w:bookmarkStart w:id="869" w:name="_Toc296503204"/>
      <w:r>
        <w:rPr>
          <w:rFonts w:hint="eastAsia" w:hAnsi="宋体" w:cs="宋体"/>
          <w:color w:val="auto"/>
          <w:highlight w:val="none"/>
        </w:rPr>
        <w:t>包人提出的合理化建议降低了合同价格或者提高了工程经济效益的奖励的方法和金额为：</w:t>
      </w:r>
      <w:r>
        <w:rPr>
          <w:rFonts w:hint="eastAsia" w:ascii="宋体" w:hAnsi="宋体" w:cs="宋体"/>
          <w:color w:val="auto"/>
          <w:highlight w:val="none"/>
          <w:u w:val="single"/>
        </w:rPr>
        <w:t xml:space="preserve"> 双方协商</w:t>
      </w:r>
      <w:r>
        <w:rPr>
          <w:rFonts w:hint="eastAsia" w:hAnsi="宋体" w:cs="宋体"/>
          <w:color w:val="auto"/>
          <w:highlight w:val="none"/>
        </w:rPr>
        <w:t>。</w:t>
      </w:r>
    </w:p>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p w14:paraId="67B76E43">
      <w:pPr>
        <w:keepNext/>
        <w:keepLines/>
        <w:spacing w:line="600" w:lineRule="exact"/>
        <w:ind w:firstLine="643" w:firstLineChars="200"/>
        <w:outlineLvl w:val="2"/>
        <w:rPr>
          <w:b/>
          <w:bCs/>
          <w:color w:val="auto"/>
          <w:sz w:val="32"/>
          <w:szCs w:val="32"/>
          <w:highlight w:val="none"/>
        </w:rPr>
      </w:pPr>
      <w:bookmarkStart w:id="870" w:name="_Toc373227744"/>
      <w:bookmarkStart w:id="871" w:name="_Toc407135247"/>
      <w:bookmarkStart w:id="872" w:name="_Toc373478391"/>
      <w:bookmarkStart w:id="873" w:name="_Toc78449833"/>
      <w:bookmarkStart w:id="874" w:name="_Toc2045792355"/>
      <w:bookmarkStart w:id="875" w:name="_Toc389065310"/>
      <w:bookmarkStart w:id="876" w:name="_Toc502454636"/>
      <w:r>
        <w:rPr>
          <w:b/>
          <w:bCs/>
          <w:color w:val="auto"/>
          <w:sz w:val="32"/>
          <w:szCs w:val="32"/>
          <w:highlight w:val="none"/>
        </w:rPr>
        <w:t>1</w:t>
      </w:r>
      <w:bookmarkStart w:id="877" w:name="_Toc297048385"/>
      <w:bookmarkStart w:id="878" w:name="_Toc303539154"/>
      <w:bookmarkStart w:id="879" w:name="_Toc296944538"/>
      <w:bookmarkStart w:id="880" w:name="_Toc292559404"/>
      <w:bookmarkStart w:id="881" w:name="_Toc312677507"/>
      <w:bookmarkStart w:id="882" w:name="_Toc296891027"/>
      <w:bookmarkStart w:id="883" w:name="_Toc292559909"/>
      <w:bookmarkStart w:id="884" w:name="_Toc296346700"/>
      <w:bookmarkStart w:id="885" w:name="_Toc297123548"/>
      <w:bookmarkStart w:id="886" w:name="_Toc296891239"/>
      <w:bookmarkStart w:id="887" w:name="_Toc312678033"/>
      <w:bookmarkStart w:id="888" w:name="_Toc296503199"/>
      <w:bookmarkStart w:id="889" w:name="_Toc296347198"/>
      <w:bookmarkStart w:id="890" w:name="_Toc297120499"/>
      <w:bookmarkStart w:id="891" w:name="_Toc304295574"/>
      <w:bookmarkStart w:id="892" w:name="_Toc297216207"/>
      <w:bookmarkStart w:id="893" w:name="_Toc300934997"/>
      <w:r>
        <w:rPr>
          <w:b/>
          <w:bCs/>
          <w:color w:val="auto"/>
          <w:sz w:val="32"/>
          <w:szCs w:val="32"/>
          <w:highlight w:val="none"/>
        </w:rPr>
        <w:t xml:space="preserve">0.7 </w:t>
      </w:r>
      <w:r>
        <w:rPr>
          <w:rFonts w:hint="eastAsia" w:hAnsi="宋体" w:cs="黑体"/>
          <w:b/>
          <w:bCs/>
          <w:color w:val="auto"/>
          <w:sz w:val="32"/>
          <w:szCs w:val="32"/>
          <w:highlight w:val="none"/>
        </w:rPr>
        <w:t>暂估价</w:t>
      </w:r>
      <w:bookmarkEnd w:id="870"/>
      <w:bookmarkEnd w:id="871"/>
      <w:bookmarkEnd w:id="872"/>
      <w:bookmarkEnd w:id="873"/>
      <w:bookmarkEnd w:id="874"/>
      <w:bookmarkEnd w:id="875"/>
      <w:bookmarkEnd w:id="876"/>
    </w:p>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14:paraId="040A7D60">
      <w:pPr>
        <w:spacing w:line="360" w:lineRule="auto"/>
        <w:ind w:firstLine="420" w:firstLineChars="200"/>
        <w:jc w:val="left"/>
        <w:rPr>
          <w:color w:val="auto"/>
          <w:highlight w:val="none"/>
        </w:rPr>
      </w:pPr>
      <w:r>
        <w:rPr>
          <w:rFonts w:hint="eastAsia" w:hAnsi="宋体" w:cs="宋体"/>
          <w:color w:val="auto"/>
          <w:kern w:val="0"/>
          <w:highlight w:val="none"/>
        </w:rPr>
        <w:t>暂</w:t>
      </w:r>
      <w:bookmarkStart w:id="894" w:name="_Toc312677508"/>
      <w:bookmarkStart w:id="895" w:name="_Toc318581176"/>
      <w:bookmarkStart w:id="896" w:name="_Toc312678034"/>
      <w:r>
        <w:rPr>
          <w:rFonts w:hint="eastAsia" w:hAnsi="宋体" w:cs="宋体"/>
          <w:color w:val="auto"/>
          <w:kern w:val="0"/>
          <w:highlight w:val="none"/>
        </w:rPr>
        <w:t>估价材料和工程设备的明细详见已标价工程量清单《</w:t>
      </w:r>
      <w:r>
        <w:rPr>
          <w:rFonts w:hint="eastAsia" w:cs="宋体"/>
          <w:color w:val="auto"/>
          <w:highlight w:val="none"/>
        </w:rPr>
        <w:t>材料（工程设备）暂估价格及调整表》</w:t>
      </w:r>
      <w:r>
        <w:rPr>
          <w:rFonts w:hint="eastAsia" w:hAnsi="宋体" w:cs="宋体"/>
          <w:color w:val="auto"/>
          <w:kern w:val="0"/>
          <w:highlight w:val="none"/>
        </w:rPr>
        <w:t>（表</w:t>
      </w:r>
      <w:r>
        <w:rPr>
          <w:rFonts w:hAnsi="宋体"/>
          <w:color w:val="auto"/>
          <w:kern w:val="0"/>
          <w:highlight w:val="none"/>
        </w:rPr>
        <w:t>12-2</w:t>
      </w:r>
      <w:r>
        <w:rPr>
          <w:rFonts w:hint="eastAsia" w:hAnsi="宋体" w:cs="宋体"/>
          <w:color w:val="auto"/>
          <w:kern w:val="0"/>
          <w:highlight w:val="none"/>
        </w:rPr>
        <w:t>）和《</w:t>
      </w:r>
      <w:r>
        <w:rPr>
          <w:rFonts w:hint="eastAsia" w:cs="宋体"/>
          <w:color w:val="auto"/>
          <w:highlight w:val="none"/>
        </w:rPr>
        <w:t>专业工程暂估价表》（</w:t>
      </w:r>
      <w:r>
        <w:rPr>
          <w:rFonts w:hint="eastAsia" w:hAnsi="宋体" w:cs="宋体"/>
          <w:color w:val="auto"/>
          <w:kern w:val="0"/>
          <w:highlight w:val="none"/>
        </w:rPr>
        <w:t>表</w:t>
      </w:r>
      <w:r>
        <w:rPr>
          <w:rFonts w:hAnsi="宋体"/>
          <w:color w:val="auto"/>
          <w:kern w:val="0"/>
          <w:highlight w:val="none"/>
        </w:rPr>
        <w:t>12-3</w:t>
      </w:r>
      <w:r>
        <w:rPr>
          <w:rFonts w:hint="eastAsia" w:hAnsi="宋体" w:cs="宋体"/>
          <w:color w:val="auto"/>
          <w:kern w:val="0"/>
          <w:highlight w:val="none"/>
        </w:rPr>
        <w:t>）。</w:t>
      </w:r>
    </w:p>
    <w:bookmarkEnd w:id="894"/>
    <w:bookmarkEnd w:id="895"/>
    <w:bookmarkEnd w:id="896"/>
    <w:p w14:paraId="20536DC8">
      <w:pPr>
        <w:spacing w:line="360" w:lineRule="auto"/>
        <w:ind w:firstLine="420" w:firstLineChars="200"/>
        <w:jc w:val="left"/>
        <w:rPr>
          <w:color w:val="auto"/>
          <w:highlight w:val="none"/>
        </w:rPr>
      </w:pPr>
      <w:r>
        <w:rPr>
          <w:color w:val="auto"/>
          <w:highlight w:val="none"/>
        </w:rPr>
        <w:t>1</w:t>
      </w:r>
      <w:bookmarkStart w:id="897" w:name="_Toc318581177"/>
      <w:bookmarkStart w:id="898" w:name="_Toc312678035"/>
      <w:bookmarkStart w:id="899" w:name="_Toc312677509"/>
      <w:r>
        <w:rPr>
          <w:color w:val="auto"/>
          <w:highlight w:val="none"/>
        </w:rPr>
        <w:t xml:space="preserve">0.7.1 </w:t>
      </w:r>
      <w:r>
        <w:rPr>
          <w:rFonts w:hint="eastAsia" w:hAnsi="宋体" w:cs="宋体"/>
          <w:color w:val="auto"/>
          <w:highlight w:val="none"/>
        </w:rPr>
        <w:t>依法必须招标的暂估价项目</w:t>
      </w:r>
    </w:p>
    <w:bookmarkEnd w:id="897"/>
    <w:bookmarkEnd w:id="898"/>
    <w:bookmarkEnd w:id="899"/>
    <w:p w14:paraId="6C1658E7">
      <w:pPr>
        <w:spacing w:line="360" w:lineRule="auto"/>
        <w:ind w:firstLine="420" w:firstLineChars="200"/>
        <w:jc w:val="left"/>
        <w:rPr>
          <w:color w:val="auto"/>
          <w:highlight w:val="none"/>
        </w:rPr>
      </w:pPr>
      <w:r>
        <w:rPr>
          <w:rFonts w:hint="eastAsia" w:hAnsi="宋体" w:cs="宋体"/>
          <w:color w:val="auto"/>
          <w:highlight w:val="none"/>
        </w:rPr>
        <w:t>对于依法必须招标的暂估价项目的确认和批准采取第</w:t>
      </w:r>
      <w:r>
        <w:rPr>
          <w:rFonts w:hint="eastAsia"/>
          <w:color w:val="auto"/>
          <w:highlight w:val="none"/>
          <w:u w:val="single"/>
        </w:rPr>
        <w:t>/</w:t>
      </w:r>
      <w:r>
        <w:rPr>
          <w:rFonts w:hint="eastAsia" w:hAnsi="宋体" w:cs="宋体"/>
          <w:color w:val="auto"/>
          <w:highlight w:val="none"/>
        </w:rPr>
        <w:t>种方式确定。</w:t>
      </w:r>
    </w:p>
    <w:p w14:paraId="7882362C">
      <w:pPr>
        <w:spacing w:line="360" w:lineRule="auto"/>
        <w:ind w:firstLine="420" w:firstLineChars="200"/>
        <w:jc w:val="left"/>
        <w:rPr>
          <w:color w:val="auto"/>
          <w:highlight w:val="none"/>
        </w:rPr>
      </w:pPr>
      <w:r>
        <w:rPr>
          <w:color w:val="auto"/>
          <w:highlight w:val="none"/>
        </w:rPr>
        <w:t xml:space="preserve">10.7.2 </w:t>
      </w:r>
      <w:r>
        <w:rPr>
          <w:rFonts w:hint="eastAsia" w:hAnsi="宋体" w:cs="宋体"/>
          <w:color w:val="auto"/>
          <w:highlight w:val="none"/>
        </w:rPr>
        <w:t>不属于依法必须招标的暂估价项目</w:t>
      </w:r>
    </w:p>
    <w:p w14:paraId="47F6216A">
      <w:pPr>
        <w:spacing w:line="360" w:lineRule="auto"/>
        <w:ind w:firstLine="420" w:firstLineChars="200"/>
        <w:jc w:val="left"/>
        <w:rPr>
          <w:color w:val="auto"/>
          <w:highlight w:val="none"/>
        </w:rPr>
      </w:pPr>
      <w:r>
        <w:rPr>
          <w:rFonts w:hint="eastAsia" w:hAnsi="宋体" w:cs="宋体"/>
          <w:color w:val="auto"/>
          <w:highlight w:val="none"/>
        </w:rPr>
        <w:t>对于不属于依法必须招标的暂估价项目的确认和批准采取第</w:t>
      </w:r>
      <w:r>
        <w:rPr>
          <w:rFonts w:hint="eastAsia"/>
          <w:color w:val="auto"/>
          <w:highlight w:val="none"/>
          <w:u w:val="single"/>
        </w:rPr>
        <w:t>/</w:t>
      </w:r>
      <w:r>
        <w:rPr>
          <w:rFonts w:hint="eastAsia" w:hAnsi="宋体" w:cs="宋体"/>
          <w:color w:val="auto"/>
          <w:highlight w:val="none"/>
        </w:rPr>
        <w:t>种方式确定。</w:t>
      </w:r>
    </w:p>
    <w:p w14:paraId="503A72BD">
      <w:pPr>
        <w:spacing w:line="360" w:lineRule="auto"/>
        <w:ind w:firstLine="420" w:firstLineChars="200"/>
        <w:jc w:val="left"/>
        <w:rPr>
          <w:color w:val="auto"/>
          <w:kern w:val="0"/>
          <w:highlight w:val="none"/>
        </w:rPr>
      </w:pPr>
      <w:r>
        <w:rPr>
          <w:rFonts w:hint="eastAsia" w:hAnsi="宋体" w:cs="宋体"/>
          <w:color w:val="auto"/>
          <w:highlight w:val="none"/>
        </w:rPr>
        <w:t>第</w:t>
      </w:r>
      <w:r>
        <w:rPr>
          <w:color w:val="auto"/>
          <w:highlight w:val="none"/>
        </w:rPr>
        <w:t>3</w:t>
      </w:r>
      <w:r>
        <w:rPr>
          <w:rFonts w:hint="eastAsia" w:hAnsi="宋体" w:cs="宋体"/>
          <w:color w:val="auto"/>
          <w:highlight w:val="none"/>
        </w:rPr>
        <w:t>种方式：</w:t>
      </w:r>
      <w:r>
        <w:rPr>
          <w:rFonts w:hint="eastAsia" w:hAnsi="宋体" w:cs="宋体"/>
          <w:color w:val="auto"/>
          <w:kern w:val="0"/>
          <w:highlight w:val="none"/>
        </w:rPr>
        <w:t>承包人直接实施的暂估价项目</w:t>
      </w:r>
    </w:p>
    <w:p w14:paraId="7153A4B3">
      <w:pPr>
        <w:spacing w:line="360" w:lineRule="auto"/>
        <w:ind w:firstLine="420" w:firstLineChars="200"/>
        <w:jc w:val="left"/>
        <w:rPr>
          <w:color w:val="auto"/>
          <w:highlight w:val="none"/>
        </w:rPr>
      </w:pPr>
      <w:r>
        <w:rPr>
          <w:rFonts w:hint="eastAsia" w:hAnsi="宋体" w:cs="宋体"/>
          <w:color w:val="auto"/>
          <w:highlight w:val="none"/>
        </w:rPr>
        <w:t>承包人直接实施的暂估价项目的约定：</w:t>
      </w:r>
      <w:r>
        <w:rPr>
          <w:rFonts w:hint="eastAsia" w:ascii="宋体" w:hAnsi="宋体" w:cs="宋体"/>
          <w:color w:val="auto"/>
          <w:highlight w:val="none"/>
          <w:u w:val="single"/>
        </w:rPr>
        <w:t>双方另行协商</w:t>
      </w:r>
      <w:r>
        <w:rPr>
          <w:rFonts w:hint="eastAsia" w:hAnsi="宋体" w:cs="宋体"/>
          <w:color w:val="auto"/>
          <w:highlight w:val="none"/>
        </w:rPr>
        <w:t>。</w:t>
      </w:r>
    </w:p>
    <w:p w14:paraId="773B5EAA">
      <w:pPr>
        <w:keepNext/>
        <w:keepLines/>
        <w:spacing w:line="600" w:lineRule="exact"/>
        <w:ind w:firstLine="643" w:firstLineChars="200"/>
        <w:outlineLvl w:val="2"/>
        <w:rPr>
          <w:b/>
          <w:bCs/>
          <w:color w:val="auto"/>
          <w:sz w:val="32"/>
          <w:szCs w:val="32"/>
          <w:highlight w:val="none"/>
        </w:rPr>
      </w:pPr>
      <w:bookmarkStart w:id="900" w:name="_Toc2032108729"/>
      <w:bookmarkStart w:id="901" w:name="_Toc389065311"/>
      <w:bookmarkStart w:id="902" w:name="_Toc407135248"/>
      <w:bookmarkStart w:id="903" w:name="_Toc373478392"/>
      <w:bookmarkStart w:id="904" w:name="_Toc78449834"/>
      <w:bookmarkStart w:id="905" w:name="_Toc2131098822"/>
      <w:bookmarkStart w:id="906" w:name="_Toc373227745"/>
      <w:r>
        <w:rPr>
          <w:b/>
          <w:bCs/>
          <w:color w:val="auto"/>
          <w:sz w:val="32"/>
          <w:szCs w:val="32"/>
          <w:highlight w:val="none"/>
        </w:rPr>
        <w:t xml:space="preserve">10.8 </w:t>
      </w:r>
      <w:r>
        <w:rPr>
          <w:rFonts w:hint="eastAsia" w:hAnsi="宋体" w:cs="黑体"/>
          <w:b/>
          <w:bCs/>
          <w:color w:val="auto"/>
          <w:sz w:val="32"/>
          <w:szCs w:val="32"/>
          <w:highlight w:val="none"/>
        </w:rPr>
        <w:t>暂列金额</w:t>
      </w:r>
      <w:bookmarkEnd w:id="900"/>
      <w:bookmarkEnd w:id="901"/>
      <w:bookmarkEnd w:id="902"/>
      <w:bookmarkEnd w:id="903"/>
      <w:bookmarkEnd w:id="904"/>
      <w:bookmarkEnd w:id="905"/>
      <w:bookmarkEnd w:id="906"/>
    </w:p>
    <w:p w14:paraId="3AC47F55">
      <w:pPr>
        <w:autoSpaceDE w:val="0"/>
        <w:autoSpaceDN w:val="0"/>
        <w:adjustRightInd w:val="0"/>
        <w:spacing w:line="360" w:lineRule="auto"/>
        <w:ind w:firstLine="420" w:firstLineChars="200"/>
        <w:jc w:val="left"/>
        <w:rPr>
          <w:rFonts w:hAnsi="宋体" w:cs="宋体"/>
          <w:color w:val="auto"/>
          <w:kern w:val="0"/>
          <w:highlight w:val="none"/>
        </w:rPr>
      </w:pPr>
      <w:r>
        <w:rPr>
          <w:rFonts w:hint="eastAsia" w:hAnsi="宋体" w:cs="宋体"/>
          <w:color w:val="auto"/>
          <w:kern w:val="0"/>
          <w:highlight w:val="none"/>
        </w:rPr>
        <w:t>合同当事人关于暂列金额使用的约定：</w:t>
      </w:r>
      <w:bookmarkStart w:id="907" w:name="EB8a36283e5891477db4fc3eea09665f06"/>
      <w:r>
        <w:rPr>
          <w:rFonts w:hint="eastAsia" w:ascii="宋体" w:hAnsi="宋体" w:cs="宋体"/>
          <w:color w:val="auto"/>
          <w:highlight w:val="none"/>
          <w:u w:val="single"/>
        </w:rPr>
        <w:t>以发包人要求为准，内容详见工程量清单</w:t>
      </w:r>
      <w:bookmarkEnd w:id="907"/>
      <w:r>
        <w:rPr>
          <w:rFonts w:hint="eastAsia" w:hAnsi="宋体" w:cs="宋体"/>
          <w:color w:val="auto"/>
          <w:kern w:val="0"/>
          <w:highlight w:val="none"/>
        </w:rPr>
        <w:t>。</w:t>
      </w:r>
    </w:p>
    <w:p w14:paraId="4326DA43">
      <w:pPr>
        <w:keepNext/>
        <w:keepLines/>
        <w:spacing w:line="400" w:lineRule="exact"/>
        <w:outlineLvl w:val="0"/>
        <w:rPr>
          <w:rFonts w:ascii="宋体" w:hAnsi="宋体" w:cs="宋体"/>
          <w:b/>
          <w:bCs/>
          <w:color w:val="auto"/>
          <w:kern w:val="44"/>
          <w:highlight w:val="none"/>
        </w:rPr>
      </w:pPr>
      <w:bookmarkStart w:id="908" w:name="_Toc454188784"/>
      <w:bookmarkStart w:id="909" w:name="_Toc433787426"/>
      <w:bookmarkStart w:id="910" w:name="_Toc433389682"/>
      <w:bookmarkStart w:id="911" w:name="_Toc416854753"/>
      <w:bookmarkStart w:id="912" w:name="_Toc433131790"/>
      <w:bookmarkStart w:id="913" w:name="_Toc476645920"/>
      <w:r>
        <w:rPr>
          <w:rFonts w:hint="eastAsia" w:ascii="宋体" w:hAnsi="宋体" w:cs="宋体"/>
          <w:b/>
          <w:bCs/>
          <w:color w:val="auto"/>
          <w:kern w:val="44"/>
          <w:highlight w:val="none"/>
        </w:rPr>
        <w:t>10.9计日工</w:t>
      </w:r>
      <w:bookmarkEnd w:id="908"/>
      <w:bookmarkEnd w:id="909"/>
      <w:bookmarkEnd w:id="910"/>
      <w:bookmarkEnd w:id="911"/>
      <w:bookmarkEnd w:id="912"/>
      <w:bookmarkEnd w:id="913"/>
    </w:p>
    <w:p w14:paraId="260430A9">
      <w:pPr>
        <w:autoSpaceDE w:val="0"/>
        <w:autoSpaceDN w:val="0"/>
        <w:adjustRightIn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变更工作的单价。</w:t>
      </w:r>
    </w:p>
    <w:p w14:paraId="49BC072E">
      <w:pPr>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采用计日工计价的任何一项工作，承包人应在该项工作实施过程中，每天提交以下报表和有关凭证报送监理人审查：</w:t>
      </w:r>
    </w:p>
    <w:p w14:paraId="6982FB0F">
      <w:pPr>
        <w:spacing w:line="400" w:lineRule="exact"/>
        <w:ind w:firstLine="315" w:firstLineChars="150"/>
        <w:jc w:val="left"/>
        <w:outlineLvl w:val="0"/>
        <w:rPr>
          <w:rFonts w:ascii="宋体" w:hAnsi="宋体" w:cs="宋体"/>
          <w:color w:val="auto"/>
          <w:kern w:val="0"/>
          <w:highlight w:val="none"/>
        </w:rPr>
      </w:pPr>
      <w:r>
        <w:rPr>
          <w:rFonts w:hint="eastAsia" w:ascii="宋体" w:hAnsi="宋体" w:cs="宋体"/>
          <w:color w:val="auto"/>
          <w:kern w:val="0"/>
          <w:highlight w:val="none"/>
        </w:rPr>
        <w:t>（1）工作名称、内容和数量；</w:t>
      </w:r>
    </w:p>
    <w:p w14:paraId="2F510D50">
      <w:pPr>
        <w:spacing w:line="400" w:lineRule="exact"/>
        <w:ind w:firstLine="315" w:firstLineChars="150"/>
        <w:jc w:val="left"/>
        <w:rPr>
          <w:rFonts w:ascii="宋体" w:hAnsi="宋体" w:cs="宋体"/>
          <w:color w:val="auto"/>
          <w:kern w:val="0"/>
          <w:highlight w:val="none"/>
        </w:rPr>
      </w:pPr>
      <w:r>
        <w:rPr>
          <w:rFonts w:hint="eastAsia" w:ascii="宋体" w:hAnsi="宋体" w:cs="宋体"/>
          <w:color w:val="auto"/>
          <w:kern w:val="0"/>
          <w:highlight w:val="none"/>
        </w:rPr>
        <w:t>（2）投入该工作的所有人员的姓名、专业、工种、级别和耗用工时；</w:t>
      </w:r>
    </w:p>
    <w:p w14:paraId="568FEE23">
      <w:pPr>
        <w:spacing w:line="400" w:lineRule="exact"/>
        <w:ind w:firstLine="315" w:firstLineChars="150"/>
        <w:jc w:val="left"/>
        <w:rPr>
          <w:rFonts w:ascii="宋体" w:hAnsi="宋体" w:cs="宋体"/>
          <w:color w:val="auto"/>
          <w:kern w:val="0"/>
          <w:highlight w:val="none"/>
        </w:rPr>
      </w:pPr>
      <w:r>
        <w:rPr>
          <w:rFonts w:hint="eastAsia" w:ascii="宋体" w:hAnsi="宋体" w:cs="宋体"/>
          <w:color w:val="auto"/>
          <w:kern w:val="0"/>
          <w:highlight w:val="none"/>
        </w:rPr>
        <w:t>（3）投入该工作的材料类别和数量；</w:t>
      </w:r>
    </w:p>
    <w:p w14:paraId="67754E88">
      <w:pPr>
        <w:spacing w:line="400" w:lineRule="exact"/>
        <w:ind w:firstLine="315" w:firstLineChars="150"/>
        <w:jc w:val="left"/>
        <w:rPr>
          <w:rFonts w:ascii="宋体" w:hAnsi="宋体" w:cs="宋体"/>
          <w:color w:val="auto"/>
          <w:kern w:val="0"/>
          <w:highlight w:val="none"/>
        </w:rPr>
      </w:pPr>
      <w:r>
        <w:rPr>
          <w:rFonts w:hint="eastAsia" w:ascii="宋体" w:hAnsi="宋体" w:cs="宋体"/>
          <w:color w:val="auto"/>
          <w:kern w:val="0"/>
          <w:highlight w:val="none"/>
        </w:rPr>
        <w:t>（4）投入该工作的施工设备型号、台数和耗用台时；</w:t>
      </w:r>
    </w:p>
    <w:p w14:paraId="7F2434EB">
      <w:pPr>
        <w:spacing w:line="400" w:lineRule="exact"/>
        <w:ind w:firstLine="315" w:firstLineChars="150"/>
        <w:jc w:val="left"/>
        <w:rPr>
          <w:rFonts w:ascii="宋体" w:hAnsi="宋体" w:cs="宋体"/>
          <w:color w:val="auto"/>
          <w:kern w:val="0"/>
          <w:highlight w:val="none"/>
        </w:rPr>
      </w:pPr>
      <w:r>
        <w:rPr>
          <w:rFonts w:hint="eastAsia" w:ascii="宋体" w:hAnsi="宋体" w:cs="宋体"/>
          <w:color w:val="auto"/>
          <w:kern w:val="0"/>
          <w:highlight w:val="none"/>
        </w:rPr>
        <w:t>（5）其他有关资料和凭证。</w:t>
      </w:r>
    </w:p>
    <w:p w14:paraId="314EEF02">
      <w:pPr>
        <w:rPr>
          <w:color w:val="auto"/>
          <w:highlight w:val="none"/>
        </w:rPr>
      </w:pPr>
      <w:r>
        <w:rPr>
          <w:rFonts w:hint="eastAsia" w:ascii="宋体" w:hAnsi="宋体" w:cs="宋体"/>
          <w:color w:val="auto"/>
          <w:kern w:val="0"/>
          <w:highlight w:val="none"/>
        </w:rPr>
        <w:t xml:space="preserve"> 计日工由承包人汇总后，列入最近一期进度付款申请单，由监理人审查并经发包人批准后列入进度付款。</w:t>
      </w:r>
    </w:p>
    <w:p w14:paraId="5D050044">
      <w:pPr>
        <w:keepNext/>
        <w:keepLines/>
        <w:numPr>
          <w:ilvl w:val="0"/>
          <w:numId w:val="7"/>
        </w:numPr>
        <w:spacing w:before="260" w:after="260" w:line="413" w:lineRule="auto"/>
        <w:outlineLvl w:val="1"/>
        <w:rPr>
          <w:rFonts w:ascii="Arial" w:hAnsi="Arial" w:eastAsia="黑体"/>
          <w:b/>
          <w:bCs/>
          <w:color w:val="auto"/>
          <w:sz w:val="32"/>
          <w:szCs w:val="32"/>
          <w:highlight w:val="none"/>
        </w:rPr>
      </w:pPr>
      <w:bookmarkStart w:id="914" w:name="_Toc373478393"/>
      <w:bookmarkStart w:id="915" w:name="_Toc1190723452"/>
      <w:bookmarkStart w:id="916" w:name="_Toc389065312"/>
      <w:bookmarkStart w:id="917" w:name="_Toc136736539"/>
      <w:bookmarkStart w:id="918" w:name="_Toc373227746"/>
      <w:bookmarkStart w:id="919" w:name="_Toc351203643"/>
      <w:bookmarkStart w:id="920" w:name="_Toc78449835"/>
      <w:bookmarkStart w:id="921" w:name="_Toc407135249"/>
      <w:r>
        <w:rPr>
          <w:rFonts w:hint="eastAsia" w:ascii="Arial" w:hAnsi="宋体" w:eastAsia="黑体" w:cs="黑体"/>
          <w:b/>
          <w:bCs/>
          <w:color w:val="auto"/>
          <w:sz w:val="32"/>
          <w:szCs w:val="32"/>
          <w:highlight w:val="none"/>
        </w:rPr>
        <w:t>价格调整</w:t>
      </w:r>
      <w:bookmarkEnd w:id="914"/>
      <w:bookmarkEnd w:id="915"/>
      <w:bookmarkEnd w:id="916"/>
      <w:bookmarkEnd w:id="917"/>
      <w:bookmarkEnd w:id="918"/>
      <w:bookmarkEnd w:id="919"/>
      <w:bookmarkEnd w:id="920"/>
      <w:bookmarkEnd w:id="921"/>
    </w:p>
    <w:p w14:paraId="5CF7C0C5">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①法律变化引起的调整；</w:t>
      </w:r>
    </w:p>
    <w:p w14:paraId="43C603BD">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②工程变更、项目特征不符、工程量清单缺项、工程量偏差引起的调整；</w:t>
      </w:r>
    </w:p>
    <w:p w14:paraId="4F063E12">
      <w:pPr>
        <w:ind w:firstLine="420" w:firstLineChars="200"/>
        <w:rPr>
          <w:color w:val="auto"/>
          <w:highlight w:val="none"/>
        </w:rPr>
      </w:pPr>
      <w:r>
        <w:rPr>
          <w:rFonts w:hint="eastAsia" w:ascii="宋体" w:hAnsi="宋体" w:cs="宋体"/>
          <w:color w:val="auto"/>
          <w:kern w:val="0"/>
          <w:szCs w:val="21"/>
          <w:highlight w:val="none"/>
        </w:rPr>
        <w:t>③计日工引起的调整。</w:t>
      </w:r>
    </w:p>
    <w:p w14:paraId="20437080">
      <w:pPr>
        <w:keepNext/>
        <w:keepLines/>
        <w:spacing w:line="600" w:lineRule="exact"/>
        <w:ind w:firstLine="643" w:firstLineChars="200"/>
        <w:outlineLvl w:val="2"/>
        <w:rPr>
          <w:b/>
          <w:bCs/>
          <w:color w:val="auto"/>
          <w:sz w:val="32"/>
          <w:szCs w:val="32"/>
          <w:highlight w:val="none"/>
        </w:rPr>
      </w:pPr>
      <w:bookmarkStart w:id="922" w:name="_Toc78449836"/>
      <w:bookmarkStart w:id="923" w:name="_Toc407135250"/>
      <w:bookmarkStart w:id="924" w:name="_Toc373227747"/>
      <w:bookmarkStart w:id="925" w:name="_Toc42268484"/>
      <w:bookmarkStart w:id="926" w:name="_Toc1501386015"/>
      <w:bookmarkStart w:id="927" w:name="_Toc373478394"/>
      <w:bookmarkStart w:id="928" w:name="_Toc389065313"/>
      <w:bookmarkStart w:id="929" w:name="_Toc296891241"/>
      <w:bookmarkStart w:id="930" w:name="_Toc296347200"/>
      <w:bookmarkStart w:id="931" w:name="_Toc296346702"/>
      <w:bookmarkStart w:id="932" w:name="_Toc296891029"/>
      <w:bookmarkStart w:id="933" w:name="_Toc300935000"/>
      <w:bookmarkStart w:id="934" w:name="_Toc296944540"/>
      <w:bookmarkStart w:id="935" w:name="_Toc292559911"/>
      <w:bookmarkStart w:id="936" w:name="_Toc297216209"/>
      <w:bookmarkStart w:id="937" w:name="_Toc312678039"/>
      <w:bookmarkStart w:id="938" w:name="_Toc296503201"/>
      <w:bookmarkStart w:id="939" w:name="_Toc297120501"/>
      <w:bookmarkStart w:id="940" w:name="_Toc292559406"/>
      <w:bookmarkStart w:id="941" w:name="_Toc304295577"/>
      <w:bookmarkStart w:id="942" w:name="_Toc303539157"/>
      <w:bookmarkStart w:id="943" w:name="_Toc297048387"/>
      <w:bookmarkStart w:id="944" w:name="_Toc297123550"/>
      <w:r>
        <w:rPr>
          <w:b/>
          <w:bCs/>
          <w:color w:val="auto"/>
          <w:sz w:val="32"/>
          <w:szCs w:val="32"/>
          <w:highlight w:val="none"/>
        </w:rPr>
        <w:t xml:space="preserve">11.1 </w:t>
      </w:r>
      <w:r>
        <w:rPr>
          <w:rFonts w:hint="eastAsia" w:cs="黑体"/>
          <w:b/>
          <w:bCs/>
          <w:color w:val="auto"/>
          <w:sz w:val="32"/>
          <w:szCs w:val="32"/>
          <w:highlight w:val="none"/>
        </w:rPr>
        <w:t>市场价格波动引起的调整</w:t>
      </w:r>
      <w:bookmarkEnd w:id="922"/>
      <w:bookmarkEnd w:id="923"/>
      <w:bookmarkEnd w:id="924"/>
      <w:bookmarkEnd w:id="925"/>
      <w:bookmarkEnd w:id="926"/>
      <w:bookmarkEnd w:id="927"/>
      <w:bookmarkEnd w:id="928"/>
    </w:p>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p w14:paraId="734F7FA8">
      <w:pPr>
        <w:spacing w:line="360" w:lineRule="auto"/>
        <w:ind w:firstLine="420" w:firstLineChars="200"/>
        <w:jc w:val="left"/>
        <w:rPr>
          <w:color w:val="auto"/>
          <w:highlight w:val="none"/>
        </w:rPr>
      </w:pPr>
      <w:r>
        <w:rPr>
          <w:rFonts w:hint="eastAsia" w:hAnsi="宋体" w:cs="宋体"/>
          <w:color w:val="auto"/>
          <w:kern w:val="0"/>
          <w:highlight w:val="none"/>
        </w:rPr>
        <w:t>市场价格波动是否调整合同价格的约定：</w:t>
      </w:r>
      <w:r>
        <w:rPr>
          <w:rFonts w:hint="eastAsia" w:ascii="宋体" w:hAnsi="宋体" w:cs="宋体"/>
          <w:color w:val="auto"/>
          <w:szCs w:val="21"/>
          <w:highlight w:val="none"/>
          <w:u w:val="single"/>
        </w:rPr>
        <w:t>调整</w:t>
      </w:r>
      <w:r>
        <w:rPr>
          <w:rFonts w:hint="eastAsia" w:hAnsi="宋体" w:cs="宋体"/>
          <w:color w:val="auto"/>
          <w:highlight w:val="none"/>
        </w:rPr>
        <w:t>。</w:t>
      </w:r>
    </w:p>
    <w:p w14:paraId="35D4EDC6">
      <w:pPr>
        <w:spacing w:line="360" w:lineRule="auto"/>
        <w:ind w:firstLine="420" w:firstLineChars="200"/>
        <w:jc w:val="left"/>
        <w:rPr>
          <w:color w:val="auto"/>
          <w:highlight w:val="none"/>
        </w:rPr>
      </w:pPr>
      <w:r>
        <w:rPr>
          <w:rFonts w:hint="eastAsia" w:hAnsi="宋体" w:cs="宋体"/>
          <w:color w:val="auto"/>
          <w:highlight w:val="none"/>
        </w:rPr>
        <w:t>因市场价格波动调整合同价格，采用以下第</w:t>
      </w:r>
      <w:r>
        <w:rPr>
          <w:rFonts w:hint="eastAsia"/>
          <w:color w:val="auto"/>
          <w:highlight w:val="none"/>
          <w:u w:val="single"/>
        </w:rPr>
        <w:t>2</w:t>
      </w:r>
      <w:r>
        <w:rPr>
          <w:rFonts w:hint="eastAsia" w:hAnsi="宋体" w:cs="宋体"/>
          <w:color w:val="auto"/>
          <w:highlight w:val="none"/>
        </w:rPr>
        <w:t>种方式对合同价格进行调整：</w:t>
      </w:r>
    </w:p>
    <w:p w14:paraId="3B37A528">
      <w:pPr>
        <w:spacing w:line="360" w:lineRule="auto"/>
        <w:ind w:firstLine="420" w:firstLineChars="200"/>
        <w:jc w:val="left"/>
        <w:rPr>
          <w:color w:val="auto"/>
          <w:highlight w:val="none"/>
        </w:rPr>
      </w:pPr>
      <w:r>
        <w:rPr>
          <w:rFonts w:hint="eastAsia" w:hAnsi="宋体" w:cs="宋体"/>
          <w:color w:val="auto"/>
          <w:highlight w:val="none"/>
        </w:rPr>
        <w:t>第</w:t>
      </w:r>
      <w:r>
        <w:rPr>
          <w:color w:val="auto"/>
          <w:highlight w:val="none"/>
        </w:rPr>
        <w:t>1</w:t>
      </w:r>
      <w:r>
        <w:rPr>
          <w:rFonts w:hint="eastAsia" w:hAnsi="宋体" w:cs="宋体"/>
          <w:color w:val="auto"/>
          <w:highlight w:val="none"/>
        </w:rPr>
        <w:t>种方式：采用价格指数进行价格调整。</w:t>
      </w:r>
    </w:p>
    <w:p w14:paraId="65BE7122">
      <w:pPr>
        <w:spacing w:line="360" w:lineRule="auto"/>
        <w:ind w:firstLine="420" w:firstLineChars="200"/>
        <w:jc w:val="left"/>
        <w:rPr>
          <w:color w:val="auto"/>
          <w:highlight w:val="none"/>
          <w:u w:val="single"/>
        </w:rPr>
      </w:pPr>
      <w:r>
        <w:rPr>
          <w:rFonts w:hint="eastAsia" w:hAnsi="宋体" w:cs="宋体"/>
          <w:color w:val="auto"/>
          <w:highlight w:val="none"/>
        </w:rPr>
        <w:t>关于各可调因子、定值和变值权重，以及基本价格指数及其来源的约定：</w:t>
      </w:r>
      <w:r>
        <w:rPr>
          <w:rFonts w:hint="eastAsia"/>
          <w:color w:val="auto"/>
          <w:szCs w:val="21"/>
          <w:highlight w:val="none"/>
          <w:u w:val="single"/>
        </w:rPr>
        <w:t>/</w:t>
      </w:r>
      <w:r>
        <w:rPr>
          <w:rFonts w:hint="eastAsia" w:hAnsi="宋体" w:cs="宋体"/>
          <w:color w:val="auto"/>
          <w:highlight w:val="none"/>
        </w:rPr>
        <w:t>；</w:t>
      </w:r>
    </w:p>
    <w:p w14:paraId="3BA3364F">
      <w:pPr>
        <w:spacing w:line="360" w:lineRule="auto"/>
        <w:ind w:firstLine="420" w:firstLineChars="200"/>
        <w:jc w:val="left"/>
        <w:rPr>
          <w:rFonts w:hAnsi="宋体"/>
          <w:color w:val="auto"/>
          <w:highlight w:val="none"/>
        </w:rPr>
      </w:pPr>
      <w:r>
        <w:rPr>
          <w:rFonts w:hint="eastAsia" w:hAnsi="宋体" w:cs="宋体"/>
          <w:color w:val="auto"/>
          <w:highlight w:val="none"/>
        </w:rPr>
        <w:t>第</w:t>
      </w:r>
      <w:r>
        <w:rPr>
          <w:color w:val="auto"/>
          <w:highlight w:val="none"/>
        </w:rPr>
        <w:t>2</w:t>
      </w:r>
      <w:r>
        <w:rPr>
          <w:rFonts w:hint="eastAsia" w:hAnsi="宋体" w:cs="宋体"/>
          <w:color w:val="auto"/>
          <w:highlight w:val="none"/>
        </w:rPr>
        <w:t>种方式：采用造价信息进行价格调整。</w:t>
      </w:r>
    </w:p>
    <w:p w14:paraId="367B0481">
      <w:pPr>
        <w:spacing w:line="360" w:lineRule="auto"/>
        <w:ind w:firstLine="420" w:firstLineChars="200"/>
        <w:jc w:val="left"/>
        <w:rPr>
          <w:rFonts w:hAnsi="宋体"/>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）允许调整主要材料和</w:t>
      </w:r>
      <w:r>
        <w:rPr>
          <w:rFonts w:hAnsi="宋体" w:cs="宋体"/>
          <w:color w:val="auto"/>
          <w:highlight w:val="none"/>
        </w:rPr>
        <w:t>工程</w:t>
      </w:r>
      <w:r>
        <w:rPr>
          <w:rFonts w:hint="eastAsia" w:hAnsi="宋体" w:cs="宋体"/>
          <w:color w:val="auto"/>
          <w:highlight w:val="none"/>
        </w:rPr>
        <w:t>设备、基期价格、风险系数、投标报</w:t>
      </w:r>
      <w:r>
        <w:rPr>
          <w:rFonts w:hint="eastAsia" w:ascii="Times New Roman" w:hAnsi="宋体" w:eastAsia="宋体" w:cs="宋体"/>
          <w:color w:val="auto"/>
          <w:highlight w:val="none"/>
        </w:rPr>
        <w:t>价</w:t>
      </w:r>
      <w:r>
        <w:rPr>
          <w:rFonts w:hint="eastAsia" w:ascii="Times New Roman" w:hAnsi="宋体" w:eastAsia="宋体" w:cs="宋体"/>
          <w:color w:val="auto"/>
          <w:highlight w:val="none"/>
          <w:lang w:val="en-US" w:eastAsia="zh-CN"/>
        </w:rPr>
        <w:t>详见工程量清单</w:t>
      </w:r>
      <w:r>
        <w:rPr>
          <w:rFonts w:hint="eastAsia" w:hAnsi="宋体" w:cs="宋体"/>
          <w:color w:val="auto"/>
          <w:highlight w:val="none"/>
        </w:rPr>
        <w:t>《</w:t>
      </w:r>
      <w:r>
        <w:rPr>
          <w:rFonts w:hAnsi="宋体" w:cs="宋体"/>
          <w:color w:val="auto"/>
          <w:highlight w:val="none"/>
        </w:rPr>
        <w:t>允许调整</w:t>
      </w:r>
      <w:r>
        <w:rPr>
          <w:rFonts w:hint="eastAsia" w:hAnsi="宋体" w:cs="宋体"/>
          <w:color w:val="auto"/>
          <w:highlight w:val="none"/>
        </w:rPr>
        <w:t>主要材料和</w:t>
      </w:r>
      <w:r>
        <w:rPr>
          <w:rFonts w:hAnsi="宋体" w:cs="宋体"/>
          <w:color w:val="auto"/>
          <w:highlight w:val="none"/>
        </w:rPr>
        <w:t>工程</w:t>
      </w:r>
      <w:r>
        <w:rPr>
          <w:rFonts w:hint="eastAsia" w:hAnsi="宋体" w:cs="宋体"/>
          <w:color w:val="auto"/>
          <w:highlight w:val="none"/>
        </w:rPr>
        <w:t>设备一览表》</w:t>
      </w:r>
      <w:r>
        <w:rPr>
          <w:rFonts w:hint="eastAsia" w:ascii="宋体" w:hAnsi="宋体"/>
          <w:color w:val="auto"/>
          <w:kern w:val="0"/>
          <w:sz w:val="20"/>
          <w:highlight w:val="none"/>
        </w:rPr>
        <w:t>，</w:t>
      </w:r>
      <w:r>
        <w:rPr>
          <w:rFonts w:hint="eastAsia" w:hAnsi="宋体" w:cs="宋体"/>
          <w:b/>
          <w:bCs/>
          <w:color w:val="auto"/>
          <w:highlight w:val="none"/>
        </w:rPr>
        <w:t>调整范围±</w:t>
      </w:r>
      <w:r>
        <w:rPr>
          <w:rFonts w:hAnsi="宋体" w:cs="宋体"/>
          <w:b/>
          <w:bCs/>
          <w:color w:val="auto"/>
          <w:highlight w:val="none"/>
        </w:rPr>
        <w:t>10</w:t>
      </w:r>
      <w:r>
        <w:rPr>
          <w:rFonts w:hint="eastAsia" w:hAnsi="宋体" w:cs="宋体"/>
          <w:b/>
          <w:bCs/>
          <w:color w:val="auto"/>
          <w:highlight w:val="none"/>
        </w:rPr>
        <w:t>%以外部分，</w:t>
      </w:r>
      <w:r>
        <w:rPr>
          <w:rFonts w:hint="eastAsia" w:hAnsi="宋体" w:cs="宋体"/>
          <w:color w:val="auto"/>
          <w:highlight w:val="none"/>
        </w:rPr>
        <w:t>价</w:t>
      </w:r>
      <w:r>
        <w:rPr>
          <w:rFonts w:hAnsi="宋体" w:cs="宋体"/>
          <w:color w:val="auto"/>
          <w:highlight w:val="none"/>
        </w:rPr>
        <w:t>差</w:t>
      </w:r>
      <w:r>
        <w:rPr>
          <w:rFonts w:hint="eastAsia" w:ascii="Calibri" w:hAnsi="宋体" w:cs="宋体"/>
          <w:color w:val="auto"/>
          <w:highlight w:val="none"/>
        </w:rPr>
        <w:t>调整部分仅计算税金，除此表列明的材料、设备外，其余材料设备价差原则上不予调整。如政府颁布新政策，调差比例按最新政策执行。</w:t>
      </w:r>
    </w:p>
    <w:p w14:paraId="7FB83828">
      <w:pPr>
        <w:spacing w:line="360" w:lineRule="auto"/>
        <w:ind w:firstLine="420" w:firstLineChars="200"/>
        <w:jc w:val="left"/>
        <w:rPr>
          <w:rFonts w:hAnsi="宋体"/>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）主要材料和</w:t>
      </w:r>
      <w:r>
        <w:rPr>
          <w:rFonts w:hAnsi="宋体" w:cs="宋体"/>
          <w:color w:val="auto"/>
          <w:highlight w:val="none"/>
        </w:rPr>
        <w:t>工程</w:t>
      </w:r>
      <w:r>
        <w:rPr>
          <w:rFonts w:hint="eastAsia" w:hAnsi="宋体" w:cs="宋体"/>
          <w:color w:val="auto"/>
          <w:highlight w:val="none"/>
        </w:rPr>
        <w:t>设备确认价：</w:t>
      </w:r>
    </w:p>
    <w:p w14:paraId="73C22162">
      <w:pPr>
        <w:spacing w:line="360" w:lineRule="auto"/>
        <w:ind w:firstLine="420" w:firstLineChars="200"/>
        <w:jc w:val="left"/>
        <w:rPr>
          <w:color w:val="auto"/>
          <w:highlight w:val="none"/>
        </w:rPr>
      </w:pPr>
      <w:r>
        <w:rPr>
          <w:rFonts w:hint="eastAsia" w:hAnsi="宋体" w:cs="宋体"/>
          <w:color w:val="auto"/>
          <w:highlight w:val="none"/>
        </w:rPr>
        <w:t>按施工期间《</w:t>
      </w:r>
      <w:r>
        <w:rPr>
          <w:rFonts w:hint="eastAsia"/>
          <w:color w:val="auto"/>
          <w:highlight w:val="none"/>
        </w:rPr>
        <w:t>南宁</w:t>
      </w:r>
      <w:r>
        <w:rPr>
          <w:rFonts w:hint="eastAsia" w:hAnsi="宋体" w:cs="宋体"/>
          <w:color w:val="auto"/>
          <w:highlight w:val="none"/>
        </w:rPr>
        <w:t>市建设工程造价信息》材料信息价的加权平均价计算，信息价没有的按通用条款规定确定。</w:t>
      </w:r>
    </w:p>
    <w:p w14:paraId="2F12C6AD">
      <w:pPr>
        <w:spacing w:line="360" w:lineRule="auto"/>
        <w:ind w:firstLine="420" w:firstLineChars="200"/>
        <w:jc w:val="left"/>
        <w:rPr>
          <w:rFonts w:hAnsi="宋体"/>
          <w:color w:val="auto"/>
          <w:highlight w:val="none"/>
        </w:rPr>
      </w:pPr>
      <w:r>
        <w:rPr>
          <w:rFonts w:hint="eastAsia" w:hAnsi="宋体" w:cs="宋体"/>
          <w:color w:val="auto"/>
          <w:highlight w:val="none"/>
        </w:rPr>
        <w:t>（</w:t>
      </w:r>
      <w:r>
        <w:rPr>
          <w:color w:val="auto"/>
          <w:highlight w:val="none"/>
        </w:rPr>
        <w:t>3</w:t>
      </w:r>
      <w:r>
        <w:rPr>
          <w:rFonts w:hint="eastAsia" w:hAnsi="宋体" w:cs="宋体"/>
          <w:color w:val="auto"/>
          <w:highlight w:val="none"/>
        </w:rPr>
        <w:t>）价差计算方法：</w:t>
      </w:r>
    </w:p>
    <w:p w14:paraId="04800997">
      <w:pPr>
        <w:spacing w:line="360" w:lineRule="auto"/>
        <w:ind w:firstLine="420" w:firstLineChars="200"/>
        <w:jc w:val="left"/>
        <w:rPr>
          <w:rFonts w:hAnsi="宋体"/>
          <w:color w:val="auto"/>
          <w:highlight w:val="none"/>
        </w:rPr>
      </w:pPr>
      <w:r>
        <w:rPr>
          <w:rFonts w:hint="eastAsia" w:hAnsi="宋体" w:cs="宋体"/>
          <w:color w:val="auto"/>
          <w:highlight w:val="none"/>
        </w:rPr>
        <w:t>①《</w:t>
      </w:r>
      <w:r>
        <w:rPr>
          <w:rFonts w:hAnsi="宋体" w:cs="宋体"/>
          <w:color w:val="auto"/>
          <w:highlight w:val="none"/>
        </w:rPr>
        <w:t>允许调整</w:t>
      </w:r>
      <w:r>
        <w:rPr>
          <w:rFonts w:hint="eastAsia" w:hAnsi="宋体" w:cs="宋体"/>
          <w:color w:val="auto"/>
          <w:highlight w:val="none"/>
        </w:rPr>
        <w:t>主要材料和工程设备一览表》</w:t>
      </w:r>
      <w:r>
        <w:rPr>
          <w:rFonts w:hint="eastAsia" w:ascii="宋体" w:hAnsi="宋体"/>
          <w:color w:val="auto"/>
          <w:kern w:val="0"/>
          <w:sz w:val="20"/>
          <w:highlight w:val="none"/>
        </w:rPr>
        <w:t>（</w:t>
      </w:r>
      <w:r>
        <w:rPr>
          <w:rFonts w:hint="eastAsia" w:ascii="宋体" w:hAnsi="宋体"/>
          <w:color w:val="auto"/>
          <w:kern w:val="0"/>
          <w:sz w:val="20"/>
          <w:highlight w:val="none"/>
          <w:lang w:val="en-US" w:eastAsia="zh-CN"/>
        </w:rPr>
        <w:t>详见工程量清单</w:t>
      </w:r>
      <w:r>
        <w:rPr>
          <w:rFonts w:hint="eastAsia" w:ascii="宋体" w:hAnsi="宋体"/>
          <w:color w:val="auto"/>
          <w:kern w:val="0"/>
          <w:sz w:val="20"/>
          <w:highlight w:val="none"/>
        </w:rPr>
        <w:t>）</w:t>
      </w:r>
      <w:r>
        <w:rPr>
          <w:rFonts w:hint="eastAsia" w:hAnsi="宋体" w:cs="宋体"/>
          <w:color w:val="auto"/>
          <w:highlight w:val="none"/>
        </w:rPr>
        <w:t>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确认价-基准价*（1+风险系数），价格下跌价差=确认价-投标报价*（1+风险系数）。</w:t>
      </w:r>
    </w:p>
    <w:p w14:paraId="60726AC4">
      <w:pPr>
        <w:spacing w:line="360" w:lineRule="auto"/>
        <w:ind w:firstLine="420" w:firstLineChars="200"/>
        <w:jc w:val="left"/>
        <w:rPr>
          <w:rFonts w:hAnsi="宋体"/>
          <w:color w:val="auto"/>
          <w:highlight w:val="none"/>
        </w:rPr>
      </w:pPr>
      <w:r>
        <w:rPr>
          <w:rFonts w:hint="eastAsia" w:hAnsi="宋体" w:cs="宋体"/>
          <w:color w:val="auto"/>
          <w:highlight w:val="none"/>
        </w:rPr>
        <w:t>②承包人在《</w:t>
      </w:r>
      <w:r>
        <w:rPr>
          <w:rFonts w:hAnsi="宋体" w:cs="宋体"/>
          <w:color w:val="auto"/>
          <w:highlight w:val="none"/>
        </w:rPr>
        <w:t>允许调整</w:t>
      </w:r>
      <w:r>
        <w:rPr>
          <w:rFonts w:hint="eastAsia" w:hAnsi="宋体" w:cs="宋体"/>
          <w:color w:val="auto"/>
          <w:highlight w:val="none"/>
        </w:rPr>
        <w:t>主要材料和工程设备一览表》</w:t>
      </w:r>
      <w:r>
        <w:rPr>
          <w:rFonts w:hint="eastAsia" w:ascii="宋体" w:hAnsi="宋体"/>
          <w:color w:val="auto"/>
          <w:kern w:val="0"/>
          <w:sz w:val="20"/>
          <w:highlight w:val="none"/>
        </w:rPr>
        <w:t>（</w:t>
      </w:r>
      <w:r>
        <w:rPr>
          <w:rFonts w:hint="eastAsia" w:ascii="宋体" w:hAnsi="宋体"/>
          <w:color w:val="auto"/>
          <w:kern w:val="0"/>
          <w:sz w:val="20"/>
          <w:highlight w:val="none"/>
          <w:lang w:val="en-US" w:eastAsia="zh-CN"/>
        </w:rPr>
        <w:t>详见工程量清单</w:t>
      </w:r>
      <w:r>
        <w:rPr>
          <w:rFonts w:hint="eastAsia" w:ascii="宋体" w:hAnsi="宋体"/>
          <w:color w:val="auto"/>
          <w:kern w:val="0"/>
          <w:sz w:val="20"/>
          <w:highlight w:val="none"/>
        </w:rPr>
        <w:t>）</w:t>
      </w:r>
      <w:r>
        <w:rPr>
          <w:rFonts w:hint="eastAsia" w:hAnsi="宋体" w:cs="宋体"/>
          <w:color w:val="auto"/>
          <w:highlight w:val="none"/>
        </w:rPr>
        <w:t>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14:paraId="5C5E401B">
      <w:pPr>
        <w:spacing w:line="360" w:lineRule="auto"/>
        <w:ind w:firstLine="420" w:firstLineChars="200"/>
        <w:jc w:val="left"/>
        <w:rPr>
          <w:color w:val="auto"/>
          <w:highlight w:val="none"/>
        </w:rPr>
      </w:pPr>
      <w:r>
        <w:rPr>
          <w:rFonts w:hint="eastAsia" w:hAnsi="宋体" w:cs="宋体"/>
          <w:color w:val="auto"/>
          <w:highlight w:val="none"/>
        </w:rPr>
        <w:t>③承包人在《</w:t>
      </w:r>
      <w:r>
        <w:rPr>
          <w:rFonts w:hAnsi="宋体" w:cs="宋体"/>
          <w:color w:val="auto"/>
          <w:highlight w:val="none"/>
        </w:rPr>
        <w:t>允许调整</w:t>
      </w:r>
      <w:r>
        <w:rPr>
          <w:rFonts w:hint="eastAsia" w:hAnsi="宋体" w:cs="宋体"/>
          <w:color w:val="auto"/>
          <w:highlight w:val="none"/>
        </w:rPr>
        <w:t>主要材料和工程设备一览表》</w:t>
      </w:r>
      <w:r>
        <w:rPr>
          <w:rFonts w:hint="eastAsia" w:ascii="宋体" w:hAnsi="宋体"/>
          <w:color w:val="auto"/>
          <w:kern w:val="0"/>
          <w:sz w:val="20"/>
          <w:highlight w:val="none"/>
        </w:rPr>
        <w:t>（</w:t>
      </w:r>
      <w:r>
        <w:rPr>
          <w:rFonts w:hint="eastAsia" w:ascii="宋体" w:hAnsi="宋体"/>
          <w:color w:val="auto"/>
          <w:kern w:val="0"/>
          <w:sz w:val="20"/>
          <w:highlight w:val="none"/>
          <w:lang w:val="en-US" w:eastAsia="zh-CN"/>
        </w:rPr>
        <w:t>详见工程量清单</w:t>
      </w:r>
      <w:r>
        <w:rPr>
          <w:rFonts w:hint="eastAsia" w:ascii="宋体" w:hAnsi="宋体"/>
          <w:color w:val="auto"/>
          <w:kern w:val="0"/>
          <w:sz w:val="20"/>
          <w:highlight w:val="none"/>
        </w:rPr>
        <w:t>）</w:t>
      </w:r>
      <w:r>
        <w:rPr>
          <w:rFonts w:hint="eastAsia" w:hAnsi="宋体" w:cs="宋体"/>
          <w:color w:val="auto"/>
          <w:highlight w:val="none"/>
        </w:rPr>
        <w:t>中载明的材料和设备单价等于基准单价的：合同履行期间材料和设备单价涨跌幅以基准单价为基础超过约定的风险范围时，对其超过部分进行价差调整。价差计算公式：上涨或下跌价差=确认价-基准单价*（1+风险系数））</w:t>
      </w:r>
    </w:p>
    <w:p w14:paraId="74C50E60">
      <w:pPr>
        <w:spacing w:line="360" w:lineRule="auto"/>
        <w:ind w:firstLine="645"/>
        <w:jc w:val="left"/>
        <w:rPr>
          <w:color w:val="auto"/>
          <w:highlight w:val="none"/>
        </w:rPr>
      </w:pPr>
      <w:r>
        <w:rPr>
          <w:rFonts w:hint="eastAsia" w:hAnsi="宋体" w:cs="宋体"/>
          <w:color w:val="auto"/>
          <w:highlight w:val="none"/>
        </w:rPr>
        <w:t>第</w:t>
      </w:r>
      <w:r>
        <w:rPr>
          <w:rFonts w:hAnsi="宋体"/>
          <w:color w:val="auto"/>
          <w:highlight w:val="none"/>
        </w:rPr>
        <w:t>3</w:t>
      </w:r>
      <w:r>
        <w:rPr>
          <w:rFonts w:hint="eastAsia" w:hAnsi="宋体" w:cs="宋体"/>
          <w:color w:val="auto"/>
          <w:highlight w:val="none"/>
        </w:rPr>
        <w:t>种方式：</w:t>
      </w:r>
      <w:r>
        <w:rPr>
          <w:rFonts w:hint="eastAsia" w:ascii="宋体" w:hAnsi="宋体" w:cs="宋体"/>
          <w:color w:val="auto"/>
          <w:highlight w:val="none"/>
          <w:u w:val="single"/>
        </w:rPr>
        <w:t>/</w:t>
      </w:r>
      <w:r>
        <w:rPr>
          <w:rFonts w:hint="eastAsia" w:cs="宋体"/>
          <w:color w:val="auto"/>
          <w:highlight w:val="none"/>
        </w:rPr>
        <w:t>。</w:t>
      </w:r>
    </w:p>
    <w:bookmarkEnd w:id="768"/>
    <w:bookmarkEnd w:id="769"/>
    <w:bookmarkEnd w:id="770"/>
    <w:bookmarkEnd w:id="771"/>
    <w:bookmarkEnd w:id="772"/>
    <w:bookmarkEnd w:id="773"/>
    <w:p w14:paraId="7BCD686A">
      <w:pPr>
        <w:keepNext/>
        <w:keepLines/>
        <w:spacing w:before="260" w:after="260" w:line="413" w:lineRule="auto"/>
        <w:outlineLvl w:val="1"/>
        <w:rPr>
          <w:rFonts w:ascii="Arial" w:hAnsi="Arial" w:eastAsia="黑体"/>
          <w:b/>
          <w:bCs/>
          <w:color w:val="auto"/>
          <w:sz w:val="32"/>
          <w:szCs w:val="32"/>
          <w:highlight w:val="none"/>
        </w:rPr>
      </w:pPr>
      <w:bookmarkStart w:id="945" w:name="_Toc296944544"/>
      <w:bookmarkStart w:id="946" w:name="_Toc296891033"/>
      <w:bookmarkStart w:id="947" w:name="_Toc296346706"/>
      <w:bookmarkStart w:id="948" w:name="_Toc292559410"/>
      <w:bookmarkStart w:id="949" w:name="_Toc296347204"/>
      <w:bookmarkStart w:id="950" w:name="_Toc296503205"/>
      <w:bookmarkStart w:id="951" w:name="_Toc292559915"/>
      <w:bookmarkStart w:id="952" w:name="_Toc297120505"/>
      <w:bookmarkStart w:id="953" w:name="_Toc297048391"/>
      <w:bookmarkStart w:id="954" w:name="_Toc296891245"/>
      <w:bookmarkStart w:id="955" w:name="_Toc373478395"/>
      <w:bookmarkStart w:id="956" w:name="_Toc1720046426"/>
      <w:bookmarkStart w:id="957" w:name="_Toc1935657796"/>
      <w:bookmarkStart w:id="958" w:name="_Toc78449837"/>
      <w:bookmarkStart w:id="959" w:name="_Toc351203644"/>
      <w:bookmarkStart w:id="960" w:name="_Toc407135251"/>
      <w:bookmarkStart w:id="961" w:name="_Toc373227748"/>
      <w:bookmarkStart w:id="962" w:name="_Toc312678040"/>
      <w:bookmarkStart w:id="963" w:name="_Toc297123552"/>
      <w:bookmarkStart w:id="964" w:name="_Toc304295579"/>
      <w:bookmarkStart w:id="965" w:name="_Toc297216211"/>
      <w:bookmarkStart w:id="966" w:name="_Toc303539159"/>
      <w:bookmarkStart w:id="967" w:name="_Toc300935002"/>
      <w:r>
        <w:rPr>
          <w:rFonts w:ascii="Arial" w:hAnsi="Arial" w:eastAsia="黑体"/>
          <w:b/>
          <w:bCs/>
          <w:color w:val="auto"/>
          <w:sz w:val="32"/>
          <w:szCs w:val="32"/>
          <w:highlight w:val="none"/>
        </w:rPr>
        <w:t xml:space="preserve">12. </w:t>
      </w:r>
      <w:bookmarkEnd w:id="945"/>
      <w:bookmarkEnd w:id="946"/>
      <w:bookmarkEnd w:id="947"/>
      <w:bookmarkEnd w:id="948"/>
      <w:bookmarkEnd w:id="949"/>
      <w:bookmarkEnd w:id="950"/>
      <w:bookmarkEnd w:id="951"/>
      <w:bookmarkEnd w:id="952"/>
      <w:bookmarkEnd w:id="953"/>
      <w:bookmarkEnd w:id="954"/>
      <w:r>
        <w:rPr>
          <w:rFonts w:hint="eastAsia" w:ascii="Arial" w:hAnsi="Arial" w:eastAsia="黑体" w:cs="黑体"/>
          <w:b/>
          <w:bCs/>
          <w:color w:val="auto"/>
          <w:sz w:val="32"/>
          <w:szCs w:val="32"/>
          <w:highlight w:val="none"/>
        </w:rPr>
        <w:t>合同价格、计量与支付</w:t>
      </w:r>
      <w:bookmarkEnd w:id="955"/>
      <w:bookmarkEnd w:id="956"/>
      <w:bookmarkEnd w:id="957"/>
      <w:bookmarkEnd w:id="958"/>
      <w:bookmarkEnd w:id="959"/>
      <w:bookmarkEnd w:id="960"/>
      <w:bookmarkEnd w:id="961"/>
    </w:p>
    <w:bookmarkEnd w:id="962"/>
    <w:bookmarkEnd w:id="963"/>
    <w:bookmarkEnd w:id="964"/>
    <w:bookmarkEnd w:id="965"/>
    <w:bookmarkEnd w:id="966"/>
    <w:bookmarkEnd w:id="967"/>
    <w:p w14:paraId="1E3DC7BA">
      <w:pPr>
        <w:keepNext/>
        <w:keepLines/>
        <w:spacing w:line="600" w:lineRule="exact"/>
        <w:ind w:firstLine="643" w:firstLineChars="200"/>
        <w:outlineLvl w:val="2"/>
        <w:rPr>
          <w:b/>
          <w:bCs/>
          <w:color w:val="auto"/>
          <w:sz w:val="32"/>
          <w:szCs w:val="32"/>
          <w:highlight w:val="none"/>
        </w:rPr>
      </w:pPr>
      <w:bookmarkStart w:id="968" w:name="_Toc292559411"/>
      <w:bookmarkStart w:id="969" w:name="_Toc292559916"/>
      <w:bookmarkStart w:id="970" w:name="_Toc267251461"/>
      <w:bookmarkStart w:id="971" w:name="_Toc296503206"/>
      <w:bookmarkStart w:id="972" w:name="_Toc296347205"/>
      <w:bookmarkStart w:id="973" w:name="_Toc297120506"/>
      <w:bookmarkStart w:id="974" w:name="_Toc296944545"/>
      <w:bookmarkStart w:id="975" w:name="_Toc296891034"/>
      <w:bookmarkStart w:id="976" w:name="_Toc297048392"/>
      <w:bookmarkStart w:id="977" w:name="_Toc296346707"/>
      <w:bookmarkStart w:id="978" w:name="_Toc296891246"/>
      <w:bookmarkStart w:id="979" w:name="_Toc1894565429"/>
      <w:bookmarkStart w:id="980" w:name="_Toc389065314"/>
      <w:bookmarkStart w:id="981" w:name="_Toc78449838"/>
      <w:bookmarkStart w:id="982" w:name="_Toc407135252"/>
      <w:bookmarkStart w:id="983" w:name="_Toc1395756356"/>
      <w:bookmarkStart w:id="984" w:name="_Toc373227749"/>
      <w:bookmarkStart w:id="985" w:name="_Toc373478396"/>
      <w:bookmarkStart w:id="986" w:name="_Toc300935003"/>
      <w:bookmarkStart w:id="987" w:name="_Toc297123553"/>
      <w:bookmarkStart w:id="988" w:name="_Toc303539160"/>
      <w:bookmarkStart w:id="989" w:name="_Toc297216212"/>
      <w:bookmarkStart w:id="990" w:name="_Toc312678041"/>
      <w:bookmarkStart w:id="991" w:name="_Toc304295580"/>
      <w:r>
        <w:rPr>
          <w:b/>
          <w:bCs/>
          <w:color w:val="auto"/>
          <w:sz w:val="32"/>
          <w:szCs w:val="32"/>
          <w:highlight w:val="none"/>
        </w:rPr>
        <w:t xml:space="preserve">12.1 </w:t>
      </w:r>
      <w:r>
        <w:rPr>
          <w:rFonts w:hint="eastAsia" w:hAnsi="宋体" w:cs="黑体"/>
          <w:b/>
          <w:bCs/>
          <w:color w:val="auto"/>
          <w:sz w:val="32"/>
          <w:szCs w:val="32"/>
          <w:highlight w:val="none"/>
        </w:rPr>
        <w:t>合</w:t>
      </w:r>
      <w:bookmarkEnd w:id="968"/>
      <w:bookmarkEnd w:id="969"/>
      <w:bookmarkEnd w:id="970"/>
      <w:r>
        <w:rPr>
          <w:rFonts w:hint="eastAsia" w:hAnsi="宋体" w:cs="黑体"/>
          <w:b/>
          <w:bCs/>
          <w:color w:val="auto"/>
          <w:sz w:val="32"/>
          <w:szCs w:val="32"/>
          <w:highlight w:val="none"/>
        </w:rPr>
        <w:t>同价</w:t>
      </w:r>
      <w:bookmarkEnd w:id="971"/>
      <w:bookmarkEnd w:id="972"/>
      <w:bookmarkEnd w:id="973"/>
      <w:bookmarkEnd w:id="974"/>
      <w:bookmarkEnd w:id="975"/>
      <w:bookmarkEnd w:id="976"/>
      <w:bookmarkEnd w:id="977"/>
      <w:bookmarkEnd w:id="978"/>
      <w:r>
        <w:rPr>
          <w:rFonts w:hint="eastAsia" w:hAnsi="宋体" w:cs="黑体"/>
          <w:b/>
          <w:bCs/>
          <w:color w:val="auto"/>
          <w:sz w:val="32"/>
          <w:szCs w:val="32"/>
          <w:highlight w:val="none"/>
        </w:rPr>
        <w:t>格形式</w:t>
      </w:r>
      <w:bookmarkEnd w:id="979"/>
      <w:bookmarkEnd w:id="980"/>
      <w:bookmarkEnd w:id="981"/>
      <w:bookmarkEnd w:id="982"/>
      <w:bookmarkEnd w:id="983"/>
      <w:bookmarkEnd w:id="984"/>
      <w:bookmarkEnd w:id="985"/>
    </w:p>
    <w:bookmarkEnd w:id="986"/>
    <w:bookmarkEnd w:id="987"/>
    <w:bookmarkEnd w:id="988"/>
    <w:bookmarkEnd w:id="989"/>
    <w:bookmarkEnd w:id="990"/>
    <w:bookmarkEnd w:id="991"/>
    <w:p w14:paraId="3E13356C">
      <w:pPr>
        <w:spacing w:line="360" w:lineRule="auto"/>
        <w:ind w:firstLine="420" w:firstLineChars="200"/>
        <w:jc w:val="left"/>
        <w:rPr>
          <w:rFonts w:hAnsi="宋体"/>
          <w:color w:val="auto"/>
          <w:highlight w:val="none"/>
        </w:rPr>
      </w:pPr>
      <w:bookmarkStart w:id="992" w:name="_Toc373478397"/>
      <w:bookmarkStart w:id="993" w:name="_Toc373227750"/>
      <w:bookmarkStart w:id="994" w:name="_Toc389065315"/>
      <w:bookmarkStart w:id="995" w:name="_Toc297216213"/>
      <w:bookmarkStart w:id="996" w:name="_Toc304295581"/>
      <w:bookmarkStart w:id="997" w:name="_Toc300935004"/>
      <w:bookmarkStart w:id="998" w:name="_Toc297123554"/>
      <w:bookmarkStart w:id="999" w:name="_Toc303539161"/>
      <w:bookmarkStart w:id="1000" w:name="_Toc312678042"/>
      <w:bookmarkStart w:id="1001" w:name="_Toc296503207"/>
      <w:bookmarkStart w:id="1002" w:name="_Toc296346708"/>
      <w:bookmarkStart w:id="1003" w:name="_Toc297048393"/>
      <w:bookmarkStart w:id="1004" w:name="_Toc297120507"/>
      <w:bookmarkStart w:id="1005" w:name="_Toc292559917"/>
      <w:bookmarkStart w:id="1006" w:name="_Toc296944546"/>
      <w:bookmarkStart w:id="1007" w:name="_Toc296891035"/>
      <w:bookmarkStart w:id="1008" w:name="_Toc296347206"/>
      <w:bookmarkStart w:id="1009" w:name="_Toc296891247"/>
      <w:bookmarkStart w:id="1010" w:name="_Toc292559412"/>
      <w:r>
        <w:rPr>
          <w:rFonts w:hint="eastAsia" w:hAnsi="宋体" w:cs="宋体"/>
          <w:color w:val="auto"/>
          <w:highlight w:val="none"/>
        </w:rPr>
        <w:t>本工程采用</w:t>
      </w:r>
      <w:r>
        <w:rPr>
          <w:rFonts w:hint="eastAsia" w:hAnsi="宋体"/>
          <w:color w:val="auto"/>
          <w:highlight w:val="none"/>
          <w:u w:val="single"/>
        </w:rPr>
        <w:t>固定综合单价</w:t>
      </w:r>
      <w:r>
        <w:rPr>
          <w:rFonts w:hint="eastAsia" w:hAnsi="宋体" w:cs="宋体"/>
          <w:color w:val="auto"/>
          <w:highlight w:val="none"/>
        </w:rPr>
        <w:t>合同价格形式，合同价格包含增值税，本工程计价时采用的增值税计税方法为：</w:t>
      </w:r>
      <w:r>
        <w:rPr>
          <w:rFonts w:hint="eastAsia" w:ascii="宋体" w:hAnsi="宋体" w:cs="宋体"/>
          <w:color w:val="auto"/>
          <w:highlight w:val="none"/>
        </w:rPr>
        <w:sym w:font="Wingdings 2" w:char="0052"/>
      </w:r>
      <w:r>
        <w:rPr>
          <w:rFonts w:hint="eastAsia" w:hAnsi="宋体" w:cs="宋体"/>
          <w:color w:val="auto"/>
          <w:highlight w:val="none"/>
        </w:rPr>
        <w:t>一般计税法</w:t>
      </w:r>
      <w:r>
        <w:rPr>
          <w:rFonts w:hint="eastAsia" w:ascii="宋体" w:hAnsi="宋体" w:cs="宋体"/>
          <w:color w:val="auto"/>
          <w:highlight w:val="none"/>
        </w:rPr>
        <w:t>□</w:t>
      </w:r>
      <w:r>
        <w:rPr>
          <w:rFonts w:hint="eastAsia" w:hAnsi="宋体" w:cs="宋体"/>
          <w:color w:val="auto"/>
          <w:highlight w:val="none"/>
        </w:rPr>
        <w:t>简易计税法。</w:t>
      </w:r>
    </w:p>
    <w:p w14:paraId="03B1BA5D">
      <w:pPr>
        <w:spacing w:line="360" w:lineRule="auto"/>
        <w:ind w:firstLine="420" w:firstLineChars="200"/>
        <w:jc w:val="left"/>
        <w:rPr>
          <w:rFonts w:hAnsi="宋体"/>
          <w:color w:val="auto"/>
          <w:highlight w:val="none"/>
        </w:rPr>
      </w:pPr>
      <w:r>
        <w:rPr>
          <w:rFonts w:hint="eastAsia" w:hAnsi="宋体" w:cs="宋体"/>
          <w:color w:val="auto"/>
          <w:highlight w:val="none"/>
        </w:rPr>
        <w:t>（</w:t>
      </w:r>
      <w:r>
        <w:rPr>
          <w:rFonts w:hAnsi="宋体"/>
          <w:color w:val="auto"/>
          <w:highlight w:val="none"/>
        </w:rPr>
        <w:t>1</w:t>
      </w:r>
      <w:r>
        <w:rPr>
          <w:rFonts w:hint="eastAsia" w:hAnsi="宋体" w:cs="宋体"/>
          <w:color w:val="auto"/>
          <w:highlight w:val="none"/>
        </w:rPr>
        <w:t>）单价合同。</w:t>
      </w:r>
    </w:p>
    <w:p w14:paraId="778BE018">
      <w:pPr>
        <w:spacing w:line="360" w:lineRule="auto"/>
        <w:ind w:firstLine="420" w:firstLineChars="200"/>
        <w:jc w:val="left"/>
        <w:rPr>
          <w:rFonts w:hAnsi="宋体"/>
          <w:color w:val="auto"/>
          <w:highlight w:val="none"/>
        </w:rPr>
      </w:pPr>
      <w:r>
        <w:rPr>
          <w:rFonts w:hint="eastAsia" w:hAnsi="宋体" w:cs="宋体"/>
          <w:color w:val="auto"/>
          <w:highlight w:val="none"/>
        </w:rPr>
        <w:t>采用综合单价合同方式时，工程量按建设单位、监理单位、施工单位三方确认的竣工图结算。</w:t>
      </w:r>
    </w:p>
    <w:p w14:paraId="48CBF077">
      <w:pPr>
        <w:spacing w:line="360" w:lineRule="auto"/>
        <w:ind w:firstLine="420" w:firstLineChars="200"/>
        <w:jc w:val="left"/>
        <w:rPr>
          <w:rFonts w:hAnsi="宋体"/>
          <w:color w:val="auto"/>
          <w:highlight w:val="none"/>
        </w:rPr>
      </w:pPr>
      <w:r>
        <w:rPr>
          <w:rFonts w:hint="eastAsia" w:hAnsi="宋体" w:cs="宋体"/>
          <w:color w:val="auto"/>
          <w:highlight w:val="none"/>
        </w:rPr>
        <w:t>综合单价包含的风险范围：</w:t>
      </w:r>
      <w:r>
        <w:rPr>
          <w:rFonts w:hint="eastAsia" w:ascii="Calibri" w:hAnsi="宋体" w:cs="宋体"/>
          <w:color w:val="auto"/>
          <w:szCs w:val="22"/>
          <w:highlight w:val="none"/>
          <w:u w:val="single"/>
        </w:rPr>
        <w:t>除工程变更、项目特征不符、工程量清单缺项、工程量偏差、政策性调整、本工程《承包人提供主要材料和设备一览表》中约定的材料和设备价格变动风险以外的其他风险因素</w:t>
      </w:r>
      <w:r>
        <w:rPr>
          <w:rFonts w:hint="eastAsia" w:hAnsi="宋体" w:cs="宋体"/>
          <w:color w:val="auto"/>
          <w:highlight w:val="none"/>
          <w:u w:val="single"/>
        </w:rPr>
        <w:t>。</w:t>
      </w:r>
    </w:p>
    <w:p w14:paraId="03870769">
      <w:pPr>
        <w:spacing w:line="360" w:lineRule="auto"/>
        <w:ind w:firstLine="420" w:firstLineChars="200"/>
        <w:jc w:val="left"/>
        <w:rPr>
          <w:rFonts w:hAnsi="宋体" w:cs="宋体"/>
          <w:color w:val="auto"/>
          <w:highlight w:val="none"/>
        </w:rPr>
      </w:pPr>
      <w:r>
        <w:rPr>
          <w:rFonts w:hint="eastAsia" w:hAnsi="宋体" w:cs="宋体"/>
          <w:color w:val="auto"/>
          <w:highlight w:val="none"/>
        </w:rPr>
        <w:t>风险范围以外合同价格的调整方法：</w:t>
      </w:r>
    </w:p>
    <w:p w14:paraId="248BFDDF">
      <w:pPr>
        <w:spacing w:line="360" w:lineRule="auto"/>
        <w:ind w:firstLine="420" w:firstLineChars="200"/>
        <w:jc w:val="left"/>
        <w:rPr>
          <w:rFonts w:hAnsi="宋体" w:cs="宋体"/>
          <w:color w:val="auto"/>
          <w:highlight w:val="none"/>
        </w:rPr>
      </w:pPr>
      <w:r>
        <w:rPr>
          <w:rFonts w:hint="eastAsia" w:hAnsi="宋体" w:cs="宋体"/>
          <w:color w:val="auto"/>
          <w:highlight w:val="none"/>
        </w:rPr>
        <w:t>①工程变更</w:t>
      </w:r>
      <w:r>
        <w:rPr>
          <w:rFonts w:hint="eastAsia" w:ascii="Calibri" w:hAnsi="宋体" w:cs="宋体"/>
          <w:color w:val="auto"/>
          <w:highlight w:val="none"/>
        </w:rPr>
        <w:t>、项目特征不符、工程量清单缺项</w:t>
      </w:r>
      <w:r>
        <w:rPr>
          <w:rFonts w:hint="eastAsia" w:hAnsi="宋体" w:cs="宋体"/>
          <w:color w:val="auto"/>
          <w:highlight w:val="none"/>
        </w:rPr>
        <w:t>：按</w:t>
      </w:r>
      <w:r>
        <w:rPr>
          <w:rFonts w:hAnsi="宋体" w:cs="宋体"/>
          <w:color w:val="auto"/>
          <w:highlight w:val="none"/>
        </w:rPr>
        <w:t>10.4.1</w:t>
      </w:r>
      <w:r>
        <w:rPr>
          <w:rFonts w:hint="eastAsia" w:hAnsi="宋体" w:cs="宋体"/>
          <w:color w:val="auto"/>
          <w:highlight w:val="none"/>
        </w:rPr>
        <w:t>变更估价原则的约定调整。</w:t>
      </w:r>
    </w:p>
    <w:p w14:paraId="4667759A">
      <w:pPr>
        <w:spacing w:line="360" w:lineRule="auto"/>
        <w:ind w:firstLine="420" w:firstLineChars="200"/>
        <w:jc w:val="left"/>
        <w:rPr>
          <w:rFonts w:hAnsi="宋体" w:cs="宋体"/>
          <w:color w:val="auto"/>
          <w:highlight w:val="none"/>
        </w:rPr>
      </w:pPr>
      <w:r>
        <w:rPr>
          <w:rFonts w:hint="eastAsia" w:hAnsi="宋体" w:cs="宋体"/>
          <w:color w:val="auto"/>
          <w:highlight w:val="none"/>
        </w:rPr>
        <w:t>②</w:t>
      </w:r>
      <w:r>
        <w:rPr>
          <w:rFonts w:hint="eastAsia" w:ascii="Calibri" w:hAnsi="宋体" w:cs="宋体"/>
          <w:color w:val="auto"/>
          <w:highlight w:val="none"/>
        </w:rPr>
        <w:t>工程量偏差：按1.13工程量清单错误修正的约定调整。</w:t>
      </w:r>
    </w:p>
    <w:p w14:paraId="778F9763">
      <w:pPr>
        <w:spacing w:line="360" w:lineRule="auto"/>
        <w:ind w:firstLine="420" w:firstLineChars="200"/>
        <w:jc w:val="left"/>
        <w:rPr>
          <w:rFonts w:hAnsi="宋体" w:cs="宋体"/>
          <w:color w:val="auto"/>
          <w:highlight w:val="none"/>
        </w:rPr>
      </w:pPr>
      <w:r>
        <w:rPr>
          <w:rFonts w:hint="eastAsia" w:hAnsi="宋体" w:cs="宋体"/>
          <w:color w:val="auto"/>
          <w:highlight w:val="none"/>
        </w:rPr>
        <w:t>③政策性调整：</w:t>
      </w:r>
      <w:r>
        <w:rPr>
          <w:rFonts w:hint="eastAsia" w:ascii="仿宋_GB2312" w:hAnsi="宋体"/>
          <w:color w:val="auto"/>
          <w:highlight w:val="none"/>
        </w:rPr>
        <w:t>按国家、自治区住房城乡建设厅或工程所在地</w:t>
      </w:r>
      <w:r>
        <w:rPr>
          <w:rFonts w:hint="eastAsia" w:ascii="仿宋_GB2312" w:hAnsi="宋体"/>
          <w:color w:val="auto"/>
          <w:szCs w:val="21"/>
          <w:highlight w:val="none"/>
        </w:rPr>
        <w:t>市级</w:t>
      </w:r>
      <w:r>
        <w:rPr>
          <w:rFonts w:hint="eastAsia" w:ascii="仿宋_GB2312" w:hAnsi="宋体"/>
          <w:color w:val="auto"/>
          <w:highlight w:val="none"/>
        </w:rPr>
        <w:t>住房城乡建设主管部门颁布的文件执行</w:t>
      </w:r>
      <w:r>
        <w:rPr>
          <w:rFonts w:hint="eastAsia" w:hAnsi="宋体" w:cs="宋体"/>
          <w:color w:val="auto"/>
          <w:highlight w:val="none"/>
        </w:rPr>
        <w:t>。</w:t>
      </w:r>
    </w:p>
    <w:p w14:paraId="6C369CE4">
      <w:pPr>
        <w:spacing w:line="360" w:lineRule="auto"/>
        <w:ind w:firstLine="420" w:firstLineChars="200"/>
        <w:jc w:val="left"/>
        <w:rPr>
          <w:rFonts w:hAnsi="宋体" w:cs="宋体"/>
          <w:color w:val="auto"/>
          <w:highlight w:val="none"/>
        </w:rPr>
      </w:pPr>
      <w:r>
        <w:rPr>
          <w:rFonts w:hint="eastAsia" w:hAnsi="宋体" w:cs="宋体"/>
          <w:color w:val="auto"/>
          <w:highlight w:val="none"/>
        </w:rPr>
        <w:t>④市场波动引起的调整：按</w:t>
      </w:r>
      <w:r>
        <w:rPr>
          <w:rFonts w:hAnsi="宋体" w:cs="宋体"/>
          <w:color w:val="auto"/>
          <w:highlight w:val="none"/>
        </w:rPr>
        <w:t>11.1</w:t>
      </w:r>
      <w:r>
        <w:rPr>
          <w:rFonts w:hint="eastAsia" w:hAnsi="宋体" w:cs="宋体"/>
          <w:color w:val="auto"/>
          <w:highlight w:val="none"/>
        </w:rPr>
        <w:t>的约定调整。</w:t>
      </w:r>
    </w:p>
    <w:p w14:paraId="2B5D420C">
      <w:pPr>
        <w:spacing w:line="360" w:lineRule="auto"/>
        <w:ind w:firstLine="420" w:firstLineChars="200"/>
        <w:jc w:val="left"/>
        <w:rPr>
          <w:rFonts w:ascii="Calibri" w:hAnsi="宋体"/>
          <w:color w:val="auto"/>
          <w:szCs w:val="22"/>
          <w:highlight w:val="none"/>
          <w:u w:val="single"/>
        </w:rPr>
      </w:pPr>
      <w:r>
        <w:rPr>
          <w:rFonts w:hint="eastAsia" w:hAnsi="宋体" w:cs="宋体"/>
          <w:color w:val="auto"/>
          <w:highlight w:val="none"/>
        </w:rPr>
        <w:t>⑤其它：</w:t>
      </w:r>
      <w:r>
        <w:rPr>
          <w:rFonts w:hint="eastAsia" w:ascii="Calibri" w:hAnsi="宋体"/>
          <w:color w:val="auto"/>
          <w:szCs w:val="22"/>
          <w:highlight w:val="none"/>
          <w:u w:val="single"/>
        </w:rPr>
        <w:t>a.本合同实施期间因工程变更、项目特征不符、工程量清单缺项、漏项、</w:t>
      </w:r>
      <w:r>
        <w:rPr>
          <w:rFonts w:ascii="Calibri" w:hAnsi="宋体"/>
          <w:color w:val="auto"/>
          <w:szCs w:val="22"/>
          <w:highlight w:val="none"/>
          <w:u w:val="single"/>
        </w:rPr>
        <w:t>设计变更导致的</w:t>
      </w:r>
      <w:r>
        <w:rPr>
          <w:rFonts w:hint="eastAsia" w:ascii="Calibri" w:hAnsi="宋体"/>
          <w:color w:val="auto"/>
          <w:szCs w:val="22"/>
          <w:highlight w:val="none"/>
          <w:u w:val="single"/>
        </w:rPr>
        <w:t>工程量清单偏差超过约定幅度引起工程项目、工程量变化的，其工程量按实际发生并监理工程师及发包人确认，变更合同价款按下列方法进行：工程量清单中有相同细目的按投标人投标时的</w:t>
      </w:r>
      <w:r>
        <w:rPr>
          <w:rFonts w:hint="eastAsia" w:ascii="Calibri" w:hAnsi="宋体"/>
          <w:color w:val="auto"/>
          <w:szCs w:val="22"/>
          <w:highlight w:val="none"/>
          <w:u w:val="single"/>
          <w:lang w:val="en-US" w:eastAsia="zh-CN"/>
        </w:rPr>
        <w:t>成交</w:t>
      </w:r>
      <w:r>
        <w:rPr>
          <w:rFonts w:hint="eastAsia" w:ascii="Calibri" w:hAnsi="宋体"/>
          <w:color w:val="auto"/>
          <w:szCs w:val="22"/>
          <w:highlight w:val="none"/>
          <w:u w:val="single"/>
        </w:rPr>
        <w:t>单价进行结算，工程量清单中有类似细目的参考类似</w:t>
      </w:r>
      <w:r>
        <w:rPr>
          <w:rFonts w:hint="eastAsia" w:ascii="Calibri" w:hAnsi="宋体"/>
          <w:color w:val="auto"/>
          <w:szCs w:val="22"/>
          <w:highlight w:val="none"/>
          <w:u w:val="single"/>
          <w:lang w:val="en-US" w:eastAsia="zh-CN"/>
        </w:rPr>
        <w:t>成交</w:t>
      </w:r>
      <w:r>
        <w:rPr>
          <w:rFonts w:hint="eastAsia" w:ascii="Calibri" w:hAnsi="宋体"/>
          <w:color w:val="auto"/>
          <w:szCs w:val="22"/>
          <w:highlight w:val="none"/>
          <w:u w:val="single"/>
        </w:rPr>
        <w:t>单价结算；工程量清单中没有适用或类似于变更工程的价格，则有定额的套定额计算，执行本招标文件工程计价参考依据，并乘以下浮系数（</w:t>
      </w:r>
      <w:r>
        <w:rPr>
          <w:rFonts w:hint="eastAsia" w:ascii="Calibri" w:hAnsi="宋体"/>
          <w:color w:val="auto"/>
          <w:szCs w:val="22"/>
          <w:highlight w:val="none"/>
          <w:u w:val="single"/>
          <w:lang w:val="en-US" w:eastAsia="zh-CN"/>
        </w:rPr>
        <w:t>成交</w:t>
      </w:r>
      <w:r>
        <w:rPr>
          <w:rFonts w:hint="eastAsia" w:ascii="Calibri" w:hAnsi="宋体"/>
          <w:color w:val="auto"/>
          <w:szCs w:val="22"/>
          <w:highlight w:val="none"/>
          <w:u w:val="single"/>
        </w:rPr>
        <w:t>价/经审定的工程招标控制价）结算，其中材料价格有信息价的按施工期间信息价的平均价计取，无信息价的由发包人、监理单位及承包人根据市场价格协商议定；新增项目无定额可套的，由发包人、监理单位及承包人根据市场协商确定，</w:t>
      </w:r>
      <w:r>
        <w:rPr>
          <w:rFonts w:hint="eastAsia" w:ascii="宋体" w:hAnsi="宋体" w:cs="宋体"/>
          <w:b/>
          <w:bCs/>
          <w:color w:val="auto"/>
          <w:szCs w:val="21"/>
          <w:highlight w:val="none"/>
          <w:u w:val="single"/>
        </w:rPr>
        <w:t>新增项目的单价必须经发包人、监理单位及发包人委托的第三方造价咨询机构审定</w:t>
      </w:r>
      <w:r>
        <w:rPr>
          <w:rFonts w:hint="eastAsia" w:ascii="Calibri" w:hAnsi="宋体"/>
          <w:color w:val="auto"/>
          <w:szCs w:val="22"/>
          <w:highlight w:val="none"/>
          <w:u w:val="single"/>
        </w:rPr>
        <w:t>；新增结算单价=综合单价×（</w:t>
      </w:r>
      <w:r>
        <w:rPr>
          <w:rFonts w:hint="eastAsia" w:ascii="Calibri" w:hAnsi="宋体"/>
          <w:color w:val="auto"/>
          <w:szCs w:val="22"/>
          <w:highlight w:val="none"/>
          <w:u w:val="single"/>
          <w:lang w:val="en-US" w:eastAsia="zh-CN"/>
        </w:rPr>
        <w:t>成交</w:t>
      </w:r>
      <w:r>
        <w:rPr>
          <w:rFonts w:hint="eastAsia" w:ascii="Calibri" w:hAnsi="宋体"/>
          <w:color w:val="auto"/>
          <w:szCs w:val="22"/>
          <w:highlight w:val="none"/>
          <w:u w:val="single"/>
        </w:rPr>
        <w:t>价/经审定的工程招标控制价）。</w:t>
      </w:r>
    </w:p>
    <w:p w14:paraId="7618DF2F">
      <w:pPr>
        <w:spacing w:line="400" w:lineRule="exact"/>
        <w:ind w:firstLine="420" w:firstLineChars="200"/>
        <w:rPr>
          <w:rFonts w:ascii="宋体" w:hAnsi="宋体" w:cs="宋体"/>
          <w:b/>
          <w:bCs/>
          <w:color w:val="auto"/>
          <w:highlight w:val="none"/>
          <w:u w:val="single"/>
        </w:rPr>
      </w:pPr>
      <w:r>
        <w:rPr>
          <w:rFonts w:hint="eastAsia" w:ascii="Calibri" w:hAnsi="宋体"/>
          <w:color w:val="auto"/>
          <w:szCs w:val="22"/>
          <w:highlight w:val="none"/>
          <w:u w:val="single"/>
        </w:rPr>
        <w:t>b.工程量偏差调整方法：</w:t>
      </w:r>
      <w:r>
        <w:rPr>
          <w:rFonts w:hint="eastAsia" w:ascii="宋体" w:hAnsi="宋体" w:cs="宋体"/>
          <w:b/>
          <w:bCs/>
          <w:color w:val="auto"/>
          <w:highlight w:val="none"/>
          <w:u w:val="single"/>
        </w:rPr>
        <w:t>当应予计算的实际工程量与招标工程量清单出现偏差，清单工程量偏差15 %且该单项清单造价超过合同总价1%以内的，超过后增加部分工程量或减少后剩余部分工程量的综合单价按以下方法调整：出现工程量清单偏差时：（1）合同中已有相同子目的，按合同该子目价格进行计算；（2）合同中只有类似子目的，参照该类似子目价格进行计算；（3）合同中没有适用或类似子目的价格计算方法：有定额的套定额（土石方按市场报价），并乘以下浮系数（</w:t>
      </w:r>
      <w:r>
        <w:rPr>
          <w:rFonts w:hint="eastAsia" w:ascii="宋体" w:hAnsi="宋体" w:cs="宋体"/>
          <w:b/>
          <w:bCs/>
          <w:color w:val="auto"/>
          <w:highlight w:val="none"/>
          <w:u w:val="single"/>
          <w:lang w:val="en-US" w:eastAsia="zh-CN"/>
        </w:rPr>
        <w:t>成交</w:t>
      </w:r>
      <w:r>
        <w:rPr>
          <w:rFonts w:hint="eastAsia" w:ascii="宋体" w:hAnsi="宋体" w:cs="宋体"/>
          <w:b/>
          <w:bCs/>
          <w:color w:val="auto"/>
          <w:highlight w:val="none"/>
          <w:u w:val="single"/>
        </w:rPr>
        <w:t>价/经招标人公布的工程招标控制价）计算，其中材料价格按施工期间的《南宁建设工程造价信息》相应价格信息进行计算；《南宁建设工程造价信息》没有相应价格信息的按市场价计算；无定额可套的，根据市场价格协商确定综合价格；新增项目无定额可套的，</w:t>
      </w:r>
      <w:r>
        <w:rPr>
          <w:rFonts w:hint="eastAsia" w:ascii="宋体" w:hAnsi="宋体" w:cs="宋体"/>
          <w:b/>
          <w:bCs/>
          <w:color w:val="auto"/>
          <w:szCs w:val="21"/>
          <w:highlight w:val="none"/>
          <w:u w:val="single"/>
        </w:rPr>
        <w:t xml:space="preserve">由发包人、承包人根据市场价格协商确定；新增项目的单价必须经发包人、监理单位及发包人委托的第三方造价咨询机构审定 </w:t>
      </w:r>
      <w:r>
        <w:rPr>
          <w:rFonts w:hint="eastAsia" w:ascii="宋体" w:hAnsi="宋体" w:cs="宋体"/>
          <w:b/>
          <w:bCs/>
          <w:color w:val="auto"/>
          <w:highlight w:val="none"/>
          <w:u w:val="single"/>
        </w:rPr>
        <w:t>。</w:t>
      </w:r>
    </w:p>
    <w:p w14:paraId="78DDFD54">
      <w:pPr>
        <w:spacing w:line="360" w:lineRule="auto"/>
        <w:ind w:firstLine="422" w:firstLineChars="200"/>
        <w:jc w:val="left"/>
        <w:rPr>
          <w:rFonts w:ascii="Calibri" w:hAnsi="宋体"/>
          <w:color w:val="auto"/>
          <w:szCs w:val="22"/>
          <w:highlight w:val="none"/>
          <w:u w:val="single"/>
        </w:rPr>
      </w:pPr>
      <w:r>
        <w:rPr>
          <w:rFonts w:hint="eastAsia" w:ascii="宋体" w:hAnsi="宋体" w:cs="宋体"/>
          <w:b/>
          <w:bCs/>
          <w:color w:val="auto"/>
          <w:highlight w:val="none"/>
          <w:u w:val="single"/>
        </w:rPr>
        <w:t>与招标工程量清单工程量偏差15 %且该单项清单造价超过合同总价1%以上部分按以下方法调整：（1）工程量增加15%以上部分有定额的套定额（土石方按市场报价），并乘以下浮系数（</w:t>
      </w:r>
      <w:r>
        <w:rPr>
          <w:rFonts w:hint="eastAsia" w:ascii="宋体" w:hAnsi="宋体" w:cs="宋体"/>
          <w:b/>
          <w:bCs/>
          <w:color w:val="auto"/>
          <w:highlight w:val="none"/>
          <w:u w:val="single"/>
          <w:lang w:val="en-US" w:eastAsia="zh-CN"/>
        </w:rPr>
        <w:t>成交</w:t>
      </w:r>
      <w:r>
        <w:rPr>
          <w:rFonts w:hint="eastAsia" w:ascii="宋体" w:hAnsi="宋体" w:cs="宋体"/>
          <w:b/>
          <w:bCs/>
          <w:color w:val="auto"/>
          <w:highlight w:val="none"/>
          <w:u w:val="single"/>
        </w:rPr>
        <w:t>价/经招标人公布的工程招标控制价）计算；（2）工程量减少15%后剩余工程量按</w:t>
      </w:r>
      <w:r>
        <w:rPr>
          <w:rFonts w:hint="eastAsia" w:ascii="宋体" w:hAnsi="宋体" w:cs="宋体"/>
          <w:b/>
          <w:bCs/>
          <w:color w:val="auto"/>
          <w:highlight w:val="none"/>
          <w:u w:val="single"/>
          <w:lang w:val="en-US" w:eastAsia="zh-CN"/>
        </w:rPr>
        <w:t>成交</w:t>
      </w:r>
      <w:r>
        <w:rPr>
          <w:rFonts w:hint="eastAsia" w:ascii="宋体" w:hAnsi="宋体" w:cs="宋体"/>
          <w:b/>
          <w:bCs/>
          <w:color w:val="auto"/>
          <w:highlight w:val="none"/>
          <w:u w:val="single"/>
        </w:rPr>
        <w:t>价计算；其中材料价格按施工期间的《南宁建设工程造价信息》相应价格信息进行计算；无定额可套的，根据市场价格双方协商确定综合价格，新增项目无定额可套的，</w:t>
      </w:r>
      <w:r>
        <w:rPr>
          <w:rFonts w:hint="eastAsia" w:ascii="宋体" w:hAnsi="宋体" w:cs="宋体"/>
          <w:b/>
          <w:bCs/>
          <w:color w:val="auto"/>
          <w:szCs w:val="21"/>
          <w:highlight w:val="none"/>
          <w:u w:val="single"/>
        </w:rPr>
        <w:t xml:space="preserve">由发包人、承包人、审计等部门根据市场价格协商确定；新增项目的单价必须经发包人、监理单位及发包人委托的第三方造价咨询机构审定 </w:t>
      </w:r>
      <w:r>
        <w:rPr>
          <w:rFonts w:hint="eastAsia" w:ascii="宋体" w:hAnsi="宋体" w:cs="宋体"/>
          <w:b/>
          <w:bCs/>
          <w:color w:val="auto"/>
          <w:highlight w:val="none"/>
          <w:u w:val="single"/>
        </w:rPr>
        <w:t xml:space="preserve"> 。</w:t>
      </w:r>
    </w:p>
    <w:p w14:paraId="06727881">
      <w:pPr>
        <w:spacing w:line="360" w:lineRule="auto"/>
        <w:ind w:firstLine="420" w:firstLineChars="200"/>
        <w:jc w:val="left"/>
        <w:rPr>
          <w:rFonts w:ascii="Calibri" w:hAnsi="宋体"/>
          <w:color w:val="auto"/>
          <w:szCs w:val="22"/>
          <w:highlight w:val="none"/>
          <w:u w:val="single"/>
        </w:rPr>
      </w:pPr>
      <w:r>
        <w:rPr>
          <w:rFonts w:hint="eastAsia" w:ascii="Calibri" w:hAnsi="宋体"/>
          <w:color w:val="auto"/>
          <w:szCs w:val="22"/>
          <w:highlight w:val="none"/>
          <w:u w:val="single"/>
        </w:rPr>
        <w:t>c.材料和设备价格风险的调整方法：</w:t>
      </w:r>
    </w:p>
    <w:p w14:paraId="737FCE75">
      <w:pPr>
        <w:spacing w:line="360" w:lineRule="auto"/>
        <w:ind w:firstLine="420" w:firstLineChars="200"/>
        <w:jc w:val="left"/>
        <w:rPr>
          <w:rFonts w:ascii="Calibri" w:hAnsi="宋体"/>
          <w:color w:val="auto"/>
          <w:szCs w:val="22"/>
          <w:highlight w:val="none"/>
          <w:u w:val="single"/>
        </w:rPr>
      </w:pPr>
      <w:r>
        <w:rPr>
          <w:rFonts w:hint="eastAsia" w:ascii="Calibri" w:hAnsi="宋体"/>
          <w:color w:val="auto"/>
          <w:szCs w:val="22"/>
          <w:highlight w:val="none"/>
          <w:u w:val="single"/>
        </w:rPr>
        <w:t>基准价格的约定：基准价格按照招标文件约定的材料设备信息价，无信息价的参考招标控制价的材料设备价格。</w:t>
      </w:r>
    </w:p>
    <w:p w14:paraId="510F832C">
      <w:pPr>
        <w:spacing w:line="360" w:lineRule="auto"/>
        <w:ind w:firstLine="420" w:firstLineChars="200"/>
        <w:jc w:val="left"/>
        <w:rPr>
          <w:rFonts w:ascii="Calibri" w:hAnsi="宋体"/>
          <w:color w:val="auto"/>
          <w:szCs w:val="22"/>
          <w:highlight w:val="none"/>
          <w:u w:val="single"/>
        </w:rPr>
      </w:pPr>
      <w:r>
        <w:rPr>
          <w:rFonts w:hint="eastAsia" w:ascii="Calibri" w:hAnsi="宋体"/>
          <w:color w:val="auto"/>
          <w:szCs w:val="22"/>
          <w:highlight w:val="none"/>
          <w:u w:val="single"/>
        </w:rPr>
        <w:t>材料及设备风险的约定：允许调整的主要材料、设备及风险系数详见《承包人提供主要材料和设备一览表》），调整方法按11.1第2种方式执行，调整部分仅计差额及相应税金。其余材料、设备不予调整。</w:t>
      </w:r>
    </w:p>
    <w:p w14:paraId="567809C8">
      <w:pPr>
        <w:spacing w:line="360" w:lineRule="auto"/>
        <w:ind w:firstLine="420" w:firstLineChars="200"/>
        <w:jc w:val="left"/>
        <w:rPr>
          <w:rFonts w:ascii="Calibri" w:hAnsi="宋体"/>
          <w:color w:val="auto"/>
          <w:szCs w:val="22"/>
          <w:highlight w:val="none"/>
          <w:u w:val="single"/>
        </w:rPr>
      </w:pPr>
      <w:r>
        <w:rPr>
          <w:rFonts w:hint="eastAsia" w:ascii="Calibri" w:hAnsi="宋体"/>
          <w:color w:val="auto"/>
          <w:szCs w:val="22"/>
          <w:highlight w:val="none"/>
          <w:u w:val="single"/>
        </w:rPr>
        <w:t>d.措施项目费调整原则按《</w:t>
      </w:r>
      <w:r>
        <w:rPr>
          <w:rFonts w:hint="eastAsia" w:ascii="Calibri" w:hAnsi="宋体"/>
          <w:color w:val="auto"/>
          <w:szCs w:val="22"/>
          <w:highlight w:val="none"/>
          <w:u w:val="single"/>
          <w:lang w:eastAsia="zh-CN"/>
        </w:rPr>
        <w:t>（</w:t>
      </w:r>
      <w:r>
        <w:rPr>
          <w:rFonts w:hint="eastAsia" w:ascii="Calibri" w:hAnsi="宋体"/>
          <w:color w:val="auto"/>
          <w:szCs w:val="22"/>
          <w:highlight w:val="none"/>
          <w:u w:val="single"/>
        </w:rPr>
        <w:t>GB50500-2013</w:t>
      </w:r>
      <w:r>
        <w:rPr>
          <w:rFonts w:hint="eastAsia" w:ascii="Calibri" w:hAnsi="宋体"/>
          <w:color w:val="auto"/>
          <w:szCs w:val="22"/>
          <w:highlight w:val="none"/>
          <w:u w:val="single"/>
          <w:lang w:eastAsia="zh-CN"/>
        </w:rPr>
        <w:t>）</w:t>
      </w:r>
      <w:r>
        <w:rPr>
          <w:rFonts w:hint="eastAsia" w:ascii="Calibri" w:hAnsi="宋体"/>
          <w:color w:val="auto"/>
          <w:szCs w:val="22"/>
          <w:highlight w:val="none"/>
          <w:u w:val="single"/>
        </w:rPr>
        <w:t>建设工程工程量清单计价规范-广西壮族自治区实施细则》第9.3.2款执行。</w:t>
      </w:r>
    </w:p>
    <w:p w14:paraId="0C8438AB">
      <w:pPr>
        <w:spacing w:line="360" w:lineRule="auto"/>
        <w:ind w:firstLine="420" w:firstLineChars="200"/>
        <w:jc w:val="left"/>
        <w:rPr>
          <w:rFonts w:ascii="Calibri" w:hAnsi="宋体"/>
          <w:color w:val="auto"/>
          <w:szCs w:val="22"/>
          <w:highlight w:val="none"/>
          <w:u w:val="single"/>
        </w:rPr>
      </w:pPr>
      <w:r>
        <w:rPr>
          <w:rFonts w:hint="eastAsia" w:ascii="Calibri" w:hAnsi="宋体"/>
          <w:color w:val="auto"/>
          <w:szCs w:val="22"/>
          <w:highlight w:val="none"/>
          <w:u w:val="single"/>
        </w:rPr>
        <w:t>e.国家和自治区政策性调整有关费用标准的，按文件规定执行。</w:t>
      </w:r>
    </w:p>
    <w:p w14:paraId="4E51B818">
      <w:pPr>
        <w:spacing w:line="360" w:lineRule="auto"/>
        <w:ind w:firstLine="420" w:firstLineChars="200"/>
        <w:jc w:val="left"/>
        <w:rPr>
          <w:rFonts w:hAnsi="宋体"/>
          <w:color w:val="auto"/>
          <w:highlight w:val="none"/>
        </w:rPr>
      </w:pPr>
      <w:r>
        <w:rPr>
          <w:rFonts w:hint="eastAsia" w:ascii="Calibri" w:hAnsi="宋体"/>
          <w:color w:val="auto"/>
          <w:szCs w:val="22"/>
          <w:highlight w:val="none"/>
          <w:u w:val="single"/>
        </w:rPr>
        <w:t>f.无约定的参照我区现行《建设工程工程量清单计价规范》相关规定执行</w:t>
      </w:r>
      <w:r>
        <w:rPr>
          <w:rFonts w:hint="eastAsia" w:hAnsi="宋体" w:cs="宋体"/>
          <w:color w:val="auto"/>
          <w:highlight w:val="none"/>
        </w:rPr>
        <w:t>。</w:t>
      </w:r>
    </w:p>
    <w:p w14:paraId="1B4A7D01">
      <w:pPr>
        <w:spacing w:line="360" w:lineRule="auto"/>
        <w:ind w:firstLine="420" w:firstLineChars="200"/>
        <w:jc w:val="left"/>
        <w:rPr>
          <w:rFonts w:hAnsi="宋体"/>
          <w:color w:val="auto"/>
          <w:highlight w:val="none"/>
        </w:rPr>
      </w:pPr>
      <w:r>
        <w:rPr>
          <w:rFonts w:hint="eastAsia" w:hAnsi="宋体" w:cs="宋体"/>
          <w:color w:val="auto"/>
          <w:highlight w:val="none"/>
        </w:rPr>
        <w:t>（</w:t>
      </w:r>
      <w:r>
        <w:rPr>
          <w:rFonts w:hAnsi="宋体"/>
          <w:color w:val="auto"/>
          <w:highlight w:val="none"/>
        </w:rPr>
        <w:t>2</w:t>
      </w:r>
      <w:r>
        <w:rPr>
          <w:rFonts w:hint="eastAsia" w:hAnsi="宋体" w:cs="宋体"/>
          <w:color w:val="auto"/>
          <w:highlight w:val="none"/>
        </w:rPr>
        <w:t>）总价合同。</w:t>
      </w:r>
    </w:p>
    <w:p w14:paraId="01D8EA39">
      <w:pPr>
        <w:spacing w:line="360" w:lineRule="auto"/>
        <w:ind w:firstLine="420" w:firstLineChars="200"/>
        <w:jc w:val="left"/>
        <w:rPr>
          <w:rFonts w:hAnsi="宋体"/>
          <w:color w:val="auto"/>
          <w:highlight w:val="none"/>
        </w:rPr>
      </w:pPr>
      <w:r>
        <w:rPr>
          <w:rFonts w:hint="eastAsia" w:hAnsi="宋体" w:cs="宋体"/>
          <w:color w:val="auto"/>
          <w:highlight w:val="none"/>
        </w:rPr>
        <w:t>总价包含的风险范围：包含除工程变更、政策性调整、</w:t>
      </w:r>
      <w:r>
        <w:rPr>
          <w:rFonts w:hint="eastAsia" w:hAnsi="宋体" w:cs="宋体"/>
          <w:color w:val="auto"/>
          <w:highlight w:val="none"/>
          <w:u w:val="single"/>
        </w:rPr>
        <w:t>市场价格波动。除工程变更外，结算时不再对招标施工图对应的工程量重新计量</w:t>
      </w:r>
      <w:r>
        <w:rPr>
          <w:rFonts w:hint="eastAsia" w:hAnsi="宋体" w:cs="宋体"/>
          <w:color w:val="auto"/>
          <w:highlight w:val="none"/>
        </w:rPr>
        <w:t>。</w:t>
      </w:r>
    </w:p>
    <w:p w14:paraId="76608604">
      <w:pPr>
        <w:spacing w:line="360" w:lineRule="auto"/>
        <w:ind w:firstLine="420" w:firstLineChars="200"/>
        <w:jc w:val="left"/>
        <w:rPr>
          <w:rFonts w:cs="宋体"/>
          <w:color w:val="auto"/>
          <w:highlight w:val="none"/>
        </w:rPr>
      </w:pPr>
      <w:r>
        <w:rPr>
          <w:rFonts w:hint="eastAsia" w:cs="宋体"/>
          <w:color w:val="auto"/>
          <w:highlight w:val="none"/>
        </w:rPr>
        <w:t>风险范围以外合同价格的调整方法：</w:t>
      </w:r>
    </w:p>
    <w:p w14:paraId="7FE0738D">
      <w:pPr>
        <w:spacing w:line="360" w:lineRule="auto"/>
        <w:ind w:firstLine="420" w:firstLineChars="200"/>
        <w:jc w:val="left"/>
        <w:rPr>
          <w:rFonts w:hAnsi="宋体" w:cs="宋体"/>
          <w:color w:val="auto"/>
          <w:highlight w:val="none"/>
        </w:rPr>
      </w:pPr>
      <w:r>
        <w:rPr>
          <w:rFonts w:hint="eastAsia" w:ascii="宋体" w:hAnsi="宋体" w:cs="宋体"/>
          <w:color w:val="auto"/>
          <w:highlight w:val="none"/>
        </w:rPr>
        <w:t>①</w:t>
      </w:r>
      <w:r>
        <w:rPr>
          <w:rFonts w:hint="eastAsia" w:hAnsi="宋体" w:cs="宋体"/>
          <w:color w:val="auto"/>
          <w:highlight w:val="none"/>
        </w:rPr>
        <w:t>工程变更：按</w:t>
      </w:r>
      <w:r>
        <w:rPr>
          <w:rFonts w:hAnsi="宋体" w:cs="宋体"/>
          <w:color w:val="auto"/>
          <w:highlight w:val="none"/>
        </w:rPr>
        <w:t>10.4.1</w:t>
      </w:r>
      <w:r>
        <w:rPr>
          <w:rFonts w:hint="eastAsia" w:hAnsi="宋体" w:cs="宋体"/>
          <w:color w:val="auto"/>
          <w:highlight w:val="none"/>
        </w:rPr>
        <w:t>变更估价原则的约定调整。</w:t>
      </w:r>
    </w:p>
    <w:p w14:paraId="69BC108A">
      <w:pPr>
        <w:spacing w:line="360" w:lineRule="auto"/>
        <w:ind w:firstLine="420" w:firstLineChars="200"/>
        <w:jc w:val="left"/>
        <w:rPr>
          <w:rFonts w:hAnsi="宋体" w:cs="宋体"/>
          <w:color w:val="auto"/>
          <w:highlight w:val="none"/>
        </w:rPr>
      </w:pPr>
      <w:r>
        <w:rPr>
          <w:rFonts w:hint="eastAsia" w:hAnsi="宋体" w:cs="宋体"/>
          <w:color w:val="auto"/>
          <w:highlight w:val="none"/>
        </w:rPr>
        <w:t>②政策性调整：</w:t>
      </w:r>
      <w:r>
        <w:rPr>
          <w:rFonts w:hint="eastAsia" w:ascii="仿宋_GB2312" w:hAnsi="宋体"/>
          <w:color w:val="auto"/>
          <w:highlight w:val="none"/>
        </w:rPr>
        <w:t>按国</w:t>
      </w:r>
      <w:r>
        <w:rPr>
          <w:rFonts w:ascii="仿宋_GB2312" w:hAnsi="宋体"/>
          <w:color w:val="auto"/>
          <w:highlight w:val="none"/>
        </w:rPr>
        <w:t>家、</w:t>
      </w:r>
      <w:r>
        <w:rPr>
          <w:rFonts w:hint="eastAsia" w:ascii="仿宋_GB2312" w:hAnsi="宋体"/>
          <w:color w:val="auto"/>
          <w:highlight w:val="none"/>
        </w:rPr>
        <w:t>自治区住房城乡建设厅或工程所在地市级住房城乡建设主管部门颁布的文件执行</w:t>
      </w:r>
      <w:r>
        <w:rPr>
          <w:rFonts w:hint="eastAsia" w:hAnsi="宋体" w:cs="宋体"/>
          <w:color w:val="auto"/>
          <w:highlight w:val="none"/>
        </w:rPr>
        <w:t>。</w:t>
      </w:r>
    </w:p>
    <w:p w14:paraId="5627889E">
      <w:pPr>
        <w:spacing w:line="360" w:lineRule="auto"/>
        <w:ind w:firstLine="420" w:firstLineChars="200"/>
        <w:jc w:val="left"/>
        <w:rPr>
          <w:rFonts w:hAnsi="宋体" w:cs="宋体"/>
          <w:color w:val="auto"/>
          <w:highlight w:val="none"/>
        </w:rPr>
      </w:pPr>
      <w:r>
        <w:rPr>
          <w:rFonts w:hint="eastAsia" w:hAnsi="宋体" w:cs="宋体"/>
          <w:color w:val="auto"/>
          <w:highlight w:val="none"/>
        </w:rPr>
        <w:t>③市场波动引起的调整：按</w:t>
      </w:r>
      <w:r>
        <w:rPr>
          <w:rFonts w:hAnsi="宋体" w:cs="宋体"/>
          <w:color w:val="auto"/>
          <w:highlight w:val="none"/>
        </w:rPr>
        <w:t>11.1</w:t>
      </w:r>
      <w:r>
        <w:rPr>
          <w:rFonts w:hint="eastAsia" w:hAnsi="宋体" w:cs="宋体"/>
          <w:color w:val="auto"/>
          <w:highlight w:val="none"/>
        </w:rPr>
        <w:t>的约定调整。</w:t>
      </w:r>
    </w:p>
    <w:p w14:paraId="01310D7E">
      <w:pPr>
        <w:spacing w:line="360" w:lineRule="auto"/>
        <w:ind w:firstLine="420" w:firstLineChars="200"/>
        <w:jc w:val="left"/>
        <w:rPr>
          <w:rFonts w:hAnsi="宋体"/>
          <w:color w:val="auto"/>
          <w:highlight w:val="none"/>
        </w:rPr>
      </w:pPr>
      <w:r>
        <w:rPr>
          <w:rFonts w:hAnsi="宋体" w:cs="宋体"/>
          <w:color w:val="auto"/>
          <w:highlight w:val="none"/>
        </w:rPr>
        <w:fldChar w:fldCharType="begin"/>
      </w:r>
      <w:r>
        <w:rPr>
          <w:rFonts w:hint="eastAsia" w:hAnsi="宋体" w:cs="宋体"/>
          <w:color w:val="auto"/>
          <w:highlight w:val="none"/>
        </w:rPr>
        <w:instrText xml:space="preserve">= 4 \* GB3</w:instrText>
      </w:r>
      <w:r>
        <w:rPr>
          <w:rFonts w:hAnsi="宋体" w:cs="宋体"/>
          <w:color w:val="auto"/>
          <w:highlight w:val="none"/>
        </w:rPr>
        <w:fldChar w:fldCharType="separate"/>
      </w:r>
      <w:r>
        <w:rPr>
          <w:rFonts w:hint="eastAsia" w:hAnsi="宋体" w:cs="宋体"/>
          <w:color w:val="auto"/>
          <w:highlight w:val="none"/>
        </w:rPr>
        <w:t>④</w:t>
      </w:r>
      <w:r>
        <w:rPr>
          <w:rFonts w:hAnsi="宋体" w:cs="宋体"/>
          <w:color w:val="auto"/>
          <w:highlight w:val="none"/>
        </w:rPr>
        <w:fldChar w:fldCharType="end"/>
      </w:r>
      <w:r>
        <w:rPr>
          <w:rFonts w:hint="eastAsia" w:hAnsi="宋体" w:cs="宋体"/>
          <w:color w:val="auto"/>
          <w:highlight w:val="none"/>
        </w:rPr>
        <w:t>其它：</w:t>
      </w:r>
      <w:r>
        <w:rPr>
          <w:rFonts w:hint="eastAsia" w:hAnsi="宋体"/>
          <w:color w:val="auto"/>
          <w:highlight w:val="none"/>
          <w:u w:val="single"/>
        </w:rPr>
        <w:t>无</w:t>
      </w:r>
      <w:r>
        <w:rPr>
          <w:rFonts w:hint="eastAsia" w:hAnsi="宋体" w:cs="宋体"/>
          <w:color w:val="auto"/>
          <w:highlight w:val="none"/>
        </w:rPr>
        <w:t>。</w:t>
      </w:r>
    </w:p>
    <w:p w14:paraId="36CB3AAC">
      <w:pPr>
        <w:spacing w:line="360" w:lineRule="auto"/>
        <w:ind w:firstLine="420" w:firstLineChars="200"/>
        <w:jc w:val="left"/>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）其他价格方式：</w:t>
      </w:r>
      <w:r>
        <w:rPr>
          <w:rFonts w:hint="eastAsia" w:hAnsi="宋体"/>
          <w:color w:val="auto"/>
          <w:highlight w:val="none"/>
          <w:u w:val="single"/>
        </w:rPr>
        <w:t>/</w:t>
      </w:r>
      <w:r>
        <w:rPr>
          <w:rFonts w:hint="eastAsia" w:cs="宋体"/>
          <w:color w:val="auto"/>
          <w:highlight w:val="none"/>
        </w:rPr>
        <w:t>。</w:t>
      </w:r>
    </w:p>
    <w:p w14:paraId="26737D2F">
      <w:pPr>
        <w:keepNext/>
        <w:keepLines/>
        <w:spacing w:line="600" w:lineRule="exact"/>
        <w:ind w:firstLine="643" w:firstLineChars="200"/>
        <w:outlineLvl w:val="2"/>
        <w:rPr>
          <w:b/>
          <w:bCs/>
          <w:color w:val="auto"/>
          <w:sz w:val="32"/>
          <w:szCs w:val="32"/>
          <w:highlight w:val="none"/>
        </w:rPr>
      </w:pPr>
      <w:bookmarkStart w:id="1011" w:name="_Toc1338560546"/>
      <w:bookmarkStart w:id="1012" w:name="_Toc1681900246"/>
      <w:bookmarkStart w:id="1013" w:name="_Toc78449839"/>
      <w:bookmarkStart w:id="1014" w:name="_Toc407135253"/>
      <w:r>
        <w:rPr>
          <w:b/>
          <w:bCs/>
          <w:color w:val="auto"/>
          <w:sz w:val="32"/>
          <w:szCs w:val="32"/>
          <w:highlight w:val="none"/>
        </w:rPr>
        <w:t xml:space="preserve">12.2 </w:t>
      </w:r>
      <w:r>
        <w:rPr>
          <w:rFonts w:hint="eastAsia" w:hAnsi="宋体" w:cs="黑体"/>
          <w:b/>
          <w:bCs/>
          <w:color w:val="auto"/>
          <w:sz w:val="32"/>
          <w:szCs w:val="32"/>
          <w:highlight w:val="none"/>
        </w:rPr>
        <w:t>预付款</w:t>
      </w:r>
      <w:bookmarkEnd w:id="992"/>
      <w:bookmarkEnd w:id="993"/>
      <w:bookmarkEnd w:id="994"/>
      <w:bookmarkEnd w:id="1011"/>
      <w:bookmarkEnd w:id="1012"/>
      <w:bookmarkEnd w:id="1013"/>
      <w:bookmarkEnd w:id="1014"/>
    </w:p>
    <w:bookmarkEnd w:id="995"/>
    <w:bookmarkEnd w:id="996"/>
    <w:bookmarkEnd w:id="997"/>
    <w:bookmarkEnd w:id="998"/>
    <w:bookmarkEnd w:id="999"/>
    <w:bookmarkEnd w:id="1000"/>
    <w:p w14:paraId="7A0F5FE2">
      <w:pPr>
        <w:spacing w:line="360" w:lineRule="auto"/>
        <w:ind w:firstLine="420" w:firstLineChars="200"/>
        <w:jc w:val="left"/>
        <w:rPr>
          <w:color w:val="auto"/>
          <w:highlight w:val="none"/>
        </w:rPr>
      </w:pPr>
      <w:r>
        <w:rPr>
          <w:color w:val="auto"/>
          <w:highlight w:val="none"/>
        </w:rPr>
        <w:t xml:space="preserve">12.2.1 </w:t>
      </w:r>
      <w:r>
        <w:rPr>
          <w:rFonts w:hint="eastAsia" w:hAnsi="宋体" w:cs="宋体"/>
          <w:color w:val="auto"/>
          <w:highlight w:val="none"/>
        </w:rPr>
        <w:t>预付款的支付</w:t>
      </w:r>
    </w:p>
    <w:p w14:paraId="60B94A52">
      <w:pPr>
        <w:spacing w:line="360" w:lineRule="auto"/>
        <w:ind w:firstLine="420" w:firstLineChars="200"/>
        <w:jc w:val="left"/>
        <w:rPr>
          <w:color w:val="auto"/>
          <w:highlight w:val="none"/>
        </w:rPr>
      </w:pPr>
      <w:r>
        <w:rPr>
          <w:rFonts w:hint="eastAsia" w:hAnsi="宋体" w:cs="宋体"/>
          <w:color w:val="auto"/>
          <w:highlight w:val="none"/>
        </w:rPr>
        <w:t>预付款支付比例或金额：</w:t>
      </w:r>
      <w:r>
        <w:rPr>
          <w:rFonts w:hint="eastAsia" w:ascii="宋体" w:hAnsi="宋体"/>
          <w:color w:val="auto"/>
          <w:szCs w:val="21"/>
          <w:highlight w:val="none"/>
          <w:u w:val="single"/>
        </w:rPr>
        <w:t>合同价款（扣除暂列金额）的</w:t>
      </w:r>
      <w:r>
        <w:rPr>
          <w:rFonts w:hint="eastAsia" w:ascii="宋体" w:hAnsi="宋体"/>
          <w:color w:val="auto"/>
          <w:szCs w:val="21"/>
          <w:highlight w:val="none"/>
          <w:u w:val="single"/>
          <w:lang w:val="en-US" w:eastAsia="zh-CN"/>
        </w:rPr>
        <w:t>30</w:t>
      </w:r>
      <w:r>
        <w:rPr>
          <w:rFonts w:hint="eastAsia" w:ascii="宋体" w:hAnsi="宋体"/>
          <w:color w:val="auto"/>
          <w:szCs w:val="21"/>
          <w:highlight w:val="none"/>
          <w:u w:val="single"/>
        </w:rPr>
        <w:t>%</w:t>
      </w:r>
    </w:p>
    <w:p w14:paraId="1E4FF1DB">
      <w:pPr>
        <w:spacing w:line="360" w:lineRule="auto"/>
        <w:ind w:firstLine="420" w:firstLineChars="200"/>
        <w:jc w:val="left"/>
        <w:rPr>
          <w:color w:val="auto"/>
          <w:highlight w:val="none"/>
        </w:rPr>
      </w:pPr>
      <w:r>
        <w:rPr>
          <w:rFonts w:hint="eastAsia" w:hAnsi="宋体" w:cs="宋体"/>
          <w:color w:val="auto"/>
          <w:highlight w:val="none"/>
        </w:rPr>
        <w:t>预付款支付期限：</w:t>
      </w:r>
      <w:r>
        <w:rPr>
          <w:rFonts w:hint="eastAsia"/>
          <w:color w:val="auto"/>
          <w:highlight w:val="none"/>
          <w:u w:val="single"/>
        </w:rPr>
        <w:t>在项目工程进度产值达到合同总价30%后的下一期开始扣回，每次扣除预付款的50%，扣完为止直到累计支付签约合同价的 80%前扣清。</w:t>
      </w:r>
    </w:p>
    <w:p w14:paraId="67E41911">
      <w:pPr>
        <w:spacing w:line="360" w:lineRule="auto"/>
        <w:ind w:firstLine="420" w:firstLineChars="200"/>
        <w:jc w:val="left"/>
        <w:rPr>
          <w:color w:val="auto"/>
          <w:highlight w:val="none"/>
        </w:rPr>
      </w:pPr>
      <w:r>
        <w:rPr>
          <w:rFonts w:hint="eastAsia" w:hAnsi="宋体" w:cs="宋体"/>
          <w:color w:val="auto"/>
          <w:highlight w:val="none"/>
        </w:rPr>
        <w:t>预付款扣回的方式：/。</w:t>
      </w:r>
    </w:p>
    <w:p w14:paraId="477E8711">
      <w:pPr>
        <w:spacing w:line="360" w:lineRule="auto"/>
        <w:ind w:firstLine="420" w:firstLineChars="200"/>
        <w:jc w:val="left"/>
        <w:rPr>
          <w:color w:val="auto"/>
          <w:highlight w:val="none"/>
        </w:rPr>
      </w:pPr>
      <w:r>
        <w:rPr>
          <w:color w:val="auto"/>
          <w:highlight w:val="none"/>
        </w:rPr>
        <w:t xml:space="preserve">12.2.2 </w:t>
      </w:r>
      <w:r>
        <w:rPr>
          <w:rFonts w:hint="eastAsia" w:hAnsi="宋体" w:cs="宋体"/>
          <w:color w:val="auto"/>
          <w:highlight w:val="none"/>
        </w:rPr>
        <w:t>预付款担保</w:t>
      </w:r>
    </w:p>
    <w:p w14:paraId="256BABBD">
      <w:pPr>
        <w:spacing w:line="360" w:lineRule="auto"/>
        <w:ind w:firstLine="420" w:firstLineChars="200"/>
        <w:jc w:val="left"/>
        <w:rPr>
          <w:color w:val="auto"/>
          <w:highlight w:val="none"/>
        </w:rPr>
      </w:pPr>
      <w:r>
        <w:rPr>
          <w:rFonts w:hint="eastAsia" w:hAnsi="宋体" w:cs="宋体"/>
          <w:color w:val="auto"/>
          <w:highlight w:val="none"/>
        </w:rPr>
        <w:t>承包人提交预付款担保的期限：</w:t>
      </w:r>
      <w:r>
        <w:rPr>
          <w:rFonts w:hint="eastAsia"/>
          <w:color w:val="auto"/>
          <w:highlight w:val="none"/>
          <w:u w:val="single"/>
        </w:rPr>
        <w:t>/</w:t>
      </w:r>
      <w:r>
        <w:rPr>
          <w:rFonts w:hint="eastAsia" w:hAnsi="宋体" w:cs="宋体"/>
          <w:color w:val="auto"/>
          <w:highlight w:val="none"/>
        </w:rPr>
        <w:t>。</w:t>
      </w:r>
    </w:p>
    <w:p w14:paraId="201F7E6B">
      <w:pPr>
        <w:spacing w:line="360" w:lineRule="auto"/>
        <w:ind w:firstLine="420" w:firstLineChars="200"/>
        <w:jc w:val="left"/>
        <w:rPr>
          <w:rFonts w:hAnsi="宋体" w:cs="宋体"/>
          <w:color w:val="auto"/>
          <w:highlight w:val="none"/>
        </w:rPr>
      </w:pPr>
      <w:r>
        <w:rPr>
          <w:rFonts w:hint="eastAsia" w:hAnsi="宋体" w:cs="宋体"/>
          <w:color w:val="auto"/>
          <w:highlight w:val="none"/>
        </w:rPr>
        <w:t>预付款担保的形式为：</w:t>
      </w:r>
      <w:r>
        <w:rPr>
          <w:rFonts w:hint="eastAsia"/>
          <w:color w:val="auto"/>
          <w:highlight w:val="none"/>
        </w:rPr>
        <w:t>可以是</w:t>
      </w:r>
      <w:r>
        <w:rPr>
          <w:rFonts w:hint="eastAsia" w:hAnsi="宋体" w:cs="宋体"/>
          <w:color w:val="auto"/>
          <w:highlight w:val="none"/>
        </w:rPr>
        <w:t>银行转账、电汇或网上支付、保函（银行保函、电子保函、保证保险保函、工程担保保函）等形式。工程担保保证人应将出具的保函相关信息录入“广西建筑市场监管云”平台（http://gxjzsc.caihcloud.com），以实现保函查询及验真功能。</w:t>
      </w:r>
    </w:p>
    <w:bookmarkEnd w:id="1001"/>
    <w:bookmarkEnd w:id="1002"/>
    <w:bookmarkEnd w:id="1003"/>
    <w:bookmarkEnd w:id="1004"/>
    <w:bookmarkEnd w:id="1005"/>
    <w:bookmarkEnd w:id="1006"/>
    <w:bookmarkEnd w:id="1007"/>
    <w:bookmarkEnd w:id="1008"/>
    <w:bookmarkEnd w:id="1009"/>
    <w:bookmarkEnd w:id="1010"/>
    <w:p w14:paraId="42D34A37">
      <w:pPr>
        <w:keepNext/>
        <w:keepLines/>
        <w:spacing w:line="600" w:lineRule="exact"/>
        <w:ind w:firstLine="643" w:firstLineChars="200"/>
        <w:outlineLvl w:val="2"/>
        <w:rPr>
          <w:b/>
          <w:bCs/>
          <w:color w:val="auto"/>
          <w:sz w:val="32"/>
          <w:szCs w:val="32"/>
          <w:highlight w:val="none"/>
        </w:rPr>
      </w:pPr>
      <w:bookmarkStart w:id="1015" w:name="_Toc1494831447"/>
      <w:bookmarkStart w:id="1016" w:name="_Toc373478398"/>
      <w:bookmarkStart w:id="1017" w:name="_Toc373227751"/>
      <w:bookmarkStart w:id="1018" w:name="_Toc389065316"/>
      <w:bookmarkStart w:id="1019" w:name="_Toc78449840"/>
      <w:bookmarkStart w:id="1020" w:name="_Toc1307224940"/>
      <w:bookmarkStart w:id="1021" w:name="_Toc407135254"/>
      <w:r>
        <w:rPr>
          <w:b/>
          <w:bCs/>
          <w:color w:val="auto"/>
          <w:sz w:val="32"/>
          <w:szCs w:val="32"/>
          <w:highlight w:val="none"/>
        </w:rPr>
        <w:t xml:space="preserve">12.3 </w:t>
      </w:r>
      <w:r>
        <w:rPr>
          <w:rFonts w:hint="eastAsia" w:hAnsi="宋体" w:cs="黑体"/>
          <w:b/>
          <w:bCs/>
          <w:color w:val="auto"/>
          <w:sz w:val="32"/>
          <w:szCs w:val="32"/>
          <w:highlight w:val="none"/>
        </w:rPr>
        <w:t>计量</w:t>
      </w:r>
      <w:bookmarkEnd w:id="1015"/>
      <w:bookmarkEnd w:id="1016"/>
      <w:bookmarkEnd w:id="1017"/>
      <w:bookmarkEnd w:id="1018"/>
      <w:bookmarkEnd w:id="1019"/>
      <w:bookmarkEnd w:id="1020"/>
      <w:bookmarkEnd w:id="1021"/>
    </w:p>
    <w:p w14:paraId="3780EB77">
      <w:pPr>
        <w:spacing w:line="360" w:lineRule="auto"/>
        <w:ind w:firstLine="420" w:firstLineChars="200"/>
        <w:jc w:val="left"/>
        <w:rPr>
          <w:color w:val="auto"/>
          <w:highlight w:val="none"/>
        </w:rPr>
      </w:pPr>
      <w:r>
        <w:rPr>
          <w:color w:val="auto"/>
          <w:highlight w:val="none"/>
        </w:rPr>
        <w:t xml:space="preserve">12.3.1 </w:t>
      </w:r>
      <w:r>
        <w:rPr>
          <w:rFonts w:hint="eastAsia" w:hAnsi="宋体" w:cs="宋体"/>
          <w:color w:val="auto"/>
          <w:highlight w:val="none"/>
        </w:rPr>
        <w:t>计量原则</w:t>
      </w:r>
    </w:p>
    <w:p w14:paraId="27AFB14E">
      <w:pPr>
        <w:spacing w:line="360" w:lineRule="auto"/>
        <w:ind w:firstLine="420" w:firstLineChars="200"/>
        <w:jc w:val="left"/>
        <w:rPr>
          <w:color w:val="auto"/>
          <w:highlight w:val="none"/>
        </w:rPr>
      </w:pPr>
      <w:r>
        <w:rPr>
          <w:rFonts w:hint="eastAsia" w:hAnsi="宋体" w:cs="宋体"/>
          <w:color w:val="auto"/>
          <w:highlight w:val="none"/>
        </w:rPr>
        <w:t>工程量计算规则：</w:t>
      </w:r>
      <w:r>
        <w:rPr>
          <w:rFonts w:hint="eastAsia" w:hAnsi="宋体" w:cs="宋体"/>
          <w:color w:val="auto"/>
          <w:highlight w:val="none"/>
          <w:u w:val="single"/>
        </w:rPr>
        <w:t>工程的计量均以《建设工程工程量清单计价规范》（</w:t>
      </w:r>
      <w:r>
        <w:rPr>
          <w:color w:val="auto"/>
          <w:highlight w:val="none"/>
          <w:u w:val="single"/>
        </w:rPr>
        <w:t>GB50500</w:t>
      </w:r>
      <w:r>
        <w:rPr>
          <w:rFonts w:hint="eastAsia" w:hAnsi="宋体" w:cs="宋体"/>
          <w:color w:val="auto"/>
          <w:highlight w:val="none"/>
          <w:u w:val="single"/>
        </w:rPr>
        <w:t>－</w:t>
      </w:r>
      <w:r>
        <w:rPr>
          <w:color w:val="auto"/>
          <w:highlight w:val="none"/>
          <w:u w:val="single"/>
        </w:rPr>
        <w:t>2013</w:t>
      </w:r>
      <w:r>
        <w:rPr>
          <w:rFonts w:hint="eastAsia" w:hAnsi="宋体" w:cs="宋体"/>
          <w:color w:val="auto"/>
          <w:highlight w:val="none"/>
          <w:u w:val="single"/>
        </w:rPr>
        <w:t>）及广西壮族自治区实施细则、《建设工程工程量清单计算规范》（</w:t>
      </w:r>
      <w:r>
        <w:rPr>
          <w:color w:val="auto"/>
          <w:highlight w:val="none"/>
          <w:u w:val="single"/>
        </w:rPr>
        <w:t>GB50854~50862</w:t>
      </w:r>
      <w:r>
        <w:rPr>
          <w:rFonts w:hint="eastAsia" w:hAnsi="宋体" w:cs="宋体"/>
          <w:color w:val="auto"/>
          <w:highlight w:val="none"/>
          <w:u w:val="single"/>
        </w:rPr>
        <w:t>－</w:t>
      </w:r>
      <w:r>
        <w:rPr>
          <w:color w:val="auto"/>
          <w:highlight w:val="none"/>
          <w:u w:val="single"/>
        </w:rPr>
        <w:t>2013</w:t>
      </w:r>
      <w:r>
        <w:rPr>
          <w:rFonts w:hint="eastAsia" w:hAnsi="宋体" w:cs="宋体"/>
          <w:color w:val="auto"/>
          <w:highlight w:val="none"/>
          <w:u w:val="single"/>
        </w:rPr>
        <w:t>）及广西实施细则、本工程补充项目清单为准。</w:t>
      </w:r>
    </w:p>
    <w:p w14:paraId="45957858">
      <w:pPr>
        <w:spacing w:line="360" w:lineRule="auto"/>
        <w:ind w:firstLine="420" w:firstLineChars="200"/>
        <w:jc w:val="left"/>
        <w:rPr>
          <w:color w:val="auto"/>
          <w:highlight w:val="none"/>
        </w:rPr>
      </w:pPr>
      <w:r>
        <w:rPr>
          <w:color w:val="auto"/>
          <w:highlight w:val="none"/>
        </w:rPr>
        <w:t xml:space="preserve">12.3.2 </w:t>
      </w:r>
      <w:r>
        <w:rPr>
          <w:rFonts w:hint="eastAsia" w:hAnsi="宋体" w:cs="宋体"/>
          <w:color w:val="auto"/>
          <w:highlight w:val="none"/>
        </w:rPr>
        <w:t>计量周期</w:t>
      </w:r>
    </w:p>
    <w:p w14:paraId="0EDA4783">
      <w:pPr>
        <w:spacing w:line="360" w:lineRule="auto"/>
        <w:ind w:firstLine="420" w:firstLineChars="200"/>
        <w:jc w:val="left"/>
        <w:rPr>
          <w:color w:val="auto"/>
          <w:highlight w:val="none"/>
        </w:rPr>
      </w:pPr>
      <w:r>
        <w:rPr>
          <w:rFonts w:hint="eastAsia" w:hAnsi="宋体" w:cs="宋体"/>
          <w:color w:val="auto"/>
          <w:highlight w:val="none"/>
        </w:rPr>
        <w:t>关于计量周期的约定：</w:t>
      </w:r>
      <w:r>
        <w:rPr>
          <w:rFonts w:hint="eastAsia" w:hAnsi="宋体" w:cs="宋体"/>
          <w:color w:val="auto"/>
          <w:highlight w:val="none"/>
          <w:u w:val="single"/>
        </w:rPr>
        <w:t>每月</w:t>
      </w:r>
      <w:r>
        <w:rPr>
          <w:color w:val="auto"/>
          <w:highlight w:val="none"/>
          <w:u w:val="single"/>
        </w:rPr>
        <w:t>25</w:t>
      </w:r>
      <w:r>
        <w:rPr>
          <w:rFonts w:hint="eastAsia" w:hAnsi="宋体" w:cs="宋体"/>
          <w:color w:val="auto"/>
          <w:highlight w:val="none"/>
          <w:u w:val="single"/>
        </w:rPr>
        <w:t>日前</w:t>
      </w:r>
      <w:r>
        <w:rPr>
          <w:rFonts w:hint="eastAsia" w:hAnsi="宋体" w:cs="宋体"/>
          <w:color w:val="auto"/>
          <w:highlight w:val="none"/>
        </w:rPr>
        <w:t>。</w:t>
      </w:r>
    </w:p>
    <w:p w14:paraId="77E7CACE">
      <w:pPr>
        <w:spacing w:line="360" w:lineRule="auto"/>
        <w:ind w:firstLine="420" w:firstLineChars="200"/>
        <w:jc w:val="left"/>
        <w:outlineLvl w:val="0"/>
        <w:rPr>
          <w:color w:val="auto"/>
          <w:highlight w:val="none"/>
        </w:rPr>
      </w:pPr>
      <w:r>
        <w:rPr>
          <w:color w:val="auto"/>
          <w:highlight w:val="none"/>
        </w:rPr>
        <w:t xml:space="preserve">12.3.3 </w:t>
      </w:r>
      <w:r>
        <w:rPr>
          <w:rFonts w:hint="eastAsia" w:hAnsi="宋体" w:cs="宋体"/>
          <w:color w:val="auto"/>
          <w:highlight w:val="none"/>
        </w:rPr>
        <w:t>单价合同的计量</w:t>
      </w:r>
    </w:p>
    <w:p w14:paraId="519C37B4">
      <w:pPr>
        <w:spacing w:line="360" w:lineRule="auto"/>
        <w:ind w:firstLine="420" w:firstLineChars="200"/>
        <w:jc w:val="left"/>
        <w:rPr>
          <w:color w:val="auto"/>
          <w:highlight w:val="none"/>
        </w:rPr>
      </w:pPr>
      <w:r>
        <w:rPr>
          <w:rFonts w:hint="eastAsia" w:hAnsi="宋体" w:cs="宋体"/>
          <w:color w:val="auto"/>
          <w:highlight w:val="none"/>
        </w:rPr>
        <w:t>关于单价合同计量的约定：</w:t>
      </w:r>
    </w:p>
    <w:p w14:paraId="3A800776">
      <w:pPr>
        <w:spacing w:line="360" w:lineRule="auto"/>
        <w:ind w:firstLine="441" w:firstLineChars="210"/>
        <w:rPr>
          <w:color w:val="auto"/>
          <w:highlight w:val="none"/>
        </w:rPr>
      </w:pPr>
      <w:r>
        <w:rPr>
          <w:color w:val="auto"/>
          <w:highlight w:val="none"/>
        </w:rPr>
        <w:t xml:space="preserve">(1) </w:t>
      </w:r>
      <w:r>
        <w:rPr>
          <w:rFonts w:hint="eastAsia" w:hAnsi="宋体" w:cs="宋体"/>
          <w:color w:val="auto"/>
          <w:highlight w:val="none"/>
        </w:rPr>
        <w:t>工程量清单所列的工程量，不能作为承包人按合同履行其责任依据，实际施工中发生的工程量增加或减少并不影响承包人履行合同的责任，工程结算以完成的实际工程量为准。</w:t>
      </w:r>
    </w:p>
    <w:p w14:paraId="19AC06AF">
      <w:pPr>
        <w:spacing w:line="360" w:lineRule="auto"/>
        <w:ind w:firstLine="441" w:firstLineChars="210"/>
        <w:rPr>
          <w:color w:val="auto"/>
          <w:highlight w:val="none"/>
        </w:rPr>
      </w:pPr>
      <w:r>
        <w:rPr>
          <w:color w:val="auto"/>
          <w:highlight w:val="none"/>
        </w:rPr>
        <w:t xml:space="preserve">(2) </w:t>
      </w:r>
      <w:r>
        <w:rPr>
          <w:rFonts w:hint="eastAsia" w:hAnsi="宋体" w:cs="宋体"/>
          <w:color w:val="auto"/>
          <w:highlight w:val="none"/>
        </w:rPr>
        <w:t>除另有规定外，工程师应按照合同通过计量来核实确定已完成的工程量和价款，承包人应得到该价款扣除保留金后的金额。当工程师要对已完工的工程量进行计量时，应适时地通知承包人参加。</w:t>
      </w:r>
    </w:p>
    <w:p w14:paraId="3DAA9A0B">
      <w:pPr>
        <w:spacing w:line="360" w:lineRule="auto"/>
        <w:ind w:firstLine="420" w:firstLineChars="200"/>
        <w:jc w:val="left"/>
        <w:rPr>
          <w:color w:val="auto"/>
          <w:highlight w:val="none"/>
        </w:rPr>
      </w:pPr>
      <w:r>
        <w:rPr>
          <w:color w:val="auto"/>
          <w:highlight w:val="none"/>
        </w:rPr>
        <w:t xml:space="preserve">12.3.4 </w:t>
      </w:r>
      <w:r>
        <w:rPr>
          <w:rFonts w:hint="eastAsia" w:hAnsi="宋体" w:cs="宋体"/>
          <w:color w:val="auto"/>
          <w:highlight w:val="none"/>
        </w:rPr>
        <w:t>总价合同的计量</w:t>
      </w:r>
    </w:p>
    <w:p w14:paraId="72C9B90A">
      <w:pPr>
        <w:spacing w:line="360" w:lineRule="auto"/>
        <w:ind w:firstLine="420" w:firstLineChars="200"/>
        <w:jc w:val="left"/>
        <w:rPr>
          <w:rFonts w:cs="宋体"/>
          <w:color w:val="auto"/>
          <w:highlight w:val="none"/>
        </w:rPr>
      </w:pPr>
      <w:r>
        <w:rPr>
          <w:rFonts w:hint="eastAsia" w:ascii="Calibri" w:hAnsi="宋体" w:cs="宋体"/>
          <w:color w:val="auto"/>
          <w:highlight w:val="none"/>
        </w:rPr>
        <w:t>（1）总价合同计量约定：</w:t>
      </w:r>
      <w:r>
        <w:rPr>
          <w:rFonts w:hint="eastAsia" w:hAnsi="宋体" w:cs="宋体"/>
          <w:color w:val="auto"/>
          <w:highlight w:val="none"/>
        </w:rPr>
        <w:t>进度款按支付分解表支付</w:t>
      </w:r>
      <w:r>
        <w:rPr>
          <w:rFonts w:hint="eastAsia" w:ascii="宋体" w:hAnsi="宋体" w:cs="宋体"/>
          <w:color w:val="auto"/>
          <w:kern w:val="0"/>
          <w:highlight w:val="none"/>
        </w:rPr>
        <w:t>，</w:t>
      </w:r>
      <w:r>
        <w:rPr>
          <w:rFonts w:hint="eastAsia" w:cs="宋体"/>
          <w:color w:val="auto"/>
          <w:highlight w:val="none"/>
        </w:rPr>
        <w:t>支付分解表在招标完成后签合同之前制定，具体详见本专用合同条款12.4.6。</w:t>
      </w:r>
    </w:p>
    <w:p w14:paraId="6921E151">
      <w:pPr>
        <w:spacing w:line="360" w:lineRule="auto"/>
        <w:ind w:firstLine="420" w:firstLineChars="200"/>
        <w:jc w:val="left"/>
        <w:rPr>
          <w:color w:val="auto"/>
          <w:highlight w:val="none"/>
        </w:rPr>
      </w:pPr>
      <w:r>
        <w:rPr>
          <w:color w:val="auto"/>
          <w:highlight w:val="none"/>
        </w:rPr>
        <w:t xml:space="preserve">12.3.6 </w:t>
      </w:r>
      <w:r>
        <w:rPr>
          <w:rFonts w:hint="eastAsia" w:hAnsi="宋体" w:cs="宋体"/>
          <w:color w:val="auto"/>
          <w:highlight w:val="none"/>
        </w:rPr>
        <w:t>其他价格形式合同的计量</w:t>
      </w:r>
    </w:p>
    <w:p w14:paraId="3BA5C6DB">
      <w:pPr>
        <w:spacing w:line="360" w:lineRule="auto"/>
        <w:ind w:firstLine="420" w:firstLineChars="200"/>
        <w:jc w:val="left"/>
        <w:rPr>
          <w:color w:val="auto"/>
          <w:highlight w:val="none"/>
          <w:u w:val="single"/>
        </w:rPr>
      </w:pPr>
      <w:r>
        <w:rPr>
          <w:rFonts w:hint="eastAsia" w:hAnsi="宋体" w:cs="宋体"/>
          <w:color w:val="auto"/>
          <w:highlight w:val="none"/>
        </w:rPr>
        <w:t>其他价格形式的计量方式和程序：</w:t>
      </w:r>
      <w:r>
        <w:rPr>
          <w:rFonts w:hint="eastAsia"/>
          <w:color w:val="auto"/>
          <w:highlight w:val="none"/>
          <w:u w:val="single"/>
        </w:rPr>
        <w:t>/</w:t>
      </w:r>
      <w:r>
        <w:rPr>
          <w:rFonts w:hint="eastAsia" w:hAnsi="宋体" w:cs="宋体"/>
          <w:color w:val="auto"/>
          <w:highlight w:val="none"/>
        </w:rPr>
        <w:t>。</w:t>
      </w:r>
    </w:p>
    <w:p w14:paraId="1457D3D9">
      <w:pPr>
        <w:keepNext/>
        <w:keepLines/>
        <w:spacing w:line="600" w:lineRule="exact"/>
        <w:ind w:firstLine="643" w:firstLineChars="200"/>
        <w:outlineLvl w:val="2"/>
        <w:rPr>
          <w:b/>
          <w:bCs/>
          <w:color w:val="auto"/>
          <w:sz w:val="32"/>
          <w:szCs w:val="32"/>
          <w:highlight w:val="none"/>
        </w:rPr>
      </w:pPr>
      <w:bookmarkStart w:id="1022" w:name="_Toc1155368667"/>
      <w:bookmarkStart w:id="1023" w:name="_Toc78449841"/>
      <w:bookmarkStart w:id="1024" w:name="_Toc389065317"/>
      <w:bookmarkStart w:id="1025" w:name="_Toc373227752"/>
      <w:bookmarkStart w:id="1026" w:name="_Toc373478399"/>
      <w:bookmarkStart w:id="1027" w:name="_Toc407135255"/>
      <w:bookmarkStart w:id="1028" w:name="_Toc1711431123"/>
      <w:r>
        <w:rPr>
          <w:b/>
          <w:bCs/>
          <w:color w:val="auto"/>
          <w:sz w:val="32"/>
          <w:szCs w:val="32"/>
          <w:highlight w:val="none"/>
        </w:rPr>
        <w:t xml:space="preserve">12.4 </w:t>
      </w:r>
      <w:r>
        <w:rPr>
          <w:rFonts w:hint="eastAsia" w:cs="黑体"/>
          <w:b/>
          <w:bCs/>
          <w:color w:val="auto"/>
          <w:sz w:val="32"/>
          <w:szCs w:val="32"/>
          <w:highlight w:val="none"/>
        </w:rPr>
        <w:t>工程进度款支付</w:t>
      </w:r>
      <w:bookmarkEnd w:id="1022"/>
      <w:bookmarkEnd w:id="1023"/>
      <w:bookmarkEnd w:id="1024"/>
      <w:bookmarkEnd w:id="1025"/>
      <w:bookmarkEnd w:id="1026"/>
      <w:bookmarkEnd w:id="1027"/>
      <w:bookmarkEnd w:id="1028"/>
    </w:p>
    <w:p w14:paraId="07899969">
      <w:pPr>
        <w:spacing w:line="360" w:lineRule="auto"/>
        <w:ind w:firstLine="420" w:firstLineChars="200"/>
        <w:jc w:val="left"/>
        <w:rPr>
          <w:color w:val="auto"/>
          <w:highlight w:val="none"/>
        </w:rPr>
      </w:pPr>
      <w:bookmarkStart w:id="1029" w:name="_Toc296347210"/>
      <w:bookmarkStart w:id="1030" w:name="_Toc297048397"/>
      <w:bookmarkStart w:id="1031" w:name="_Toc296944550"/>
      <w:bookmarkStart w:id="1032" w:name="_Toc297120511"/>
      <w:bookmarkStart w:id="1033" w:name="_Toc292559416"/>
      <w:bookmarkStart w:id="1034" w:name="_Toc296891039"/>
      <w:bookmarkStart w:id="1035" w:name="_Toc297216215"/>
      <w:bookmarkStart w:id="1036" w:name="_Toc300935006"/>
      <w:bookmarkStart w:id="1037" w:name="_Toc303539163"/>
      <w:bookmarkStart w:id="1038" w:name="_Toc296503211"/>
      <w:bookmarkStart w:id="1039" w:name="_Toc296891251"/>
      <w:bookmarkStart w:id="1040" w:name="_Toc292559921"/>
      <w:bookmarkStart w:id="1041" w:name="_Toc296346712"/>
      <w:bookmarkStart w:id="1042" w:name="_Toc297123556"/>
      <w:r>
        <w:rPr>
          <w:color w:val="auto"/>
          <w:highlight w:val="none"/>
        </w:rPr>
        <w:t xml:space="preserve">12.4.1 </w:t>
      </w:r>
      <w:r>
        <w:rPr>
          <w:rFonts w:hint="eastAsia" w:hAnsi="宋体" w:cs="宋体"/>
          <w:color w:val="auto"/>
          <w:highlight w:val="none"/>
        </w:rPr>
        <w:t>付款周期</w:t>
      </w:r>
    </w:p>
    <w:p w14:paraId="2A0528D1">
      <w:pPr>
        <w:spacing w:line="360" w:lineRule="auto"/>
        <w:ind w:firstLine="420" w:firstLineChars="200"/>
        <w:jc w:val="left"/>
        <w:rPr>
          <w:color w:val="auto"/>
          <w:highlight w:val="none"/>
        </w:rPr>
      </w:pPr>
      <w:r>
        <w:rPr>
          <w:color w:val="auto"/>
          <w:highlight w:val="none"/>
        </w:rPr>
        <w:t>项目工程价款采用按工程施工进度定期支付，竣工后办理结算方式：</w:t>
      </w:r>
    </w:p>
    <w:p w14:paraId="40F77174">
      <w:pPr>
        <w:numPr>
          <w:ilvl w:val="0"/>
          <w:numId w:val="0"/>
        </w:numPr>
        <w:spacing w:line="360" w:lineRule="auto"/>
        <w:ind w:firstLine="420" w:firstLineChars="200"/>
        <w:jc w:val="left"/>
        <w:rPr>
          <w:color w:val="auto"/>
          <w:highlight w:val="none"/>
        </w:rPr>
      </w:pPr>
      <w:r>
        <w:rPr>
          <w:rFonts w:hint="eastAsia" w:ascii="Times New Roman" w:hAnsi="Times New Roman" w:eastAsia="宋体" w:cs="Times New Roman"/>
          <w:color w:val="auto"/>
          <w:kern w:val="2"/>
          <w:sz w:val="21"/>
          <w:szCs w:val="24"/>
          <w:highlight w:val="none"/>
          <w:lang w:val="en-US" w:eastAsia="zh-CN" w:bidi="ar-SA"/>
        </w:rPr>
        <w:t>（一）</w:t>
      </w:r>
      <w:r>
        <w:rPr>
          <w:color w:val="auto"/>
          <w:highlight w:val="none"/>
        </w:rPr>
        <w:t xml:space="preserve">合同内工程施工进度款：按照当期计量的80%支付。 </w:t>
      </w:r>
    </w:p>
    <w:p w14:paraId="05B7E6D8">
      <w:pPr>
        <w:numPr>
          <w:ilvl w:val="0"/>
          <w:numId w:val="0"/>
        </w:numPr>
        <w:spacing w:line="360" w:lineRule="auto"/>
        <w:ind w:firstLine="420" w:firstLineChars="200"/>
        <w:jc w:val="left"/>
        <w:rPr>
          <w:color w:val="auto"/>
          <w:highlight w:val="none"/>
        </w:rPr>
      </w:pPr>
      <w:r>
        <w:rPr>
          <w:color w:val="auto"/>
          <w:highlight w:val="none"/>
        </w:rPr>
        <w:t>（二）合同外（设计变更）工程施工进度款：累计增加的变更金额在合同价的10%以内（含10%），按照当期计量的60%支付；累计增加的变更金额超出合同价的10%部分，不进行施工进度款计量支付，留待工程结算时一并支付。</w:t>
      </w:r>
    </w:p>
    <w:p w14:paraId="742B1773">
      <w:pPr>
        <w:numPr>
          <w:ilvl w:val="0"/>
          <w:numId w:val="0"/>
        </w:numPr>
        <w:spacing w:line="360" w:lineRule="auto"/>
        <w:ind w:firstLine="420" w:firstLineChars="200"/>
        <w:jc w:val="left"/>
        <w:rPr>
          <w:color w:val="auto"/>
          <w:highlight w:val="none"/>
        </w:rPr>
      </w:pPr>
      <w:r>
        <w:rPr>
          <w:color w:val="auto"/>
          <w:highlight w:val="none"/>
        </w:rPr>
        <w:t>（三）工程竣工验收合格并完成结算审核后，工程施工进度款支付至审定结算总价的97%，预留3%工程质量保证金，已经缴纳履约保证金的，可不预留工程质量保证金，承包人可以银行保函替代预留保证金。</w:t>
      </w:r>
    </w:p>
    <w:p w14:paraId="07889AED">
      <w:pPr>
        <w:numPr>
          <w:ilvl w:val="0"/>
          <w:numId w:val="0"/>
        </w:numPr>
        <w:spacing w:line="360" w:lineRule="auto"/>
        <w:ind w:firstLine="420" w:firstLineChars="200"/>
        <w:jc w:val="left"/>
        <w:rPr>
          <w:color w:val="auto"/>
          <w:highlight w:val="none"/>
        </w:rPr>
      </w:pPr>
      <w:r>
        <w:rPr>
          <w:color w:val="auto"/>
          <w:highlight w:val="none"/>
        </w:rPr>
        <w:t>（四）待质保期过后，如无质保问题，可支付至审定结算总价的100%。工程建设其他费用根据财政部门有关规定执行,按完成情况支付。</w:t>
      </w:r>
    </w:p>
    <w:p w14:paraId="6E61AC0B">
      <w:pPr>
        <w:numPr>
          <w:ilvl w:val="0"/>
          <w:numId w:val="0"/>
        </w:numPr>
        <w:spacing w:line="360" w:lineRule="auto"/>
        <w:ind w:firstLine="420" w:firstLineChars="200"/>
        <w:jc w:val="left"/>
        <w:rPr>
          <w:color w:val="auto"/>
          <w:highlight w:val="none"/>
        </w:rPr>
      </w:pPr>
      <w:r>
        <w:rPr>
          <w:color w:val="auto"/>
          <w:highlight w:val="none"/>
        </w:rPr>
        <w:t xml:space="preserve">12.4.2 </w:t>
      </w:r>
      <w:r>
        <w:rPr>
          <w:rFonts w:hint="eastAsia" w:hAnsi="宋体" w:cs="宋体"/>
          <w:color w:val="auto"/>
          <w:highlight w:val="none"/>
        </w:rPr>
        <w:t>进度付款申请单的编制</w:t>
      </w:r>
    </w:p>
    <w:p w14:paraId="69A05FC9">
      <w:pPr>
        <w:spacing w:line="360" w:lineRule="auto"/>
        <w:ind w:firstLine="420" w:firstLineChars="200"/>
        <w:jc w:val="left"/>
        <w:rPr>
          <w:color w:val="auto"/>
          <w:highlight w:val="none"/>
          <w:u w:val="single"/>
        </w:rPr>
      </w:pPr>
      <w:r>
        <w:rPr>
          <w:rFonts w:hint="eastAsia" w:hAnsi="宋体" w:cs="宋体"/>
          <w:color w:val="auto"/>
          <w:highlight w:val="none"/>
        </w:rPr>
        <w:t>关于进度付款申请单编制的约定：</w:t>
      </w:r>
      <w:r>
        <w:rPr>
          <w:rFonts w:hint="eastAsia" w:ascii="宋体" w:hAnsi="宋体" w:cs="宋体"/>
          <w:color w:val="auto"/>
          <w:highlight w:val="none"/>
          <w:u w:val="single"/>
        </w:rPr>
        <w:t>每月进度完成后提交经监理和发包人代表审核的已完工程量月报表, 作为工程价款支付的依据</w:t>
      </w:r>
      <w:r>
        <w:rPr>
          <w:rFonts w:hint="eastAsia" w:hAnsi="宋体" w:cs="宋体"/>
          <w:color w:val="auto"/>
          <w:highlight w:val="none"/>
        </w:rPr>
        <w:t>。</w:t>
      </w:r>
    </w:p>
    <w:p w14:paraId="31DAB60D">
      <w:pPr>
        <w:spacing w:line="360" w:lineRule="auto"/>
        <w:ind w:firstLine="420" w:firstLineChars="200"/>
        <w:jc w:val="left"/>
        <w:rPr>
          <w:color w:val="auto"/>
          <w:highlight w:val="none"/>
        </w:rPr>
      </w:pPr>
      <w:r>
        <w:rPr>
          <w:color w:val="auto"/>
          <w:highlight w:val="none"/>
        </w:rPr>
        <w:t>1</w:t>
      </w:r>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r>
        <w:rPr>
          <w:color w:val="auto"/>
          <w:highlight w:val="none"/>
        </w:rPr>
        <w:t xml:space="preserve">2.4.3 </w:t>
      </w:r>
      <w:r>
        <w:rPr>
          <w:rFonts w:hint="eastAsia" w:hAnsi="宋体" w:cs="宋体"/>
          <w:color w:val="auto"/>
          <w:highlight w:val="none"/>
        </w:rPr>
        <w:t>进度付款申请单的提交</w:t>
      </w:r>
    </w:p>
    <w:p w14:paraId="6CD834B1">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）单价合同进度付款申请单提交的约定：</w:t>
      </w:r>
      <w:r>
        <w:rPr>
          <w:rFonts w:hint="eastAsia" w:ascii="宋体" w:hAnsi="宋体" w:cs="宋体"/>
          <w:color w:val="auto"/>
          <w:highlight w:val="none"/>
          <w:u w:val="single"/>
        </w:rPr>
        <w:t>承包人申请工程进度款时，承包人向发包人提供以下资料：①《工程用款支付证书》；②《投资项目用款核定通知书》；③工程量计量报表（格式按发包人具体要求）</w:t>
      </w:r>
      <w:r>
        <w:rPr>
          <w:rFonts w:hint="eastAsia" w:hAnsi="宋体" w:cs="宋体"/>
          <w:color w:val="auto"/>
          <w:highlight w:val="none"/>
        </w:rPr>
        <w:t>。</w:t>
      </w:r>
    </w:p>
    <w:p w14:paraId="4FFAB05D">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）总价合同进度付款申请单提交的约定：</w:t>
      </w:r>
      <w:r>
        <w:rPr>
          <w:rFonts w:hint="eastAsia"/>
          <w:color w:val="auto"/>
          <w:highlight w:val="none"/>
          <w:u w:val="single"/>
        </w:rPr>
        <w:t>/</w:t>
      </w:r>
      <w:r>
        <w:rPr>
          <w:rFonts w:hint="eastAsia" w:hAnsi="宋体" w:cs="宋体"/>
          <w:color w:val="auto"/>
          <w:highlight w:val="none"/>
        </w:rPr>
        <w:t>。</w:t>
      </w:r>
    </w:p>
    <w:p w14:paraId="30F486D6">
      <w:pPr>
        <w:spacing w:line="360" w:lineRule="auto"/>
        <w:ind w:firstLine="420" w:firstLineChars="200"/>
        <w:jc w:val="left"/>
        <w:rPr>
          <w:color w:val="auto"/>
          <w:highlight w:val="none"/>
          <w:u w:val="single"/>
        </w:rPr>
      </w:pPr>
      <w:r>
        <w:rPr>
          <w:rFonts w:hint="eastAsia" w:hAnsi="宋体" w:cs="宋体"/>
          <w:color w:val="auto"/>
          <w:highlight w:val="none"/>
        </w:rPr>
        <w:t>（</w:t>
      </w:r>
      <w:r>
        <w:rPr>
          <w:color w:val="auto"/>
          <w:highlight w:val="none"/>
        </w:rPr>
        <w:t>3</w:t>
      </w:r>
      <w:r>
        <w:rPr>
          <w:rFonts w:hint="eastAsia" w:hAnsi="宋体" w:cs="宋体"/>
          <w:color w:val="auto"/>
          <w:highlight w:val="none"/>
        </w:rPr>
        <w:t>）其他价格形式合同进度付款申请单提交的约定：</w:t>
      </w:r>
      <w:r>
        <w:rPr>
          <w:rFonts w:hint="eastAsia"/>
          <w:color w:val="auto"/>
          <w:highlight w:val="none"/>
          <w:u w:val="single"/>
        </w:rPr>
        <w:t>/</w:t>
      </w:r>
      <w:r>
        <w:rPr>
          <w:rFonts w:hint="eastAsia" w:hAnsi="宋体" w:cs="宋体"/>
          <w:color w:val="auto"/>
          <w:highlight w:val="none"/>
        </w:rPr>
        <w:t>。</w:t>
      </w:r>
    </w:p>
    <w:p w14:paraId="09B9100C">
      <w:pPr>
        <w:spacing w:line="360" w:lineRule="auto"/>
        <w:ind w:firstLine="420" w:firstLineChars="200"/>
        <w:jc w:val="left"/>
        <w:rPr>
          <w:color w:val="auto"/>
          <w:highlight w:val="none"/>
        </w:rPr>
      </w:pPr>
      <w:r>
        <w:rPr>
          <w:color w:val="auto"/>
          <w:highlight w:val="none"/>
        </w:rPr>
        <w:t xml:space="preserve">12.4.4 </w:t>
      </w:r>
      <w:r>
        <w:rPr>
          <w:rFonts w:hint="eastAsia" w:hAnsi="宋体" w:cs="宋体"/>
          <w:color w:val="auto"/>
          <w:highlight w:val="none"/>
        </w:rPr>
        <w:t>进度款审核和支付</w:t>
      </w:r>
    </w:p>
    <w:p w14:paraId="0345E019">
      <w:pPr>
        <w:spacing w:line="360" w:lineRule="auto"/>
        <w:ind w:firstLine="420" w:firstLineChars="200"/>
        <w:jc w:val="left"/>
        <w:rPr>
          <w:color w:val="auto"/>
          <w:highlight w:val="none"/>
          <w:u w:val="single"/>
        </w:rPr>
      </w:pPr>
      <w:r>
        <w:rPr>
          <w:rFonts w:hint="eastAsia" w:hAnsi="宋体" w:cs="宋体"/>
          <w:color w:val="auto"/>
          <w:highlight w:val="none"/>
        </w:rPr>
        <w:t>（</w:t>
      </w:r>
      <w:r>
        <w:rPr>
          <w:color w:val="auto"/>
          <w:highlight w:val="none"/>
        </w:rPr>
        <w:t>1</w:t>
      </w:r>
      <w:r>
        <w:rPr>
          <w:rFonts w:hint="eastAsia" w:hAnsi="宋体" w:cs="宋体"/>
          <w:color w:val="auto"/>
          <w:highlight w:val="none"/>
        </w:rPr>
        <w:t>）监理人审查并报送发包人的期限：</w:t>
      </w:r>
      <w:r>
        <w:rPr>
          <w:rFonts w:hint="eastAsia" w:ascii="宋体" w:hAnsi="宋体" w:cs="宋体"/>
          <w:color w:val="auto"/>
          <w:highlight w:val="none"/>
          <w:u w:val="single"/>
        </w:rPr>
        <w:t>按通用条款执行</w:t>
      </w:r>
      <w:r>
        <w:rPr>
          <w:rFonts w:hint="eastAsia" w:hAnsi="宋体" w:cs="宋体"/>
          <w:color w:val="auto"/>
          <w:highlight w:val="none"/>
        </w:rPr>
        <w:t>。</w:t>
      </w:r>
    </w:p>
    <w:p w14:paraId="68B706B3">
      <w:pPr>
        <w:spacing w:line="360" w:lineRule="auto"/>
        <w:ind w:firstLine="420" w:firstLineChars="200"/>
        <w:jc w:val="left"/>
        <w:rPr>
          <w:color w:val="auto"/>
          <w:highlight w:val="none"/>
          <w:u w:val="single"/>
        </w:rPr>
      </w:pPr>
      <w:r>
        <w:rPr>
          <w:rFonts w:hint="eastAsia" w:hAnsi="宋体" w:cs="宋体"/>
          <w:color w:val="auto"/>
          <w:highlight w:val="none"/>
        </w:rPr>
        <w:t>发包人完成审批并签发进度款支付证书的期限：</w:t>
      </w:r>
      <w:r>
        <w:rPr>
          <w:rFonts w:hint="eastAsia" w:ascii="宋体" w:hAnsi="宋体" w:cs="宋体"/>
          <w:color w:val="auto"/>
          <w:highlight w:val="none"/>
          <w:u w:val="single"/>
        </w:rPr>
        <w:t>按通用条款执行</w:t>
      </w:r>
      <w:r>
        <w:rPr>
          <w:rFonts w:hint="eastAsia" w:hAnsi="宋体" w:cs="宋体"/>
          <w:color w:val="auto"/>
          <w:highlight w:val="none"/>
        </w:rPr>
        <w:t>。</w:t>
      </w:r>
    </w:p>
    <w:p w14:paraId="0909E08F">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）发包人支付进度款的期限：</w:t>
      </w:r>
      <w:r>
        <w:rPr>
          <w:rFonts w:hint="eastAsia" w:ascii="宋体" w:hAnsi="宋体" w:cs="宋体"/>
          <w:color w:val="auto"/>
          <w:highlight w:val="none"/>
          <w:u w:val="single"/>
        </w:rPr>
        <w:t>按通用条款执行</w:t>
      </w:r>
      <w:r>
        <w:rPr>
          <w:rFonts w:hint="eastAsia" w:hAnsi="宋体" w:cs="宋体"/>
          <w:color w:val="auto"/>
          <w:highlight w:val="none"/>
        </w:rPr>
        <w:t>。</w:t>
      </w:r>
    </w:p>
    <w:p w14:paraId="037397F3">
      <w:pPr>
        <w:spacing w:line="360" w:lineRule="auto"/>
        <w:ind w:firstLine="525" w:firstLineChars="250"/>
        <w:jc w:val="left"/>
        <w:rPr>
          <w:color w:val="auto"/>
          <w:highlight w:val="none"/>
        </w:rPr>
      </w:pPr>
      <w:r>
        <w:rPr>
          <w:rFonts w:hint="eastAsia" w:hAnsi="宋体" w:cs="宋体"/>
          <w:color w:val="auto"/>
          <w:highlight w:val="none"/>
        </w:rPr>
        <w:t>发包人逾期支付进度款的违约金的计算方式：</w:t>
      </w:r>
      <w:r>
        <w:rPr>
          <w:rFonts w:hint="eastAsia" w:ascii="宋体" w:hAnsi="宋体" w:cs="宋体"/>
          <w:b/>
          <w:bCs/>
          <w:color w:val="auto"/>
          <w:szCs w:val="21"/>
          <w:highlight w:val="none"/>
          <w:u w:val="single"/>
        </w:rPr>
        <w:t>双方另行协商</w:t>
      </w:r>
      <w:r>
        <w:rPr>
          <w:rFonts w:hint="eastAsia" w:hAnsi="宋体" w:cs="宋体"/>
          <w:color w:val="auto"/>
          <w:highlight w:val="none"/>
        </w:rPr>
        <w:t>。</w:t>
      </w:r>
    </w:p>
    <w:p w14:paraId="6D5CAFC9">
      <w:pPr>
        <w:spacing w:line="360" w:lineRule="auto"/>
        <w:ind w:firstLine="630" w:firstLineChars="300"/>
        <w:rPr>
          <w:color w:val="auto"/>
          <w:highlight w:val="none"/>
        </w:rPr>
      </w:pPr>
      <w:r>
        <w:rPr>
          <w:rFonts w:hint="eastAsia" w:hAnsi="宋体" w:cs="宋体"/>
          <w:color w:val="auto"/>
          <w:highlight w:val="none"/>
        </w:rPr>
        <w:t>进度款支付方式：</w:t>
      </w:r>
      <w:r>
        <w:rPr>
          <w:rFonts w:hint="eastAsia" w:ascii="宋体" w:hAnsi="宋体" w:cs="宋体"/>
          <w:color w:val="auto"/>
          <w:szCs w:val="21"/>
          <w:highlight w:val="none"/>
          <w:u w:val="single"/>
        </w:rPr>
        <w:t>银行转账至本合同指定的承包人开户银行及账号内</w:t>
      </w:r>
      <w:r>
        <w:rPr>
          <w:rFonts w:hint="eastAsia"/>
          <w:color w:val="auto"/>
          <w:highlight w:val="none"/>
        </w:rPr>
        <w:t>。</w:t>
      </w:r>
    </w:p>
    <w:p w14:paraId="4021E957">
      <w:pPr>
        <w:spacing w:line="400" w:lineRule="exact"/>
        <w:ind w:firstLine="420" w:firstLineChars="200"/>
        <w:jc w:val="left"/>
        <w:rPr>
          <w:rFonts w:ascii="宋体" w:hAnsi="宋体" w:cs="宋体"/>
          <w:color w:val="auto"/>
          <w:highlight w:val="none"/>
        </w:rPr>
      </w:pPr>
      <w:r>
        <w:rPr>
          <w:rFonts w:ascii="宋体" w:hAnsi="宋体" w:cs="宋体"/>
          <w:color w:val="auto"/>
          <w:highlight w:val="none"/>
        </w:rPr>
        <w:t>①</w:t>
      </w:r>
      <w:r>
        <w:rPr>
          <w:rFonts w:hint="eastAsia" w:ascii="宋体" w:hAnsi="宋体" w:cs="宋体"/>
          <w:color w:val="auto"/>
          <w:highlight w:val="none"/>
        </w:rPr>
        <w:t>承包人在发包人支付工程款前3日内提供有效的增值税发票给发包人，否则发包人有权拒付该笔工程款，所造成的责任由承包人负责承担。</w:t>
      </w:r>
    </w:p>
    <w:p w14:paraId="76FB9458">
      <w:pPr>
        <w:spacing w:line="400" w:lineRule="exact"/>
        <w:ind w:firstLine="420" w:firstLineChars="200"/>
        <w:rPr>
          <w:rFonts w:ascii="宋体" w:hAnsi="宋体" w:cs="宋体"/>
          <w:color w:val="auto"/>
          <w:szCs w:val="22"/>
          <w:highlight w:val="none"/>
        </w:rPr>
      </w:pPr>
      <w:r>
        <w:rPr>
          <w:rFonts w:ascii="宋体" w:hAnsi="宋体" w:cs="宋体"/>
          <w:color w:val="auto"/>
          <w:highlight w:val="none"/>
        </w:rPr>
        <w:t>②</w:t>
      </w:r>
      <w:r>
        <w:rPr>
          <w:rFonts w:hint="eastAsia" w:ascii="宋体" w:hAnsi="宋体" w:cs="宋体"/>
          <w:color w:val="auto"/>
          <w:highlight w:val="none"/>
        </w:rPr>
        <w:t>当某章节中间计量（含工程变更）累计达到该章节总金额的90%时，该章节后续工程量暂停计量。</w:t>
      </w:r>
    </w:p>
    <w:p w14:paraId="3C227521">
      <w:pPr>
        <w:spacing w:line="400" w:lineRule="exact"/>
        <w:ind w:firstLine="420" w:firstLineChars="200"/>
        <w:rPr>
          <w:rFonts w:ascii="宋体" w:hAnsi="宋体" w:cs="宋体"/>
          <w:color w:val="auto"/>
          <w:szCs w:val="22"/>
          <w:highlight w:val="none"/>
        </w:rPr>
      </w:pPr>
      <w:r>
        <w:rPr>
          <w:rFonts w:ascii="宋体" w:hAnsi="宋体" w:cs="宋体"/>
          <w:color w:val="auto"/>
          <w:highlight w:val="none"/>
        </w:rPr>
        <w:t>③</w:t>
      </w:r>
      <w:r>
        <w:rPr>
          <w:rFonts w:hint="eastAsia" w:ascii="宋体" w:hAnsi="宋体" w:cs="宋体"/>
          <w:color w:val="auto"/>
          <w:highlight w:val="none"/>
        </w:rPr>
        <w:t>合同实施中对承包人处以的违约金/处罚不再退还给承包人。</w:t>
      </w:r>
    </w:p>
    <w:p w14:paraId="68160F02">
      <w:pPr>
        <w:spacing w:line="400" w:lineRule="exact"/>
        <w:ind w:firstLine="420" w:firstLineChars="200"/>
        <w:rPr>
          <w:rFonts w:ascii="宋体" w:hAnsi="宋体" w:cs="宋体"/>
          <w:color w:val="auto"/>
          <w:szCs w:val="22"/>
          <w:highlight w:val="none"/>
        </w:rPr>
      </w:pPr>
      <w:r>
        <w:rPr>
          <w:rFonts w:hint="eastAsia" w:ascii="宋体" w:hAnsi="宋体" w:cs="宋体"/>
          <w:color w:val="auto"/>
          <w:highlight w:val="none"/>
        </w:rPr>
        <w:t>④ 计量支付前提是要满足以下6项原则后方可给予计量：</w:t>
      </w:r>
    </w:p>
    <w:p w14:paraId="036268E4">
      <w:pPr>
        <w:spacing w:line="400" w:lineRule="exact"/>
        <w:ind w:firstLine="420" w:firstLineChars="200"/>
        <w:rPr>
          <w:rFonts w:ascii="宋体" w:hAnsi="宋体" w:cs="宋体"/>
          <w:color w:val="auto"/>
          <w:szCs w:val="22"/>
          <w:highlight w:val="none"/>
        </w:rPr>
      </w:pPr>
      <w:r>
        <w:rPr>
          <w:rFonts w:hint="eastAsia" w:ascii="宋体" w:hAnsi="宋体" w:cs="宋体"/>
          <w:color w:val="auto"/>
          <w:highlight w:val="none"/>
        </w:rPr>
        <w:t>1）质量合格的工程。</w:t>
      </w:r>
    </w:p>
    <w:p w14:paraId="04971D89">
      <w:pPr>
        <w:spacing w:line="400" w:lineRule="exact"/>
        <w:ind w:firstLine="420" w:firstLineChars="200"/>
        <w:rPr>
          <w:rFonts w:ascii="宋体" w:hAnsi="宋体" w:cs="宋体"/>
          <w:color w:val="auto"/>
          <w:szCs w:val="22"/>
          <w:highlight w:val="none"/>
        </w:rPr>
      </w:pPr>
      <w:r>
        <w:rPr>
          <w:rFonts w:hint="eastAsia" w:ascii="宋体" w:hAnsi="宋体" w:cs="宋体"/>
          <w:color w:val="auto"/>
          <w:highlight w:val="none"/>
        </w:rPr>
        <w:t>2）隐蔽工程的计量再覆盖前应得到监理工程师、发包人检测和确认，否则不予计量；凡超过设计图纸所示或监理工程师指示的任何长度、面积或体积，都不予计量。</w:t>
      </w:r>
    </w:p>
    <w:p w14:paraId="2143B088">
      <w:pPr>
        <w:spacing w:line="400" w:lineRule="exact"/>
        <w:ind w:firstLine="420" w:firstLineChars="200"/>
        <w:rPr>
          <w:rFonts w:ascii="宋体" w:hAnsi="宋体" w:cs="宋体"/>
          <w:color w:val="auto"/>
          <w:szCs w:val="22"/>
          <w:highlight w:val="none"/>
        </w:rPr>
      </w:pPr>
      <w:r>
        <w:rPr>
          <w:rFonts w:hint="eastAsia" w:ascii="宋体" w:hAnsi="宋体" w:cs="宋体"/>
          <w:color w:val="auto"/>
          <w:highlight w:val="none"/>
        </w:rPr>
        <w:t>3）分项工程计量资料不全或提供虚假资料的不予计量。</w:t>
      </w:r>
    </w:p>
    <w:p w14:paraId="3F4068E7">
      <w:pPr>
        <w:spacing w:line="400" w:lineRule="exact"/>
        <w:ind w:firstLine="420" w:firstLineChars="200"/>
        <w:rPr>
          <w:rFonts w:ascii="宋体" w:hAnsi="宋体" w:cs="宋体"/>
          <w:color w:val="auto"/>
          <w:szCs w:val="22"/>
          <w:highlight w:val="none"/>
        </w:rPr>
      </w:pPr>
      <w:r>
        <w:rPr>
          <w:rFonts w:hint="eastAsia" w:ascii="宋体" w:hAnsi="宋体" w:cs="宋体"/>
          <w:color w:val="auto"/>
          <w:highlight w:val="none"/>
        </w:rPr>
        <w:t>4）变更工程计量必须完善工程变更手续方可计量。</w:t>
      </w:r>
    </w:p>
    <w:p w14:paraId="1337F2B9">
      <w:pPr>
        <w:spacing w:line="400" w:lineRule="exact"/>
        <w:ind w:firstLine="420" w:firstLineChars="200"/>
        <w:rPr>
          <w:rFonts w:ascii="宋体" w:hAnsi="宋体" w:cs="宋体"/>
          <w:color w:val="auto"/>
          <w:szCs w:val="22"/>
          <w:highlight w:val="none"/>
        </w:rPr>
      </w:pPr>
      <w:r>
        <w:rPr>
          <w:rFonts w:hint="eastAsia" w:ascii="宋体" w:hAnsi="宋体" w:cs="宋体"/>
          <w:color w:val="auto"/>
          <w:highlight w:val="none"/>
        </w:rPr>
        <w:t>5）计量资料必须通过监理审核、发包人审批后进行中间计量。</w:t>
      </w:r>
    </w:p>
    <w:p w14:paraId="173BAB1E">
      <w:pPr>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6）已经计量支付的工程项目，如发现因承包人责任造成质量缺陷或发生质量事故，发包人有权扣回该项目已支付的款额，承包人应无偿返工并承担相应的责任，发包人将视其情节轻重和造成损失的程度，有权按本项目有关规定对相关违约单位及责任人进行违约处罚。</w:t>
      </w:r>
    </w:p>
    <w:p w14:paraId="40A7D63F">
      <w:pPr>
        <w:rPr>
          <w:color w:val="auto"/>
          <w:highlight w:val="none"/>
        </w:rPr>
      </w:pPr>
    </w:p>
    <w:p w14:paraId="39C64431">
      <w:pPr>
        <w:spacing w:line="360" w:lineRule="auto"/>
        <w:ind w:firstLine="525" w:firstLineChars="250"/>
        <w:jc w:val="left"/>
        <w:rPr>
          <w:rFonts w:hAnsi="宋体"/>
          <w:color w:val="auto"/>
          <w:highlight w:val="none"/>
        </w:rPr>
      </w:pPr>
      <w:r>
        <w:rPr>
          <w:rFonts w:hint="eastAsia" w:hAnsi="宋体"/>
          <w:color w:val="auto"/>
          <w:highlight w:val="none"/>
        </w:rPr>
        <w:t>（3）农民工工资支付</w:t>
      </w:r>
    </w:p>
    <w:p w14:paraId="0FC7DD99">
      <w:pPr>
        <w:spacing w:line="360" w:lineRule="auto"/>
        <w:ind w:firstLine="525" w:firstLineChars="250"/>
        <w:jc w:val="left"/>
        <w:rPr>
          <w:rFonts w:hAnsi="宋体" w:cs="宋体"/>
          <w:color w:val="auto"/>
          <w:kern w:val="0"/>
          <w:highlight w:val="none"/>
        </w:rPr>
      </w:pPr>
      <w:r>
        <w:rPr>
          <w:rFonts w:hint="eastAsia" w:hAnsi="宋体" w:cs="宋体"/>
          <w:color w:val="auto"/>
          <w:kern w:val="0"/>
          <w:highlight w:val="none"/>
        </w:rPr>
        <w:t>1）人工费用是指发包人向承包人专用账户拨付的专项用于支付农民工工资的工程款。农民工工资专用账户是指承包人在工程建设项目所在地银行业金融机构（简称银行）开立的，专项用于支付农民工工资的专用存款账户。</w:t>
      </w:r>
    </w:p>
    <w:p w14:paraId="2E9A7058">
      <w:pPr>
        <w:spacing w:line="360" w:lineRule="auto"/>
        <w:ind w:firstLine="525" w:firstLineChars="250"/>
        <w:jc w:val="left"/>
        <w:rPr>
          <w:rFonts w:hAnsi="宋体" w:cs="宋体"/>
          <w:color w:val="auto"/>
          <w:kern w:val="0"/>
          <w:highlight w:val="none"/>
        </w:rPr>
      </w:pPr>
      <w:r>
        <w:rPr>
          <w:rFonts w:hint="eastAsia" w:hAnsi="宋体" w:cs="宋体"/>
          <w:color w:val="auto"/>
          <w:kern w:val="0"/>
          <w:highlight w:val="none"/>
        </w:rPr>
        <w:t>2）人工费应应与工程进度款分帐管理。必须按时足额支付，人工费拨付周期不得超过1个月，最少每月支付一次，无工程款申请的月份，承包人单独上报人工费划拨申请；若因发包人未按照合同约定划拨工程款项导致拖欠工资的，由发包人以未结清的工程款项为限先行垫付所拖欠的工资；承包人向发包人申请工程进度款时必须把农民工工资部分单独列明，如果未单独列明，监理单位不得签支付证书等支付工程款的手续，发包人单位不得审批和支付工程款。发包人必须把工程款分帐出来的人工费转入承包人农民工工资支付专用账户，转入农民工工资支付专用账户环节必须有银行流水凭证。</w:t>
      </w:r>
    </w:p>
    <w:p w14:paraId="4267F8C5">
      <w:pPr>
        <w:pStyle w:val="42"/>
        <w:spacing w:line="360" w:lineRule="exact"/>
        <w:ind w:firstLine="442"/>
        <w:rPr>
          <w:color w:val="auto"/>
          <w:highlight w:val="none"/>
        </w:rPr>
      </w:pPr>
      <w:r>
        <w:rPr>
          <w:rFonts w:hint="eastAsia" w:ascii="Times New Roman"/>
          <w:color w:val="auto"/>
          <w:kern w:val="0"/>
          <w:sz w:val="21"/>
          <w:szCs w:val="24"/>
          <w:highlight w:val="none"/>
          <w:lang w:val="en-US" w:eastAsia="zh-CN" w:bidi="ar-SA"/>
        </w:rPr>
        <w:t>3）发包人依据工程进度，审核承包人申报的工程进度款，按照与承包人约定的人工费支付比例20 %（房建项目不少于20%，市政项目不少于15%），将人工费及时足额拨付至承包人的农民工工资专用账户，其余工程进度款项由发包人支付到承包人的单位基本户。</w:t>
      </w:r>
      <w:r>
        <w:rPr>
          <w:rFonts w:hint="eastAsia"/>
          <w:color w:val="auto"/>
          <w:sz w:val="21"/>
          <w:szCs w:val="21"/>
          <w:highlight w:val="none"/>
          <w:lang w:val="en-US" w:eastAsia="zh-CN"/>
        </w:rPr>
        <w:t>[</w:t>
      </w:r>
      <w:r>
        <w:rPr>
          <w:rFonts w:hint="eastAsia"/>
          <w:color w:val="auto"/>
          <w:sz w:val="21"/>
          <w:szCs w:val="21"/>
          <w:highlight w:val="none"/>
          <w:lang w:val="zh-CN" w:eastAsia="zh-CN"/>
        </w:rPr>
        <w:t>注：如是以工代赈的项目，每个项目按照不低于项目总造价20%的比例发放劳务报酬(其中脱贫劳动力劳务报酬不低于50%，具备条件的可提高劳务报酬资金占比）具体以政府文件为主。</w:t>
      </w:r>
      <w:r>
        <w:rPr>
          <w:rFonts w:hint="eastAsia"/>
          <w:color w:val="auto"/>
          <w:sz w:val="21"/>
          <w:szCs w:val="21"/>
          <w:highlight w:val="none"/>
          <w:lang w:val="en-US" w:eastAsia="zh-CN"/>
        </w:rPr>
        <w:t>]</w:t>
      </w:r>
    </w:p>
    <w:p w14:paraId="15939EBE">
      <w:pPr>
        <w:spacing w:line="360" w:lineRule="auto"/>
        <w:ind w:firstLine="525" w:firstLineChars="250"/>
        <w:jc w:val="left"/>
        <w:rPr>
          <w:rFonts w:hAnsi="宋体" w:cs="宋体"/>
          <w:color w:val="auto"/>
          <w:kern w:val="0"/>
          <w:highlight w:val="none"/>
        </w:rPr>
      </w:pPr>
    </w:p>
    <w:p w14:paraId="6A2E4C55">
      <w:pPr>
        <w:spacing w:line="360" w:lineRule="auto"/>
        <w:ind w:firstLine="525" w:firstLineChars="250"/>
        <w:jc w:val="left"/>
        <w:rPr>
          <w:rFonts w:hAnsi="宋体" w:cs="宋体"/>
          <w:color w:val="auto"/>
          <w:kern w:val="0"/>
          <w:highlight w:val="none"/>
        </w:rPr>
      </w:pPr>
      <w:r>
        <w:rPr>
          <w:rFonts w:hint="eastAsia" w:hAnsi="宋体" w:cs="宋体"/>
          <w:color w:val="auto"/>
          <w:kern w:val="0"/>
          <w:highlight w:val="none"/>
        </w:rPr>
        <w:t>4）工程建设领域总包单位对农民工工资支付负总责，推行分包单位农民工工资委托总包单位代发制度（以下简称总包代发制度）。工程建设项目施行总包代发制度的，总包单位与分包单位签订委托工资支付协议。</w:t>
      </w:r>
    </w:p>
    <w:p w14:paraId="187709BF">
      <w:pPr>
        <w:spacing w:line="360" w:lineRule="auto"/>
        <w:ind w:firstLine="525" w:firstLineChars="250"/>
        <w:jc w:val="left"/>
        <w:rPr>
          <w:rFonts w:hAnsi="宋体" w:cs="宋体"/>
          <w:color w:val="auto"/>
          <w:kern w:val="0"/>
          <w:highlight w:val="none"/>
        </w:rPr>
      </w:pPr>
      <w:r>
        <w:rPr>
          <w:rFonts w:hint="eastAsia" w:hAnsi="宋体" w:cs="宋体"/>
          <w:color w:val="auto"/>
          <w:kern w:val="0"/>
          <w:highlight w:val="none"/>
        </w:rPr>
        <w:t>5）凡未向付款单位提供农民工工资专用账户的，或者请款单位在申请工程进度款时未将人工费单列的，付款单位有权拒绝支付工程进度款。</w:t>
      </w:r>
    </w:p>
    <w:p w14:paraId="45C511CA">
      <w:pPr>
        <w:spacing w:line="360" w:lineRule="auto"/>
        <w:ind w:firstLine="525" w:firstLineChars="250"/>
        <w:jc w:val="left"/>
        <w:rPr>
          <w:rFonts w:hAnsi="宋体" w:cs="宋体"/>
          <w:color w:val="auto"/>
          <w:kern w:val="0"/>
          <w:highlight w:val="none"/>
        </w:rPr>
      </w:pPr>
      <w:r>
        <w:rPr>
          <w:rFonts w:hint="eastAsia" w:hAnsi="宋体" w:cs="宋体"/>
          <w:color w:val="auto"/>
          <w:kern w:val="0"/>
          <w:highlight w:val="none"/>
        </w:rPr>
        <w:t>6）人工费使用要求：专款专用，除发放农民工工资外，不得用于其他用途。</w:t>
      </w:r>
    </w:p>
    <w:p w14:paraId="1B92265E">
      <w:pPr>
        <w:spacing w:line="360" w:lineRule="auto"/>
        <w:ind w:firstLine="525" w:firstLineChars="250"/>
        <w:jc w:val="left"/>
        <w:rPr>
          <w:rFonts w:hAnsi="宋体" w:cs="宋体"/>
          <w:color w:val="auto"/>
          <w:kern w:val="0"/>
          <w:highlight w:val="none"/>
        </w:rPr>
      </w:pPr>
      <w:r>
        <w:rPr>
          <w:rFonts w:hint="eastAsia" w:hAnsi="宋体" w:cs="宋体"/>
          <w:color w:val="auto"/>
          <w:kern w:val="0"/>
          <w:highlight w:val="none"/>
        </w:rPr>
        <w:t>7）承包人将人工费支付情况定期报告发包人和监理单位，并提供相应的材料接受建设行政主管部门和劳动保障行政主管部门对此事项监管。</w:t>
      </w:r>
    </w:p>
    <w:p w14:paraId="42B548AC">
      <w:pPr>
        <w:autoSpaceDE w:val="0"/>
        <w:autoSpaceDN w:val="0"/>
        <w:adjustRightInd w:val="0"/>
        <w:spacing w:line="360" w:lineRule="auto"/>
        <w:ind w:firstLine="420" w:firstLineChars="200"/>
        <w:jc w:val="left"/>
        <w:rPr>
          <w:rFonts w:hAnsi="宋体" w:cs="宋体"/>
          <w:color w:val="auto"/>
          <w:kern w:val="0"/>
          <w:highlight w:val="none"/>
        </w:rPr>
      </w:pPr>
      <w:r>
        <w:rPr>
          <w:rFonts w:hint="eastAsia" w:hAnsi="宋体" w:cs="宋体"/>
          <w:color w:val="auto"/>
          <w:kern w:val="0"/>
          <w:highlight w:val="none"/>
        </w:rPr>
        <w:t>8）人工费支付专用账户：××××公司农民工工资支付专用账户。账号：</w:t>
      </w:r>
      <w:r>
        <w:rPr>
          <w:rFonts w:hAnsi="宋体" w:cs="宋体"/>
          <w:color w:val="auto"/>
          <w:kern w:val="0"/>
          <w:highlight w:val="none"/>
        </w:rPr>
        <w:t>。</w:t>
      </w:r>
    </w:p>
    <w:p w14:paraId="3535823E">
      <w:pPr>
        <w:spacing w:line="360" w:lineRule="auto"/>
        <w:ind w:firstLine="525" w:firstLineChars="250"/>
        <w:jc w:val="left"/>
        <w:rPr>
          <w:rFonts w:hAnsi="宋体"/>
          <w:color w:val="auto"/>
          <w:highlight w:val="none"/>
        </w:rPr>
      </w:pPr>
      <w:r>
        <w:rPr>
          <w:color w:val="auto"/>
          <w:highlight w:val="none"/>
        </w:rPr>
        <w:t xml:space="preserve">12.4.6 </w:t>
      </w:r>
      <w:r>
        <w:rPr>
          <w:rFonts w:hint="eastAsia" w:hAnsi="宋体" w:cs="宋体"/>
          <w:color w:val="auto"/>
          <w:highlight w:val="none"/>
        </w:rPr>
        <w:t>支付分解表的编制</w:t>
      </w:r>
    </w:p>
    <w:p w14:paraId="56CB68DE">
      <w:pPr>
        <w:spacing w:line="360" w:lineRule="auto"/>
        <w:ind w:firstLine="525" w:firstLineChars="250"/>
        <w:jc w:val="left"/>
        <w:rPr>
          <w:color w:val="auto"/>
          <w:highlight w:val="none"/>
          <w:u w:val="single"/>
        </w:rPr>
      </w:pPr>
      <w:r>
        <w:rPr>
          <w:rFonts w:hint="eastAsia"/>
          <w:color w:val="auto"/>
          <w:highlight w:val="none"/>
        </w:rPr>
        <w:t>（</w:t>
      </w:r>
      <w:r>
        <w:rPr>
          <w:color w:val="auto"/>
          <w:highlight w:val="none"/>
        </w:rPr>
        <w:t>1</w:t>
      </w:r>
      <w:r>
        <w:rPr>
          <w:rFonts w:hint="eastAsia"/>
          <w:color w:val="auto"/>
          <w:highlight w:val="none"/>
        </w:rPr>
        <w:t>）</w:t>
      </w:r>
      <w:r>
        <w:rPr>
          <w:rFonts w:hint="eastAsia" w:hAnsi="宋体" w:cs="宋体"/>
          <w:color w:val="auto"/>
          <w:highlight w:val="none"/>
        </w:rPr>
        <w:t>总价合同支付分解表的编制与审批：</w:t>
      </w:r>
      <w:r>
        <w:rPr>
          <w:rFonts w:hint="eastAsia"/>
          <w:color w:val="auto"/>
          <w:highlight w:val="none"/>
          <w:u w:val="single"/>
        </w:rPr>
        <w:t>总价合同支付分分解表在招标完成后由发包人和承包人共同编制，发包人审批，并作为本合同内容。</w:t>
      </w:r>
    </w:p>
    <w:p w14:paraId="15D53B11">
      <w:pPr>
        <w:spacing w:line="360" w:lineRule="auto"/>
        <w:ind w:firstLine="525" w:firstLineChars="250"/>
        <w:jc w:val="left"/>
        <w:rPr>
          <w:color w:val="auto"/>
          <w:highlight w:val="none"/>
          <w:u w:val="single"/>
        </w:rPr>
      </w:pPr>
      <w:r>
        <w:rPr>
          <w:rFonts w:hint="eastAsia"/>
          <w:color w:val="auto"/>
          <w:highlight w:val="none"/>
        </w:rPr>
        <w:t>（2）</w:t>
      </w:r>
      <w:r>
        <w:rPr>
          <w:rFonts w:hint="eastAsia" w:hAnsi="宋体" w:cs="宋体"/>
          <w:color w:val="auto"/>
          <w:highlight w:val="none"/>
        </w:rPr>
        <w:t>单价合同的总价项目支付分解表的编制与审批：总价项目不采用支付分解表的方式计算，而按《建设工程工程量清单计价规范（</w:t>
      </w:r>
      <w:r>
        <w:rPr>
          <w:rFonts w:hAnsi="宋体"/>
          <w:color w:val="auto"/>
          <w:highlight w:val="none"/>
        </w:rPr>
        <w:t>GB50500-2013</w:t>
      </w:r>
      <w:r>
        <w:rPr>
          <w:rFonts w:hint="eastAsia" w:hAnsi="宋体" w:cs="宋体"/>
          <w:color w:val="auto"/>
          <w:highlight w:val="none"/>
        </w:rPr>
        <w:t>）广西壮族自治区实施细则》的规定执行。</w:t>
      </w:r>
    </w:p>
    <w:bookmarkEnd w:id="774"/>
    <w:p w14:paraId="39663AC4">
      <w:pPr>
        <w:keepNext/>
        <w:keepLines/>
        <w:spacing w:before="260" w:after="260" w:line="413" w:lineRule="auto"/>
        <w:outlineLvl w:val="1"/>
        <w:rPr>
          <w:rFonts w:ascii="Arial" w:hAnsi="Arial" w:eastAsia="黑体"/>
          <w:b/>
          <w:bCs/>
          <w:color w:val="auto"/>
          <w:sz w:val="32"/>
          <w:szCs w:val="32"/>
          <w:highlight w:val="none"/>
        </w:rPr>
      </w:pPr>
      <w:bookmarkStart w:id="1043" w:name="_Toc389065318"/>
      <w:bookmarkStart w:id="1044" w:name="_Toc78449842"/>
      <w:bookmarkStart w:id="1045" w:name="_Toc728899116"/>
      <w:bookmarkStart w:id="1046" w:name="_Toc373227753"/>
      <w:bookmarkStart w:id="1047" w:name="_Toc373478400"/>
      <w:bookmarkStart w:id="1048" w:name="_Toc407135256"/>
      <w:bookmarkStart w:id="1049" w:name="_Toc351203645"/>
      <w:bookmarkStart w:id="1050" w:name="_Toc2003466256"/>
      <w:bookmarkStart w:id="1051" w:name="_Toc297216223"/>
      <w:bookmarkStart w:id="1052" w:name="_Toc296891259"/>
      <w:bookmarkStart w:id="1053" w:name="_Toc312678053"/>
      <w:bookmarkStart w:id="1054" w:name="_Toc296944558"/>
      <w:bookmarkStart w:id="1055" w:name="_Toc303539172"/>
      <w:bookmarkStart w:id="1056" w:name="_Toc304295593"/>
      <w:bookmarkStart w:id="1057" w:name="_Toc296346720"/>
      <w:bookmarkStart w:id="1058" w:name="_Toc296891047"/>
      <w:bookmarkStart w:id="1059" w:name="_Toc297048405"/>
      <w:bookmarkStart w:id="1060" w:name="_Toc296347218"/>
      <w:bookmarkStart w:id="1061" w:name="_Toc292559929"/>
      <w:bookmarkStart w:id="1062" w:name="_Toc296503219"/>
      <w:bookmarkStart w:id="1063" w:name="_Toc297120519"/>
      <w:bookmarkStart w:id="1064" w:name="_Toc300935015"/>
      <w:bookmarkStart w:id="1065" w:name="_Toc297123564"/>
      <w:bookmarkStart w:id="1066" w:name="_Toc292559424"/>
      <w:r>
        <w:rPr>
          <w:rFonts w:ascii="Arial" w:hAnsi="Arial" w:eastAsia="黑体"/>
          <w:b/>
          <w:bCs/>
          <w:color w:val="auto"/>
          <w:sz w:val="32"/>
          <w:szCs w:val="32"/>
          <w:highlight w:val="none"/>
        </w:rPr>
        <w:t xml:space="preserve">13. </w:t>
      </w:r>
      <w:r>
        <w:rPr>
          <w:rFonts w:hint="eastAsia" w:ascii="Arial" w:hAnsi="Arial" w:eastAsia="黑体" w:cs="黑体"/>
          <w:b/>
          <w:bCs/>
          <w:color w:val="auto"/>
          <w:sz w:val="32"/>
          <w:szCs w:val="32"/>
          <w:highlight w:val="none"/>
        </w:rPr>
        <w:t>验收和工程试车</w:t>
      </w:r>
      <w:bookmarkEnd w:id="1043"/>
      <w:bookmarkEnd w:id="1044"/>
      <w:bookmarkEnd w:id="1045"/>
      <w:bookmarkEnd w:id="1046"/>
      <w:bookmarkEnd w:id="1047"/>
      <w:bookmarkEnd w:id="1048"/>
      <w:bookmarkEnd w:id="1049"/>
      <w:bookmarkEnd w:id="1050"/>
    </w:p>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p w14:paraId="6AA8AEA4">
      <w:pPr>
        <w:keepNext/>
        <w:keepLines/>
        <w:spacing w:line="600" w:lineRule="exact"/>
        <w:ind w:firstLine="643" w:firstLineChars="200"/>
        <w:outlineLvl w:val="2"/>
        <w:rPr>
          <w:b/>
          <w:bCs/>
          <w:color w:val="auto"/>
          <w:sz w:val="32"/>
          <w:szCs w:val="32"/>
          <w:highlight w:val="none"/>
        </w:rPr>
      </w:pPr>
      <w:bookmarkStart w:id="1067" w:name="_Toc78449843"/>
      <w:bookmarkStart w:id="1068" w:name="_Toc373478401"/>
      <w:bookmarkStart w:id="1069" w:name="_Toc834489126"/>
      <w:bookmarkStart w:id="1070" w:name="_Toc740353520"/>
      <w:bookmarkStart w:id="1071" w:name="_Toc407135257"/>
      <w:bookmarkStart w:id="1072" w:name="_Toc389065319"/>
      <w:bookmarkStart w:id="1073" w:name="_Toc373227754"/>
      <w:r>
        <w:rPr>
          <w:b/>
          <w:bCs/>
          <w:color w:val="auto"/>
          <w:sz w:val="32"/>
          <w:szCs w:val="32"/>
          <w:highlight w:val="none"/>
        </w:rPr>
        <w:t xml:space="preserve">13.1 </w:t>
      </w:r>
      <w:r>
        <w:rPr>
          <w:rFonts w:hint="eastAsia" w:cs="黑体"/>
          <w:b/>
          <w:bCs/>
          <w:color w:val="auto"/>
          <w:sz w:val="32"/>
          <w:szCs w:val="32"/>
          <w:highlight w:val="none"/>
        </w:rPr>
        <w:t>分部分项工程验收</w:t>
      </w:r>
      <w:bookmarkEnd w:id="1067"/>
      <w:bookmarkEnd w:id="1068"/>
      <w:bookmarkEnd w:id="1069"/>
      <w:bookmarkEnd w:id="1070"/>
      <w:bookmarkEnd w:id="1071"/>
      <w:bookmarkEnd w:id="1072"/>
      <w:bookmarkEnd w:id="1073"/>
    </w:p>
    <w:p w14:paraId="36282AF2">
      <w:pPr>
        <w:spacing w:line="360" w:lineRule="auto"/>
        <w:ind w:firstLine="420" w:firstLineChars="200"/>
        <w:jc w:val="left"/>
        <w:rPr>
          <w:color w:val="auto"/>
          <w:highlight w:val="none"/>
        </w:rPr>
      </w:pPr>
      <w:r>
        <w:rPr>
          <w:color w:val="auto"/>
          <w:highlight w:val="none"/>
        </w:rPr>
        <w:t>13.1.2</w:t>
      </w:r>
      <w:r>
        <w:rPr>
          <w:rFonts w:hint="eastAsia" w:hAnsi="宋体" w:cs="宋体"/>
          <w:color w:val="auto"/>
          <w:highlight w:val="none"/>
        </w:rPr>
        <w:t>监理人不能按时进行验收时，应提前</w:t>
      </w:r>
      <w:r>
        <w:rPr>
          <w:rFonts w:hint="eastAsia"/>
          <w:color w:val="auto"/>
          <w:highlight w:val="none"/>
          <w:u w:val="single"/>
        </w:rPr>
        <w:t>24</w:t>
      </w:r>
      <w:r>
        <w:rPr>
          <w:rFonts w:hint="eastAsia" w:hAnsi="宋体" w:cs="宋体"/>
          <w:color w:val="auto"/>
          <w:highlight w:val="none"/>
        </w:rPr>
        <w:t>小时提交书面延期要求。</w:t>
      </w:r>
    </w:p>
    <w:p w14:paraId="32CE2A72">
      <w:pPr>
        <w:spacing w:line="360" w:lineRule="auto"/>
        <w:ind w:firstLine="420" w:firstLineChars="200"/>
        <w:jc w:val="left"/>
        <w:rPr>
          <w:b/>
          <w:bCs/>
          <w:color w:val="auto"/>
          <w:highlight w:val="none"/>
        </w:rPr>
      </w:pPr>
      <w:r>
        <w:rPr>
          <w:rFonts w:hint="eastAsia" w:hAnsi="宋体" w:cs="宋体"/>
          <w:color w:val="auto"/>
          <w:highlight w:val="none"/>
        </w:rPr>
        <w:t>关于延期最长不得超过：</w:t>
      </w:r>
      <w:r>
        <w:rPr>
          <w:rFonts w:hint="eastAsia"/>
          <w:color w:val="auto"/>
          <w:highlight w:val="none"/>
          <w:u w:val="single"/>
        </w:rPr>
        <w:t>24</w:t>
      </w:r>
      <w:r>
        <w:rPr>
          <w:rFonts w:hint="eastAsia" w:hAnsi="宋体" w:cs="宋体"/>
          <w:color w:val="auto"/>
          <w:highlight w:val="none"/>
        </w:rPr>
        <w:t>小时。</w:t>
      </w:r>
    </w:p>
    <w:p w14:paraId="6F459838">
      <w:pPr>
        <w:keepNext/>
        <w:keepLines/>
        <w:spacing w:line="600" w:lineRule="exact"/>
        <w:ind w:firstLine="643" w:firstLineChars="200"/>
        <w:outlineLvl w:val="2"/>
        <w:rPr>
          <w:b/>
          <w:bCs/>
          <w:color w:val="auto"/>
          <w:sz w:val="32"/>
          <w:szCs w:val="32"/>
          <w:highlight w:val="none"/>
        </w:rPr>
      </w:pPr>
      <w:bookmarkStart w:id="1074" w:name="_Toc78449844"/>
      <w:bookmarkStart w:id="1075" w:name="_Toc389065320"/>
      <w:bookmarkStart w:id="1076" w:name="_Toc1578431234"/>
      <w:bookmarkStart w:id="1077" w:name="_Toc1062221039"/>
      <w:bookmarkStart w:id="1078" w:name="_Toc373227755"/>
      <w:bookmarkStart w:id="1079" w:name="_Toc373478402"/>
      <w:bookmarkStart w:id="1080" w:name="_Toc407135258"/>
      <w:bookmarkStart w:id="1081" w:name="_Toc296347222"/>
      <w:bookmarkStart w:id="1082" w:name="_Toc312678056"/>
      <w:bookmarkStart w:id="1083" w:name="_Toc296944562"/>
      <w:bookmarkStart w:id="1084" w:name="_Toc292559428"/>
      <w:bookmarkStart w:id="1085" w:name="_Toc297216224"/>
      <w:bookmarkStart w:id="1086" w:name="_Toc297048409"/>
      <w:bookmarkStart w:id="1087" w:name="_Toc300935016"/>
      <w:bookmarkStart w:id="1088" w:name="_Toc296346724"/>
      <w:bookmarkStart w:id="1089" w:name="_Toc296503223"/>
      <w:bookmarkStart w:id="1090" w:name="_Toc296891263"/>
      <w:bookmarkStart w:id="1091" w:name="_Toc297120523"/>
      <w:bookmarkStart w:id="1092" w:name="_Toc296891051"/>
      <w:bookmarkStart w:id="1093" w:name="_Toc304295596"/>
      <w:bookmarkStart w:id="1094" w:name="_Toc303539173"/>
      <w:bookmarkStart w:id="1095" w:name="_Toc292559933"/>
      <w:bookmarkStart w:id="1096" w:name="_Toc297123565"/>
      <w:bookmarkStart w:id="1097" w:name="_Toc267251474"/>
      <w:bookmarkStart w:id="1098" w:name="_Toc267251472"/>
      <w:bookmarkStart w:id="1099" w:name="_Toc267251470"/>
      <w:bookmarkStart w:id="1100" w:name="_Toc267251475"/>
      <w:bookmarkStart w:id="1101" w:name="_Toc267251473"/>
      <w:bookmarkStart w:id="1102" w:name="_Toc267251471"/>
      <w:bookmarkStart w:id="1103" w:name="_Toc267251476"/>
      <w:r>
        <w:rPr>
          <w:b/>
          <w:bCs/>
          <w:color w:val="auto"/>
          <w:sz w:val="32"/>
          <w:szCs w:val="32"/>
          <w:highlight w:val="none"/>
        </w:rPr>
        <w:t xml:space="preserve">13.2 </w:t>
      </w:r>
      <w:r>
        <w:rPr>
          <w:rFonts w:hint="eastAsia" w:hAnsi="宋体" w:cs="黑体"/>
          <w:b/>
          <w:bCs/>
          <w:color w:val="auto"/>
          <w:sz w:val="32"/>
          <w:szCs w:val="32"/>
          <w:highlight w:val="none"/>
        </w:rPr>
        <w:t>竣工验收</w:t>
      </w:r>
      <w:bookmarkEnd w:id="1074"/>
      <w:bookmarkEnd w:id="1075"/>
      <w:bookmarkEnd w:id="1076"/>
      <w:bookmarkEnd w:id="1077"/>
      <w:bookmarkEnd w:id="1078"/>
      <w:bookmarkEnd w:id="1079"/>
      <w:bookmarkEnd w:id="1080"/>
    </w:p>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p w14:paraId="6BD45B71">
      <w:pPr>
        <w:spacing w:line="360" w:lineRule="auto"/>
        <w:ind w:firstLine="420" w:firstLineChars="200"/>
        <w:jc w:val="left"/>
        <w:rPr>
          <w:color w:val="auto"/>
          <w:highlight w:val="none"/>
        </w:rPr>
      </w:pPr>
      <w:bookmarkStart w:id="1104" w:name="_Toc280868704"/>
      <w:bookmarkStart w:id="1105" w:name="_Toc280868705"/>
      <w:bookmarkStart w:id="1106" w:name="_Toc280868706"/>
      <w:bookmarkStart w:id="1107" w:name="_Toc280868707"/>
      <w:bookmarkStart w:id="1108" w:name="_Toc280868708"/>
      <w:bookmarkStart w:id="1109" w:name="_Toc280868709"/>
      <w:r>
        <w:rPr>
          <w:color w:val="auto"/>
          <w:highlight w:val="none"/>
        </w:rPr>
        <w:t>13.2.1</w:t>
      </w:r>
      <w:r>
        <w:rPr>
          <w:rFonts w:hint="eastAsia" w:hAnsi="宋体" w:cs="宋体"/>
          <w:color w:val="auto"/>
          <w:highlight w:val="none"/>
        </w:rPr>
        <w:t>竣工验收条件</w:t>
      </w:r>
    </w:p>
    <w:p w14:paraId="322B073B">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w:t>
      </w:r>
      <w:r>
        <w:rPr>
          <w:rFonts w:hint="eastAsia" w:hAnsi="宋体" w:cs="宋体"/>
          <w:color w:val="auto"/>
          <w:highlight w:val="none"/>
        </w:rPr>
        <w:t>承包人负责整理和提交的竣工验收资料应当符合工程所在地建设行政主管部门和</w:t>
      </w:r>
      <w:r>
        <w:rPr>
          <w:color w:val="auto"/>
          <w:highlight w:val="none"/>
        </w:rPr>
        <w:t>(</w:t>
      </w:r>
      <w:r>
        <w:rPr>
          <w:rFonts w:hint="eastAsia" w:hAnsi="宋体" w:cs="宋体"/>
          <w:color w:val="auto"/>
          <w:highlight w:val="none"/>
        </w:rPr>
        <w:t>或</w:t>
      </w:r>
      <w:r>
        <w:rPr>
          <w:color w:val="auto"/>
          <w:highlight w:val="none"/>
        </w:rPr>
        <w:t>)</w:t>
      </w:r>
      <w:r>
        <w:rPr>
          <w:rFonts w:hint="eastAsia" w:hAnsi="宋体" w:cs="宋体"/>
          <w:color w:val="auto"/>
          <w:highlight w:val="none"/>
        </w:rPr>
        <w:t>城市建设档案管理机构有关施工资料的要求，具体内容包括：</w:t>
      </w:r>
      <w:r>
        <w:rPr>
          <w:rFonts w:hint="eastAsia" w:ascii="宋体" w:hAnsi="宋体" w:cs="宋体"/>
          <w:color w:val="auto"/>
          <w:highlight w:val="none"/>
          <w:u w:val="single"/>
        </w:rPr>
        <w:t>参照南宁市城建馆存档要求及发包人其它要求</w:t>
      </w:r>
      <w:r>
        <w:rPr>
          <w:rFonts w:hint="eastAsia" w:hAnsi="宋体" w:cs="宋体"/>
          <w:color w:val="auto"/>
          <w:highlight w:val="none"/>
        </w:rPr>
        <w:t>。</w:t>
      </w:r>
    </w:p>
    <w:p w14:paraId="51B746B6">
      <w:pPr>
        <w:spacing w:line="360" w:lineRule="auto"/>
        <w:ind w:firstLine="420" w:firstLineChars="200"/>
        <w:rPr>
          <w:color w:val="auto"/>
          <w:highlight w:val="none"/>
        </w:rPr>
      </w:pPr>
      <w:r>
        <w:rPr>
          <w:rFonts w:hint="eastAsia" w:hAnsi="宋体" w:cs="宋体"/>
          <w:color w:val="auto"/>
          <w:highlight w:val="none"/>
        </w:rPr>
        <w:t>竣工验收资料的份数：</w:t>
      </w:r>
      <w:r>
        <w:rPr>
          <w:rFonts w:hint="eastAsia" w:ascii="宋体" w:hAnsi="宋体" w:cs="宋体"/>
          <w:color w:val="auto"/>
          <w:highlight w:val="none"/>
          <w:u w:val="single"/>
        </w:rPr>
        <w:t>一式陆套（</w:t>
      </w:r>
      <w:r>
        <w:rPr>
          <w:rFonts w:hint="eastAsia" w:hAnsi="宋体"/>
          <w:bCs/>
          <w:color w:val="auto"/>
          <w:highlight w:val="none"/>
          <w:u w:val="single"/>
        </w:rPr>
        <w:t>原件</w:t>
      </w:r>
      <w:r>
        <w:rPr>
          <w:rFonts w:hint="eastAsia" w:ascii="宋体" w:hAnsi="宋体" w:cs="宋体"/>
          <w:color w:val="auto"/>
          <w:highlight w:val="none"/>
          <w:u w:val="single"/>
        </w:rPr>
        <w:t>）</w:t>
      </w:r>
      <w:r>
        <w:rPr>
          <w:rFonts w:hint="eastAsia" w:hAnsi="宋体" w:cs="宋体"/>
          <w:color w:val="auto"/>
          <w:highlight w:val="none"/>
        </w:rPr>
        <w:t>。</w:t>
      </w:r>
    </w:p>
    <w:p w14:paraId="6FEC6B66">
      <w:pPr>
        <w:spacing w:line="360" w:lineRule="auto"/>
        <w:ind w:firstLine="420" w:firstLineChars="200"/>
        <w:jc w:val="left"/>
        <w:rPr>
          <w:color w:val="auto"/>
          <w:highlight w:val="none"/>
        </w:rPr>
      </w:pPr>
      <w:r>
        <w:rPr>
          <w:rFonts w:hint="eastAsia" w:hAnsi="宋体" w:cs="宋体"/>
          <w:color w:val="auto"/>
          <w:highlight w:val="none"/>
        </w:rPr>
        <w:t>承包人提供竣工图的约定：</w:t>
      </w:r>
      <w:r>
        <w:rPr>
          <w:rFonts w:ascii="Calibri" w:hAnsi="宋体"/>
          <w:bCs/>
          <w:color w:val="auto"/>
          <w:highlight w:val="none"/>
          <w:u w:val="single"/>
        </w:rPr>
        <w:t>竣工验收正式通过后</w:t>
      </w:r>
      <w:r>
        <w:rPr>
          <w:rFonts w:ascii="Calibri" w:hAnsi="Calibri"/>
          <w:bCs/>
          <w:color w:val="auto"/>
          <w:highlight w:val="none"/>
          <w:u w:val="single"/>
        </w:rPr>
        <w:t>15</w:t>
      </w:r>
      <w:r>
        <w:rPr>
          <w:rFonts w:ascii="Calibri" w:hAnsi="宋体"/>
          <w:bCs/>
          <w:color w:val="auto"/>
          <w:highlight w:val="none"/>
          <w:u w:val="single"/>
        </w:rPr>
        <w:t>天，提供竣工图的数量分别</w:t>
      </w:r>
      <w:r>
        <w:rPr>
          <w:rFonts w:hAnsi="宋体"/>
          <w:bCs/>
          <w:color w:val="auto"/>
          <w:highlight w:val="none"/>
          <w:u w:val="single"/>
        </w:rPr>
        <w:t>为6套</w:t>
      </w:r>
      <w:r>
        <w:rPr>
          <w:rFonts w:hint="eastAsia" w:hAnsi="宋体"/>
          <w:bCs/>
          <w:color w:val="auto"/>
          <w:highlight w:val="none"/>
          <w:u w:val="single"/>
        </w:rPr>
        <w:t>，且必须是原件</w:t>
      </w:r>
      <w:r>
        <w:rPr>
          <w:rFonts w:hint="eastAsia" w:hAnsi="宋体" w:cs="宋体"/>
          <w:color w:val="auto"/>
          <w:highlight w:val="none"/>
          <w:u w:val="single"/>
        </w:rPr>
        <w:t>。</w:t>
      </w:r>
    </w:p>
    <w:p w14:paraId="6C9F1111">
      <w:pPr>
        <w:spacing w:line="360" w:lineRule="auto"/>
        <w:ind w:firstLine="420" w:firstLineChars="200"/>
        <w:jc w:val="left"/>
        <w:rPr>
          <w:color w:val="auto"/>
          <w:highlight w:val="none"/>
        </w:rPr>
      </w:pPr>
      <w:r>
        <w:rPr>
          <w:color w:val="auto"/>
          <w:highlight w:val="none"/>
        </w:rPr>
        <w:t>13.2.2</w:t>
      </w:r>
      <w:r>
        <w:rPr>
          <w:rFonts w:hint="eastAsia" w:hAnsi="宋体" w:cs="宋体"/>
          <w:color w:val="auto"/>
          <w:highlight w:val="none"/>
        </w:rPr>
        <w:t>竣工验收程序</w:t>
      </w:r>
    </w:p>
    <w:bookmarkEnd w:id="1104"/>
    <w:p w14:paraId="74AD8EC4">
      <w:pPr>
        <w:spacing w:line="360" w:lineRule="auto"/>
        <w:ind w:firstLine="420" w:firstLineChars="200"/>
        <w:jc w:val="left"/>
        <w:rPr>
          <w:color w:val="auto"/>
          <w:highlight w:val="none"/>
          <w:u w:val="single"/>
        </w:rPr>
      </w:pPr>
      <w:r>
        <w:rPr>
          <w:rFonts w:hint="eastAsia" w:hAnsi="宋体" w:cs="宋体"/>
          <w:color w:val="auto"/>
          <w:kern w:val="0"/>
          <w:highlight w:val="none"/>
        </w:rPr>
        <w:t>关于竣工验收程序的约定：</w:t>
      </w:r>
      <w:r>
        <w:rPr>
          <w:rFonts w:hint="eastAsia" w:ascii="宋体" w:hAnsi="宋体" w:cs="宋体"/>
          <w:color w:val="auto"/>
          <w:highlight w:val="none"/>
          <w:u w:val="single"/>
        </w:rPr>
        <w:t xml:space="preserve">（1）按通用合同条款第13.2.2项执行；（2）承包人提交的竣工资料（含竣工图）为一式6套，且须符合本工程所在地建设行政主管部门和城市建设档案馆的要求，并经监理人审查合格 </w:t>
      </w:r>
      <w:r>
        <w:rPr>
          <w:rFonts w:hint="eastAsia" w:hAnsi="宋体" w:cs="宋体"/>
          <w:color w:val="auto"/>
          <w:highlight w:val="none"/>
        </w:rPr>
        <w:t>。</w:t>
      </w:r>
    </w:p>
    <w:p w14:paraId="62ED507A">
      <w:pPr>
        <w:spacing w:line="360" w:lineRule="auto"/>
        <w:jc w:val="left"/>
        <w:rPr>
          <w:color w:val="auto"/>
          <w:highlight w:val="none"/>
        </w:rPr>
      </w:pPr>
      <w:r>
        <w:rPr>
          <w:rFonts w:hint="eastAsia" w:hAnsi="宋体" w:cs="宋体"/>
          <w:color w:val="auto"/>
          <w:kern w:val="0"/>
          <w:highlight w:val="none"/>
        </w:rPr>
        <w:t>发包人不按照本项约定组织竣工验收、颁发工程接收证书的违约金的计算方法：</w:t>
      </w:r>
      <w:r>
        <w:rPr>
          <w:rFonts w:hint="eastAsia" w:ascii="宋体" w:hAnsi="宋体" w:cs="宋体"/>
          <w:color w:val="auto"/>
          <w:highlight w:val="none"/>
          <w:u w:val="single"/>
        </w:rPr>
        <w:t>无</w:t>
      </w:r>
      <w:r>
        <w:rPr>
          <w:rFonts w:hint="eastAsia" w:hAnsi="宋体" w:cs="宋体"/>
          <w:color w:val="auto"/>
          <w:highlight w:val="none"/>
        </w:rPr>
        <w:t>。</w:t>
      </w:r>
    </w:p>
    <w:bookmarkEnd w:id="1105"/>
    <w:p w14:paraId="5DFD96F5">
      <w:pPr>
        <w:spacing w:line="360" w:lineRule="auto"/>
        <w:ind w:firstLine="420" w:firstLineChars="200"/>
        <w:jc w:val="left"/>
        <w:rPr>
          <w:color w:val="auto"/>
          <w:highlight w:val="none"/>
        </w:rPr>
      </w:pPr>
      <w:r>
        <w:rPr>
          <w:color w:val="auto"/>
          <w:highlight w:val="none"/>
        </w:rPr>
        <w:t>13.2.5</w:t>
      </w:r>
      <w:r>
        <w:rPr>
          <w:rFonts w:hint="eastAsia" w:hAnsi="宋体" w:cs="宋体"/>
          <w:color w:val="auto"/>
          <w:highlight w:val="none"/>
        </w:rPr>
        <w:t>移交、接收全部与部分工程</w:t>
      </w:r>
    </w:p>
    <w:bookmarkEnd w:id="1106"/>
    <w:p w14:paraId="2D43E9EC">
      <w:pPr>
        <w:spacing w:line="360" w:lineRule="auto"/>
        <w:ind w:firstLine="420" w:firstLineChars="200"/>
        <w:jc w:val="left"/>
        <w:rPr>
          <w:color w:val="auto"/>
          <w:kern w:val="0"/>
          <w:highlight w:val="none"/>
        </w:rPr>
      </w:pPr>
      <w:r>
        <w:rPr>
          <w:rFonts w:hint="eastAsia" w:hAnsi="宋体" w:cs="宋体"/>
          <w:color w:val="auto"/>
          <w:kern w:val="0"/>
          <w:highlight w:val="none"/>
        </w:rPr>
        <w:t>承包人向发包人移交工程的期限：</w:t>
      </w:r>
      <w:r>
        <w:rPr>
          <w:rFonts w:hint="eastAsia" w:ascii="宋体" w:hAnsi="宋体" w:cs="宋体"/>
          <w:color w:val="auto"/>
          <w:highlight w:val="none"/>
          <w:u w:val="single"/>
        </w:rPr>
        <w:t xml:space="preserve">竣工验收整改完毕三日内 </w:t>
      </w:r>
      <w:r>
        <w:rPr>
          <w:rFonts w:hint="eastAsia" w:hAnsi="宋体" w:cs="宋体"/>
          <w:color w:val="auto"/>
          <w:highlight w:val="none"/>
        </w:rPr>
        <w:t>。</w:t>
      </w:r>
    </w:p>
    <w:p w14:paraId="7B92748D">
      <w:pPr>
        <w:spacing w:line="360" w:lineRule="auto"/>
        <w:ind w:firstLine="420" w:firstLineChars="200"/>
        <w:jc w:val="left"/>
        <w:rPr>
          <w:color w:val="auto"/>
          <w:highlight w:val="none"/>
          <w:u w:val="single"/>
        </w:rPr>
      </w:pPr>
      <w:r>
        <w:rPr>
          <w:rFonts w:hint="eastAsia" w:hAnsi="宋体" w:cs="宋体"/>
          <w:color w:val="auto"/>
          <w:kern w:val="0"/>
          <w:highlight w:val="none"/>
        </w:rPr>
        <w:t>发包人未按本合同约定接收全部或部分工程的，违约金的计算方法为：</w:t>
      </w:r>
      <w:r>
        <w:rPr>
          <w:rFonts w:hint="eastAsia" w:ascii="宋体" w:hAnsi="宋体" w:cs="宋体"/>
          <w:color w:val="auto"/>
          <w:highlight w:val="none"/>
          <w:u w:val="single"/>
        </w:rPr>
        <w:t>发包人承担超时部分工程看管人工费</w:t>
      </w:r>
      <w:r>
        <w:rPr>
          <w:rFonts w:hint="eastAsia" w:hAnsi="宋体" w:cs="宋体"/>
          <w:color w:val="auto"/>
          <w:highlight w:val="none"/>
        </w:rPr>
        <w:t>。</w:t>
      </w:r>
    </w:p>
    <w:bookmarkEnd w:id="1107"/>
    <w:p w14:paraId="34AD1BAC">
      <w:pPr>
        <w:spacing w:line="360" w:lineRule="auto"/>
        <w:ind w:firstLine="420" w:firstLineChars="200"/>
        <w:jc w:val="left"/>
        <w:rPr>
          <w:color w:val="auto"/>
          <w:highlight w:val="none"/>
          <w:u w:val="single"/>
        </w:rPr>
      </w:pPr>
      <w:r>
        <w:rPr>
          <w:rFonts w:hint="eastAsia" w:hAnsi="宋体" w:cs="宋体"/>
          <w:color w:val="auto"/>
          <w:highlight w:val="none"/>
        </w:rPr>
        <w:t>承包人未按时移交工程的，违约金的计算方法为：</w:t>
      </w:r>
      <w:r>
        <w:rPr>
          <w:rFonts w:hint="eastAsia" w:ascii="宋体" w:hAnsi="宋体" w:cs="宋体"/>
          <w:color w:val="auto"/>
          <w:highlight w:val="none"/>
          <w:u w:val="single"/>
        </w:rPr>
        <w:t xml:space="preserve">每超一天向发包人支付合同价款万分之四的误期赔偿费，限额为合同价的2% </w:t>
      </w:r>
      <w:r>
        <w:rPr>
          <w:rFonts w:hint="eastAsia" w:hAnsi="宋体" w:cs="宋体"/>
          <w:color w:val="auto"/>
          <w:highlight w:val="none"/>
        </w:rPr>
        <w:t>。</w:t>
      </w:r>
    </w:p>
    <w:p w14:paraId="0AAA5CAD">
      <w:pPr>
        <w:keepNext/>
        <w:keepLines/>
        <w:spacing w:line="600" w:lineRule="exact"/>
        <w:ind w:firstLine="643" w:firstLineChars="200"/>
        <w:outlineLvl w:val="2"/>
        <w:rPr>
          <w:b/>
          <w:bCs/>
          <w:color w:val="auto"/>
          <w:sz w:val="32"/>
          <w:szCs w:val="32"/>
          <w:highlight w:val="none"/>
        </w:rPr>
      </w:pPr>
      <w:bookmarkStart w:id="1110" w:name="_Toc78449845"/>
      <w:bookmarkStart w:id="1111" w:name="_Toc1470255881"/>
      <w:bookmarkStart w:id="1112" w:name="_Toc373227756"/>
      <w:bookmarkStart w:id="1113" w:name="_Toc373478403"/>
      <w:bookmarkStart w:id="1114" w:name="_Toc389065321"/>
      <w:bookmarkStart w:id="1115" w:name="_Toc2090321864"/>
      <w:bookmarkStart w:id="1116" w:name="_Toc407135259"/>
      <w:r>
        <w:rPr>
          <w:b/>
          <w:bCs/>
          <w:color w:val="auto"/>
          <w:sz w:val="32"/>
          <w:szCs w:val="32"/>
          <w:highlight w:val="none"/>
        </w:rPr>
        <w:t xml:space="preserve">13.3 </w:t>
      </w:r>
      <w:r>
        <w:rPr>
          <w:rFonts w:hint="eastAsia" w:hAnsi="宋体" w:cs="黑体"/>
          <w:b/>
          <w:bCs/>
          <w:color w:val="auto"/>
          <w:sz w:val="32"/>
          <w:szCs w:val="32"/>
          <w:highlight w:val="none"/>
        </w:rPr>
        <w:t>工程试车</w:t>
      </w:r>
      <w:bookmarkEnd w:id="1110"/>
      <w:bookmarkEnd w:id="1111"/>
      <w:bookmarkEnd w:id="1112"/>
      <w:bookmarkEnd w:id="1113"/>
      <w:bookmarkEnd w:id="1114"/>
      <w:bookmarkEnd w:id="1115"/>
      <w:bookmarkEnd w:id="1116"/>
    </w:p>
    <w:bookmarkEnd w:id="1108"/>
    <w:p w14:paraId="20E0AAB7">
      <w:pPr>
        <w:spacing w:line="360" w:lineRule="auto"/>
        <w:ind w:firstLine="420" w:firstLineChars="200"/>
        <w:jc w:val="left"/>
        <w:rPr>
          <w:color w:val="auto"/>
          <w:kern w:val="0"/>
          <w:highlight w:val="none"/>
        </w:rPr>
      </w:pPr>
      <w:r>
        <w:rPr>
          <w:color w:val="auto"/>
          <w:kern w:val="0"/>
          <w:highlight w:val="none"/>
        </w:rPr>
        <w:t xml:space="preserve">13.3.1 </w:t>
      </w:r>
      <w:r>
        <w:rPr>
          <w:rFonts w:hint="eastAsia" w:hAnsi="宋体" w:cs="宋体"/>
          <w:color w:val="auto"/>
          <w:kern w:val="0"/>
          <w:highlight w:val="none"/>
        </w:rPr>
        <w:t>试车程序</w:t>
      </w:r>
    </w:p>
    <w:p w14:paraId="16E5C67B">
      <w:pPr>
        <w:spacing w:line="360" w:lineRule="auto"/>
        <w:ind w:firstLine="420" w:firstLineChars="200"/>
        <w:jc w:val="left"/>
        <w:rPr>
          <w:color w:val="auto"/>
          <w:highlight w:val="none"/>
          <w:u w:val="single"/>
        </w:rPr>
      </w:pPr>
      <w:r>
        <w:rPr>
          <w:rFonts w:hint="eastAsia" w:hAnsi="宋体" w:cs="宋体"/>
          <w:color w:val="auto"/>
          <w:kern w:val="0"/>
          <w:highlight w:val="none"/>
        </w:rPr>
        <w:t>工程试车内容：</w:t>
      </w:r>
      <w:r>
        <w:rPr>
          <w:rFonts w:hint="eastAsia" w:ascii="宋体" w:hAnsi="宋体" w:cs="宋体"/>
          <w:color w:val="auto"/>
          <w:highlight w:val="none"/>
          <w:u w:val="single"/>
        </w:rPr>
        <w:t>另行约定</w:t>
      </w:r>
      <w:r>
        <w:rPr>
          <w:rFonts w:hint="eastAsia" w:hAnsi="宋体" w:cs="宋体"/>
          <w:color w:val="auto"/>
          <w:highlight w:val="none"/>
        </w:rPr>
        <w:t>。</w:t>
      </w:r>
    </w:p>
    <w:p w14:paraId="4CDBB292">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）单机无负荷试车费用由</w:t>
      </w:r>
      <w:r>
        <w:rPr>
          <w:rFonts w:hint="eastAsia" w:ascii="宋体" w:hAnsi="宋体" w:cs="宋体"/>
          <w:color w:val="auto"/>
          <w:highlight w:val="none"/>
          <w:u w:val="single"/>
        </w:rPr>
        <w:t>承包人</w:t>
      </w:r>
      <w:r>
        <w:rPr>
          <w:rFonts w:hint="eastAsia" w:hAnsi="宋体" w:cs="宋体"/>
          <w:color w:val="auto"/>
          <w:kern w:val="0"/>
          <w:highlight w:val="none"/>
        </w:rPr>
        <w:t>承担；</w:t>
      </w:r>
    </w:p>
    <w:p w14:paraId="5C97E2B6">
      <w:pPr>
        <w:spacing w:line="360" w:lineRule="auto"/>
        <w:ind w:firstLine="420" w:firstLineChars="200"/>
        <w:jc w:val="left"/>
        <w:rPr>
          <w:rFonts w:hAnsi="宋体" w:cs="宋体"/>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）无负荷联动试车费用由</w:t>
      </w:r>
      <w:r>
        <w:rPr>
          <w:rFonts w:hint="eastAsia" w:ascii="宋体" w:hAnsi="宋体" w:cs="宋体"/>
          <w:color w:val="auto"/>
          <w:highlight w:val="none"/>
          <w:u w:val="single"/>
        </w:rPr>
        <w:t>承包人</w:t>
      </w:r>
      <w:r>
        <w:rPr>
          <w:rFonts w:hint="eastAsia" w:hAnsi="宋体" w:cs="宋体"/>
          <w:color w:val="auto"/>
          <w:kern w:val="0"/>
          <w:highlight w:val="none"/>
        </w:rPr>
        <w:t>承担。</w:t>
      </w:r>
    </w:p>
    <w:p w14:paraId="0F037577">
      <w:pPr>
        <w:spacing w:line="360" w:lineRule="auto"/>
        <w:ind w:firstLine="420" w:firstLineChars="200"/>
        <w:jc w:val="left"/>
        <w:rPr>
          <w:rFonts w:hAnsi="宋体" w:cs="宋体"/>
          <w:color w:val="auto"/>
          <w:kern w:val="0"/>
          <w:highlight w:val="none"/>
        </w:rPr>
      </w:pPr>
      <w:r>
        <w:rPr>
          <w:rFonts w:hint="eastAsia" w:hAnsi="宋体" w:cs="宋体"/>
          <w:color w:val="auto"/>
          <w:kern w:val="0"/>
          <w:highlight w:val="none"/>
        </w:rPr>
        <w:t>（3）如项目涉及试运行，试运行成功（各项指标符合国家法律法规和行业规范要求）作为移交的前置条件；该试运行涉及的组织、安装、调试、清理、消毒、方案等步骤为承包人负责，费用已含在投保报价中，不再另计计价。</w:t>
      </w:r>
    </w:p>
    <w:p w14:paraId="2D12BD1D">
      <w:pPr>
        <w:spacing w:line="360" w:lineRule="auto"/>
        <w:ind w:firstLine="420" w:firstLineChars="200"/>
        <w:jc w:val="left"/>
        <w:rPr>
          <w:color w:val="auto"/>
          <w:kern w:val="0"/>
          <w:highlight w:val="none"/>
        </w:rPr>
      </w:pPr>
      <w:r>
        <w:rPr>
          <w:color w:val="auto"/>
          <w:kern w:val="0"/>
          <w:highlight w:val="none"/>
        </w:rPr>
        <w:t xml:space="preserve">13.3.3 </w:t>
      </w:r>
      <w:r>
        <w:rPr>
          <w:rFonts w:hint="eastAsia" w:hAnsi="宋体" w:cs="宋体"/>
          <w:color w:val="auto"/>
          <w:kern w:val="0"/>
          <w:highlight w:val="none"/>
        </w:rPr>
        <w:t>投料试车</w:t>
      </w:r>
    </w:p>
    <w:p w14:paraId="2F628B84">
      <w:pPr>
        <w:spacing w:line="360" w:lineRule="auto"/>
        <w:ind w:firstLine="420" w:firstLineChars="200"/>
        <w:jc w:val="left"/>
        <w:rPr>
          <w:color w:val="auto"/>
          <w:highlight w:val="none"/>
          <w:u w:val="single"/>
        </w:rPr>
      </w:pPr>
      <w:r>
        <w:rPr>
          <w:rFonts w:hint="eastAsia" w:hAnsi="宋体" w:cs="宋体"/>
          <w:color w:val="auto"/>
          <w:kern w:val="0"/>
          <w:highlight w:val="none"/>
        </w:rPr>
        <w:t>关于投料试车相关事项的约定：</w:t>
      </w:r>
      <w:r>
        <w:rPr>
          <w:rFonts w:hint="eastAsia" w:ascii="宋体" w:hAnsi="宋体" w:cs="宋体"/>
          <w:color w:val="auto"/>
          <w:highlight w:val="none"/>
          <w:u w:val="single"/>
        </w:rPr>
        <w:t xml:space="preserve">投料试运行应在工程竣工验收后由发包人负责，如发包人要求在工程竣工验收前进行或需要承包人配合时，应征得承包人同意，另行签订补充协议 </w:t>
      </w:r>
      <w:r>
        <w:rPr>
          <w:rFonts w:hint="eastAsia" w:hAnsi="宋体" w:cs="宋体"/>
          <w:color w:val="auto"/>
          <w:highlight w:val="none"/>
        </w:rPr>
        <w:t>。</w:t>
      </w:r>
    </w:p>
    <w:p w14:paraId="0E2E4FE8">
      <w:pPr>
        <w:keepNext/>
        <w:keepLines/>
        <w:spacing w:line="600" w:lineRule="exact"/>
        <w:ind w:firstLine="643" w:firstLineChars="200"/>
        <w:outlineLvl w:val="2"/>
        <w:rPr>
          <w:b/>
          <w:bCs/>
          <w:color w:val="auto"/>
          <w:sz w:val="32"/>
          <w:szCs w:val="32"/>
          <w:highlight w:val="none"/>
        </w:rPr>
      </w:pPr>
      <w:bookmarkStart w:id="1117" w:name="_Toc78449846"/>
      <w:bookmarkStart w:id="1118" w:name="_Toc373227757"/>
      <w:bookmarkStart w:id="1119" w:name="_Toc373478404"/>
      <w:bookmarkStart w:id="1120" w:name="_Toc550030550"/>
      <w:bookmarkStart w:id="1121" w:name="_Toc407135260"/>
      <w:bookmarkStart w:id="1122" w:name="_Toc10307455"/>
      <w:bookmarkStart w:id="1123" w:name="_Toc389065322"/>
      <w:r>
        <w:rPr>
          <w:b/>
          <w:bCs/>
          <w:color w:val="auto"/>
          <w:sz w:val="32"/>
          <w:szCs w:val="32"/>
          <w:highlight w:val="none"/>
        </w:rPr>
        <w:t xml:space="preserve">13.6 </w:t>
      </w:r>
      <w:r>
        <w:rPr>
          <w:rFonts w:hint="eastAsia" w:hAnsi="宋体" w:cs="黑体"/>
          <w:b/>
          <w:bCs/>
          <w:color w:val="auto"/>
          <w:sz w:val="32"/>
          <w:szCs w:val="32"/>
          <w:highlight w:val="none"/>
        </w:rPr>
        <w:t>竣工退场</w:t>
      </w:r>
      <w:bookmarkEnd w:id="1117"/>
      <w:bookmarkEnd w:id="1118"/>
      <w:bookmarkEnd w:id="1119"/>
      <w:bookmarkEnd w:id="1120"/>
      <w:bookmarkEnd w:id="1121"/>
      <w:bookmarkEnd w:id="1122"/>
      <w:bookmarkEnd w:id="1123"/>
    </w:p>
    <w:p w14:paraId="41DB8C2B">
      <w:pPr>
        <w:spacing w:line="360" w:lineRule="auto"/>
        <w:ind w:firstLine="420" w:firstLineChars="200"/>
        <w:jc w:val="left"/>
        <w:outlineLvl w:val="0"/>
        <w:rPr>
          <w:color w:val="auto"/>
          <w:kern w:val="0"/>
          <w:highlight w:val="none"/>
        </w:rPr>
      </w:pPr>
      <w:r>
        <w:rPr>
          <w:color w:val="auto"/>
          <w:kern w:val="0"/>
          <w:highlight w:val="none"/>
        </w:rPr>
        <w:t xml:space="preserve">13.6.1 </w:t>
      </w:r>
      <w:r>
        <w:rPr>
          <w:rFonts w:hint="eastAsia" w:hAnsi="宋体" w:cs="宋体"/>
          <w:color w:val="auto"/>
          <w:kern w:val="0"/>
          <w:highlight w:val="none"/>
        </w:rPr>
        <w:t>竣工退场</w:t>
      </w:r>
    </w:p>
    <w:p w14:paraId="2DF7C9BF">
      <w:pPr>
        <w:spacing w:line="360" w:lineRule="auto"/>
        <w:ind w:firstLine="420" w:firstLineChars="200"/>
        <w:jc w:val="left"/>
        <w:rPr>
          <w:color w:val="auto"/>
          <w:kern w:val="0"/>
          <w:highlight w:val="none"/>
        </w:rPr>
      </w:pPr>
      <w:r>
        <w:rPr>
          <w:rFonts w:hint="eastAsia" w:hAnsi="宋体" w:cs="宋体"/>
          <w:color w:val="auto"/>
          <w:kern w:val="0"/>
          <w:highlight w:val="none"/>
        </w:rPr>
        <w:t>承包人完成竣工退场的期限：</w:t>
      </w:r>
      <w:r>
        <w:rPr>
          <w:rFonts w:hint="eastAsia" w:ascii="宋体" w:hAnsi="宋体" w:cs="宋体"/>
          <w:color w:val="auto"/>
          <w:highlight w:val="none"/>
          <w:u w:val="single"/>
        </w:rPr>
        <w:t>发包人颁发(出具)工程接收证书后，承包人负责按照通用合同条款本项约定的要求对施工场地进行清理并承担相关费用，直至监理人检验合格后七日内，如承包人到期后不退场，发包人有权安排其他人员进行清理，费用从承包人工程款中扣除</w:t>
      </w:r>
      <w:r>
        <w:rPr>
          <w:rFonts w:hint="eastAsia" w:hAnsi="宋体" w:cs="宋体"/>
          <w:color w:val="auto"/>
          <w:kern w:val="0"/>
          <w:highlight w:val="none"/>
        </w:rPr>
        <w:t>。</w:t>
      </w:r>
    </w:p>
    <w:p w14:paraId="40107B34">
      <w:pPr>
        <w:keepNext/>
        <w:keepLines/>
        <w:spacing w:before="260" w:after="260" w:line="413" w:lineRule="auto"/>
        <w:outlineLvl w:val="1"/>
        <w:rPr>
          <w:rFonts w:ascii="Arial" w:hAnsi="Arial" w:eastAsia="黑体"/>
          <w:b/>
          <w:bCs/>
          <w:color w:val="auto"/>
          <w:sz w:val="32"/>
          <w:szCs w:val="32"/>
          <w:highlight w:val="none"/>
        </w:rPr>
      </w:pPr>
      <w:bookmarkStart w:id="1124" w:name="_Toc1385490858"/>
      <w:bookmarkStart w:id="1125" w:name="_Toc351203646"/>
      <w:bookmarkStart w:id="1126" w:name="_Toc373227758"/>
      <w:bookmarkStart w:id="1127" w:name="_Toc373478405"/>
      <w:bookmarkStart w:id="1128" w:name="_Toc389065323"/>
      <w:bookmarkStart w:id="1129" w:name="_Toc407135261"/>
      <w:bookmarkStart w:id="1130" w:name="_Toc1950258056"/>
      <w:bookmarkStart w:id="1131" w:name="_Toc78449847"/>
      <w:r>
        <w:rPr>
          <w:rFonts w:ascii="Arial" w:hAnsi="Arial" w:eastAsia="黑体"/>
          <w:b/>
          <w:bCs/>
          <w:color w:val="auto"/>
          <w:sz w:val="32"/>
          <w:szCs w:val="32"/>
          <w:highlight w:val="none"/>
        </w:rPr>
        <w:t xml:space="preserve">14. </w:t>
      </w:r>
      <w:r>
        <w:rPr>
          <w:rFonts w:hint="eastAsia" w:ascii="Arial" w:hAnsi="宋体" w:eastAsia="黑体" w:cs="黑体"/>
          <w:b/>
          <w:bCs/>
          <w:color w:val="auto"/>
          <w:sz w:val="32"/>
          <w:szCs w:val="32"/>
          <w:highlight w:val="none"/>
        </w:rPr>
        <w:t>竣工结算</w:t>
      </w:r>
      <w:bookmarkEnd w:id="1124"/>
      <w:bookmarkEnd w:id="1125"/>
      <w:bookmarkEnd w:id="1126"/>
      <w:bookmarkEnd w:id="1127"/>
      <w:bookmarkEnd w:id="1128"/>
      <w:bookmarkEnd w:id="1129"/>
      <w:bookmarkEnd w:id="1130"/>
      <w:bookmarkEnd w:id="1131"/>
    </w:p>
    <w:p w14:paraId="4357639D">
      <w:pPr>
        <w:keepNext/>
        <w:keepLines/>
        <w:spacing w:line="600" w:lineRule="exact"/>
        <w:ind w:firstLine="643" w:firstLineChars="200"/>
        <w:outlineLvl w:val="2"/>
        <w:rPr>
          <w:b/>
          <w:bCs/>
          <w:color w:val="auto"/>
          <w:sz w:val="32"/>
          <w:szCs w:val="32"/>
          <w:highlight w:val="none"/>
        </w:rPr>
      </w:pPr>
      <w:bookmarkStart w:id="1132" w:name="_Toc389065324"/>
      <w:bookmarkStart w:id="1133" w:name="_Toc373478406"/>
      <w:bookmarkStart w:id="1134" w:name="_Toc373227759"/>
      <w:bookmarkStart w:id="1135" w:name="_Toc78449848"/>
      <w:bookmarkStart w:id="1136" w:name="_Toc174652718"/>
      <w:bookmarkStart w:id="1137" w:name="_Toc1973954660"/>
      <w:bookmarkStart w:id="1138" w:name="_Toc407135262"/>
      <w:r>
        <w:rPr>
          <w:b/>
          <w:bCs/>
          <w:color w:val="auto"/>
          <w:sz w:val="32"/>
          <w:szCs w:val="32"/>
          <w:highlight w:val="none"/>
        </w:rPr>
        <w:t xml:space="preserve">14.1 </w:t>
      </w:r>
      <w:r>
        <w:rPr>
          <w:rFonts w:hint="eastAsia" w:hAnsi="宋体" w:cs="黑体"/>
          <w:b/>
          <w:bCs/>
          <w:color w:val="auto"/>
          <w:sz w:val="32"/>
          <w:szCs w:val="32"/>
          <w:highlight w:val="none"/>
        </w:rPr>
        <w:t>竣工付款申请</w:t>
      </w:r>
      <w:bookmarkEnd w:id="1132"/>
      <w:bookmarkEnd w:id="1133"/>
      <w:bookmarkEnd w:id="1134"/>
      <w:bookmarkEnd w:id="1135"/>
      <w:bookmarkEnd w:id="1136"/>
      <w:bookmarkEnd w:id="1137"/>
      <w:bookmarkEnd w:id="1138"/>
    </w:p>
    <w:p w14:paraId="36AAABDC">
      <w:pPr>
        <w:spacing w:line="360" w:lineRule="auto"/>
        <w:ind w:firstLine="420" w:firstLineChars="200"/>
        <w:jc w:val="left"/>
        <w:rPr>
          <w:color w:val="auto"/>
          <w:highlight w:val="none"/>
        </w:rPr>
      </w:pPr>
      <w:r>
        <w:rPr>
          <w:rFonts w:hint="eastAsia" w:hAnsi="宋体" w:cs="宋体"/>
          <w:color w:val="auto"/>
          <w:highlight w:val="none"/>
        </w:rPr>
        <w:t>承包人提交竣工付款申请单的期限：</w:t>
      </w:r>
      <w:r>
        <w:rPr>
          <w:rFonts w:hint="eastAsia" w:ascii="宋体" w:hAnsi="宋体" w:cs="宋体"/>
          <w:color w:val="auto"/>
          <w:highlight w:val="none"/>
          <w:u w:val="single"/>
        </w:rPr>
        <w:t>本工程结算审定后28日内</w:t>
      </w:r>
      <w:r>
        <w:rPr>
          <w:rFonts w:hint="eastAsia" w:hAnsi="宋体" w:cs="宋体"/>
          <w:color w:val="auto"/>
          <w:highlight w:val="none"/>
        </w:rPr>
        <w:t>。</w:t>
      </w:r>
    </w:p>
    <w:p w14:paraId="75803171">
      <w:pPr>
        <w:spacing w:line="360" w:lineRule="auto"/>
        <w:ind w:firstLine="420" w:firstLineChars="200"/>
        <w:jc w:val="left"/>
        <w:rPr>
          <w:color w:val="auto"/>
          <w:highlight w:val="none"/>
          <w:u w:val="single"/>
        </w:rPr>
      </w:pPr>
      <w:r>
        <w:rPr>
          <w:rFonts w:hint="eastAsia" w:hAnsi="宋体" w:cs="宋体"/>
          <w:color w:val="auto"/>
          <w:highlight w:val="none"/>
        </w:rPr>
        <w:t>竣工付款申请单应包括的内容：</w:t>
      </w:r>
      <w:r>
        <w:rPr>
          <w:rFonts w:hint="eastAsia" w:ascii="宋体" w:hAnsi="宋体" w:cs="宋体"/>
          <w:color w:val="auto"/>
          <w:highlight w:val="none"/>
          <w:u w:val="single"/>
        </w:rPr>
        <w:t>除通用合同条款第14.1款约定的内容外，还应包括：工程结算审核结论书</w:t>
      </w:r>
      <w:r>
        <w:rPr>
          <w:rFonts w:hint="eastAsia" w:hAnsi="宋体" w:cs="宋体"/>
          <w:color w:val="auto"/>
          <w:highlight w:val="none"/>
        </w:rPr>
        <w:t>。</w:t>
      </w:r>
    </w:p>
    <w:p w14:paraId="43D39B56">
      <w:pPr>
        <w:keepNext/>
        <w:keepLines/>
        <w:spacing w:line="600" w:lineRule="exact"/>
        <w:ind w:firstLine="643" w:firstLineChars="200"/>
        <w:outlineLvl w:val="2"/>
        <w:rPr>
          <w:rFonts w:hAnsi="宋体" w:cs="黑体"/>
          <w:b/>
          <w:bCs/>
          <w:color w:val="auto"/>
          <w:sz w:val="32"/>
          <w:szCs w:val="32"/>
          <w:highlight w:val="none"/>
        </w:rPr>
      </w:pPr>
      <w:bookmarkStart w:id="1139" w:name="_Toc373227760"/>
      <w:bookmarkStart w:id="1140" w:name="_Toc373478407"/>
      <w:bookmarkStart w:id="1141" w:name="_Toc489920513"/>
      <w:bookmarkStart w:id="1142" w:name="_Toc407135263"/>
      <w:bookmarkStart w:id="1143" w:name="_Toc78449849"/>
      <w:bookmarkStart w:id="1144" w:name="_Toc389065325"/>
      <w:bookmarkStart w:id="1145" w:name="_Toc667492935"/>
      <w:r>
        <w:rPr>
          <w:b/>
          <w:bCs/>
          <w:color w:val="auto"/>
          <w:sz w:val="32"/>
          <w:szCs w:val="32"/>
          <w:highlight w:val="none"/>
        </w:rPr>
        <w:t xml:space="preserve">14.2 </w:t>
      </w:r>
      <w:r>
        <w:rPr>
          <w:rFonts w:hint="eastAsia" w:hAnsi="宋体" w:cs="黑体"/>
          <w:b/>
          <w:bCs/>
          <w:color w:val="auto"/>
          <w:sz w:val="32"/>
          <w:szCs w:val="32"/>
          <w:highlight w:val="none"/>
        </w:rPr>
        <w:t>竣工结算审核</w:t>
      </w:r>
      <w:bookmarkEnd w:id="1139"/>
      <w:bookmarkEnd w:id="1140"/>
      <w:bookmarkEnd w:id="1141"/>
      <w:bookmarkEnd w:id="1142"/>
      <w:bookmarkEnd w:id="1143"/>
      <w:bookmarkEnd w:id="1144"/>
      <w:bookmarkEnd w:id="1145"/>
    </w:p>
    <w:p w14:paraId="1B5623E6">
      <w:pPr>
        <w:wordWrap w:val="0"/>
        <w:spacing w:line="400" w:lineRule="exact"/>
        <w:ind w:firstLine="422" w:firstLineChars="200"/>
        <w:rPr>
          <w:rFonts w:ascii="宋体" w:hAnsi="宋体" w:cs="宋体"/>
          <w:b/>
          <w:bCs/>
          <w:color w:val="auto"/>
          <w:szCs w:val="21"/>
          <w:highlight w:val="none"/>
        </w:rPr>
      </w:pPr>
      <w:bookmarkStart w:id="1146" w:name="_Toc454188801"/>
      <w:bookmarkStart w:id="1147" w:name="_Toc419746010"/>
      <w:bookmarkStart w:id="1148" w:name="_Toc476645937"/>
      <w:bookmarkStart w:id="1149" w:name="_Toc389720239"/>
      <w:bookmarkStart w:id="1150" w:name="_Toc404178598"/>
      <w:bookmarkStart w:id="1151" w:name="_Toc380595158"/>
      <w:bookmarkStart w:id="1152" w:name="_Toc389436370"/>
      <w:bookmarkStart w:id="1153" w:name="_Toc382381817"/>
      <w:r>
        <w:rPr>
          <w:rFonts w:hint="eastAsia" w:ascii="宋体" w:hAnsi="宋体" w:cs="宋体"/>
          <w:b/>
          <w:bCs/>
          <w:color w:val="auto"/>
          <w:szCs w:val="21"/>
          <w:highlight w:val="none"/>
        </w:rPr>
        <w:t>（1）施工单位在竣工验收后3个月内按发包人要求提交结算资料，每延迟一天提交结算资料，按1000元/天进行处罚。</w:t>
      </w:r>
    </w:p>
    <w:p w14:paraId="1F890711">
      <w:pPr>
        <w:spacing w:line="400" w:lineRule="exact"/>
        <w:ind w:firstLine="420"/>
        <w:jc w:val="left"/>
        <w:rPr>
          <w:rFonts w:ascii="宋体" w:hAnsi="宋体" w:cs="宋体"/>
          <w:b/>
          <w:bCs/>
          <w:color w:val="auto"/>
          <w:szCs w:val="21"/>
          <w:highlight w:val="none"/>
        </w:rPr>
      </w:pPr>
      <w:bookmarkStart w:id="1154" w:name="_Toc476645936"/>
      <w:bookmarkStart w:id="1155" w:name="_Toc382381816"/>
      <w:bookmarkStart w:id="1156" w:name="_Toc454188800"/>
      <w:bookmarkStart w:id="1157" w:name="_Toc380595157"/>
      <w:bookmarkStart w:id="1158" w:name="_Toc404178597"/>
      <w:bookmarkStart w:id="1159" w:name="_Toc389720238"/>
      <w:bookmarkStart w:id="1160" w:name="_Toc419746009"/>
      <w:bookmarkStart w:id="1161" w:name="_Toc389436369"/>
      <w:r>
        <w:rPr>
          <w:rFonts w:hint="eastAsia" w:ascii="宋体" w:hAnsi="宋体" w:cs="宋体"/>
          <w:b/>
          <w:bCs/>
          <w:color w:val="auto"/>
          <w:szCs w:val="21"/>
          <w:highlight w:val="none"/>
        </w:rPr>
        <w:t>（2）本工程最终竣工结算需报财政部门或财政部门聘请的第三方审计机构审定，承包人所编制的工程竣工资料经财政部门审核后，承包人所遗漏的与工程造价有关的签证不再作为结算审核依据，按自动放弃处理。</w:t>
      </w:r>
      <w:bookmarkEnd w:id="1154"/>
      <w:bookmarkEnd w:id="1155"/>
      <w:bookmarkEnd w:id="1156"/>
      <w:bookmarkEnd w:id="1157"/>
      <w:bookmarkEnd w:id="1158"/>
      <w:bookmarkEnd w:id="1159"/>
      <w:bookmarkEnd w:id="1160"/>
      <w:bookmarkEnd w:id="1161"/>
    </w:p>
    <w:p w14:paraId="31C2273E">
      <w:pPr>
        <w:spacing w:line="400" w:lineRule="exact"/>
        <w:ind w:firstLine="422" w:firstLineChars="200"/>
        <w:jc w:val="left"/>
        <w:rPr>
          <w:rFonts w:ascii="宋体" w:hAnsi="宋体" w:cs="宋体"/>
          <w:color w:val="auto"/>
          <w:highlight w:val="none"/>
        </w:rPr>
      </w:pPr>
      <w:r>
        <w:rPr>
          <w:rFonts w:hint="eastAsia" w:ascii="宋体" w:hAnsi="宋体" w:cs="宋体"/>
          <w:b/>
          <w:bCs/>
          <w:color w:val="auto"/>
          <w:szCs w:val="21"/>
          <w:highlight w:val="none"/>
        </w:rPr>
        <w:t>（3）如承包人报送的工程结算总价过高，造成该结算审减率超过3%以上的，则超出部分的审核费由承包人承担，费用由发包人从承包人工程结算款中扣除。审减率=（送审造价-审定造价）/送审造价*100%。审核收费标准按桂价协字〔2019〕15号6.1执行</w:t>
      </w:r>
      <w:r>
        <w:rPr>
          <w:rFonts w:hint="eastAsia" w:ascii="宋体" w:hAnsi="宋体" w:cs="宋体"/>
          <w:color w:val="auto"/>
          <w:highlight w:val="none"/>
        </w:rPr>
        <w:t>。</w:t>
      </w:r>
      <w:bookmarkEnd w:id="1146"/>
      <w:bookmarkEnd w:id="1147"/>
      <w:bookmarkEnd w:id="1148"/>
      <w:bookmarkEnd w:id="1149"/>
      <w:bookmarkEnd w:id="1150"/>
      <w:bookmarkEnd w:id="1151"/>
      <w:bookmarkEnd w:id="1152"/>
      <w:bookmarkEnd w:id="1153"/>
    </w:p>
    <w:p w14:paraId="36161BDB">
      <w:pPr>
        <w:rPr>
          <w:color w:val="auto"/>
          <w:highlight w:val="none"/>
        </w:rPr>
      </w:pPr>
    </w:p>
    <w:p w14:paraId="5C7EDD34">
      <w:pPr>
        <w:spacing w:line="360" w:lineRule="auto"/>
        <w:ind w:firstLine="420" w:firstLineChars="200"/>
        <w:jc w:val="left"/>
        <w:rPr>
          <w:color w:val="auto"/>
          <w:highlight w:val="none"/>
        </w:rPr>
      </w:pPr>
      <w:r>
        <w:rPr>
          <w:rFonts w:hint="eastAsia" w:hAnsi="宋体" w:cs="宋体"/>
          <w:color w:val="auto"/>
          <w:highlight w:val="none"/>
        </w:rPr>
        <w:t>发包人审批竣工付款申请单的期限：</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69E34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65" w:type="dxa"/>
            <w:noWrap w:val="0"/>
            <w:vAlign w:val="center"/>
          </w:tcPr>
          <w:p w14:paraId="25107330">
            <w:pPr>
              <w:spacing w:line="360" w:lineRule="auto"/>
              <w:rPr>
                <w:color w:val="auto"/>
                <w:highlight w:val="none"/>
              </w:rPr>
            </w:pPr>
          </w:p>
        </w:tc>
        <w:tc>
          <w:tcPr>
            <w:tcW w:w="2466" w:type="dxa"/>
            <w:noWrap w:val="0"/>
            <w:vAlign w:val="center"/>
          </w:tcPr>
          <w:p w14:paraId="23E08DD4">
            <w:pPr>
              <w:spacing w:line="360" w:lineRule="auto"/>
              <w:ind w:firstLine="27" w:firstLineChars="13"/>
              <w:jc w:val="center"/>
              <w:rPr>
                <w:color w:val="auto"/>
                <w:highlight w:val="none"/>
              </w:rPr>
            </w:pPr>
            <w:r>
              <w:rPr>
                <w:rFonts w:hint="eastAsia" w:hAnsi="宋体" w:cs="宋体"/>
                <w:color w:val="auto"/>
                <w:highlight w:val="none"/>
              </w:rPr>
              <w:t>工程竣工结算报告金额</w:t>
            </w:r>
          </w:p>
        </w:tc>
        <w:tc>
          <w:tcPr>
            <w:tcW w:w="5967" w:type="dxa"/>
            <w:noWrap w:val="0"/>
            <w:vAlign w:val="center"/>
          </w:tcPr>
          <w:p w14:paraId="013D8E3A">
            <w:pPr>
              <w:spacing w:line="360" w:lineRule="auto"/>
              <w:ind w:firstLine="441" w:firstLineChars="210"/>
              <w:jc w:val="center"/>
              <w:rPr>
                <w:color w:val="auto"/>
                <w:highlight w:val="none"/>
              </w:rPr>
            </w:pPr>
            <w:r>
              <w:rPr>
                <w:rFonts w:hint="eastAsia" w:hAnsi="宋体" w:cs="宋体"/>
                <w:color w:val="auto"/>
                <w:highlight w:val="none"/>
              </w:rPr>
              <w:t>发包人审查时间</w:t>
            </w:r>
          </w:p>
        </w:tc>
      </w:tr>
      <w:tr w14:paraId="53D3B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7EEBF53D">
            <w:pPr>
              <w:spacing w:line="360" w:lineRule="auto"/>
              <w:jc w:val="center"/>
              <w:rPr>
                <w:color w:val="auto"/>
                <w:highlight w:val="none"/>
              </w:rPr>
            </w:pPr>
            <w:r>
              <w:rPr>
                <w:color w:val="auto"/>
                <w:highlight w:val="none"/>
              </w:rPr>
              <w:t>1</w:t>
            </w:r>
          </w:p>
        </w:tc>
        <w:tc>
          <w:tcPr>
            <w:tcW w:w="2466" w:type="dxa"/>
            <w:noWrap w:val="0"/>
            <w:vAlign w:val="center"/>
          </w:tcPr>
          <w:p w14:paraId="0E75F866">
            <w:pPr>
              <w:spacing w:line="360" w:lineRule="auto"/>
              <w:ind w:firstLine="27" w:firstLineChars="13"/>
              <w:jc w:val="center"/>
              <w:rPr>
                <w:color w:val="auto"/>
                <w:highlight w:val="none"/>
              </w:rPr>
            </w:pPr>
            <w:r>
              <w:rPr>
                <w:color w:val="auto"/>
                <w:highlight w:val="none"/>
              </w:rPr>
              <w:t>500</w:t>
            </w:r>
            <w:r>
              <w:rPr>
                <w:rFonts w:hint="eastAsia" w:hAnsi="宋体" w:cs="宋体"/>
                <w:color w:val="auto"/>
                <w:highlight w:val="none"/>
              </w:rPr>
              <w:t>万元以下</w:t>
            </w:r>
          </w:p>
        </w:tc>
        <w:tc>
          <w:tcPr>
            <w:tcW w:w="5967" w:type="dxa"/>
            <w:noWrap w:val="0"/>
            <w:vAlign w:val="center"/>
          </w:tcPr>
          <w:p w14:paraId="429166D0">
            <w:pPr>
              <w:spacing w:line="360" w:lineRule="auto"/>
              <w:ind w:firstLine="441" w:firstLineChars="210"/>
              <w:jc w:val="center"/>
              <w:rPr>
                <w:color w:val="auto"/>
                <w:highlight w:val="none"/>
              </w:rPr>
            </w:pPr>
            <w:r>
              <w:rPr>
                <w:rFonts w:hint="eastAsia" w:hAnsi="宋体" w:cs="宋体"/>
                <w:color w:val="auto"/>
                <w:highlight w:val="none"/>
              </w:rPr>
              <w:t>从接到竣工结算报告和完整的竣工结算资料之日起</w:t>
            </w:r>
            <w:r>
              <w:rPr>
                <w:color w:val="auto"/>
                <w:highlight w:val="none"/>
              </w:rPr>
              <w:t>20</w:t>
            </w:r>
            <w:r>
              <w:rPr>
                <w:rFonts w:hint="eastAsia" w:hAnsi="宋体" w:cs="宋体"/>
                <w:color w:val="auto"/>
                <w:highlight w:val="none"/>
              </w:rPr>
              <w:t>天</w:t>
            </w:r>
          </w:p>
        </w:tc>
      </w:tr>
      <w:tr w14:paraId="4CD40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36BD1120">
            <w:pPr>
              <w:spacing w:line="360" w:lineRule="auto"/>
              <w:jc w:val="center"/>
              <w:rPr>
                <w:color w:val="auto"/>
                <w:highlight w:val="none"/>
              </w:rPr>
            </w:pPr>
            <w:r>
              <w:rPr>
                <w:color w:val="auto"/>
                <w:highlight w:val="none"/>
              </w:rPr>
              <w:t>2</w:t>
            </w:r>
          </w:p>
        </w:tc>
        <w:tc>
          <w:tcPr>
            <w:tcW w:w="2466" w:type="dxa"/>
            <w:noWrap w:val="0"/>
            <w:vAlign w:val="center"/>
          </w:tcPr>
          <w:p w14:paraId="13B40F24">
            <w:pPr>
              <w:spacing w:line="360" w:lineRule="auto"/>
              <w:ind w:firstLine="27" w:firstLineChars="13"/>
              <w:jc w:val="center"/>
              <w:rPr>
                <w:color w:val="auto"/>
                <w:highlight w:val="none"/>
              </w:rPr>
            </w:pPr>
            <w:r>
              <w:rPr>
                <w:color w:val="auto"/>
                <w:highlight w:val="none"/>
              </w:rPr>
              <w:t>500</w:t>
            </w:r>
            <w:r>
              <w:rPr>
                <w:rFonts w:hint="eastAsia" w:hAnsi="宋体" w:cs="宋体"/>
                <w:color w:val="auto"/>
                <w:highlight w:val="none"/>
              </w:rPr>
              <w:t>万元</w:t>
            </w:r>
            <w:r>
              <w:rPr>
                <w:color w:val="auto"/>
                <w:highlight w:val="none"/>
              </w:rPr>
              <w:t>-2000</w:t>
            </w:r>
            <w:r>
              <w:rPr>
                <w:rFonts w:hint="eastAsia" w:hAnsi="宋体" w:cs="宋体"/>
                <w:color w:val="auto"/>
                <w:highlight w:val="none"/>
              </w:rPr>
              <w:t>万元</w:t>
            </w:r>
          </w:p>
        </w:tc>
        <w:tc>
          <w:tcPr>
            <w:tcW w:w="5967" w:type="dxa"/>
            <w:noWrap w:val="0"/>
            <w:vAlign w:val="center"/>
          </w:tcPr>
          <w:p w14:paraId="7A26D10F">
            <w:pPr>
              <w:spacing w:line="360" w:lineRule="auto"/>
              <w:ind w:firstLine="441" w:firstLineChars="210"/>
              <w:jc w:val="center"/>
              <w:rPr>
                <w:color w:val="auto"/>
                <w:highlight w:val="none"/>
              </w:rPr>
            </w:pPr>
            <w:r>
              <w:rPr>
                <w:rFonts w:hint="eastAsia" w:hAnsi="宋体" w:cs="宋体"/>
                <w:color w:val="auto"/>
                <w:highlight w:val="none"/>
              </w:rPr>
              <w:t>从接到竣工结算报告和完整的竣工结算资料之日起</w:t>
            </w:r>
            <w:r>
              <w:rPr>
                <w:color w:val="auto"/>
                <w:highlight w:val="none"/>
              </w:rPr>
              <w:t>30</w:t>
            </w:r>
            <w:r>
              <w:rPr>
                <w:rFonts w:hint="eastAsia" w:hAnsi="宋体" w:cs="宋体"/>
                <w:color w:val="auto"/>
                <w:highlight w:val="none"/>
              </w:rPr>
              <w:t>天</w:t>
            </w:r>
          </w:p>
        </w:tc>
      </w:tr>
      <w:tr w14:paraId="4F959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04AC9244">
            <w:pPr>
              <w:spacing w:line="360" w:lineRule="auto"/>
              <w:jc w:val="center"/>
              <w:rPr>
                <w:color w:val="auto"/>
                <w:highlight w:val="none"/>
              </w:rPr>
            </w:pPr>
            <w:r>
              <w:rPr>
                <w:color w:val="auto"/>
                <w:highlight w:val="none"/>
              </w:rPr>
              <w:t>3</w:t>
            </w:r>
          </w:p>
        </w:tc>
        <w:tc>
          <w:tcPr>
            <w:tcW w:w="2466" w:type="dxa"/>
            <w:noWrap w:val="0"/>
            <w:vAlign w:val="center"/>
          </w:tcPr>
          <w:p w14:paraId="6F9C3D7F">
            <w:pPr>
              <w:spacing w:line="360" w:lineRule="auto"/>
              <w:ind w:firstLine="27" w:firstLineChars="13"/>
              <w:jc w:val="center"/>
              <w:rPr>
                <w:color w:val="auto"/>
                <w:highlight w:val="none"/>
              </w:rPr>
            </w:pPr>
            <w:r>
              <w:rPr>
                <w:color w:val="auto"/>
                <w:highlight w:val="none"/>
              </w:rPr>
              <w:t>2000</w:t>
            </w:r>
            <w:r>
              <w:rPr>
                <w:rFonts w:hint="eastAsia" w:hAnsi="宋体" w:cs="宋体"/>
                <w:color w:val="auto"/>
                <w:highlight w:val="none"/>
              </w:rPr>
              <w:t>万元</w:t>
            </w:r>
            <w:r>
              <w:rPr>
                <w:color w:val="auto"/>
                <w:highlight w:val="none"/>
              </w:rPr>
              <w:t>-5000</w:t>
            </w:r>
            <w:r>
              <w:rPr>
                <w:rFonts w:hint="eastAsia" w:hAnsi="宋体" w:cs="宋体"/>
                <w:color w:val="auto"/>
                <w:highlight w:val="none"/>
              </w:rPr>
              <w:t>万元</w:t>
            </w:r>
          </w:p>
        </w:tc>
        <w:tc>
          <w:tcPr>
            <w:tcW w:w="5967" w:type="dxa"/>
            <w:noWrap w:val="0"/>
            <w:vAlign w:val="center"/>
          </w:tcPr>
          <w:p w14:paraId="279C4CCC">
            <w:pPr>
              <w:spacing w:line="360" w:lineRule="auto"/>
              <w:ind w:firstLine="441" w:firstLineChars="210"/>
              <w:jc w:val="center"/>
              <w:rPr>
                <w:color w:val="auto"/>
                <w:highlight w:val="none"/>
              </w:rPr>
            </w:pPr>
            <w:r>
              <w:rPr>
                <w:rFonts w:hint="eastAsia" w:hAnsi="宋体" w:cs="宋体"/>
                <w:color w:val="auto"/>
                <w:highlight w:val="none"/>
              </w:rPr>
              <w:t>从接到竣工结算报告和完整的竣工结算资料之日起</w:t>
            </w:r>
            <w:r>
              <w:rPr>
                <w:color w:val="auto"/>
                <w:highlight w:val="none"/>
              </w:rPr>
              <w:t>45</w:t>
            </w:r>
            <w:r>
              <w:rPr>
                <w:rFonts w:hint="eastAsia" w:hAnsi="宋体" w:cs="宋体"/>
                <w:color w:val="auto"/>
                <w:highlight w:val="none"/>
              </w:rPr>
              <w:t>天</w:t>
            </w:r>
          </w:p>
        </w:tc>
      </w:tr>
      <w:tr w14:paraId="200FA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5AE02E56">
            <w:pPr>
              <w:spacing w:line="360" w:lineRule="auto"/>
              <w:jc w:val="center"/>
              <w:rPr>
                <w:color w:val="auto"/>
                <w:highlight w:val="none"/>
              </w:rPr>
            </w:pPr>
            <w:r>
              <w:rPr>
                <w:color w:val="auto"/>
                <w:highlight w:val="none"/>
              </w:rPr>
              <w:t>4</w:t>
            </w:r>
          </w:p>
        </w:tc>
        <w:tc>
          <w:tcPr>
            <w:tcW w:w="2466" w:type="dxa"/>
            <w:noWrap w:val="0"/>
            <w:vAlign w:val="center"/>
          </w:tcPr>
          <w:p w14:paraId="7CD6486A">
            <w:pPr>
              <w:spacing w:line="360" w:lineRule="auto"/>
              <w:ind w:firstLine="27" w:firstLineChars="13"/>
              <w:jc w:val="center"/>
              <w:rPr>
                <w:color w:val="auto"/>
                <w:highlight w:val="none"/>
              </w:rPr>
            </w:pPr>
            <w:r>
              <w:rPr>
                <w:color w:val="auto"/>
                <w:highlight w:val="none"/>
              </w:rPr>
              <w:t>5000</w:t>
            </w:r>
            <w:r>
              <w:rPr>
                <w:rFonts w:hint="eastAsia" w:hAnsi="宋体" w:cs="宋体"/>
                <w:color w:val="auto"/>
                <w:highlight w:val="none"/>
              </w:rPr>
              <w:t>万元以上</w:t>
            </w:r>
          </w:p>
        </w:tc>
        <w:tc>
          <w:tcPr>
            <w:tcW w:w="5967" w:type="dxa"/>
            <w:noWrap w:val="0"/>
            <w:vAlign w:val="center"/>
          </w:tcPr>
          <w:p w14:paraId="42633ED4">
            <w:pPr>
              <w:spacing w:line="360" w:lineRule="auto"/>
              <w:ind w:firstLine="441" w:firstLineChars="210"/>
              <w:jc w:val="center"/>
              <w:rPr>
                <w:color w:val="auto"/>
                <w:highlight w:val="none"/>
              </w:rPr>
            </w:pPr>
            <w:r>
              <w:rPr>
                <w:rFonts w:hint="eastAsia" w:hAnsi="宋体" w:cs="宋体"/>
                <w:color w:val="auto"/>
                <w:highlight w:val="none"/>
              </w:rPr>
              <w:t>从接到竣工结算报告和完整的竣工结算资料之日起</w:t>
            </w:r>
            <w:r>
              <w:rPr>
                <w:color w:val="auto"/>
                <w:highlight w:val="none"/>
              </w:rPr>
              <w:t>60</w:t>
            </w:r>
            <w:r>
              <w:rPr>
                <w:rFonts w:hint="eastAsia" w:hAnsi="宋体" w:cs="宋体"/>
                <w:color w:val="auto"/>
                <w:highlight w:val="none"/>
              </w:rPr>
              <w:t>天</w:t>
            </w:r>
          </w:p>
        </w:tc>
      </w:tr>
      <w:tr w14:paraId="1368A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5D9F74AA">
            <w:pPr>
              <w:spacing w:line="360" w:lineRule="auto"/>
              <w:jc w:val="center"/>
              <w:rPr>
                <w:color w:val="auto"/>
                <w:highlight w:val="none"/>
              </w:rPr>
            </w:pPr>
            <w:r>
              <w:rPr>
                <w:rFonts w:hint="eastAsia"/>
                <w:color w:val="auto"/>
                <w:highlight w:val="none"/>
              </w:rPr>
              <w:t>5</w:t>
            </w:r>
          </w:p>
        </w:tc>
        <w:tc>
          <w:tcPr>
            <w:tcW w:w="2466" w:type="dxa"/>
            <w:noWrap w:val="0"/>
            <w:vAlign w:val="center"/>
          </w:tcPr>
          <w:p w14:paraId="16DCB9A9">
            <w:pPr>
              <w:spacing w:line="360" w:lineRule="auto"/>
              <w:ind w:firstLine="27" w:firstLineChars="13"/>
              <w:jc w:val="center"/>
              <w:rPr>
                <w:color w:val="auto"/>
                <w:highlight w:val="none"/>
              </w:rPr>
            </w:pPr>
            <w:r>
              <w:rPr>
                <w:rFonts w:hint="eastAsia"/>
                <w:color w:val="auto"/>
                <w:highlight w:val="none"/>
              </w:rPr>
              <w:t>5000万以上每增加</w:t>
            </w:r>
            <w:r>
              <w:rPr>
                <w:color w:val="auto"/>
                <w:highlight w:val="none"/>
              </w:rPr>
              <w:t>0.5</w:t>
            </w:r>
            <w:r>
              <w:rPr>
                <w:rFonts w:hint="eastAsia"/>
                <w:color w:val="auto"/>
                <w:highlight w:val="none"/>
              </w:rPr>
              <w:t>亿(不足0.5亿不增加)</w:t>
            </w:r>
          </w:p>
        </w:tc>
        <w:tc>
          <w:tcPr>
            <w:tcW w:w="5967" w:type="dxa"/>
            <w:noWrap w:val="0"/>
            <w:vAlign w:val="center"/>
          </w:tcPr>
          <w:p w14:paraId="4210D13A">
            <w:pPr>
              <w:spacing w:line="360" w:lineRule="auto"/>
              <w:ind w:firstLine="441" w:firstLineChars="210"/>
              <w:jc w:val="center"/>
              <w:rPr>
                <w:rFonts w:hAnsi="宋体" w:cs="宋体"/>
                <w:color w:val="auto"/>
                <w:highlight w:val="none"/>
              </w:rPr>
            </w:pPr>
            <w:r>
              <w:rPr>
                <w:rFonts w:hint="eastAsia" w:hAnsi="宋体" w:cs="宋体"/>
                <w:color w:val="auto"/>
                <w:highlight w:val="none"/>
              </w:rPr>
              <w:t>增加10天</w:t>
            </w:r>
          </w:p>
        </w:tc>
      </w:tr>
    </w:tbl>
    <w:p w14:paraId="2E929510">
      <w:pPr>
        <w:spacing w:line="360" w:lineRule="auto"/>
        <w:ind w:firstLine="420" w:firstLineChars="200"/>
        <w:jc w:val="left"/>
        <w:rPr>
          <w:rFonts w:hAnsi="宋体"/>
          <w:color w:val="auto"/>
          <w:highlight w:val="none"/>
        </w:rPr>
      </w:pPr>
      <w:r>
        <w:rPr>
          <w:rFonts w:hint="eastAsia" w:hAnsi="宋体" w:cs="宋体"/>
          <w:color w:val="auto"/>
          <w:highlight w:val="none"/>
        </w:rPr>
        <w:t>因承包人提供的结算资料不完整而需要补充或承包人不按时对账耽误时间时，审查时间应相应顺延。</w:t>
      </w:r>
    </w:p>
    <w:p w14:paraId="4CCA5C20">
      <w:pPr>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发包人完成竣工付款的期限：</w:t>
      </w:r>
      <w:r>
        <w:rPr>
          <w:rFonts w:hint="eastAsia" w:ascii="宋体" w:hAnsi="宋体" w:cs="宋体"/>
          <w:color w:val="auto"/>
          <w:highlight w:val="none"/>
          <w:u w:val="single"/>
        </w:rPr>
        <w:t xml:space="preserve">   56天内   </w:t>
      </w:r>
      <w:r>
        <w:rPr>
          <w:rFonts w:hint="eastAsia" w:ascii="宋体" w:hAnsi="宋体" w:cs="宋体"/>
          <w:color w:val="auto"/>
          <w:highlight w:val="none"/>
        </w:rPr>
        <w:t>。</w:t>
      </w:r>
    </w:p>
    <w:p w14:paraId="67EF4023">
      <w:pPr>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关于竣工付款证书异议部分复核的方式和程序：</w:t>
      </w:r>
      <w:r>
        <w:rPr>
          <w:rFonts w:hint="eastAsia" w:ascii="宋体" w:hAnsi="宋体" w:cs="宋体"/>
          <w:color w:val="auto"/>
          <w:highlight w:val="none"/>
          <w:u w:val="single"/>
        </w:rPr>
        <w:t xml:space="preserve">  按本合同通用条款  </w:t>
      </w:r>
      <w:r>
        <w:rPr>
          <w:rFonts w:hint="eastAsia" w:ascii="宋体" w:hAnsi="宋体" w:cs="宋体"/>
          <w:color w:val="auto"/>
          <w:highlight w:val="none"/>
        </w:rPr>
        <w:t>。</w:t>
      </w:r>
    </w:p>
    <w:p w14:paraId="7FE86B54">
      <w:pPr>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工程竣工验收报告经发包人认可后10日内，承包人向发包人递交竣工结算报告书及完整的结算资料（按施工分部分类）并经发包人确认。发包人在接到完整的结算资料之日起60个工作日内完成审核工作。承包人取得发包人审核意见后10个工作日内给予答复，超过答复时间视为同意审核结果。若对发包人审核意见有异议，在10个工作日内与发包人或发包人委托单位沟通达成一致意见，若10天内达不成一致意见，承包人可先向当地住建局或双方认定的机构进行调解，若还达不成一致意见，则承包人可向当地人民法院起诉。若承包人若不起诉，则发包人视为同意发包人或发包人委托单位意见。在结算期间。承包人无条件协助发包人办理相关手续，否则由此给发包人带来的损失由承包人负责。</w:t>
      </w:r>
    </w:p>
    <w:p w14:paraId="27EFA5BC">
      <w:pPr>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2、结算依据：双方约定按以下条款作为结算依据：</w:t>
      </w:r>
    </w:p>
    <w:p w14:paraId="68A006F4">
      <w:pPr>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1）本合同价格及计价标准、设计变更、签证</w:t>
      </w:r>
    </w:p>
    <w:p w14:paraId="0BA6F668">
      <w:pPr>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2）按竣工图纸核实已完工程量。</w:t>
      </w:r>
    </w:p>
    <w:p w14:paraId="39C08BE8">
      <w:pPr>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3）结算发现清单定额与实际图纸不符的，按照图纸重新编制清单进行结算，单价乘以下浮系数（</w:t>
      </w:r>
      <w:r>
        <w:rPr>
          <w:rFonts w:hint="eastAsia" w:ascii="宋体" w:hAnsi="宋体" w:cs="宋体"/>
          <w:color w:val="auto"/>
          <w:highlight w:val="none"/>
          <w:lang w:val="en-US" w:eastAsia="zh-CN"/>
        </w:rPr>
        <w:t>成交</w:t>
      </w:r>
      <w:r>
        <w:rPr>
          <w:rFonts w:hint="eastAsia" w:ascii="宋体" w:hAnsi="宋体" w:cs="宋体"/>
          <w:color w:val="auto"/>
          <w:highlight w:val="none"/>
        </w:rPr>
        <w:t>价/上控价）。</w:t>
      </w:r>
    </w:p>
    <w:p w14:paraId="408C92EE">
      <w:pPr>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4）结算发现清单定额与实际施工不符的，按照施工工序编制组价与清单定额组价相比，按价格低的执行，单价乘以下浮系数（</w:t>
      </w:r>
      <w:r>
        <w:rPr>
          <w:rFonts w:hint="eastAsia" w:ascii="宋体" w:hAnsi="宋体" w:cs="宋体"/>
          <w:color w:val="auto"/>
          <w:highlight w:val="none"/>
          <w:lang w:val="en-US" w:eastAsia="zh-CN"/>
        </w:rPr>
        <w:t>成交</w:t>
      </w:r>
      <w:r>
        <w:rPr>
          <w:rFonts w:hint="eastAsia" w:ascii="宋体" w:hAnsi="宋体" w:cs="宋体"/>
          <w:color w:val="auto"/>
          <w:highlight w:val="none"/>
        </w:rPr>
        <w:t>价/上控价）。</w:t>
      </w:r>
    </w:p>
    <w:p w14:paraId="5E1A2EE5">
      <w:pPr>
        <w:spacing w:line="360" w:lineRule="auto"/>
        <w:ind w:firstLine="420" w:firstLineChars="200"/>
        <w:jc w:val="left"/>
        <w:rPr>
          <w:color w:val="auto"/>
          <w:highlight w:val="none"/>
          <w:u w:val="single"/>
        </w:rPr>
      </w:pPr>
      <w:r>
        <w:rPr>
          <w:rFonts w:hint="eastAsia" w:ascii="宋体" w:hAnsi="宋体" w:cs="宋体"/>
          <w:color w:val="auto"/>
          <w:highlight w:val="none"/>
        </w:rPr>
        <w:t>5）</w:t>
      </w:r>
      <w:r>
        <w:rPr>
          <w:rFonts w:hint="eastAsia" w:ascii="宋体" w:hAnsi="宋体" w:cs="宋体"/>
          <w:color w:val="auto"/>
          <w:szCs w:val="21"/>
          <w:highlight w:val="none"/>
        </w:rPr>
        <w:t>最终金额以财局、</w:t>
      </w:r>
      <w:r>
        <w:rPr>
          <w:rFonts w:hint="eastAsia" w:ascii="宋体" w:hAnsi="宋体" w:cs="宋体"/>
          <w:color w:val="auto"/>
          <w:szCs w:val="21"/>
          <w:highlight w:val="none"/>
          <w:lang w:eastAsia="zh-CN"/>
        </w:rPr>
        <w:t>财政部门</w:t>
      </w:r>
      <w:r>
        <w:rPr>
          <w:rFonts w:hint="eastAsia" w:ascii="宋体" w:hAnsi="宋体" w:cs="宋体"/>
          <w:color w:val="auto"/>
          <w:szCs w:val="21"/>
          <w:highlight w:val="none"/>
        </w:rPr>
        <w:t>或第三方审计结算为准。</w:t>
      </w:r>
    </w:p>
    <w:p w14:paraId="051129D3">
      <w:pPr>
        <w:keepNext/>
        <w:keepLines/>
        <w:spacing w:line="600" w:lineRule="exact"/>
        <w:ind w:firstLine="643" w:firstLineChars="200"/>
        <w:outlineLvl w:val="2"/>
        <w:rPr>
          <w:b/>
          <w:bCs/>
          <w:color w:val="auto"/>
          <w:sz w:val="32"/>
          <w:szCs w:val="32"/>
          <w:highlight w:val="none"/>
        </w:rPr>
      </w:pPr>
      <w:bookmarkStart w:id="1162" w:name="_Toc407135264"/>
      <w:bookmarkStart w:id="1163" w:name="_Toc78449850"/>
      <w:bookmarkStart w:id="1164" w:name="_Toc1203653078"/>
      <w:bookmarkStart w:id="1165" w:name="_Toc373227761"/>
      <w:bookmarkStart w:id="1166" w:name="_Toc540165641"/>
      <w:bookmarkStart w:id="1167" w:name="_Toc373478408"/>
      <w:bookmarkStart w:id="1168" w:name="_Toc389065326"/>
      <w:r>
        <w:rPr>
          <w:b/>
          <w:bCs/>
          <w:color w:val="auto"/>
          <w:sz w:val="32"/>
          <w:szCs w:val="32"/>
          <w:highlight w:val="none"/>
        </w:rPr>
        <w:t xml:space="preserve">14.4 </w:t>
      </w:r>
      <w:r>
        <w:rPr>
          <w:rFonts w:hint="eastAsia" w:hAnsi="宋体" w:cs="黑体"/>
          <w:b/>
          <w:bCs/>
          <w:color w:val="auto"/>
          <w:sz w:val="32"/>
          <w:szCs w:val="32"/>
          <w:highlight w:val="none"/>
        </w:rPr>
        <w:t>最终结清</w:t>
      </w:r>
      <w:bookmarkEnd w:id="1162"/>
      <w:bookmarkEnd w:id="1163"/>
      <w:bookmarkEnd w:id="1164"/>
      <w:bookmarkEnd w:id="1165"/>
      <w:bookmarkEnd w:id="1166"/>
      <w:bookmarkEnd w:id="1167"/>
      <w:bookmarkEnd w:id="1168"/>
    </w:p>
    <w:p w14:paraId="3EE2B22D">
      <w:pPr>
        <w:spacing w:line="360" w:lineRule="auto"/>
        <w:ind w:firstLine="420" w:firstLineChars="200"/>
        <w:jc w:val="left"/>
        <w:rPr>
          <w:color w:val="auto"/>
          <w:kern w:val="0"/>
          <w:highlight w:val="none"/>
        </w:rPr>
      </w:pPr>
      <w:r>
        <w:rPr>
          <w:color w:val="auto"/>
          <w:kern w:val="0"/>
          <w:highlight w:val="none"/>
        </w:rPr>
        <w:t xml:space="preserve">14.4.1 </w:t>
      </w:r>
      <w:r>
        <w:rPr>
          <w:rFonts w:hint="eastAsia" w:hAnsi="宋体" w:cs="宋体"/>
          <w:color w:val="auto"/>
          <w:kern w:val="0"/>
          <w:highlight w:val="none"/>
        </w:rPr>
        <w:t>最终结清申请单</w:t>
      </w:r>
    </w:p>
    <w:p w14:paraId="44A2B2E1">
      <w:pPr>
        <w:spacing w:line="360" w:lineRule="auto"/>
        <w:ind w:firstLine="420" w:firstLineChars="200"/>
        <w:jc w:val="left"/>
        <w:rPr>
          <w:color w:val="auto"/>
          <w:kern w:val="0"/>
          <w:highlight w:val="none"/>
        </w:rPr>
      </w:pPr>
      <w:r>
        <w:rPr>
          <w:rFonts w:hint="eastAsia" w:hAnsi="宋体" w:cs="宋体"/>
          <w:color w:val="auto"/>
          <w:kern w:val="0"/>
          <w:highlight w:val="none"/>
        </w:rPr>
        <w:t>承包人提交最终结清申请单的份数：</w:t>
      </w:r>
      <w:r>
        <w:rPr>
          <w:rFonts w:hint="eastAsia" w:ascii="宋体" w:hAnsi="宋体" w:cs="宋体"/>
          <w:color w:val="auto"/>
          <w:highlight w:val="none"/>
          <w:u w:val="single"/>
        </w:rPr>
        <w:t xml:space="preserve"> 一式两份</w:t>
      </w:r>
      <w:r>
        <w:rPr>
          <w:rFonts w:hint="eastAsia" w:hAnsi="宋体" w:cs="宋体"/>
          <w:color w:val="auto"/>
          <w:highlight w:val="none"/>
        </w:rPr>
        <w:t>。</w:t>
      </w:r>
    </w:p>
    <w:p w14:paraId="0062308B">
      <w:pPr>
        <w:spacing w:line="360" w:lineRule="auto"/>
        <w:ind w:firstLine="420" w:firstLineChars="200"/>
        <w:jc w:val="left"/>
        <w:rPr>
          <w:color w:val="auto"/>
          <w:highlight w:val="none"/>
        </w:rPr>
      </w:pPr>
      <w:r>
        <w:rPr>
          <w:rFonts w:hint="eastAsia" w:hAnsi="宋体" w:cs="宋体"/>
          <w:color w:val="auto"/>
          <w:kern w:val="0"/>
          <w:highlight w:val="none"/>
        </w:rPr>
        <w:t>承包人提交最终结算申请单的期限：</w:t>
      </w:r>
      <w:r>
        <w:rPr>
          <w:rFonts w:hint="eastAsia" w:ascii="宋体" w:hAnsi="宋体" w:cs="宋体"/>
          <w:color w:val="auto"/>
          <w:highlight w:val="none"/>
          <w:u w:val="single"/>
        </w:rPr>
        <w:t xml:space="preserve">按合同通用条款执行  </w:t>
      </w:r>
      <w:r>
        <w:rPr>
          <w:rFonts w:hint="eastAsia" w:hAnsi="宋体" w:cs="宋体"/>
          <w:color w:val="auto"/>
          <w:highlight w:val="none"/>
        </w:rPr>
        <w:t>。</w:t>
      </w:r>
    </w:p>
    <w:p w14:paraId="6096EAB1">
      <w:pPr>
        <w:spacing w:line="360" w:lineRule="auto"/>
        <w:ind w:firstLine="420" w:firstLineChars="200"/>
        <w:jc w:val="left"/>
        <w:rPr>
          <w:color w:val="auto"/>
          <w:highlight w:val="none"/>
        </w:rPr>
      </w:pPr>
      <w:r>
        <w:rPr>
          <w:color w:val="auto"/>
          <w:highlight w:val="none"/>
        </w:rPr>
        <w:t xml:space="preserve">14.4.2 </w:t>
      </w:r>
      <w:r>
        <w:rPr>
          <w:rFonts w:hint="eastAsia" w:hAnsi="宋体" w:cs="宋体"/>
          <w:color w:val="auto"/>
          <w:highlight w:val="none"/>
        </w:rPr>
        <w:t>最终结清证书和支付</w:t>
      </w:r>
    </w:p>
    <w:p w14:paraId="5FFC9450">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）发包人完成最终结清申请单的审批并颁发最终结清证书的期限：</w:t>
      </w:r>
      <w:r>
        <w:rPr>
          <w:rFonts w:hint="eastAsia" w:ascii="宋体" w:hAnsi="宋体" w:cs="宋体"/>
          <w:color w:val="auto"/>
          <w:highlight w:val="none"/>
          <w:u w:val="single"/>
        </w:rPr>
        <w:t>缺陷责任期终止证书颁发后14天内</w:t>
      </w:r>
      <w:r>
        <w:rPr>
          <w:rFonts w:hint="eastAsia" w:hAnsi="宋体" w:cs="宋体"/>
          <w:color w:val="auto"/>
          <w:highlight w:val="none"/>
        </w:rPr>
        <w:t>。</w:t>
      </w:r>
    </w:p>
    <w:p w14:paraId="35E5AF5F">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）发包人完成支付的期限：</w:t>
      </w:r>
      <w:r>
        <w:rPr>
          <w:rFonts w:hint="eastAsia" w:ascii="宋体" w:hAnsi="宋体" w:cs="宋体"/>
          <w:color w:val="auto"/>
          <w:highlight w:val="none"/>
          <w:u w:val="single"/>
        </w:rPr>
        <w:t>缺陷责任期终止证书颁发后28天内</w:t>
      </w:r>
      <w:r>
        <w:rPr>
          <w:rFonts w:hint="eastAsia" w:hAnsi="宋体" w:cs="宋体"/>
          <w:color w:val="auto"/>
          <w:highlight w:val="none"/>
        </w:rPr>
        <w:t>。</w:t>
      </w:r>
    </w:p>
    <w:bookmarkEnd w:id="1097"/>
    <w:bookmarkEnd w:id="1098"/>
    <w:bookmarkEnd w:id="1099"/>
    <w:bookmarkEnd w:id="1100"/>
    <w:bookmarkEnd w:id="1101"/>
    <w:bookmarkEnd w:id="1102"/>
    <w:bookmarkEnd w:id="1103"/>
    <w:bookmarkEnd w:id="1109"/>
    <w:p w14:paraId="74C44224">
      <w:pPr>
        <w:keepNext/>
        <w:keepLines/>
        <w:spacing w:before="260" w:after="260" w:line="413" w:lineRule="auto"/>
        <w:outlineLvl w:val="1"/>
        <w:rPr>
          <w:rFonts w:ascii="Arial" w:hAnsi="Arial" w:eastAsia="黑体"/>
          <w:b/>
          <w:bCs/>
          <w:color w:val="auto"/>
          <w:sz w:val="32"/>
          <w:szCs w:val="32"/>
          <w:highlight w:val="none"/>
        </w:rPr>
      </w:pPr>
      <w:bookmarkStart w:id="1169" w:name="_Toc373227762"/>
      <w:bookmarkStart w:id="1170" w:name="_Toc407135265"/>
      <w:bookmarkStart w:id="1171" w:name="_Toc1294213766"/>
      <w:bookmarkStart w:id="1172" w:name="_Toc905081407"/>
      <w:bookmarkStart w:id="1173" w:name="_Toc78449851"/>
      <w:bookmarkStart w:id="1174" w:name="_Toc389065327"/>
      <w:bookmarkStart w:id="1175" w:name="_Toc373478409"/>
      <w:bookmarkStart w:id="1176" w:name="_Toc351203647"/>
      <w:bookmarkStart w:id="1177" w:name="_Toc267251483"/>
      <w:bookmarkStart w:id="1178" w:name="_Toc267251482"/>
      <w:bookmarkStart w:id="1179" w:name="_Toc267251484"/>
      <w:bookmarkStart w:id="1180" w:name="_Toc267251485"/>
      <w:bookmarkStart w:id="1181" w:name="_Toc267251489"/>
      <w:bookmarkStart w:id="1182" w:name="_Toc267251488"/>
      <w:bookmarkStart w:id="1183" w:name="_Toc267251490"/>
      <w:bookmarkStart w:id="1184" w:name="_Toc267251486"/>
      <w:bookmarkStart w:id="1185" w:name="_Toc267251496"/>
      <w:bookmarkStart w:id="1186" w:name="_Toc267251503"/>
      <w:bookmarkStart w:id="1187" w:name="_Toc267251502"/>
      <w:bookmarkStart w:id="1188" w:name="_Toc267251492"/>
      <w:bookmarkStart w:id="1189" w:name="_Toc267251501"/>
      <w:bookmarkStart w:id="1190" w:name="_Toc267251494"/>
      <w:bookmarkStart w:id="1191" w:name="_Toc267251495"/>
      <w:bookmarkStart w:id="1192" w:name="_Toc267251493"/>
      <w:bookmarkStart w:id="1193" w:name="_Toc267251491"/>
      <w:bookmarkStart w:id="1194" w:name="_Toc267251499"/>
      <w:bookmarkStart w:id="1195" w:name="_Toc267251498"/>
      <w:bookmarkStart w:id="1196" w:name="_Toc267251497"/>
      <w:bookmarkStart w:id="1197" w:name="_Toc267251504"/>
      <w:bookmarkStart w:id="1198" w:name="_Toc267251506"/>
      <w:bookmarkStart w:id="1199" w:name="_Toc267251507"/>
      <w:bookmarkStart w:id="1200" w:name="_Toc267251508"/>
      <w:bookmarkStart w:id="1201" w:name="_Toc267251515"/>
      <w:bookmarkStart w:id="1202" w:name="_Toc267251510"/>
      <w:bookmarkStart w:id="1203" w:name="_Toc267251509"/>
      <w:bookmarkStart w:id="1204" w:name="_Toc267251513"/>
      <w:bookmarkStart w:id="1205" w:name="_Toc267251514"/>
      <w:bookmarkStart w:id="1206" w:name="_Toc267251511"/>
      <w:r>
        <w:rPr>
          <w:rFonts w:ascii="Arial" w:hAnsi="Arial" w:eastAsia="黑体"/>
          <w:b/>
          <w:bCs/>
          <w:color w:val="auto"/>
          <w:sz w:val="32"/>
          <w:szCs w:val="32"/>
          <w:highlight w:val="none"/>
        </w:rPr>
        <w:t xml:space="preserve">15. </w:t>
      </w:r>
      <w:r>
        <w:rPr>
          <w:rFonts w:hint="eastAsia" w:ascii="Arial" w:hAnsi="Arial" w:eastAsia="黑体" w:cs="黑体"/>
          <w:b/>
          <w:bCs/>
          <w:color w:val="auto"/>
          <w:sz w:val="32"/>
          <w:szCs w:val="32"/>
          <w:highlight w:val="none"/>
        </w:rPr>
        <w:t>缺陷责任期与保修</w:t>
      </w:r>
      <w:bookmarkEnd w:id="1169"/>
      <w:bookmarkEnd w:id="1170"/>
      <w:bookmarkEnd w:id="1171"/>
      <w:bookmarkEnd w:id="1172"/>
      <w:bookmarkEnd w:id="1173"/>
      <w:bookmarkEnd w:id="1174"/>
      <w:bookmarkEnd w:id="1175"/>
      <w:bookmarkEnd w:id="1176"/>
    </w:p>
    <w:p w14:paraId="22A668F4">
      <w:pPr>
        <w:keepNext/>
        <w:keepLines/>
        <w:spacing w:line="600" w:lineRule="exact"/>
        <w:ind w:firstLine="643" w:firstLineChars="200"/>
        <w:outlineLvl w:val="2"/>
        <w:rPr>
          <w:b/>
          <w:bCs/>
          <w:color w:val="auto"/>
          <w:sz w:val="32"/>
          <w:szCs w:val="32"/>
          <w:highlight w:val="none"/>
        </w:rPr>
      </w:pPr>
      <w:bookmarkStart w:id="1207" w:name="_Toc1845278067"/>
      <w:bookmarkStart w:id="1208" w:name="_Toc407135266"/>
      <w:bookmarkStart w:id="1209" w:name="_Toc373227763"/>
      <w:bookmarkStart w:id="1210" w:name="_Toc389065328"/>
      <w:bookmarkStart w:id="1211" w:name="_Toc78449852"/>
      <w:bookmarkStart w:id="1212" w:name="_Toc1468458868"/>
      <w:bookmarkStart w:id="1213" w:name="_Toc373478410"/>
      <w:r>
        <w:rPr>
          <w:b/>
          <w:bCs/>
          <w:color w:val="auto"/>
          <w:sz w:val="32"/>
          <w:szCs w:val="32"/>
          <w:highlight w:val="none"/>
        </w:rPr>
        <w:t xml:space="preserve">15.2 </w:t>
      </w:r>
      <w:r>
        <w:rPr>
          <w:rFonts w:hint="eastAsia" w:hAnsi="宋体" w:cs="黑体"/>
          <w:b/>
          <w:bCs/>
          <w:color w:val="auto"/>
          <w:sz w:val="32"/>
          <w:szCs w:val="32"/>
          <w:highlight w:val="none"/>
        </w:rPr>
        <w:t>缺陷责任期</w:t>
      </w:r>
      <w:bookmarkEnd w:id="1177"/>
      <w:bookmarkEnd w:id="1207"/>
      <w:bookmarkEnd w:id="1208"/>
      <w:bookmarkEnd w:id="1209"/>
      <w:bookmarkEnd w:id="1210"/>
      <w:bookmarkEnd w:id="1211"/>
      <w:bookmarkEnd w:id="1212"/>
      <w:bookmarkEnd w:id="1213"/>
    </w:p>
    <w:p w14:paraId="5BD72C7E">
      <w:pPr>
        <w:spacing w:line="360" w:lineRule="auto"/>
        <w:ind w:firstLine="420" w:firstLineChars="200"/>
        <w:jc w:val="left"/>
        <w:rPr>
          <w:color w:val="auto"/>
          <w:highlight w:val="none"/>
          <w:u w:val="single"/>
        </w:rPr>
      </w:pPr>
      <w:r>
        <w:rPr>
          <w:rFonts w:hint="eastAsia" w:hAnsi="宋体" w:cs="宋体"/>
          <w:color w:val="auto"/>
          <w:highlight w:val="none"/>
        </w:rPr>
        <w:t>缺陷责任期的具体期限：</w:t>
      </w:r>
      <w:r>
        <w:rPr>
          <w:rFonts w:hint="eastAsia" w:ascii="宋体" w:hAnsi="宋体" w:cs="宋体"/>
          <w:color w:val="auto"/>
          <w:highlight w:val="none"/>
          <w:u w:val="single"/>
        </w:rPr>
        <w:t xml:space="preserve"> 24个月  </w:t>
      </w:r>
      <w:r>
        <w:rPr>
          <w:rFonts w:hint="eastAsia" w:hAnsi="宋体" w:cs="宋体"/>
          <w:color w:val="auto"/>
          <w:highlight w:val="none"/>
        </w:rPr>
        <w:t>。</w:t>
      </w:r>
    </w:p>
    <w:p w14:paraId="5AE845CC">
      <w:pPr>
        <w:keepNext/>
        <w:keepLines/>
        <w:spacing w:line="600" w:lineRule="exact"/>
        <w:ind w:firstLine="643" w:firstLineChars="200"/>
        <w:outlineLvl w:val="2"/>
        <w:rPr>
          <w:b/>
          <w:bCs/>
          <w:color w:val="auto"/>
          <w:sz w:val="32"/>
          <w:szCs w:val="32"/>
          <w:highlight w:val="none"/>
        </w:rPr>
      </w:pPr>
      <w:bookmarkStart w:id="1214" w:name="_Toc389065329"/>
      <w:bookmarkStart w:id="1215" w:name="_Toc1004692311"/>
      <w:bookmarkStart w:id="1216" w:name="_Toc373227764"/>
      <w:bookmarkStart w:id="1217" w:name="_Toc78449853"/>
      <w:bookmarkStart w:id="1218" w:name="_Toc407135267"/>
      <w:bookmarkStart w:id="1219" w:name="_Toc373478411"/>
      <w:bookmarkStart w:id="1220" w:name="_Toc666080472"/>
      <w:r>
        <w:rPr>
          <w:b/>
          <w:bCs/>
          <w:color w:val="auto"/>
          <w:sz w:val="32"/>
          <w:szCs w:val="32"/>
          <w:highlight w:val="none"/>
        </w:rPr>
        <w:t xml:space="preserve">15.3 </w:t>
      </w:r>
      <w:r>
        <w:rPr>
          <w:rFonts w:hint="eastAsia" w:hAnsi="宋体" w:cs="黑体"/>
          <w:b/>
          <w:bCs/>
          <w:color w:val="auto"/>
          <w:sz w:val="32"/>
          <w:szCs w:val="32"/>
          <w:highlight w:val="none"/>
        </w:rPr>
        <w:t>质量保证金</w:t>
      </w:r>
      <w:bookmarkEnd w:id="1214"/>
      <w:bookmarkEnd w:id="1215"/>
      <w:bookmarkEnd w:id="1216"/>
      <w:bookmarkEnd w:id="1217"/>
      <w:bookmarkEnd w:id="1218"/>
      <w:bookmarkEnd w:id="1219"/>
      <w:bookmarkEnd w:id="1220"/>
    </w:p>
    <w:p w14:paraId="32C73847">
      <w:pPr>
        <w:spacing w:line="360" w:lineRule="auto"/>
        <w:ind w:firstLine="420" w:firstLineChars="200"/>
        <w:jc w:val="left"/>
        <w:rPr>
          <w:rFonts w:hAnsi="宋体" w:cs="宋体"/>
          <w:color w:val="auto"/>
          <w:highlight w:val="none"/>
        </w:rPr>
      </w:pPr>
      <w:r>
        <w:rPr>
          <w:rFonts w:hint="eastAsia" w:hAnsi="宋体" w:cs="宋体"/>
          <w:color w:val="auto"/>
          <w:highlight w:val="none"/>
        </w:rPr>
        <w:t>关于是否扣留质量保证金的约定：</w:t>
      </w:r>
      <w:r>
        <w:rPr>
          <w:rFonts w:hint="eastAsia" w:ascii="宋体" w:hAnsi="宋体" w:cs="宋体"/>
          <w:color w:val="auto"/>
          <w:highlight w:val="none"/>
          <w:u w:val="single"/>
        </w:rPr>
        <w:t>扣留</w:t>
      </w:r>
      <w:r>
        <w:rPr>
          <w:rFonts w:hint="eastAsia" w:hAnsi="宋体" w:cs="宋体"/>
          <w:color w:val="auto"/>
          <w:highlight w:val="none"/>
        </w:rPr>
        <w:t>。</w:t>
      </w:r>
    </w:p>
    <w:p w14:paraId="60D0662B">
      <w:pPr>
        <w:spacing w:line="360" w:lineRule="auto"/>
        <w:ind w:firstLine="420" w:firstLineChars="200"/>
        <w:jc w:val="left"/>
        <w:rPr>
          <w:color w:val="auto"/>
          <w:highlight w:val="none"/>
        </w:rPr>
      </w:pPr>
      <w:r>
        <w:rPr>
          <w:rFonts w:hint="eastAsia" w:hAnsi="宋体" w:cs="宋体"/>
          <w:color w:val="auto"/>
          <w:highlight w:val="none"/>
        </w:rPr>
        <w:t>在工程项目竣工前，承包人按专用合同条款第3.7条提供履约担保的，发包人不得同时预留工程质量保证金。</w:t>
      </w:r>
    </w:p>
    <w:p w14:paraId="36D45280">
      <w:pPr>
        <w:spacing w:line="360" w:lineRule="auto"/>
        <w:ind w:firstLine="420" w:firstLineChars="200"/>
        <w:jc w:val="left"/>
        <w:outlineLvl w:val="0"/>
        <w:rPr>
          <w:color w:val="auto"/>
          <w:highlight w:val="none"/>
        </w:rPr>
      </w:pPr>
      <w:r>
        <w:rPr>
          <w:color w:val="auto"/>
          <w:highlight w:val="none"/>
        </w:rPr>
        <w:t xml:space="preserve">15.3.1 </w:t>
      </w:r>
      <w:r>
        <w:rPr>
          <w:rFonts w:hint="eastAsia" w:hAnsi="宋体" w:cs="宋体"/>
          <w:color w:val="auto"/>
          <w:highlight w:val="none"/>
        </w:rPr>
        <w:t>承包人提供质量保证金的方式</w:t>
      </w:r>
    </w:p>
    <w:p w14:paraId="3BE913D5">
      <w:pPr>
        <w:spacing w:line="360" w:lineRule="auto"/>
        <w:ind w:firstLine="420" w:firstLineChars="200"/>
        <w:jc w:val="left"/>
        <w:rPr>
          <w:color w:val="auto"/>
          <w:highlight w:val="none"/>
        </w:rPr>
      </w:pPr>
      <w:r>
        <w:rPr>
          <w:rFonts w:hint="eastAsia" w:hAnsi="宋体" w:cs="宋体"/>
          <w:color w:val="auto"/>
          <w:highlight w:val="none"/>
        </w:rPr>
        <w:t>质量保证金采用以下第</w:t>
      </w:r>
      <w:r>
        <w:rPr>
          <w:rFonts w:hint="eastAsia"/>
          <w:color w:val="auto"/>
          <w:highlight w:val="none"/>
          <w:u w:val="single"/>
        </w:rPr>
        <w:t>(2)</w:t>
      </w:r>
      <w:r>
        <w:rPr>
          <w:rFonts w:hint="eastAsia" w:hAnsi="宋体" w:cs="宋体"/>
          <w:color w:val="auto"/>
          <w:highlight w:val="none"/>
        </w:rPr>
        <w:t>种方式：</w:t>
      </w:r>
    </w:p>
    <w:p w14:paraId="410AEDCA">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）质量保证金保函</w:t>
      </w:r>
      <w:r>
        <w:rPr>
          <w:rFonts w:hint="eastAsia" w:hAnsi="宋体" w:cs="宋体"/>
          <w:color w:val="auto"/>
          <w:highlight w:val="none"/>
        </w:rPr>
        <w:t>（银行保函、电子保函、保证保险保函、工程担保保函，</w:t>
      </w:r>
      <w:r>
        <w:rPr>
          <w:rFonts w:hint="eastAsia" w:hAnsi="宋体" w:cs="宋体"/>
          <w:color w:val="auto"/>
          <w:kern w:val="0"/>
          <w:highlight w:val="none"/>
        </w:rPr>
        <w:t>工程担保保证人应将出具的保函相关信息录入“广西建筑市场监管云”平台（http://gxjzsc.caihcloud.com），以实现保函查询及验真功能。</w:t>
      </w:r>
      <w:r>
        <w:rPr>
          <w:rFonts w:hint="eastAsia" w:hAnsi="宋体" w:cs="宋体"/>
          <w:color w:val="auto"/>
          <w:highlight w:val="none"/>
        </w:rPr>
        <w:t>）</w:t>
      </w:r>
      <w:r>
        <w:rPr>
          <w:rFonts w:hint="eastAsia" w:hAnsi="宋体" w:cs="宋体"/>
          <w:color w:val="auto"/>
          <w:kern w:val="0"/>
          <w:highlight w:val="none"/>
        </w:rPr>
        <w:t>，保证金额为：；</w:t>
      </w:r>
    </w:p>
    <w:p w14:paraId="2CB4ADB3">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w:t>
      </w:r>
      <w:r>
        <w:rPr>
          <w:rFonts w:hint="eastAsia" w:hAnsi="宋体" w:cs="宋体"/>
          <w:color w:val="auto"/>
          <w:highlight w:val="none"/>
        </w:rPr>
        <w:t>发包人按工程价款结算总额的</w:t>
      </w:r>
      <w:r>
        <w:rPr>
          <w:rFonts w:hint="eastAsia" w:hAnsi="宋体"/>
          <w:color w:val="auto"/>
          <w:highlight w:val="none"/>
          <w:u w:val="single"/>
        </w:rPr>
        <w:t>3</w:t>
      </w:r>
      <w:r>
        <w:rPr>
          <w:color w:val="auto"/>
          <w:highlight w:val="none"/>
        </w:rPr>
        <w:t>%</w:t>
      </w:r>
      <w:r>
        <w:rPr>
          <w:rFonts w:hint="eastAsia" w:cs="宋体"/>
          <w:color w:val="auto"/>
          <w:highlight w:val="none"/>
        </w:rPr>
        <w:t>（不得超过</w:t>
      </w:r>
      <w:r>
        <w:rPr>
          <w:color w:val="auto"/>
          <w:highlight w:val="none"/>
        </w:rPr>
        <w:t>3%</w:t>
      </w:r>
      <w:r>
        <w:rPr>
          <w:rFonts w:hint="eastAsia" w:cs="宋体"/>
          <w:color w:val="auto"/>
          <w:highlight w:val="none"/>
        </w:rPr>
        <w:t>）</w:t>
      </w:r>
      <w:r>
        <w:rPr>
          <w:rFonts w:hint="eastAsia" w:hAnsi="宋体" w:cs="宋体"/>
          <w:color w:val="auto"/>
          <w:highlight w:val="none"/>
        </w:rPr>
        <w:t>预留工程质量保证金，待缺陷责任期满后返还，是否付息及利息计算方式为：</w:t>
      </w:r>
      <w:r>
        <w:rPr>
          <w:rFonts w:hint="eastAsia" w:hAnsi="宋体" w:cs="宋体"/>
          <w:color w:val="auto"/>
          <w:highlight w:val="none"/>
          <w:u w:val="single"/>
        </w:rPr>
        <w:t>无息</w:t>
      </w:r>
      <w:r>
        <w:rPr>
          <w:rFonts w:hint="eastAsia" w:hAnsi="宋体" w:cs="宋体"/>
          <w:color w:val="auto"/>
          <w:kern w:val="0"/>
          <w:highlight w:val="none"/>
        </w:rPr>
        <w:t>；</w:t>
      </w:r>
    </w:p>
    <w:p w14:paraId="6BC1DE9F">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）其他方式</w:t>
      </w:r>
      <w:r>
        <w:rPr>
          <w:rFonts w:hint="eastAsia" w:cs="宋体"/>
          <w:color w:val="auto"/>
          <w:kern w:val="0"/>
          <w:highlight w:val="none"/>
        </w:rPr>
        <w:t>：</w:t>
      </w:r>
      <w:r>
        <w:rPr>
          <w:rFonts w:hint="eastAsia" w:hAnsi="宋体" w:cs="宋体"/>
          <w:color w:val="auto"/>
          <w:highlight w:val="none"/>
        </w:rPr>
        <w:t>银行转账、电汇或网上支付等形式。</w:t>
      </w:r>
    </w:p>
    <w:p w14:paraId="7A756EE8">
      <w:pPr>
        <w:spacing w:line="360" w:lineRule="auto"/>
        <w:ind w:firstLine="420" w:firstLineChars="200"/>
        <w:jc w:val="left"/>
        <w:rPr>
          <w:color w:val="auto"/>
          <w:highlight w:val="none"/>
        </w:rPr>
      </w:pPr>
      <w:r>
        <w:rPr>
          <w:color w:val="auto"/>
          <w:highlight w:val="none"/>
        </w:rPr>
        <w:t xml:space="preserve">15.3.2 </w:t>
      </w:r>
      <w:r>
        <w:rPr>
          <w:rFonts w:hint="eastAsia" w:hAnsi="宋体" w:cs="宋体"/>
          <w:color w:val="auto"/>
          <w:highlight w:val="none"/>
        </w:rPr>
        <w:t>质量保证金的扣留</w:t>
      </w:r>
    </w:p>
    <w:p w14:paraId="341D5326">
      <w:pPr>
        <w:spacing w:line="360" w:lineRule="auto"/>
        <w:ind w:firstLine="420" w:firstLineChars="200"/>
        <w:jc w:val="left"/>
        <w:rPr>
          <w:color w:val="auto"/>
          <w:highlight w:val="none"/>
        </w:rPr>
      </w:pPr>
      <w:r>
        <w:rPr>
          <w:rFonts w:hint="eastAsia" w:hAnsi="宋体" w:cs="宋体"/>
          <w:color w:val="auto"/>
          <w:highlight w:val="none"/>
        </w:rPr>
        <w:t>质量保证金的扣留采取以下第</w:t>
      </w:r>
      <w:r>
        <w:rPr>
          <w:rFonts w:hint="eastAsia"/>
          <w:color w:val="auto"/>
          <w:highlight w:val="none"/>
          <w:u w:val="single"/>
        </w:rPr>
        <w:t>（2）</w:t>
      </w:r>
      <w:r>
        <w:rPr>
          <w:rFonts w:hint="eastAsia" w:hAnsi="宋体" w:cs="宋体"/>
          <w:color w:val="auto"/>
          <w:highlight w:val="none"/>
        </w:rPr>
        <w:t>种方式：</w:t>
      </w:r>
    </w:p>
    <w:p w14:paraId="4D4360B7">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）在</w:t>
      </w:r>
      <w:r>
        <w:rPr>
          <w:rFonts w:hAnsi="宋体" w:cs="宋体"/>
          <w:color w:val="auto"/>
          <w:kern w:val="0"/>
          <w:highlight w:val="none"/>
        </w:rPr>
        <w:t>不缴纳履</w:t>
      </w:r>
      <w:r>
        <w:rPr>
          <w:rFonts w:hint="eastAsia" w:hAnsi="宋体" w:cs="宋体"/>
          <w:color w:val="auto"/>
          <w:kern w:val="0"/>
          <w:highlight w:val="none"/>
        </w:rPr>
        <w:t>保</w:t>
      </w:r>
      <w:r>
        <w:rPr>
          <w:rFonts w:hAnsi="宋体" w:cs="宋体"/>
          <w:color w:val="auto"/>
          <w:kern w:val="0"/>
          <w:highlight w:val="none"/>
        </w:rPr>
        <w:t>证金情况下</w:t>
      </w:r>
      <w:r>
        <w:rPr>
          <w:rFonts w:hint="eastAsia" w:hAnsi="宋体" w:cs="宋体"/>
          <w:color w:val="auto"/>
          <w:kern w:val="0"/>
          <w:highlight w:val="none"/>
        </w:rPr>
        <w:t>，按支付工程进度款时逐次扣留，质量保证金的计算基数不包括预付款的支付、扣回以及价格调整的金额；</w:t>
      </w:r>
    </w:p>
    <w:p w14:paraId="1965418A">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）工程竣工结算时，一次性扣留质量保证金；</w:t>
      </w:r>
    </w:p>
    <w:p w14:paraId="46D75071">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）其他扣留方式</w:t>
      </w:r>
      <w:r>
        <w:rPr>
          <w:color w:val="auto"/>
          <w:kern w:val="0"/>
          <w:highlight w:val="none"/>
        </w:rPr>
        <w:t>:</w:t>
      </w:r>
      <w:r>
        <w:rPr>
          <w:rFonts w:hint="eastAsia" w:ascii="宋体" w:hAnsi="宋体" w:cs="宋体"/>
          <w:color w:val="auto"/>
          <w:kern w:val="0"/>
          <w:szCs w:val="21"/>
          <w:highlight w:val="none"/>
          <w:u w:val="single"/>
        </w:rPr>
        <w:t xml:space="preserve">/ </w:t>
      </w:r>
      <w:r>
        <w:rPr>
          <w:rFonts w:hint="eastAsia" w:hAnsi="宋体" w:cs="宋体"/>
          <w:color w:val="auto"/>
          <w:highlight w:val="none"/>
        </w:rPr>
        <w:t>银行转账、电汇或网上支付、保函（银行保函、电子保函、保证保险保函、工程担保保函）等形式</w:t>
      </w:r>
      <w:r>
        <w:rPr>
          <w:rFonts w:hint="eastAsia" w:hAnsi="宋体" w:cs="宋体"/>
          <w:color w:val="auto"/>
          <w:kern w:val="0"/>
          <w:highlight w:val="none"/>
        </w:rPr>
        <w:t>。</w:t>
      </w:r>
    </w:p>
    <w:p w14:paraId="24056749">
      <w:pPr>
        <w:spacing w:line="360" w:lineRule="auto"/>
        <w:ind w:firstLine="420" w:firstLineChars="200"/>
        <w:jc w:val="left"/>
        <w:rPr>
          <w:color w:val="auto"/>
          <w:kern w:val="0"/>
          <w:highlight w:val="none"/>
          <w:u w:val="single"/>
        </w:rPr>
      </w:pPr>
      <w:r>
        <w:rPr>
          <w:rFonts w:hint="eastAsia" w:hAnsi="宋体" w:cs="宋体"/>
          <w:color w:val="auto"/>
          <w:highlight w:val="none"/>
        </w:rPr>
        <w:t>关于质量保证金的补充约定：</w:t>
      </w:r>
      <w:r>
        <w:rPr>
          <w:rFonts w:hint="eastAsia" w:ascii="宋体" w:hAnsi="宋体" w:cs="宋体"/>
          <w:color w:val="auto"/>
          <w:kern w:val="0"/>
          <w:szCs w:val="21"/>
          <w:highlight w:val="none"/>
          <w:u w:val="single"/>
        </w:rPr>
        <w:t xml:space="preserve">/ </w:t>
      </w:r>
      <w:r>
        <w:rPr>
          <w:rFonts w:hint="eastAsia" w:hAnsi="宋体" w:cs="宋体"/>
          <w:color w:val="auto"/>
          <w:kern w:val="0"/>
          <w:highlight w:val="none"/>
        </w:rPr>
        <w:t>。</w:t>
      </w:r>
    </w:p>
    <w:bookmarkEnd w:id="1178"/>
    <w:bookmarkEnd w:id="1179"/>
    <w:p w14:paraId="3F4FDCB2">
      <w:pPr>
        <w:keepNext/>
        <w:keepLines/>
        <w:spacing w:line="600" w:lineRule="exact"/>
        <w:ind w:firstLine="643" w:firstLineChars="200"/>
        <w:outlineLvl w:val="2"/>
        <w:rPr>
          <w:b/>
          <w:bCs/>
          <w:color w:val="auto"/>
          <w:sz w:val="32"/>
          <w:szCs w:val="32"/>
          <w:highlight w:val="none"/>
        </w:rPr>
      </w:pPr>
      <w:bookmarkStart w:id="1221" w:name="_Toc373478412"/>
      <w:bookmarkStart w:id="1222" w:name="_Toc407135268"/>
      <w:bookmarkStart w:id="1223" w:name="_Toc1902722111"/>
      <w:bookmarkStart w:id="1224" w:name="_Toc196306762"/>
      <w:bookmarkStart w:id="1225" w:name="_Toc78449854"/>
      <w:bookmarkStart w:id="1226" w:name="_Toc373227765"/>
      <w:bookmarkStart w:id="1227" w:name="_Toc389065330"/>
      <w:r>
        <w:rPr>
          <w:b/>
          <w:bCs/>
          <w:color w:val="auto"/>
          <w:sz w:val="32"/>
          <w:szCs w:val="32"/>
          <w:highlight w:val="none"/>
        </w:rPr>
        <w:t xml:space="preserve">15.4 </w:t>
      </w:r>
      <w:r>
        <w:rPr>
          <w:rFonts w:hint="eastAsia" w:hAnsi="宋体" w:cs="黑体"/>
          <w:b/>
          <w:bCs/>
          <w:color w:val="auto"/>
          <w:sz w:val="32"/>
          <w:szCs w:val="32"/>
          <w:highlight w:val="none"/>
        </w:rPr>
        <w:t>保修</w:t>
      </w:r>
      <w:bookmarkEnd w:id="1221"/>
      <w:bookmarkEnd w:id="1222"/>
      <w:bookmarkEnd w:id="1223"/>
      <w:bookmarkEnd w:id="1224"/>
      <w:bookmarkEnd w:id="1225"/>
      <w:bookmarkEnd w:id="1226"/>
      <w:bookmarkEnd w:id="1227"/>
    </w:p>
    <w:bookmarkEnd w:id="1180"/>
    <w:p w14:paraId="5BECD08D">
      <w:pPr>
        <w:spacing w:line="360" w:lineRule="auto"/>
        <w:ind w:firstLine="409" w:firstLineChars="195"/>
        <w:jc w:val="left"/>
        <w:outlineLvl w:val="0"/>
        <w:rPr>
          <w:color w:val="auto"/>
          <w:highlight w:val="none"/>
        </w:rPr>
      </w:pPr>
      <w:r>
        <w:rPr>
          <w:color w:val="auto"/>
          <w:highlight w:val="none"/>
        </w:rPr>
        <w:t xml:space="preserve">15.4.1 </w:t>
      </w:r>
      <w:r>
        <w:rPr>
          <w:rFonts w:hint="eastAsia" w:hAnsi="宋体" w:cs="宋体"/>
          <w:color w:val="auto"/>
          <w:highlight w:val="none"/>
        </w:rPr>
        <w:t>保修责任</w:t>
      </w:r>
    </w:p>
    <w:p w14:paraId="603BB030">
      <w:pPr>
        <w:spacing w:line="360" w:lineRule="auto"/>
        <w:ind w:firstLine="409" w:firstLineChars="195"/>
        <w:jc w:val="left"/>
        <w:rPr>
          <w:rFonts w:ascii="宋体" w:hAnsi="宋体" w:cs="宋体"/>
          <w:color w:val="auto"/>
          <w:kern w:val="0"/>
          <w:highlight w:val="none"/>
          <w:u w:val="single"/>
        </w:rPr>
      </w:pPr>
      <w:r>
        <w:rPr>
          <w:rFonts w:hint="eastAsia" w:hAnsi="宋体" w:cs="宋体"/>
          <w:color w:val="auto"/>
          <w:highlight w:val="none"/>
        </w:rPr>
        <w:t>工程保修期为：</w:t>
      </w:r>
      <w:r>
        <w:rPr>
          <w:rFonts w:hint="eastAsia" w:ascii="宋体" w:hAnsi="宋体" w:cs="宋体"/>
          <w:color w:val="auto"/>
          <w:kern w:val="0"/>
          <w:highlight w:val="none"/>
          <w:u w:val="single"/>
        </w:rPr>
        <w:t>工程质量保修期按照保修合同约定</w:t>
      </w:r>
      <w:r>
        <w:rPr>
          <w:rFonts w:hint="eastAsia" w:ascii="宋体" w:hAnsi="宋体" w:cs="宋体"/>
          <w:color w:val="auto"/>
          <w:highlight w:val="none"/>
          <w:u w:val="single"/>
        </w:rPr>
        <w:t>。质量保修期自工程竣工验收合格后签发工程</w:t>
      </w:r>
      <w:r>
        <w:rPr>
          <w:rFonts w:hint="eastAsia" w:ascii="宋体" w:hAnsi="宋体" w:cs="宋体"/>
          <w:color w:val="auto"/>
          <w:kern w:val="0"/>
          <w:highlight w:val="none"/>
          <w:u w:val="single"/>
        </w:rPr>
        <w:t>移交书之日起开始 。</w:t>
      </w:r>
    </w:p>
    <w:p w14:paraId="5B745061">
      <w:pPr>
        <w:spacing w:line="360" w:lineRule="auto"/>
        <w:ind w:firstLine="409" w:firstLineChars="195"/>
        <w:jc w:val="left"/>
        <w:rPr>
          <w:rFonts w:ascii="宋体" w:hAnsi="宋体" w:cs="宋体"/>
          <w:color w:val="auto"/>
          <w:kern w:val="0"/>
          <w:highlight w:val="none"/>
          <w:u w:val="single"/>
        </w:rPr>
      </w:pPr>
      <w:r>
        <w:rPr>
          <w:rFonts w:hint="eastAsia" w:ascii="宋体" w:hAnsi="宋体" w:cs="宋体"/>
          <w:color w:val="auto"/>
          <w:kern w:val="0"/>
          <w:highlight w:val="none"/>
          <w:u w:val="single"/>
        </w:rPr>
        <w:t>1)属于保修范围、内容的项目，经发包人在一个工作日内把维修内容预计费用通知承包人（书面、电信通知均可），承包人在接到通知二个工作日内，须进场维修。如逾期不进场维修的，视承包人同意发包人另行安排其他施工单位进场维修，所需维修费由发包人结算，发包人凭实际支付款凭证在保修金中扣除。保修金不足以支付保修费用的，承包人在保修金不足的时候开始7天内补足所需的保修费用，否则发包人按法定程序向承包人索赔超出部分费用。</w:t>
      </w:r>
    </w:p>
    <w:p w14:paraId="4C174552">
      <w:pPr>
        <w:spacing w:line="360" w:lineRule="auto"/>
        <w:ind w:firstLine="409" w:firstLineChars="195"/>
        <w:jc w:val="left"/>
        <w:rPr>
          <w:rFonts w:ascii="宋体" w:hAnsi="宋体" w:cs="宋体"/>
          <w:color w:val="auto"/>
          <w:kern w:val="0"/>
          <w:highlight w:val="none"/>
          <w:u w:val="single"/>
        </w:rPr>
      </w:pPr>
      <w:r>
        <w:rPr>
          <w:rFonts w:hint="eastAsia" w:ascii="宋体" w:hAnsi="宋体" w:cs="宋体"/>
          <w:color w:val="auto"/>
          <w:kern w:val="0"/>
          <w:highlight w:val="none"/>
          <w:u w:val="single"/>
        </w:rPr>
        <w:t>2)保修期内工程质量缺陷维修费用由承包人垫付，保修费用最终由造成质量缺陷的责任方承担。</w:t>
      </w:r>
    </w:p>
    <w:p w14:paraId="7A2A765E">
      <w:pPr>
        <w:spacing w:line="360" w:lineRule="auto"/>
        <w:ind w:firstLine="409" w:firstLineChars="195"/>
        <w:jc w:val="left"/>
        <w:rPr>
          <w:rFonts w:ascii="宋体" w:hAnsi="宋体" w:cs="宋体"/>
          <w:color w:val="auto"/>
          <w:kern w:val="0"/>
          <w:highlight w:val="none"/>
          <w:u w:val="single"/>
        </w:rPr>
      </w:pPr>
      <w:r>
        <w:rPr>
          <w:rFonts w:hint="eastAsia" w:ascii="宋体" w:hAnsi="宋体" w:cs="宋体"/>
          <w:color w:val="auto"/>
          <w:kern w:val="0"/>
          <w:highlight w:val="none"/>
          <w:u w:val="single"/>
        </w:rPr>
        <w:t>3)确认保修责任已完成，签发《保修终结书》可以按保修项目分段签发。</w:t>
      </w:r>
    </w:p>
    <w:p w14:paraId="4DDDDD3A">
      <w:pPr>
        <w:spacing w:line="360" w:lineRule="auto"/>
        <w:ind w:firstLine="409" w:firstLineChars="195"/>
        <w:jc w:val="left"/>
        <w:rPr>
          <w:rFonts w:ascii="宋体" w:hAnsi="宋体" w:cs="宋体"/>
          <w:color w:val="auto"/>
          <w:kern w:val="0"/>
          <w:highlight w:val="none"/>
          <w:u w:val="single"/>
        </w:rPr>
      </w:pPr>
      <w:r>
        <w:rPr>
          <w:rFonts w:hint="eastAsia" w:ascii="宋体" w:hAnsi="宋体" w:cs="宋体"/>
          <w:color w:val="auto"/>
          <w:kern w:val="0"/>
          <w:highlight w:val="none"/>
          <w:u w:val="single"/>
        </w:rPr>
        <w:t>4)工程保修期满后经发包人审核并经使用单位进行质量保修确认，在30天内将保修金的剩余部分无息返还承包人 。</w:t>
      </w:r>
    </w:p>
    <w:p w14:paraId="4E173B79">
      <w:pPr>
        <w:spacing w:line="360" w:lineRule="auto"/>
        <w:ind w:firstLine="409" w:firstLineChars="195"/>
        <w:jc w:val="left"/>
        <w:rPr>
          <w:color w:val="auto"/>
          <w:kern w:val="0"/>
          <w:highlight w:val="none"/>
          <w:u w:val="single"/>
        </w:rPr>
      </w:pPr>
      <w:r>
        <w:rPr>
          <w:rFonts w:hint="eastAsia" w:ascii="宋体" w:hAnsi="宋体" w:cs="宋体"/>
          <w:color w:val="auto"/>
          <w:highlight w:val="none"/>
        </w:rPr>
        <w:t>工程保修书具体内容见合同附件</w:t>
      </w:r>
      <w:r>
        <w:rPr>
          <w:rFonts w:ascii="宋体" w:hAnsi="宋体" w:cs="宋体"/>
          <w:color w:val="auto"/>
          <w:highlight w:val="none"/>
        </w:rPr>
        <w:t>4</w:t>
      </w:r>
      <w:r>
        <w:rPr>
          <w:rFonts w:hint="eastAsia" w:ascii="宋体" w:hAnsi="宋体" w:cs="宋体"/>
          <w:color w:val="auto"/>
          <w:highlight w:val="none"/>
        </w:rPr>
        <w:t>。</w:t>
      </w:r>
    </w:p>
    <w:p w14:paraId="0AF3A0B3">
      <w:pPr>
        <w:spacing w:line="360" w:lineRule="auto"/>
        <w:ind w:firstLine="409" w:firstLineChars="195"/>
        <w:jc w:val="left"/>
        <w:rPr>
          <w:color w:val="auto"/>
          <w:highlight w:val="none"/>
        </w:rPr>
      </w:pPr>
      <w:r>
        <w:rPr>
          <w:color w:val="auto"/>
          <w:highlight w:val="none"/>
        </w:rPr>
        <w:t xml:space="preserve">15.4.3 </w:t>
      </w:r>
      <w:r>
        <w:rPr>
          <w:rFonts w:hint="eastAsia" w:hAnsi="宋体" w:cs="宋体"/>
          <w:color w:val="auto"/>
          <w:highlight w:val="none"/>
        </w:rPr>
        <w:t>修复通知</w:t>
      </w:r>
    </w:p>
    <w:p w14:paraId="142EF940">
      <w:pPr>
        <w:ind w:firstLine="420" w:firstLineChars="200"/>
        <w:jc w:val="left"/>
        <w:rPr>
          <w:rFonts w:hAnsi="宋体" w:cs="宋体"/>
          <w:color w:val="auto"/>
          <w:kern w:val="0"/>
          <w:highlight w:val="none"/>
        </w:rPr>
      </w:pPr>
      <w:r>
        <w:rPr>
          <w:rFonts w:hint="eastAsia" w:hAnsi="宋体" w:cs="宋体"/>
          <w:color w:val="auto"/>
          <w:kern w:val="0"/>
          <w:highlight w:val="none"/>
        </w:rPr>
        <w:t>承包人收到保修通知并到达工程现场的合理时间：</w:t>
      </w:r>
      <w:r>
        <w:rPr>
          <w:rFonts w:hint="eastAsia" w:ascii="宋体" w:hAnsi="宋体" w:cs="宋体"/>
          <w:color w:val="auto"/>
          <w:kern w:val="0"/>
          <w:highlight w:val="none"/>
          <w:u w:val="single"/>
        </w:rPr>
        <w:t>24小时内</w:t>
      </w:r>
      <w:r>
        <w:rPr>
          <w:rFonts w:hint="eastAsia" w:hAnsi="宋体" w:cs="宋体"/>
          <w:color w:val="auto"/>
          <w:kern w:val="0"/>
          <w:highlight w:val="none"/>
        </w:rPr>
        <w:t>。</w:t>
      </w:r>
    </w:p>
    <w:p w14:paraId="4BAC7C6E">
      <w:pPr>
        <w:ind w:firstLine="420" w:firstLineChars="200"/>
        <w:jc w:val="left"/>
        <w:rPr>
          <w:rFonts w:ascii="Calibri" w:hAnsi="宋体" w:cs="宋体"/>
          <w:color w:val="auto"/>
          <w:kern w:val="0"/>
          <w:szCs w:val="22"/>
          <w:highlight w:val="none"/>
        </w:rPr>
      </w:pPr>
      <w:r>
        <w:rPr>
          <w:rFonts w:hint="eastAsia"/>
          <w:color w:val="auto"/>
          <w:highlight w:val="none"/>
        </w:rPr>
        <w:t xml:space="preserve">15.4.4 </w:t>
      </w:r>
      <w:r>
        <w:rPr>
          <w:rFonts w:hint="eastAsia" w:ascii="Calibri" w:hAnsi="宋体" w:cs="宋体"/>
          <w:color w:val="auto"/>
          <w:kern w:val="0"/>
          <w:szCs w:val="22"/>
          <w:highlight w:val="none"/>
        </w:rPr>
        <w:t>在质量保修期内因项目质量问题引起的投诉纠纷由承包人负责</w:t>
      </w:r>
      <w:r>
        <w:rPr>
          <w:rFonts w:hint="eastAsia" w:hAnsi="宋体" w:cs="宋体"/>
          <w:color w:val="auto"/>
          <w:kern w:val="0"/>
          <w:szCs w:val="22"/>
          <w:highlight w:val="none"/>
        </w:rPr>
        <w:t>，承包人收到保修通知并</w:t>
      </w:r>
      <w:r>
        <w:rPr>
          <w:rFonts w:hint="eastAsia" w:hAnsi="宋体" w:cs="宋体"/>
          <w:color w:val="auto"/>
          <w:kern w:val="0"/>
          <w:szCs w:val="22"/>
          <w:highlight w:val="none"/>
          <w:u w:val="single"/>
        </w:rPr>
        <w:t>48小时内未到达现场进行处理的，由发包人进行修复，其修复产生的费用在质保金中扣除</w:t>
      </w:r>
      <w:r>
        <w:rPr>
          <w:rFonts w:hint="eastAsia" w:hAnsi="宋体" w:cs="宋体"/>
          <w:color w:val="auto"/>
          <w:kern w:val="0"/>
          <w:szCs w:val="22"/>
          <w:highlight w:val="none"/>
        </w:rPr>
        <w:t>。</w:t>
      </w:r>
    </w:p>
    <w:p w14:paraId="158C28CB">
      <w:pPr>
        <w:spacing w:line="360" w:lineRule="auto"/>
        <w:ind w:firstLine="409" w:firstLineChars="195"/>
        <w:jc w:val="left"/>
        <w:rPr>
          <w:color w:val="auto"/>
          <w:kern w:val="0"/>
          <w:highlight w:val="none"/>
          <w:u w:val="single"/>
        </w:rPr>
      </w:pPr>
    </w:p>
    <w:bookmarkEnd w:id="1181"/>
    <w:bookmarkEnd w:id="1182"/>
    <w:bookmarkEnd w:id="1183"/>
    <w:bookmarkEnd w:id="1184"/>
    <w:p w14:paraId="195F357F">
      <w:pPr>
        <w:keepNext/>
        <w:keepLines/>
        <w:spacing w:before="260" w:after="260" w:line="413" w:lineRule="auto"/>
        <w:outlineLvl w:val="1"/>
        <w:rPr>
          <w:rFonts w:ascii="Arial" w:hAnsi="Arial" w:eastAsia="黑体"/>
          <w:b/>
          <w:bCs/>
          <w:color w:val="auto"/>
          <w:sz w:val="32"/>
          <w:szCs w:val="32"/>
          <w:highlight w:val="none"/>
        </w:rPr>
      </w:pPr>
      <w:bookmarkStart w:id="1228" w:name="_Toc351203648"/>
      <w:bookmarkStart w:id="1229" w:name="_Toc1360137061"/>
      <w:bookmarkStart w:id="1230" w:name="_Toc1725581915"/>
      <w:bookmarkStart w:id="1231" w:name="_Toc373227766"/>
      <w:bookmarkStart w:id="1232" w:name="_Toc389065331"/>
      <w:bookmarkStart w:id="1233" w:name="_Toc373478413"/>
      <w:bookmarkStart w:id="1234" w:name="_Toc407135269"/>
      <w:bookmarkStart w:id="1235" w:name="_Toc78449855"/>
      <w:bookmarkStart w:id="1236" w:name="_Toc280868717"/>
      <w:bookmarkStart w:id="1237" w:name="_Toc280868718"/>
      <w:r>
        <w:rPr>
          <w:rFonts w:ascii="Arial" w:hAnsi="Arial" w:eastAsia="黑体"/>
          <w:b/>
          <w:bCs/>
          <w:color w:val="auto"/>
          <w:sz w:val="32"/>
          <w:szCs w:val="32"/>
          <w:highlight w:val="none"/>
        </w:rPr>
        <w:t xml:space="preserve">16. </w:t>
      </w:r>
      <w:r>
        <w:rPr>
          <w:rFonts w:hint="eastAsia" w:ascii="Arial" w:hAnsi="宋体" w:eastAsia="黑体" w:cs="黑体"/>
          <w:b/>
          <w:bCs/>
          <w:color w:val="auto"/>
          <w:sz w:val="32"/>
          <w:szCs w:val="32"/>
          <w:highlight w:val="none"/>
        </w:rPr>
        <w:t>违约</w:t>
      </w:r>
      <w:bookmarkEnd w:id="1228"/>
      <w:bookmarkEnd w:id="1229"/>
      <w:bookmarkEnd w:id="1230"/>
      <w:bookmarkEnd w:id="1231"/>
      <w:bookmarkEnd w:id="1232"/>
      <w:bookmarkEnd w:id="1233"/>
      <w:bookmarkEnd w:id="1234"/>
      <w:bookmarkEnd w:id="1235"/>
    </w:p>
    <w:p w14:paraId="32067924">
      <w:pPr>
        <w:keepNext/>
        <w:keepLines/>
        <w:spacing w:line="600" w:lineRule="exact"/>
        <w:ind w:firstLine="643" w:firstLineChars="200"/>
        <w:outlineLvl w:val="2"/>
        <w:rPr>
          <w:b/>
          <w:bCs/>
          <w:color w:val="auto"/>
          <w:sz w:val="32"/>
          <w:szCs w:val="32"/>
          <w:highlight w:val="none"/>
        </w:rPr>
      </w:pPr>
      <w:bookmarkStart w:id="1238" w:name="_Toc78449856"/>
      <w:bookmarkStart w:id="1239" w:name="_Toc373478414"/>
      <w:bookmarkStart w:id="1240" w:name="_Toc373227767"/>
      <w:bookmarkStart w:id="1241" w:name="_Toc1973395665"/>
      <w:bookmarkStart w:id="1242" w:name="_Toc1535389315"/>
      <w:bookmarkStart w:id="1243" w:name="_Toc407135270"/>
      <w:bookmarkStart w:id="1244" w:name="_Toc389065332"/>
      <w:r>
        <w:rPr>
          <w:b/>
          <w:bCs/>
          <w:color w:val="auto"/>
          <w:sz w:val="32"/>
          <w:szCs w:val="32"/>
          <w:highlight w:val="none"/>
        </w:rPr>
        <w:t xml:space="preserve">16.1 </w:t>
      </w:r>
      <w:r>
        <w:rPr>
          <w:rFonts w:hint="eastAsia" w:hAnsi="宋体" w:cs="黑体"/>
          <w:b/>
          <w:bCs/>
          <w:color w:val="auto"/>
          <w:sz w:val="32"/>
          <w:szCs w:val="32"/>
          <w:highlight w:val="none"/>
        </w:rPr>
        <w:t>发包人违约</w:t>
      </w:r>
      <w:bookmarkEnd w:id="1238"/>
      <w:bookmarkEnd w:id="1239"/>
      <w:bookmarkEnd w:id="1240"/>
      <w:bookmarkEnd w:id="1241"/>
      <w:bookmarkEnd w:id="1242"/>
      <w:bookmarkEnd w:id="1243"/>
      <w:bookmarkEnd w:id="1244"/>
    </w:p>
    <w:p w14:paraId="7713042C">
      <w:pPr>
        <w:spacing w:line="360" w:lineRule="auto"/>
        <w:ind w:firstLine="420" w:firstLineChars="200"/>
        <w:jc w:val="left"/>
        <w:rPr>
          <w:color w:val="auto"/>
          <w:highlight w:val="none"/>
        </w:rPr>
      </w:pPr>
      <w:r>
        <w:rPr>
          <w:color w:val="auto"/>
          <w:highlight w:val="none"/>
        </w:rPr>
        <w:t>16.1.1</w:t>
      </w:r>
      <w:r>
        <w:rPr>
          <w:rFonts w:hint="eastAsia" w:hAnsi="宋体" w:cs="宋体"/>
          <w:color w:val="auto"/>
          <w:highlight w:val="none"/>
        </w:rPr>
        <w:t>发包人违约的情形</w:t>
      </w:r>
    </w:p>
    <w:p w14:paraId="3735CD04">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发包人违约的其他情形：</w:t>
      </w:r>
      <w:r>
        <w:rPr>
          <w:rFonts w:hint="eastAsia" w:ascii="宋体" w:hAnsi="宋体" w:cs="宋体"/>
          <w:color w:val="auto"/>
          <w:highlight w:val="none"/>
          <w:u w:val="single"/>
        </w:rPr>
        <w:t>按本合同《通用条款》执行</w:t>
      </w:r>
      <w:r>
        <w:rPr>
          <w:rFonts w:hint="eastAsia" w:hAnsi="宋体" w:cs="宋体"/>
          <w:color w:val="auto"/>
          <w:kern w:val="0"/>
          <w:highlight w:val="none"/>
        </w:rPr>
        <w:t>。</w:t>
      </w:r>
    </w:p>
    <w:p w14:paraId="15115719">
      <w:pPr>
        <w:spacing w:line="360" w:lineRule="auto"/>
        <w:ind w:firstLine="420" w:firstLineChars="200"/>
        <w:jc w:val="left"/>
        <w:outlineLvl w:val="0"/>
        <w:rPr>
          <w:color w:val="auto"/>
          <w:kern w:val="0"/>
          <w:highlight w:val="none"/>
        </w:rPr>
      </w:pPr>
      <w:r>
        <w:rPr>
          <w:color w:val="auto"/>
          <w:kern w:val="0"/>
          <w:highlight w:val="none"/>
        </w:rPr>
        <w:t xml:space="preserve">16.1.2 </w:t>
      </w:r>
      <w:r>
        <w:rPr>
          <w:rFonts w:hint="eastAsia" w:hAnsi="宋体" w:cs="宋体"/>
          <w:color w:val="auto"/>
          <w:kern w:val="0"/>
          <w:highlight w:val="none"/>
        </w:rPr>
        <w:t>发包人违约的责任</w:t>
      </w:r>
    </w:p>
    <w:p w14:paraId="428D6F31">
      <w:pPr>
        <w:spacing w:line="360" w:lineRule="auto"/>
        <w:ind w:firstLine="420" w:firstLineChars="200"/>
        <w:jc w:val="left"/>
        <w:rPr>
          <w:color w:val="auto"/>
          <w:kern w:val="0"/>
          <w:highlight w:val="none"/>
        </w:rPr>
      </w:pPr>
      <w:r>
        <w:rPr>
          <w:rFonts w:hint="eastAsia" w:hAnsi="宋体" w:cs="宋体"/>
          <w:color w:val="auto"/>
          <w:kern w:val="0"/>
          <w:highlight w:val="none"/>
        </w:rPr>
        <w:t>发包人违约责任的承担方式和计算方法：</w:t>
      </w:r>
    </w:p>
    <w:p w14:paraId="73BF7362">
      <w:pPr>
        <w:spacing w:line="360" w:lineRule="auto"/>
        <w:ind w:firstLine="420" w:firstLineChars="200"/>
        <w:jc w:val="left"/>
        <w:rPr>
          <w:color w:val="auto"/>
          <w:kern w:val="0"/>
          <w:highlight w:val="none"/>
          <w:u w:val="singl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）因发包人原因未能在计划开工日期前</w:t>
      </w:r>
      <w:r>
        <w:rPr>
          <w:color w:val="auto"/>
          <w:kern w:val="0"/>
          <w:highlight w:val="none"/>
        </w:rPr>
        <w:t>7</w:t>
      </w:r>
      <w:r>
        <w:rPr>
          <w:rFonts w:hint="eastAsia" w:hAnsi="宋体" w:cs="宋体"/>
          <w:color w:val="auto"/>
          <w:kern w:val="0"/>
          <w:highlight w:val="none"/>
        </w:rPr>
        <w:t>天内下达开工通知的违约责任：</w:t>
      </w:r>
      <w:r>
        <w:rPr>
          <w:rFonts w:hint="eastAsia" w:ascii="宋体" w:hAnsi="宋体" w:cs="宋体"/>
          <w:color w:val="auto"/>
          <w:highlight w:val="none"/>
          <w:u w:val="single"/>
        </w:rPr>
        <w:t>工期相应顺延</w:t>
      </w:r>
      <w:r>
        <w:rPr>
          <w:rFonts w:hint="eastAsia" w:hAnsi="宋体" w:cs="宋体"/>
          <w:color w:val="auto"/>
          <w:kern w:val="0"/>
          <w:highlight w:val="none"/>
        </w:rPr>
        <w:t>。</w:t>
      </w:r>
    </w:p>
    <w:p w14:paraId="23289050">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）因发包人原因未能按合同约定支付合同价款的违约责任：</w:t>
      </w:r>
      <w:r>
        <w:rPr>
          <w:rFonts w:hint="eastAsia" w:ascii="宋体" w:hAnsi="宋体" w:cs="宋体"/>
          <w:color w:val="auto"/>
          <w:highlight w:val="none"/>
          <w:u w:val="single"/>
        </w:rPr>
        <w:t>承包人与发包人签订延期付款协议，延期付款协议须双方认可</w:t>
      </w:r>
      <w:r>
        <w:rPr>
          <w:rFonts w:hint="eastAsia" w:hAnsi="宋体" w:cs="宋体"/>
          <w:color w:val="auto"/>
          <w:kern w:val="0"/>
          <w:highlight w:val="none"/>
        </w:rPr>
        <w:t>。</w:t>
      </w:r>
    </w:p>
    <w:p w14:paraId="78124A01">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）发包人违反第</w:t>
      </w:r>
      <w:r>
        <w:rPr>
          <w:color w:val="auto"/>
          <w:kern w:val="0"/>
          <w:highlight w:val="none"/>
        </w:rPr>
        <w:t>10.1</w:t>
      </w:r>
      <w:r>
        <w:rPr>
          <w:rFonts w:hint="eastAsia" w:hAnsi="宋体" w:cs="宋体"/>
          <w:color w:val="auto"/>
          <w:kern w:val="0"/>
          <w:highlight w:val="none"/>
        </w:rPr>
        <w:t>款〔变更的范围〕第（</w:t>
      </w:r>
      <w:r>
        <w:rPr>
          <w:color w:val="auto"/>
          <w:kern w:val="0"/>
          <w:highlight w:val="none"/>
        </w:rPr>
        <w:t>2</w:t>
      </w:r>
      <w:r>
        <w:rPr>
          <w:rFonts w:hint="eastAsia" w:hAnsi="宋体" w:cs="宋体"/>
          <w:color w:val="auto"/>
          <w:kern w:val="0"/>
          <w:highlight w:val="none"/>
        </w:rPr>
        <w:t>）项约定，自行实施被取消的工作或转由他人实施的违约责任：</w:t>
      </w:r>
      <w:r>
        <w:rPr>
          <w:rFonts w:hint="eastAsia" w:ascii="宋体" w:hAnsi="宋体" w:cs="宋体"/>
          <w:color w:val="auto"/>
          <w:highlight w:val="none"/>
          <w:u w:val="single"/>
        </w:rPr>
        <w:t>若发生</w:t>
      </w:r>
      <w:r>
        <w:rPr>
          <w:rFonts w:ascii="宋体" w:hAnsi="宋体" w:cs="宋体"/>
          <w:color w:val="auto"/>
          <w:highlight w:val="none"/>
          <w:u w:val="single"/>
        </w:rPr>
        <w:t>工程量增减</w:t>
      </w:r>
      <w:r>
        <w:rPr>
          <w:rFonts w:hint="eastAsia" w:ascii="宋体" w:hAnsi="宋体" w:cs="宋体"/>
          <w:color w:val="auto"/>
          <w:highlight w:val="none"/>
          <w:u w:val="single"/>
        </w:rPr>
        <w:t>，发包人按实施部分合同价款</w:t>
      </w:r>
      <w:r>
        <w:rPr>
          <w:rFonts w:ascii="宋体" w:hAnsi="宋体" w:cs="宋体"/>
          <w:color w:val="auto"/>
          <w:highlight w:val="none"/>
          <w:u w:val="single"/>
        </w:rPr>
        <w:t>与</w:t>
      </w:r>
      <w:r>
        <w:rPr>
          <w:rFonts w:hint="eastAsia" w:ascii="宋体" w:hAnsi="宋体" w:cs="宋体"/>
          <w:color w:val="auto"/>
          <w:highlight w:val="none"/>
          <w:u w:val="single"/>
        </w:rPr>
        <w:t>承包人</w:t>
      </w:r>
      <w:r>
        <w:rPr>
          <w:rFonts w:ascii="宋体" w:hAnsi="宋体" w:cs="宋体"/>
          <w:color w:val="auto"/>
          <w:highlight w:val="none"/>
          <w:u w:val="single"/>
        </w:rPr>
        <w:t>据实结算</w:t>
      </w:r>
      <w:r>
        <w:rPr>
          <w:rFonts w:hint="eastAsia" w:hAnsi="宋体" w:cs="宋体"/>
          <w:color w:val="auto"/>
          <w:kern w:val="0"/>
          <w:highlight w:val="none"/>
        </w:rPr>
        <w:t>。</w:t>
      </w:r>
    </w:p>
    <w:p w14:paraId="0A5840F4">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4</w:t>
      </w:r>
      <w:r>
        <w:rPr>
          <w:rFonts w:hint="eastAsia" w:hAnsi="宋体" w:cs="宋体"/>
          <w:color w:val="auto"/>
          <w:kern w:val="0"/>
          <w:highlight w:val="none"/>
        </w:rPr>
        <w:t>）发包人提供的材料、工程设备的规格、数量或质量不符合合同约定，或因发包人原因导致交货日期延误或交货地点变更等情况的违约责任：</w:t>
      </w:r>
      <w:r>
        <w:rPr>
          <w:rFonts w:hint="eastAsia" w:ascii="宋体" w:hAnsi="宋体" w:cs="宋体"/>
          <w:color w:val="auto"/>
          <w:highlight w:val="none"/>
          <w:u w:val="single"/>
        </w:rPr>
        <w:t>影响关键线路工期的工期相应顺延，导致承包人费用增加的，发包人承担相应费用</w:t>
      </w:r>
      <w:r>
        <w:rPr>
          <w:rFonts w:hint="eastAsia" w:hAnsi="宋体" w:cs="宋体"/>
          <w:color w:val="auto"/>
          <w:kern w:val="0"/>
          <w:highlight w:val="none"/>
        </w:rPr>
        <w:t>。</w:t>
      </w:r>
    </w:p>
    <w:p w14:paraId="54EC8781">
      <w:pPr>
        <w:spacing w:line="360" w:lineRule="auto"/>
        <w:ind w:firstLine="420" w:firstLineChars="200"/>
        <w:jc w:val="left"/>
        <w:rPr>
          <w:color w:val="auto"/>
          <w:kern w:val="0"/>
          <w:highlight w:val="none"/>
          <w:u w:val="single"/>
        </w:rPr>
      </w:pPr>
      <w:r>
        <w:rPr>
          <w:rFonts w:hint="eastAsia" w:hAnsi="宋体" w:cs="宋体"/>
          <w:color w:val="auto"/>
          <w:kern w:val="0"/>
          <w:highlight w:val="none"/>
        </w:rPr>
        <w:t>（</w:t>
      </w:r>
      <w:r>
        <w:rPr>
          <w:color w:val="auto"/>
          <w:kern w:val="0"/>
          <w:highlight w:val="none"/>
        </w:rPr>
        <w:t>5</w:t>
      </w:r>
      <w:r>
        <w:rPr>
          <w:rFonts w:hint="eastAsia" w:hAnsi="宋体" w:cs="宋体"/>
          <w:color w:val="auto"/>
          <w:kern w:val="0"/>
          <w:highlight w:val="none"/>
        </w:rPr>
        <w:t>）因发包人违反合同约定造成暂停施工的违约责任：</w:t>
      </w:r>
      <w:r>
        <w:rPr>
          <w:rFonts w:ascii="宋体" w:hAnsi="宋体" w:cs="宋体"/>
          <w:color w:val="auto"/>
          <w:kern w:val="0"/>
          <w:highlight w:val="none"/>
          <w:u w:val="single"/>
        </w:rPr>
        <w:t>经双方确认一致的，</w:t>
      </w:r>
      <w:r>
        <w:rPr>
          <w:rFonts w:hint="eastAsia" w:ascii="宋体" w:hAnsi="宋体" w:cs="宋体"/>
          <w:color w:val="auto"/>
          <w:highlight w:val="none"/>
          <w:u w:val="single"/>
        </w:rPr>
        <w:t>所耽误的工期相应顺延</w:t>
      </w:r>
      <w:r>
        <w:rPr>
          <w:rFonts w:hint="eastAsia" w:hAnsi="宋体" w:cs="宋体"/>
          <w:color w:val="auto"/>
          <w:kern w:val="0"/>
          <w:highlight w:val="none"/>
        </w:rPr>
        <w:t>。</w:t>
      </w:r>
    </w:p>
    <w:p w14:paraId="5B966A84">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6</w:t>
      </w:r>
      <w:r>
        <w:rPr>
          <w:rFonts w:hint="eastAsia" w:hAnsi="宋体" w:cs="宋体"/>
          <w:color w:val="auto"/>
          <w:kern w:val="0"/>
          <w:highlight w:val="none"/>
        </w:rPr>
        <w:t>）发包人无正当理由没有在约定期限内发出复工指示，导致承包人无法复工的违约责任：</w:t>
      </w:r>
      <w:r>
        <w:rPr>
          <w:rFonts w:ascii="宋体" w:hAnsi="宋体" w:cs="宋体"/>
          <w:color w:val="auto"/>
          <w:kern w:val="0"/>
          <w:highlight w:val="none"/>
          <w:u w:val="single"/>
        </w:rPr>
        <w:t>经双方确认一致的，</w:t>
      </w:r>
      <w:r>
        <w:rPr>
          <w:rFonts w:hint="eastAsia" w:ascii="宋体" w:hAnsi="宋体" w:cs="宋体"/>
          <w:color w:val="auto"/>
          <w:highlight w:val="none"/>
          <w:u w:val="single"/>
        </w:rPr>
        <w:t>所耽误的工期相应顺延</w:t>
      </w:r>
      <w:r>
        <w:rPr>
          <w:rFonts w:hint="eastAsia" w:hAnsi="宋体" w:cs="宋体"/>
          <w:color w:val="auto"/>
          <w:kern w:val="0"/>
          <w:highlight w:val="none"/>
        </w:rPr>
        <w:t>。</w:t>
      </w:r>
    </w:p>
    <w:p w14:paraId="30EDDAAC">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7</w:t>
      </w:r>
      <w:r>
        <w:rPr>
          <w:rFonts w:hint="eastAsia" w:hAnsi="宋体" w:cs="宋体"/>
          <w:color w:val="auto"/>
          <w:kern w:val="0"/>
          <w:highlight w:val="none"/>
        </w:rPr>
        <w:t>）其他：</w:t>
      </w:r>
      <w:r>
        <w:rPr>
          <w:rFonts w:hint="eastAsia" w:ascii="宋体" w:hAnsi="宋体" w:cs="宋体"/>
          <w:color w:val="auto"/>
          <w:kern w:val="0"/>
          <w:highlight w:val="none"/>
          <w:u w:val="single"/>
        </w:rPr>
        <w:t xml:space="preserve"> / </w:t>
      </w:r>
      <w:r>
        <w:rPr>
          <w:rFonts w:hint="eastAsia" w:hAnsi="宋体" w:cs="宋体"/>
          <w:color w:val="auto"/>
          <w:kern w:val="0"/>
          <w:highlight w:val="none"/>
        </w:rPr>
        <w:t>。</w:t>
      </w:r>
    </w:p>
    <w:p w14:paraId="4717AAED">
      <w:pPr>
        <w:spacing w:line="360" w:lineRule="auto"/>
        <w:ind w:firstLine="420" w:firstLineChars="200"/>
        <w:jc w:val="left"/>
        <w:rPr>
          <w:color w:val="auto"/>
          <w:highlight w:val="none"/>
        </w:rPr>
      </w:pPr>
      <w:r>
        <w:rPr>
          <w:color w:val="auto"/>
          <w:highlight w:val="none"/>
        </w:rPr>
        <w:t xml:space="preserve">16.1.3 </w:t>
      </w:r>
      <w:r>
        <w:rPr>
          <w:rFonts w:hint="eastAsia" w:hAnsi="宋体" w:cs="宋体"/>
          <w:color w:val="auto"/>
          <w:highlight w:val="none"/>
        </w:rPr>
        <w:t>因发包人违约解除合同</w:t>
      </w:r>
    </w:p>
    <w:p w14:paraId="77C8357C">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承包人按</w:t>
      </w:r>
      <w:r>
        <w:rPr>
          <w:color w:val="auto"/>
          <w:kern w:val="0"/>
          <w:highlight w:val="none"/>
        </w:rPr>
        <w:t>16.1.1</w:t>
      </w:r>
      <w:r>
        <w:rPr>
          <w:rFonts w:hint="eastAsia" w:hAnsi="宋体" w:cs="宋体"/>
          <w:color w:val="auto"/>
          <w:kern w:val="0"/>
          <w:highlight w:val="none"/>
        </w:rPr>
        <w:t>项〔发包人违约的情形〕约定暂停施工满</w:t>
      </w:r>
      <w:r>
        <w:rPr>
          <w:rFonts w:hint="eastAsia"/>
          <w:color w:val="auto"/>
          <w:kern w:val="0"/>
          <w:highlight w:val="none"/>
          <w:u w:val="single"/>
        </w:rPr>
        <w:t>28</w:t>
      </w:r>
      <w:r>
        <w:rPr>
          <w:rFonts w:hint="eastAsia" w:hAnsi="宋体" w:cs="宋体"/>
          <w:color w:val="auto"/>
          <w:kern w:val="0"/>
          <w:highlight w:val="none"/>
        </w:rPr>
        <w:t>天后发包人仍不纠正其违约行为并致使合同目的不能实现的，承包人有权解除合同。</w:t>
      </w:r>
    </w:p>
    <w:p w14:paraId="1D4F1CDC">
      <w:pPr>
        <w:keepNext/>
        <w:keepLines/>
        <w:spacing w:line="600" w:lineRule="exact"/>
        <w:ind w:firstLine="643" w:firstLineChars="200"/>
        <w:outlineLvl w:val="2"/>
        <w:rPr>
          <w:b/>
          <w:bCs/>
          <w:color w:val="auto"/>
          <w:sz w:val="32"/>
          <w:szCs w:val="32"/>
          <w:highlight w:val="none"/>
        </w:rPr>
      </w:pPr>
      <w:bookmarkStart w:id="1245" w:name="_Toc407135271"/>
      <w:bookmarkStart w:id="1246" w:name="_Toc373227768"/>
      <w:bookmarkStart w:id="1247" w:name="_Toc389065333"/>
      <w:bookmarkStart w:id="1248" w:name="_Toc78449857"/>
      <w:bookmarkStart w:id="1249" w:name="_Toc247586342"/>
      <w:bookmarkStart w:id="1250" w:name="_Toc373478415"/>
      <w:bookmarkStart w:id="1251" w:name="_Toc61078193"/>
      <w:r>
        <w:rPr>
          <w:b/>
          <w:bCs/>
          <w:color w:val="auto"/>
          <w:sz w:val="32"/>
          <w:szCs w:val="32"/>
          <w:highlight w:val="none"/>
        </w:rPr>
        <w:t xml:space="preserve">16.2 </w:t>
      </w:r>
      <w:r>
        <w:rPr>
          <w:rFonts w:hint="eastAsia" w:hAnsi="宋体" w:cs="黑体"/>
          <w:b/>
          <w:bCs/>
          <w:color w:val="auto"/>
          <w:sz w:val="32"/>
          <w:szCs w:val="32"/>
          <w:highlight w:val="none"/>
        </w:rPr>
        <w:t>承包人违约</w:t>
      </w:r>
      <w:bookmarkEnd w:id="1245"/>
      <w:bookmarkEnd w:id="1246"/>
      <w:bookmarkEnd w:id="1247"/>
      <w:bookmarkEnd w:id="1248"/>
      <w:bookmarkEnd w:id="1249"/>
      <w:bookmarkEnd w:id="1250"/>
      <w:bookmarkEnd w:id="1251"/>
    </w:p>
    <w:p w14:paraId="4A5595BF">
      <w:pPr>
        <w:spacing w:line="360" w:lineRule="auto"/>
        <w:ind w:firstLine="420" w:firstLineChars="200"/>
        <w:jc w:val="left"/>
        <w:rPr>
          <w:color w:val="auto"/>
          <w:kern w:val="0"/>
          <w:highlight w:val="none"/>
        </w:rPr>
      </w:pPr>
      <w:r>
        <w:rPr>
          <w:color w:val="auto"/>
          <w:kern w:val="0"/>
          <w:highlight w:val="none"/>
        </w:rPr>
        <w:t xml:space="preserve">16.2.1 </w:t>
      </w:r>
      <w:r>
        <w:rPr>
          <w:rFonts w:hint="eastAsia" w:hAnsi="宋体" w:cs="宋体"/>
          <w:color w:val="auto"/>
          <w:kern w:val="0"/>
          <w:highlight w:val="none"/>
        </w:rPr>
        <w:t>承包人违约的情形</w:t>
      </w:r>
    </w:p>
    <w:p w14:paraId="2A77B2E1">
      <w:pPr>
        <w:spacing w:line="360" w:lineRule="auto"/>
        <w:ind w:firstLine="420" w:firstLineChars="200"/>
        <w:jc w:val="left"/>
        <w:rPr>
          <w:color w:val="auto"/>
          <w:kern w:val="0"/>
          <w:highlight w:val="none"/>
          <w:u w:val="single"/>
        </w:rPr>
      </w:pPr>
      <w:r>
        <w:rPr>
          <w:rFonts w:hint="eastAsia" w:hAnsi="宋体" w:cs="宋体"/>
          <w:color w:val="auto"/>
          <w:kern w:val="0"/>
          <w:highlight w:val="none"/>
        </w:rPr>
        <w:t>承包人违约的其他情形：</w:t>
      </w:r>
      <w:r>
        <w:rPr>
          <w:rFonts w:hint="eastAsia" w:ascii="宋体" w:hAnsi="宋体" w:cs="宋体"/>
          <w:color w:val="auto"/>
          <w:kern w:val="0"/>
          <w:highlight w:val="none"/>
          <w:u w:val="single"/>
        </w:rPr>
        <w:t xml:space="preserve"> 承包人有违反2015年《南宁市人民政府关于修改〈南宁市建设工程造价管理办法〉的决定》（南宁市人民政府令第34号）规定的，按规定给予处罚。《南宁市建设工程造价管理办法》没有规定的按本合同《通用条款》执行</w:t>
      </w:r>
      <w:r>
        <w:rPr>
          <w:rFonts w:hint="eastAsia" w:hAnsi="宋体" w:cs="宋体"/>
          <w:color w:val="auto"/>
          <w:kern w:val="0"/>
          <w:highlight w:val="none"/>
        </w:rPr>
        <w:t>。</w:t>
      </w:r>
    </w:p>
    <w:p w14:paraId="3D58EC0F">
      <w:pPr>
        <w:spacing w:line="360" w:lineRule="auto"/>
        <w:ind w:firstLine="420" w:firstLineChars="200"/>
        <w:jc w:val="left"/>
        <w:outlineLvl w:val="0"/>
        <w:rPr>
          <w:color w:val="auto"/>
          <w:kern w:val="0"/>
          <w:highlight w:val="none"/>
        </w:rPr>
      </w:pPr>
      <w:r>
        <w:rPr>
          <w:color w:val="auto"/>
          <w:kern w:val="0"/>
          <w:highlight w:val="none"/>
        </w:rPr>
        <w:t>16.2.2</w:t>
      </w:r>
      <w:r>
        <w:rPr>
          <w:rFonts w:hint="eastAsia" w:hAnsi="宋体" w:cs="宋体"/>
          <w:color w:val="auto"/>
          <w:kern w:val="0"/>
          <w:highlight w:val="none"/>
        </w:rPr>
        <w:t>承包人违约的责任</w:t>
      </w:r>
    </w:p>
    <w:p w14:paraId="7ECFE1B1">
      <w:pPr>
        <w:spacing w:line="360" w:lineRule="auto"/>
        <w:ind w:firstLine="420" w:firstLineChars="200"/>
        <w:jc w:val="left"/>
        <w:rPr>
          <w:color w:val="auto"/>
          <w:kern w:val="0"/>
          <w:highlight w:val="none"/>
        </w:rPr>
      </w:pPr>
      <w:r>
        <w:rPr>
          <w:rFonts w:hint="eastAsia" w:hAnsi="宋体" w:cs="宋体"/>
          <w:color w:val="auto"/>
          <w:kern w:val="0"/>
          <w:highlight w:val="none"/>
        </w:rPr>
        <w:t>承包人违约责任的承担方式和计算方法：</w:t>
      </w:r>
    </w:p>
    <w:p w14:paraId="6F788C95">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）承包人有本合同通用条款第</w:t>
      </w:r>
      <w:r>
        <w:rPr>
          <w:color w:val="auto"/>
          <w:kern w:val="0"/>
          <w:highlight w:val="none"/>
        </w:rPr>
        <w:t>16.2.1</w:t>
      </w: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）条内容情形的，承包人无条件返工处理，修复至工程质量要求并承担相关费用，并在发包人规定的时间内完成返工，否则发包人有权扣罚该分项工程</w:t>
      </w:r>
      <w:r>
        <w:rPr>
          <w:color w:val="auto"/>
          <w:kern w:val="0"/>
          <w:highlight w:val="none"/>
        </w:rPr>
        <w:t>10%</w:t>
      </w:r>
      <w:r>
        <w:rPr>
          <w:rFonts w:hint="eastAsia" w:hAnsi="宋体" w:cs="宋体"/>
          <w:color w:val="auto"/>
          <w:kern w:val="0"/>
          <w:highlight w:val="none"/>
        </w:rPr>
        <w:t>的工程款作为处罚。</w:t>
      </w:r>
    </w:p>
    <w:p w14:paraId="232A97C1">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）承包人有本合同通用条款第</w:t>
      </w:r>
      <w:r>
        <w:rPr>
          <w:color w:val="auto"/>
          <w:kern w:val="0"/>
          <w:highlight w:val="none"/>
        </w:rPr>
        <w:t>16.2.1</w:t>
      </w:r>
      <w:r>
        <w:rPr>
          <w:rFonts w:hint="eastAsia" w:hAnsi="宋体" w:cs="宋体"/>
          <w:color w:val="auto"/>
          <w:kern w:val="0"/>
          <w:highlight w:val="none"/>
        </w:rPr>
        <w:t>（</w:t>
      </w:r>
      <w:r>
        <w:rPr>
          <w:color w:val="auto"/>
          <w:kern w:val="0"/>
          <w:highlight w:val="none"/>
        </w:rPr>
        <w:t>6</w:t>
      </w:r>
      <w:r>
        <w:rPr>
          <w:rFonts w:hint="eastAsia" w:hAnsi="宋体" w:cs="宋体"/>
          <w:color w:val="auto"/>
          <w:kern w:val="0"/>
          <w:highlight w:val="none"/>
        </w:rPr>
        <w:t>）条情形的，或经监理人检验认为修复质量不合格而承包人拒绝再进行修补的，发包人将扣除承包人全部质量保证金。</w:t>
      </w:r>
    </w:p>
    <w:p w14:paraId="11D1DD41">
      <w:pPr>
        <w:spacing w:line="360" w:lineRule="auto"/>
        <w:ind w:firstLine="420" w:firstLineChars="200"/>
        <w:jc w:val="left"/>
        <w:rPr>
          <w:rFonts w:hAnsi="宋体" w:cs="宋体"/>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）承包人有本专用合同条款</w:t>
      </w:r>
      <w:r>
        <w:rPr>
          <w:color w:val="auto"/>
          <w:kern w:val="0"/>
          <w:highlight w:val="none"/>
        </w:rPr>
        <w:t>3.2</w:t>
      </w:r>
      <w:r>
        <w:rPr>
          <w:rFonts w:hint="eastAsia" w:hAnsi="宋体" w:cs="宋体"/>
          <w:color w:val="auto"/>
          <w:kern w:val="0"/>
          <w:highlight w:val="none"/>
        </w:rPr>
        <w:t>、</w:t>
      </w:r>
      <w:r>
        <w:rPr>
          <w:color w:val="auto"/>
          <w:kern w:val="0"/>
          <w:highlight w:val="none"/>
        </w:rPr>
        <w:t>3.3</w:t>
      </w:r>
      <w:r>
        <w:rPr>
          <w:rFonts w:hint="eastAsia" w:hAnsi="宋体" w:cs="宋体"/>
          <w:color w:val="auto"/>
          <w:kern w:val="0"/>
          <w:highlight w:val="none"/>
        </w:rPr>
        <w:t>条违约责任的，发包人有权扣除承包人的违约金。违约金金额均在承包人的计量支付款内扣除。监理人预先下发含有罚款意向的指令，如承包人不及时采取措施纠正，则在指令下达后十五天下发罚款通知书（不再陈述罚款理由）。承包人在合同期内，完成合同规定的全部工程，且质量合格，在本工程施工竣工验收后十五天内可申请返还全部或部分罚款，返还金额由监理人审核，发包人批准。</w:t>
      </w:r>
    </w:p>
    <w:p w14:paraId="52E47ACA">
      <w:pPr>
        <w:spacing w:line="400" w:lineRule="exact"/>
        <w:ind w:firstLine="420" w:firstLineChars="200"/>
        <w:jc w:val="left"/>
        <w:rPr>
          <w:rFonts w:ascii="宋体" w:hAnsi="宋体" w:cs="宋体"/>
          <w:bCs/>
          <w:color w:val="auto"/>
          <w:highlight w:val="none"/>
          <w:u w:val="single"/>
        </w:rPr>
      </w:pPr>
      <w:r>
        <w:rPr>
          <w:rFonts w:hint="eastAsia" w:ascii="宋体" w:hAnsi="宋体" w:cs="宋体"/>
          <w:color w:val="auto"/>
          <w:kern w:val="0"/>
          <w:highlight w:val="none"/>
        </w:rPr>
        <w:t>（</w:t>
      </w:r>
      <w:r>
        <w:rPr>
          <w:rFonts w:ascii="宋体" w:hAnsi="宋体" w:cs="宋体"/>
          <w:color w:val="auto"/>
          <w:kern w:val="0"/>
          <w:highlight w:val="none"/>
        </w:rPr>
        <w:t>4</w:t>
      </w:r>
      <w:r>
        <w:rPr>
          <w:rFonts w:hint="eastAsia" w:ascii="宋体" w:hAnsi="宋体" w:cs="宋体"/>
          <w:color w:val="auto"/>
          <w:kern w:val="0"/>
          <w:highlight w:val="none"/>
        </w:rPr>
        <w:t>）</w:t>
      </w:r>
      <w:r>
        <w:rPr>
          <w:rFonts w:hint="eastAsia" w:ascii="宋体" w:hAnsi="宋体" w:cs="宋体"/>
          <w:color w:val="auto"/>
          <w:highlight w:val="none"/>
        </w:rPr>
        <w:t>因承包人原因造成工期延误，逾期竣工违约金的计算方法为：</w:t>
      </w:r>
      <w:r>
        <w:rPr>
          <w:rFonts w:hint="eastAsia" w:ascii="宋体" w:hAnsi="宋体" w:cs="宋体"/>
          <w:bCs/>
          <w:color w:val="auto"/>
          <w:szCs w:val="21"/>
          <w:highlight w:val="none"/>
          <w:u w:val="single"/>
        </w:rPr>
        <w:t>承包人不能按合同约定的时间竣工，承包人应承担违约责任。应向发包人支付误期违约金（每天违约金额为合同价款的千分之五），误期时间从规定竣工日期起直到全部工程竣工验收各方签章日期之间的天数（扣除发包人批准顺延的工期）。发包人可从应向承包人支付的任何金额中扣除此项违约金或其他方式收回此款，此违约金的支付并不能解除承包人应完成工程的责任或合同规定的其他责任。工期延误超过30天，发包人有权单方解除合同，并要求承包人赔偿发包人损失并承担其他相关法律责任。</w:t>
      </w:r>
    </w:p>
    <w:p w14:paraId="65491580">
      <w:pPr>
        <w:spacing w:line="400" w:lineRule="exact"/>
        <w:ind w:firstLine="422" w:firstLineChars="200"/>
        <w:jc w:val="left"/>
        <w:rPr>
          <w:rFonts w:ascii="宋体" w:hAnsi="宋体" w:cs="宋体"/>
          <w:b/>
          <w:bCs/>
          <w:color w:val="auto"/>
          <w:kern w:val="0"/>
          <w:highlight w:val="none"/>
        </w:rPr>
      </w:pPr>
      <w:r>
        <w:rPr>
          <w:rFonts w:hint="eastAsia" w:ascii="宋体" w:hAnsi="宋体" w:cs="宋体"/>
          <w:b/>
          <w:bCs/>
          <w:color w:val="auto"/>
          <w:kern w:val="0"/>
          <w:highlight w:val="none"/>
        </w:rPr>
        <w:t>（5）以下情形：</w:t>
      </w:r>
    </w:p>
    <w:p w14:paraId="6FC60B55">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1）合同执行过程中，如承包人的施工进度达不到施工进度计划的要求，</w:t>
      </w:r>
      <w:r>
        <w:rPr>
          <w:rFonts w:hint="eastAsia" w:ascii="宋体" w:hAnsi="宋体" w:cs="宋体"/>
          <w:color w:val="auto"/>
          <w:kern w:val="0"/>
          <w:highlight w:val="none"/>
        </w:rPr>
        <w:t>导致工期严重落后的，</w:t>
      </w:r>
      <w:r>
        <w:rPr>
          <w:rFonts w:hint="eastAsia" w:ascii="宋体" w:hAnsi="宋体" w:cs="宋体"/>
          <w:color w:val="auto"/>
          <w:kern w:val="0"/>
          <w:szCs w:val="21"/>
          <w:highlight w:val="none"/>
        </w:rPr>
        <w:t>发包人有权要求承包人立即增加人员和机械设备，承包人不得拒绝，否则视为承包人严重违约；</w:t>
      </w:r>
    </w:p>
    <w:p w14:paraId="17261B9E">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2）未经发包人同意或批准，承包人不得擅自中途退场或撤离、调离任何发包人要求到场的施工机械设备，否则发包人可认为承包人严重违约。</w:t>
      </w:r>
    </w:p>
    <w:p w14:paraId="52EB11E3">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3）若承包人出现把容易做的或单价高的工程做完，以单价低为理由要求发包人进行调价，把单价低的或施工难度大的或零散分项工程留下不进行施工或放慢施工进度，发包人可认为承包人严重违约；</w:t>
      </w:r>
    </w:p>
    <w:p w14:paraId="502B4354">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4）由于承包人施工进度、质量、安全或其它管理等原因使发包人受到主管部门通报批评或召见发包人法定代表人两次及以上时，发包人可认为承包人没有合同履约能力而把承包人视为严重违约。</w:t>
      </w:r>
    </w:p>
    <w:p w14:paraId="174D5C22">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5）承包人应按分包合同约定按时足额支付款项给分包方，若因承包人恶意拖欠分包方款项导致工程停工、进度滞后的，视为承包人严重违约。</w:t>
      </w:r>
    </w:p>
    <w:p w14:paraId="2B9B0ADB">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上述行为属严重违约行为，其违约责任为发包人有权：</w:t>
      </w:r>
    </w:p>
    <w:p w14:paraId="496891FC">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①单方面无条件解除与承包人的合同；</w:t>
      </w:r>
    </w:p>
    <w:p w14:paraId="65C011E4">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②从上述应付给承包人的款项中扣除或通过法律途径向承包人追索由于解除或终止合同引起发包人的任何经济损失。</w:t>
      </w:r>
    </w:p>
    <w:p w14:paraId="0EB359FD">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③如因承包人违约等原因造成本合同提前终止或解除，承包人应在接到发包人发出的终止或解除合同通知后7天内无条件撤出施工现场，并将放置于现场或在现场附近的属于承包人的材料、设备、设施（含临时设施）等予以拆除及运走。否则，视为承包人抛弃这些材料、设备、设施等财产，发包人有权进行处置，承包人不得干涉。</w:t>
      </w:r>
    </w:p>
    <w:p w14:paraId="7A0A99B4">
      <w:pPr>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szCs w:val="21"/>
          <w:highlight w:val="none"/>
        </w:rPr>
        <w:t>承包人违约后，如发包人要求承包人继续履行合同时，承包人承担上述违约责任后仍应继续履行合同。</w:t>
      </w:r>
    </w:p>
    <w:p w14:paraId="5B138A01">
      <w:pPr>
        <w:rPr>
          <w:color w:val="auto"/>
          <w:highlight w:val="none"/>
        </w:rPr>
      </w:pPr>
    </w:p>
    <w:p w14:paraId="2FF1C989">
      <w:pPr>
        <w:spacing w:line="360" w:lineRule="auto"/>
        <w:ind w:firstLine="420" w:firstLineChars="200"/>
        <w:jc w:val="left"/>
        <w:rPr>
          <w:rFonts w:hAnsi="宋体"/>
          <w:color w:val="auto"/>
          <w:highlight w:val="none"/>
        </w:rPr>
      </w:pPr>
      <w:r>
        <w:rPr>
          <w:color w:val="auto"/>
          <w:highlight w:val="none"/>
        </w:rPr>
        <w:t xml:space="preserve">16.2.3 </w:t>
      </w:r>
      <w:r>
        <w:rPr>
          <w:rFonts w:hint="eastAsia" w:hAnsi="宋体" w:cs="宋体"/>
          <w:color w:val="auto"/>
          <w:highlight w:val="none"/>
        </w:rPr>
        <w:t>因承包人违约解除合同</w:t>
      </w:r>
    </w:p>
    <w:p w14:paraId="48418611">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关于承包人违约解除合同的特别约定：</w:t>
      </w:r>
      <w:r>
        <w:rPr>
          <w:rFonts w:hint="eastAsia" w:hAnsi="宋体" w:cs="宋体"/>
          <w:color w:val="auto"/>
          <w:kern w:val="0"/>
          <w:highlight w:val="none"/>
          <w:u w:val="single"/>
        </w:rPr>
        <w:t>承包人有违反以下情况之一的，发包人有权解除合同</w:t>
      </w:r>
      <w:r>
        <w:rPr>
          <w:rFonts w:hint="eastAsia" w:hAnsi="宋体" w:cs="宋体"/>
          <w:color w:val="auto"/>
          <w:kern w:val="0"/>
          <w:highlight w:val="none"/>
        </w:rPr>
        <w:t>。</w:t>
      </w:r>
    </w:p>
    <w:p w14:paraId="1EE64858">
      <w:pPr>
        <w:spacing w:line="40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(1)承包人无正当理由不按开工通知的要求及时进场组织施工和不按签订协议书时商订的进度计划有效地开展施工准备，造成工期延误的；</w:t>
      </w:r>
    </w:p>
    <w:p w14:paraId="151C6807">
      <w:pPr>
        <w:spacing w:line="40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(2)承包人违反本合同通用条款第3.5条规定私自将合同或合同的任何部分或任何权利转让给其他人，或私自将工程或工程的一部分分包出去的；</w:t>
      </w:r>
    </w:p>
    <w:p w14:paraId="7AF9E7EF">
      <w:pPr>
        <w:spacing w:line="40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(3)未经监理人批准，承包人私自将已按投标文件承诺进入工地的工程设备、施工设备、临时工程或材料撤离工地的；</w:t>
      </w:r>
    </w:p>
    <w:p w14:paraId="3E7ECFC6">
      <w:pPr>
        <w:spacing w:line="40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(4)由于承包人原因拒绝按合同进度计划及时完成合同规定的工程，而又未采取有效措施赶上进度，造成工期延误的或合同履行期间，承包人不按合同约定或核批的进度计划组织施工，经监理书面通知整改而未满足要求，经发包人书面通知3日内仍未能有效整改的。</w:t>
      </w:r>
    </w:p>
    <w:p w14:paraId="760EFABA">
      <w:pPr>
        <w:spacing w:line="40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(5)承包人否认合同有效且拒绝履行合同规定的承包人义务，或由于法律、财务等原因导致承包人无法继续履行或实质上已停止履行合同的义务的；</w:t>
      </w:r>
    </w:p>
    <w:p w14:paraId="206B0E2B">
      <w:pPr>
        <w:spacing w:line="360" w:lineRule="auto"/>
        <w:ind w:firstLine="420" w:firstLineChars="200"/>
        <w:rPr>
          <w:color w:val="auto"/>
          <w:kern w:val="0"/>
          <w:highlight w:val="none"/>
        </w:rPr>
      </w:pPr>
      <w:r>
        <w:rPr>
          <w:rFonts w:hint="eastAsia" w:ascii="宋体" w:hAnsi="宋体" w:cs="宋体"/>
          <w:bCs/>
          <w:color w:val="auto"/>
          <w:kern w:val="0"/>
          <w:szCs w:val="21"/>
          <w:highlight w:val="none"/>
        </w:rPr>
        <w:t>(6)合同签订且工程具备开工条件之日十五日内，承包人无法按合同规定及投标文件的承诺进场经监理工程师认可的全部人员和机械的</w:t>
      </w:r>
      <w:r>
        <w:rPr>
          <w:rFonts w:hint="eastAsia" w:hAnsi="宋体" w:cs="宋体"/>
          <w:color w:val="auto"/>
          <w:kern w:val="0"/>
          <w:highlight w:val="none"/>
        </w:rPr>
        <w:t>；</w:t>
      </w:r>
    </w:p>
    <w:p w14:paraId="737423BA">
      <w:pPr>
        <w:spacing w:line="360" w:lineRule="auto"/>
        <w:ind w:firstLine="420" w:firstLineChars="200"/>
        <w:rPr>
          <w:color w:val="auto"/>
          <w:kern w:val="0"/>
          <w:highlight w:val="none"/>
        </w:rPr>
      </w:pPr>
      <w:r>
        <w:rPr>
          <w:rFonts w:hint="eastAsia" w:ascii="宋体" w:hAnsi="宋体" w:cs="宋体"/>
          <w:bCs/>
          <w:color w:val="auto"/>
          <w:kern w:val="0"/>
          <w:szCs w:val="21"/>
          <w:highlight w:val="none"/>
        </w:rPr>
        <w:t>(7)</w:t>
      </w:r>
      <w:r>
        <w:rPr>
          <w:rFonts w:hint="eastAsia" w:hAnsi="宋体" w:cs="宋体"/>
          <w:color w:val="auto"/>
          <w:kern w:val="0"/>
          <w:highlight w:val="none"/>
        </w:rPr>
        <w:t>合同签订</w:t>
      </w:r>
      <w:r>
        <w:rPr>
          <w:rFonts w:hint="eastAsia" w:ascii="仿宋_GB2312" w:hAnsi="宋体" w:cs="宋体"/>
          <w:color w:val="auto"/>
          <w:highlight w:val="none"/>
        </w:rPr>
        <w:t>且具备法定开工条件后</w:t>
      </w:r>
      <w:r>
        <w:rPr>
          <w:rFonts w:hint="eastAsia" w:hAnsi="宋体" w:cs="宋体"/>
          <w:color w:val="auto"/>
          <w:kern w:val="0"/>
          <w:highlight w:val="none"/>
        </w:rPr>
        <w:t>之日起十五日内，承包人无法按合同规定及投标文件的承诺进场经监理工程师认可的该</w:t>
      </w:r>
      <w:r>
        <w:rPr>
          <w:rFonts w:hAnsi="宋体" w:cs="宋体"/>
          <w:color w:val="auto"/>
          <w:kern w:val="0"/>
          <w:highlight w:val="none"/>
        </w:rPr>
        <w:t>施工</w:t>
      </w:r>
      <w:r>
        <w:rPr>
          <w:rFonts w:hint="eastAsia" w:hAnsi="宋体" w:cs="宋体"/>
          <w:color w:val="auto"/>
          <w:kern w:val="0"/>
          <w:highlight w:val="none"/>
        </w:rPr>
        <w:t>阶段</w:t>
      </w:r>
      <w:r>
        <w:rPr>
          <w:rFonts w:hAnsi="宋体" w:cs="宋体"/>
          <w:color w:val="auto"/>
          <w:kern w:val="0"/>
          <w:highlight w:val="none"/>
        </w:rPr>
        <w:t>应有的</w:t>
      </w:r>
      <w:r>
        <w:rPr>
          <w:rFonts w:hint="eastAsia" w:hAnsi="宋体" w:cs="宋体"/>
          <w:color w:val="auto"/>
          <w:kern w:val="0"/>
          <w:highlight w:val="none"/>
        </w:rPr>
        <w:t>全部人员和机械的。</w:t>
      </w:r>
    </w:p>
    <w:p w14:paraId="6637C735">
      <w:pPr>
        <w:spacing w:line="360" w:lineRule="auto"/>
        <w:ind w:firstLine="420" w:firstLineChars="200"/>
        <w:rPr>
          <w:color w:val="auto"/>
          <w:kern w:val="0"/>
          <w:highlight w:val="none"/>
        </w:rPr>
      </w:pPr>
      <w:r>
        <w:rPr>
          <w:rFonts w:hint="eastAsia" w:hAnsi="宋体" w:cs="宋体"/>
          <w:color w:val="auto"/>
          <w:kern w:val="0"/>
          <w:highlight w:val="none"/>
        </w:rPr>
        <w:t>发包人继续使用承包人在施工现场的材料、设备、临时工程、承包人文件和由承包人或以其名义编制的其他文件的费用承担方式：</w:t>
      </w:r>
      <w:r>
        <w:rPr>
          <w:rFonts w:hint="eastAsia" w:ascii="宋体" w:hAnsi="宋体" w:cs="宋体"/>
          <w:color w:val="auto"/>
          <w:kern w:val="0"/>
          <w:highlight w:val="none"/>
          <w:u w:val="single"/>
        </w:rPr>
        <w:t>发包人和承包人可协商解决费用承担问题，无法协商一致的，发包人发出清场通知之日起十日内，承包人应将施工现场的材料、设备无条件搬离，不得以任何理由拒不清场搬离，否则每延误一天承包人按工程总价款的千分之三向发包人支付逾期清场违约金</w:t>
      </w:r>
      <w:r>
        <w:rPr>
          <w:rFonts w:hint="eastAsia" w:hAnsi="宋体" w:cs="宋体"/>
          <w:color w:val="auto"/>
          <w:kern w:val="0"/>
          <w:highlight w:val="none"/>
        </w:rPr>
        <w:t>。</w:t>
      </w:r>
    </w:p>
    <w:p w14:paraId="0640F807">
      <w:pPr>
        <w:keepNext/>
        <w:keepLines/>
        <w:spacing w:before="260" w:after="260" w:line="413" w:lineRule="auto"/>
        <w:outlineLvl w:val="1"/>
        <w:rPr>
          <w:rFonts w:ascii="Arial" w:hAnsi="Arial" w:eastAsia="黑体"/>
          <w:b/>
          <w:bCs/>
          <w:color w:val="auto"/>
          <w:sz w:val="32"/>
          <w:szCs w:val="32"/>
          <w:highlight w:val="none"/>
        </w:rPr>
      </w:pPr>
      <w:bookmarkStart w:id="1252" w:name="_Toc1753556740"/>
      <w:bookmarkStart w:id="1253" w:name="_Toc373478416"/>
      <w:bookmarkStart w:id="1254" w:name="_Toc373227769"/>
      <w:bookmarkStart w:id="1255" w:name="_Toc1117922953"/>
      <w:bookmarkStart w:id="1256" w:name="_Toc389065334"/>
      <w:bookmarkStart w:id="1257" w:name="_Toc78449858"/>
      <w:bookmarkStart w:id="1258" w:name="_Toc351203649"/>
      <w:bookmarkStart w:id="1259" w:name="_Toc407135272"/>
      <w:r>
        <w:rPr>
          <w:rFonts w:ascii="Arial" w:hAnsi="Arial" w:eastAsia="黑体"/>
          <w:b/>
          <w:bCs/>
          <w:color w:val="auto"/>
          <w:sz w:val="32"/>
          <w:szCs w:val="32"/>
          <w:highlight w:val="none"/>
        </w:rPr>
        <w:t xml:space="preserve">17. </w:t>
      </w:r>
      <w:r>
        <w:rPr>
          <w:rFonts w:hint="eastAsia" w:ascii="Arial" w:hAnsi="宋体" w:eastAsia="黑体" w:cs="黑体"/>
          <w:b/>
          <w:bCs/>
          <w:color w:val="auto"/>
          <w:sz w:val="32"/>
          <w:szCs w:val="32"/>
          <w:highlight w:val="none"/>
        </w:rPr>
        <w:t>不可抗力</w:t>
      </w:r>
      <w:bookmarkEnd w:id="1236"/>
      <w:bookmarkEnd w:id="1252"/>
      <w:bookmarkEnd w:id="1253"/>
      <w:bookmarkEnd w:id="1254"/>
      <w:bookmarkEnd w:id="1255"/>
      <w:bookmarkEnd w:id="1256"/>
      <w:bookmarkEnd w:id="1257"/>
      <w:bookmarkEnd w:id="1258"/>
      <w:bookmarkEnd w:id="1259"/>
    </w:p>
    <w:p w14:paraId="30B81ECC">
      <w:pPr>
        <w:keepNext/>
        <w:keepLines/>
        <w:spacing w:line="600" w:lineRule="exact"/>
        <w:ind w:firstLine="643" w:firstLineChars="200"/>
        <w:outlineLvl w:val="2"/>
        <w:rPr>
          <w:b/>
          <w:bCs/>
          <w:color w:val="auto"/>
          <w:sz w:val="32"/>
          <w:szCs w:val="32"/>
          <w:highlight w:val="none"/>
        </w:rPr>
      </w:pPr>
      <w:bookmarkStart w:id="1260" w:name="_Toc666312941"/>
      <w:bookmarkStart w:id="1261" w:name="_Toc78449859"/>
      <w:bookmarkStart w:id="1262" w:name="_Toc373478417"/>
      <w:bookmarkStart w:id="1263" w:name="_Toc407135273"/>
      <w:bookmarkStart w:id="1264" w:name="_Toc373227770"/>
      <w:bookmarkStart w:id="1265" w:name="_Toc389065335"/>
      <w:bookmarkStart w:id="1266" w:name="_Toc429574049"/>
      <w:r>
        <w:rPr>
          <w:b/>
          <w:bCs/>
          <w:color w:val="auto"/>
          <w:sz w:val="32"/>
          <w:szCs w:val="32"/>
          <w:highlight w:val="none"/>
        </w:rPr>
        <w:t xml:space="preserve">17.1 </w:t>
      </w:r>
      <w:r>
        <w:rPr>
          <w:rFonts w:hint="eastAsia" w:cs="黑体"/>
          <w:b/>
          <w:bCs/>
          <w:color w:val="auto"/>
          <w:sz w:val="32"/>
          <w:szCs w:val="32"/>
          <w:highlight w:val="none"/>
        </w:rPr>
        <w:t>不可抗力的确认</w:t>
      </w:r>
      <w:bookmarkEnd w:id="1260"/>
      <w:bookmarkEnd w:id="1261"/>
      <w:bookmarkEnd w:id="1262"/>
      <w:bookmarkEnd w:id="1263"/>
      <w:bookmarkEnd w:id="1264"/>
      <w:bookmarkEnd w:id="1265"/>
      <w:bookmarkEnd w:id="1266"/>
    </w:p>
    <w:p w14:paraId="44D46BA2">
      <w:pPr>
        <w:spacing w:line="360" w:lineRule="auto"/>
        <w:ind w:firstLine="420" w:firstLineChars="200"/>
        <w:jc w:val="left"/>
        <w:rPr>
          <w:color w:val="auto"/>
          <w:kern w:val="0"/>
          <w:highlight w:val="none"/>
          <w:u w:val="single"/>
        </w:rPr>
      </w:pPr>
      <w:r>
        <w:rPr>
          <w:rFonts w:hint="eastAsia" w:hAnsi="宋体" w:cs="宋体"/>
          <w:color w:val="auto"/>
          <w:highlight w:val="none"/>
        </w:rPr>
        <w:t>除通用合同条款约定的不可抗力事件之外，视为不可抗力的其他情形：</w:t>
      </w:r>
      <w:r>
        <w:rPr>
          <w:rFonts w:hint="eastAsia" w:ascii="宋体" w:hAnsi="宋体" w:cs="宋体"/>
          <w:color w:val="auto"/>
          <w:kern w:val="0"/>
          <w:highlight w:val="none"/>
          <w:u w:val="single"/>
        </w:rPr>
        <w:t xml:space="preserve">按有关规定执行 </w:t>
      </w:r>
      <w:r>
        <w:rPr>
          <w:rFonts w:hint="eastAsia" w:hAnsi="宋体" w:cs="宋体"/>
          <w:color w:val="auto"/>
          <w:kern w:val="0"/>
          <w:highlight w:val="none"/>
        </w:rPr>
        <w:t>。</w:t>
      </w:r>
    </w:p>
    <w:p w14:paraId="20852922">
      <w:pPr>
        <w:keepNext/>
        <w:keepLines/>
        <w:spacing w:line="600" w:lineRule="exact"/>
        <w:ind w:firstLine="643" w:firstLineChars="200"/>
        <w:outlineLvl w:val="2"/>
        <w:rPr>
          <w:b/>
          <w:bCs/>
          <w:color w:val="auto"/>
          <w:sz w:val="32"/>
          <w:szCs w:val="32"/>
          <w:highlight w:val="none"/>
        </w:rPr>
      </w:pPr>
      <w:bookmarkStart w:id="1267" w:name="_Toc658729758"/>
      <w:bookmarkStart w:id="1268" w:name="_Toc373227771"/>
      <w:bookmarkStart w:id="1269" w:name="_Toc373478418"/>
      <w:bookmarkStart w:id="1270" w:name="_Toc78449860"/>
      <w:bookmarkStart w:id="1271" w:name="_Toc389065336"/>
      <w:bookmarkStart w:id="1272" w:name="_Toc407135274"/>
      <w:bookmarkStart w:id="1273" w:name="_Toc1951449751"/>
      <w:r>
        <w:rPr>
          <w:b/>
          <w:bCs/>
          <w:color w:val="auto"/>
          <w:sz w:val="32"/>
          <w:szCs w:val="32"/>
          <w:highlight w:val="none"/>
        </w:rPr>
        <w:t xml:space="preserve">17.4 </w:t>
      </w:r>
      <w:r>
        <w:rPr>
          <w:rFonts w:hint="eastAsia" w:cs="黑体"/>
          <w:b/>
          <w:bCs/>
          <w:color w:val="auto"/>
          <w:sz w:val="32"/>
          <w:szCs w:val="32"/>
          <w:highlight w:val="none"/>
        </w:rPr>
        <w:t>因不可抗力解除合同</w:t>
      </w:r>
      <w:bookmarkEnd w:id="1267"/>
      <w:bookmarkEnd w:id="1268"/>
      <w:bookmarkEnd w:id="1269"/>
      <w:bookmarkEnd w:id="1270"/>
      <w:bookmarkEnd w:id="1271"/>
      <w:bookmarkEnd w:id="1272"/>
      <w:bookmarkEnd w:id="1273"/>
    </w:p>
    <w:p w14:paraId="094DE156">
      <w:pPr>
        <w:spacing w:line="360" w:lineRule="auto"/>
        <w:ind w:firstLine="420" w:firstLineChars="200"/>
        <w:jc w:val="left"/>
        <w:rPr>
          <w:color w:val="auto"/>
          <w:highlight w:val="none"/>
        </w:rPr>
      </w:pPr>
      <w:r>
        <w:rPr>
          <w:rFonts w:hint="eastAsia" w:hAnsi="宋体" w:cs="宋体"/>
          <w:color w:val="auto"/>
          <w:highlight w:val="none"/>
        </w:rPr>
        <w:t>合同解除后，发包人应在商定或确定发包人应支付款项后</w:t>
      </w:r>
      <w:r>
        <w:rPr>
          <w:rFonts w:hint="eastAsia"/>
          <w:color w:val="auto"/>
          <w:highlight w:val="none"/>
          <w:u w:val="single"/>
        </w:rPr>
        <w:t>30</w:t>
      </w:r>
      <w:r>
        <w:rPr>
          <w:rFonts w:hint="eastAsia" w:hAnsi="宋体" w:cs="宋体"/>
          <w:color w:val="auto"/>
          <w:highlight w:val="none"/>
        </w:rPr>
        <w:t>天内完成款项的支付。</w:t>
      </w:r>
    </w:p>
    <w:p w14:paraId="3F17E1C2">
      <w:pPr>
        <w:keepNext/>
        <w:keepLines/>
        <w:spacing w:before="260" w:after="260" w:line="413" w:lineRule="auto"/>
        <w:outlineLvl w:val="1"/>
        <w:rPr>
          <w:rFonts w:ascii="Arial" w:hAnsi="Arial" w:eastAsia="黑体"/>
          <w:b/>
          <w:bCs/>
          <w:color w:val="auto"/>
          <w:sz w:val="32"/>
          <w:szCs w:val="32"/>
          <w:highlight w:val="none"/>
        </w:rPr>
      </w:pPr>
      <w:bookmarkStart w:id="1274" w:name="_Toc373478419"/>
      <w:bookmarkStart w:id="1275" w:name="_Toc351203650"/>
      <w:bookmarkStart w:id="1276" w:name="_Toc389065337"/>
      <w:bookmarkStart w:id="1277" w:name="_Toc373227772"/>
      <w:bookmarkStart w:id="1278" w:name="_Toc56822299"/>
      <w:bookmarkStart w:id="1279" w:name="_Toc407135275"/>
      <w:bookmarkStart w:id="1280" w:name="_Toc78449861"/>
      <w:bookmarkStart w:id="1281" w:name="_Toc612072600"/>
      <w:r>
        <w:rPr>
          <w:rFonts w:ascii="Arial" w:hAnsi="Arial" w:eastAsia="黑体"/>
          <w:b/>
          <w:bCs/>
          <w:color w:val="auto"/>
          <w:sz w:val="32"/>
          <w:szCs w:val="32"/>
          <w:highlight w:val="none"/>
        </w:rPr>
        <w:t xml:space="preserve">18. </w:t>
      </w:r>
      <w:r>
        <w:rPr>
          <w:rFonts w:hint="eastAsia" w:ascii="Arial" w:hAnsi="宋体" w:eastAsia="黑体" w:cs="黑体"/>
          <w:b/>
          <w:bCs/>
          <w:color w:val="auto"/>
          <w:sz w:val="32"/>
          <w:szCs w:val="32"/>
          <w:highlight w:val="none"/>
        </w:rPr>
        <w:t>保险</w:t>
      </w:r>
      <w:bookmarkEnd w:id="1274"/>
      <w:bookmarkEnd w:id="1275"/>
      <w:bookmarkEnd w:id="1276"/>
      <w:bookmarkEnd w:id="1277"/>
      <w:bookmarkEnd w:id="1278"/>
      <w:bookmarkEnd w:id="1279"/>
      <w:bookmarkEnd w:id="1280"/>
      <w:bookmarkEnd w:id="1281"/>
    </w:p>
    <w:bookmarkEnd w:id="1237"/>
    <w:p w14:paraId="6A2B34AE">
      <w:pPr>
        <w:keepNext/>
        <w:keepLines/>
        <w:spacing w:line="600" w:lineRule="exact"/>
        <w:ind w:firstLine="643" w:firstLineChars="200"/>
        <w:outlineLvl w:val="2"/>
        <w:rPr>
          <w:b/>
          <w:bCs/>
          <w:color w:val="auto"/>
          <w:sz w:val="32"/>
          <w:szCs w:val="32"/>
          <w:highlight w:val="none"/>
        </w:rPr>
      </w:pPr>
      <w:bookmarkStart w:id="1282" w:name="_Toc78449862"/>
      <w:bookmarkStart w:id="1283" w:name="_Toc1446953302"/>
      <w:bookmarkStart w:id="1284" w:name="_Toc373227773"/>
      <w:bookmarkStart w:id="1285" w:name="_Toc2075285517"/>
      <w:bookmarkStart w:id="1286" w:name="_Toc389065338"/>
      <w:bookmarkStart w:id="1287" w:name="_Toc373478420"/>
      <w:bookmarkStart w:id="1288" w:name="_Toc407135276"/>
      <w:r>
        <w:rPr>
          <w:b/>
          <w:bCs/>
          <w:color w:val="auto"/>
          <w:sz w:val="32"/>
          <w:szCs w:val="32"/>
          <w:highlight w:val="none"/>
        </w:rPr>
        <w:t xml:space="preserve">18.1 </w:t>
      </w:r>
      <w:r>
        <w:rPr>
          <w:rFonts w:hint="eastAsia" w:hAnsi="宋体" w:cs="黑体"/>
          <w:b/>
          <w:bCs/>
          <w:color w:val="auto"/>
          <w:sz w:val="32"/>
          <w:szCs w:val="32"/>
          <w:highlight w:val="none"/>
        </w:rPr>
        <w:t>工程保险</w:t>
      </w:r>
      <w:bookmarkEnd w:id="1282"/>
      <w:bookmarkEnd w:id="1283"/>
      <w:bookmarkEnd w:id="1284"/>
      <w:bookmarkEnd w:id="1285"/>
      <w:bookmarkEnd w:id="1286"/>
      <w:bookmarkEnd w:id="1287"/>
      <w:bookmarkEnd w:id="1288"/>
    </w:p>
    <w:p w14:paraId="3CD47A4E">
      <w:pPr>
        <w:spacing w:line="360" w:lineRule="auto"/>
        <w:ind w:firstLine="420" w:firstLineChars="200"/>
        <w:jc w:val="left"/>
        <w:rPr>
          <w:color w:val="auto"/>
          <w:highlight w:val="none"/>
        </w:rPr>
      </w:pPr>
      <w:r>
        <w:rPr>
          <w:rFonts w:hint="eastAsia" w:hAnsi="宋体" w:cs="宋体"/>
          <w:color w:val="auto"/>
          <w:highlight w:val="none"/>
        </w:rPr>
        <w:t>关于工程保险的特别约定：</w:t>
      </w:r>
      <w:r>
        <w:rPr>
          <w:rFonts w:hint="eastAsia" w:ascii="宋体" w:hAnsi="宋体" w:cs="宋体"/>
          <w:color w:val="auto"/>
          <w:kern w:val="0"/>
          <w:highlight w:val="none"/>
          <w:u w:val="single"/>
        </w:rPr>
        <w:t>承包人应必须购买工程一切险和第三者责任险，并承担相关费用，费用已包含在综合单价中不再另计计价</w:t>
      </w:r>
      <w:r>
        <w:rPr>
          <w:rFonts w:hint="eastAsia" w:hAnsi="宋体" w:cs="宋体"/>
          <w:color w:val="auto"/>
          <w:kern w:val="0"/>
          <w:highlight w:val="none"/>
        </w:rPr>
        <w:t>。</w:t>
      </w:r>
    </w:p>
    <w:p w14:paraId="7025B61B">
      <w:pPr>
        <w:keepNext/>
        <w:keepLines/>
        <w:spacing w:line="600" w:lineRule="exact"/>
        <w:ind w:firstLine="643" w:firstLineChars="200"/>
        <w:outlineLvl w:val="2"/>
        <w:rPr>
          <w:b/>
          <w:bCs/>
          <w:color w:val="auto"/>
          <w:sz w:val="32"/>
          <w:szCs w:val="32"/>
          <w:highlight w:val="none"/>
        </w:rPr>
      </w:pPr>
      <w:bookmarkStart w:id="1289" w:name="_Toc373478421"/>
      <w:bookmarkStart w:id="1290" w:name="_Toc389065339"/>
      <w:bookmarkStart w:id="1291" w:name="_Toc2001387503"/>
      <w:bookmarkStart w:id="1292" w:name="_Toc373227774"/>
      <w:bookmarkStart w:id="1293" w:name="_Toc78449863"/>
      <w:bookmarkStart w:id="1294" w:name="_Toc454766369"/>
      <w:bookmarkStart w:id="1295" w:name="_Toc407135277"/>
      <w:r>
        <w:rPr>
          <w:b/>
          <w:bCs/>
          <w:color w:val="auto"/>
          <w:sz w:val="32"/>
          <w:szCs w:val="32"/>
          <w:highlight w:val="none"/>
        </w:rPr>
        <w:t xml:space="preserve">18.3 </w:t>
      </w:r>
      <w:r>
        <w:rPr>
          <w:rFonts w:hint="eastAsia" w:hAnsi="宋体" w:cs="黑体"/>
          <w:b/>
          <w:bCs/>
          <w:color w:val="auto"/>
          <w:sz w:val="32"/>
          <w:szCs w:val="32"/>
          <w:highlight w:val="none"/>
        </w:rPr>
        <w:t>其他保险</w:t>
      </w:r>
      <w:bookmarkEnd w:id="1289"/>
      <w:bookmarkEnd w:id="1290"/>
      <w:bookmarkEnd w:id="1291"/>
      <w:bookmarkEnd w:id="1292"/>
      <w:bookmarkEnd w:id="1293"/>
      <w:bookmarkEnd w:id="1294"/>
      <w:bookmarkEnd w:id="1295"/>
    </w:p>
    <w:p w14:paraId="2D786B96">
      <w:pPr>
        <w:spacing w:line="360" w:lineRule="auto"/>
        <w:ind w:firstLine="420" w:firstLineChars="200"/>
        <w:jc w:val="left"/>
        <w:rPr>
          <w:color w:val="auto"/>
          <w:kern w:val="0"/>
          <w:highlight w:val="none"/>
        </w:rPr>
      </w:pPr>
      <w:r>
        <w:rPr>
          <w:rFonts w:hint="eastAsia" w:hAnsi="宋体" w:cs="宋体"/>
          <w:color w:val="auto"/>
          <w:highlight w:val="none"/>
        </w:rPr>
        <w:t>关于其他保险的约定：</w:t>
      </w:r>
      <w:r>
        <w:rPr>
          <w:rFonts w:hint="eastAsia" w:ascii="宋体" w:hAnsi="宋体" w:cs="宋体"/>
          <w:color w:val="auto"/>
          <w:highlight w:val="none"/>
          <w:u w:val="single"/>
        </w:rPr>
        <w:t>承包人必须为施工现场从事施工的自有作业人员和管理人员办理意外伤害保险，并支付保险费，费用已包含在综合单价中不再另计计价</w:t>
      </w:r>
      <w:r>
        <w:rPr>
          <w:rFonts w:hint="eastAsia" w:hAnsi="宋体" w:cs="宋体"/>
          <w:color w:val="auto"/>
          <w:highlight w:val="none"/>
        </w:rPr>
        <w:t>。</w:t>
      </w:r>
    </w:p>
    <w:p w14:paraId="33A60A52">
      <w:pPr>
        <w:spacing w:line="360" w:lineRule="auto"/>
        <w:ind w:firstLine="420" w:firstLineChars="200"/>
        <w:jc w:val="left"/>
        <w:rPr>
          <w:color w:val="auto"/>
          <w:highlight w:val="none"/>
          <w:u w:val="single"/>
        </w:rPr>
      </w:pPr>
      <w:r>
        <w:rPr>
          <w:rFonts w:hint="eastAsia" w:hAnsi="宋体" w:cs="宋体"/>
          <w:color w:val="auto"/>
          <w:highlight w:val="none"/>
        </w:rPr>
        <w:t>承包人是否应为其施工设备等办理财产保险：</w:t>
      </w:r>
      <w:r>
        <w:rPr>
          <w:rFonts w:hint="eastAsia" w:ascii="宋体" w:hAnsi="宋体" w:cs="宋体"/>
          <w:color w:val="auto"/>
          <w:highlight w:val="none"/>
          <w:u w:val="single"/>
        </w:rPr>
        <w:t>承包人自行考虑</w:t>
      </w:r>
      <w:r>
        <w:rPr>
          <w:rFonts w:hint="eastAsia" w:hAnsi="宋体" w:cs="宋体"/>
          <w:color w:val="auto"/>
          <w:highlight w:val="none"/>
        </w:rPr>
        <w:t>。</w:t>
      </w:r>
    </w:p>
    <w:p w14:paraId="029D43AB">
      <w:pPr>
        <w:keepNext/>
        <w:keepLines/>
        <w:spacing w:line="600" w:lineRule="exact"/>
        <w:ind w:firstLine="643" w:firstLineChars="200"/>
        <w:outlineLvl w:val="2"/>
        <w:rPr>
          <w:b/>
          <w:bCs/>
          <w:color w:val="auto"/>
          <w:sz w:val="32"/>
          <w:szCs w:val="32"/>
          <w:highlight w:val="none"/>
        </w:rPr>
      </w:pPr>
      <w:bookmarkStart w:id="1296" w:name="_Toc389065340"/>
      <w:bookmarkStart w:id="1297" w:name="_Toc2102614655"/>
      <w:bookmarkStart w:id="1298" w:name="_Toc373227775"/>
      <w:bookmarkStart w:id="1299" w:name="_Toc373478422"/>
      <w:bookmarkStart w:id="1300" w:name="_Toc1114527236"/>
      <w:bookmarkStart w:id="1301" w:name="_Toc407135278"/>
      <w:bookmarkStart w:id="1302" w:name="_Toc78449864"/>
      <w:r>
        <w:rPr>
          <w:b/>
          <w:bCs/>
          <w:color w:val="auto"/>
          <w:sz w:val="32"/>
          <w:szCs w:val="32"/>
          <w:highlight w:val="none"/>
        </w:rPr>
        <w:t xml:space="preserve">18.7 </w:t>
      </w:r>
      <w:r>
        <w:rPr>
          <w:rFonts w:hint="eastAsia" w:hAnsi="宋体" w:cs="黑体"/>
          <w:b/>
          <w:bCs/>
          <w:color w:val="auto"/>
          <w:sz w:val="32"/>
          <w:szCs w:val="32"/>
          <w:highlight w:val="none"/>
        </w:rPr>
        <w:t>通知义务</w:t>
      </w:r>
      <w:bookmarkEnd w:id="1296"/>
      <w:bookmarkEnd w:id="1297"/>
      <w:bookmarkEnd w:id="1298"/>
      <w:bookmarkEnd w:id="1299"/>
      <w:bookmarkEnd w:id="1300"/>
      <w:bookmarkEnd w:id="1301"/>
      <w:bookmarkEnd w:id="1302"/>
    </w:p>
    <w:p w14:paraId="47333481">
      <w:pPr>
        <w:spacing w:line="360" w:lineRule="auto"/>
        <w:ind w:firstLine="420" w:firstLineChars="200"/>
        <w:jc w:val="left"/>
        <w:rPr>
          <w:color w:val="auto"/>
          <w:highlight w:val="none"/>
          <w:u w:val="single"/>
        </w:rPr>
      </w:pPr>
      <w:r>
        <w:rPr>
          <w:rFonts w:hint="eastAsia" w:hAnsi="宋体" w:cs="宋体"/>
          <w:color w:val="auto"/>
          <w:kern w:val="0"/>
          <w:highlight w:val="none"/>
        </w:rPr>
        <w:t>关于变更保险合同时的通知义务的约定：</w:t>
      </w:r>
      <w:r>
        <w:rPr>
          <w:rFonts w:hint="eastAsia" w:ascii="宋体" w:hAnsi="宋体" w:cs="宋体"/>
          <w:color w:val="auto"/>
          <w:highlight w:val="none"/>
          <w:u w:val="single"/>
        </w:rPr>
        <w:t>无</w:t>
      </w:r>
      <w:r>
        <w:rPr>
          <w:rFonts w:hint="eastAsia" w:hAnsi="宋体" w:cs="宋体"/>
          <w:color w:val="auto"/>
          <w:highlight w:val="none"/>
        </w:rPr>
        <w:t>。</w:t>
      </w:r>
    </w:p>
    <w:bookmarkEnd w:id="1185"/>
    <w:bookmarkEnd w:id="1186"/>
    <w:bookmarkEnd w:id="1187"/>
    <w:bookmarkEnd w:id="1188"/>
    <w:bookmarkEnd w:id="1189"/>
    <w:bookmarkEnd w:id="1190"/>
    <w:bookmarkEnd w:id="1191"/>
    <w:bookmarkEnd w:id="1192"/>
    <w:bookmarkEnd w:id="1193"/>
    <w:bookmarkEnd w:id="1194"/>
    <w:bookmarkEnd w:id="1195"/>
    <w:bookmarkEnd w:id="1196"/>
    <w:p w14:paraId="5CFE7DA9">
      <w:pPr>
        <w:keepNext/>
        <w:keepLines/>
        <w:spacing w:before="260" w:after="260" w:line="413" w:lineRule="auto"/>
        <w:outlineLvl w:val="1"/>
        <w:rPr>
          <w:rFonts w:ascii="Arial" w:hAnsi="Arial" w:eastAsia="黑体"/>
          <w:b/>
          <w:bCs/>
          <w:color w:val="auto"/>
          <w:sz w:val="32"/>
          <w:szCs w:val="32"/>
          <w:highlight w:val="none"/>
        </w:rPr>
      </w:pPr>
      <w:bookmarkStart w:id="1303" w:name="_Toc1959910599"/>
      <w:bookmarkStart w:id="1304" w:name="_Toc78449865"/>
      <w:bookmarkStart w:id="1305" w:name="_Toc1430568476"/>
      <w:bookmarkStart w:id="1306" w:name="_Toc389065341"/>
      <w:bookmarkStart w:id="1307" w:name="_Toc373478423"/>
      <w:bookmarkStart w:id="1308" w:name="_Toc407135279"/>
      <w:bookmarkStart w:id="1309" w:name="_Toc351203651"/>
      <w:bookmarkStart w:id="1310" w:name="_Toc373227776"/>
      <w:r>
        <w:rPr>
          <w:rFonts w:ascii="Arial" w:hAnsi="Arial" w:eastAsia="黑体"/>
          <w:b/>
          <w:bCs/>
          <w:color w:val="auto"/>
          <w:sz w:val="32"/>
          <w:szCs w:val="32"/>
          <w:highlight w:val="none"/>
        </w:rPr>
        <w:t xml:space="preserve">20. </w:t>
      </w:r>
      <w:r>
        <w:rPr>
          <w:rFonts w:hint="eastAsia" w:ascii="Arial" w:hAnsi="宋体" w:eastAsia="黑体" w:cs="黑体"/>
          <w:b/>
          <w:bCs/>
          <w:color w:val="auto"/>
          <w:sz w:val="32"/>
          <w:szCs w:val="32"/>
          <w:highlight w:val="none"/>
        </w:rPr>
        <w:t>争议解决</w:t>
      </w:r>
      <w:bookmarkEnd w:id="1303"/>
      <w:bookmarkEnd w:id="1304"/>
      <w:bookmarkEnd w:id="1305"/>
      <w:bookmarkEnd w:id="1306"/>
      <w:bookmarkEnd w:id="1307"/>
      <w:bookmarkEnd w:id="1308"/>
      <w:bookmarkEnd w:id="1309"/>
      <w:bookmarkEnd w:id="1310"/>
    </w:p>
    <w:bookmarkEnd w:id="1197"/>
    <w:bookmarkEnd w:id="1198"/>
    <w:p w14:paraId="6650396A">
      <w:pPr>
        <w:keepNext/>
        <w:keepLines/>
        <w:spacing w:line="600" w:lineRule="exact"/>
        <w:ind w:firstLine="643" w:firstLineChars="200"/>
        <w:outlineLvl w:val="2"/>
        <w:rPr>
          <w:b/>
          <w:bCs/>
          <w:color w:val="auto"/>
          <w:sz w:val="32"/>
          <w:szCs w:val="32"/>
          <w:highlight w:val="none"/>
        </w:rPr>
      </w:pPr>
      <w:bookmarkStart w:id="1311" w:name="_Toc373478424"/>
      <w:bookmarkStart w:id="1312" w:name="_Toc373227777"/>
      <w:bookmarkStart w:id="1313" w:name="_Toc2138124043"/>
      <w:bookmarkStart w:id="1314" w:name="_Toc78449866"/>
      <w:bookmarkStart w:id="1315" w:name="_Toc407135280"/>
      <w:bookmarkStart w:id="1316" w:name="_Toc389065342"/>
      <w:bookmarkStart w:id="1317" w:name="_Toc1645489822"/>
      <w:r>
        <w:rPr>
          <w:b/>
          <w:bCs/>
          <w:color w:val="auto"/>
          <w:sz w:val="32"/>
          <w:szCs w:val="32"/>
          <w:highlight w:val="none"/>
        </w:rPr>
        <w:t xml:space="preserve">20.3 </w:t>
      </w:r>
      <w:r>
        <w:rPr>
          <w:rFonts w:hint="eastAsia" w:hAnsi="宋体" w:cs="黑体"/>
          <w:b/>
          <w:bCs/>
          <w:color w:val="auto"/>
          <w:sz w:val="32"/>
          <w:szCs w:val="32"/>
          <w:highlight w:val="none"/>
        </w:rPr>
        <w:t>争</w:t>
      </w:r>
      <w:bookmarkEnd w:id="1199"/>
      <w:r>
        <w:rPr>
          <w:rFonts w:hint="eastAsia" w:hAnsi="宋体" w:cs="黑体"/>
          <w:b/>
          <w:bCs/>
          <w:color w:val="auto"/>
          <w:sz w:val="32"/>
          <w:szCs w:val="32"/>
          <w:highlight w:val="none"/>
        </w:rPr>
        <w:t>议评审</w:t>
      </w:r>
      <w:bookmarkEnd w:id="1311"/>
      <w:bookmarkEnd w:id="1312"/>
      <w:bookmarkEnd w:id="1313"/>
      <w:bookmarkEnd w:id="1314"/>
      <w:bookmarkEnd w:id="1315"/>
      <w:bookmarkEnd w:id="1316"/>
      <w:bookmarkEnd w:id="1317"/>
    </w:p>
    <w:p w14:paraId="5FCD73CE">
      <w:pPr>
        <w:spacing w:line="360" w:lineRule="auto"/>
        <w:ind w:left="149" w:leftChars="71" w:firstLine="315" w:firstLineChars="150"/>
        <w:jc w:val="left"/>
        <w:rPr>
          <w:color w:val="auto"/>
          <w:highlight w:val="none"/>
          <w:u w:val="single"/>
        </w:rPr>
      </w:pPr>
      <w:r>
        <w:rPr>
          <w:rFonts w:hint="eastAsia" w:hAnsi="宋体" w:cs="宋体"/>
          <w:color w:val="auto"/>
          <w:highlight w:val="none"/>
        </w:rPr>
        <w:t>合同当事人是否同意将工程争议提交争议评审小组决定：</w:t>
      </w:r>
      <w:r>
        <w:rPr>
          <w:rFonts w:hint="eastAsia" w:ascii="宋体" w:hAnsi="宋体" w:cs="宋体"/>
          <w:color w:val="auto"/>
          <w:highlight w:val="none"/>
          <w:u w:val="single"/>
        </w:rPr>
        <w:t>不同意</w:t>
      </w:r>
      <w:r>
        <w:rPr>
          <w:rFonts w:hint="eastAsia" w:hAnsi="宋体" w:cs="宋体"/>
          <w:color w:val="auto"/>
          <w:highlight w:val="none"/>
        </w:rPr>
        <w:t>。</w:t>
      </w:r>
    </w:p>
    <w:p w14:paraId="318F7CD3">
      <w:pPr>
        <w:spacing w:line="360" w:lineRule="auto"/>
        <w:ind w:firstLine="420" w:firstLineChars="200"/>
        <w:jc w:val="left"/>
        <w:outlineLvl w:val="0"/>
        <w:rPr>
          <w:color w:val="auto"/>
          <w:highlight w:val="none"/>
        </w:rPr>
      </w:pPr>
      <w:r>
        <w:rPr>
          <w:color w:val="auto"/>
          <w:highlight w:val="none"/>
        </w:rPr>
        <w:t xml:space="preserve">20.3.1 </w:t>
      </w:r>
      <w:r>
        <w:rPr>
          <w:rFonts w:hint="eastAsia" w:hAnsi="宋体" w:cs="宋体"/>
          <w:color w:val="auto"/>
          <w:highlight w:val="none"/>
        </w:rPr>
        <w:t>争议评审小组的确定</w:t>
      </w:r>
    </w:p>
    <w:p w14:paraId="4C44EF56">
      <w:pPr>
        <w:spacing w:line="360" w:lineRule="auto"/>
        <w:ind w:firstLine="420" w:firstLineChars="200"/>
        <w:jc w:val="left"/>
        <w:rPr>
          <w:color w:val="auto"/>
          <w:highlight w:val="none"/>
          <w:u w:val="single"/>
        </w:rPr>
      </w:pPr>
      <w:r>
        <w:rPr>
          <w:rFonts w:hint="eastAsia" w:hAnsi="宋体" w:cs="宋体"/>
          <w:color w:val="auto"/>
          <w:highlight w:val="none"/>
        </w:rPr>
        <w:t>争议评审小组成员的确定：</w:t>
      </w:r>
      <w:r>
        <w:rPr>
          <w:rFonts w:hint="eastAsia" w:ascii="宋体" w:hAnsi="宋体" w:cs="宋体"/>
          <w:color w:val="auto"/>
          <w:szCs w:val="21"/>
          <w:highlight w:val="none"/>
          <w:u w:val="single"/>
        </w:rPr>
        <w:t xml:space="preserve"> 无</w:t>
      </w:r>
      <w:r>
        <w:rPr>
          <w:rFonts w:hint="eastAsia" w:hAnsi="宋体" w:cs="宋体"/>
          <w:color w:val="auto"/>
          <w:highlight w:val="none"/>
        </w:rPr>
        <w:t>。</w:t>
      </w:r>
    </w:p>
    <w:p w14:paraId="58A1B7A1">
      <w:pPr>
        <w:spacing w:line="360" w:lineRule="auto"/>
        <w:ind w:firstLine="420" w:firstLineChars="200"/>
        <w:jc w:val="left"/>
        <w:rPr>
          <w:color w:val="auto"/>
          <w:highlight w:val="none"/>
        </w:rPr>
      </w:pPr>
      <w:r>
        <w:rPr>
          <w:rFonts w:hint="eastAsia" w:hAnsi="宋体" w:cs="宋体"/>
          <w:color w:val="auto"/>
          <w:highlight w:val="none"/>
        </w:rPr>
        <w:t>选定争议评审员的期限：</w:t>
      </w:r>
      <w:r>
        <w:rPr>
          <w:rFonts w:hint="eastAsia" w:ascii="宋体" w:hAnsi="宋体" w:cs="宋体"/>
          <w:color w:val="auto"/>
          <w:szCs w:val="21"/>
          <w:highlight w:val="none"/>
          <w:u w:val="single"/>
        </w:rPr>
        <w:t xml:space="preserve"> 无</w:t>
      </w:r>
      <w:r>
        <w:rPr>
          <w:rFonts w:hint="eastAsia" w:hAnsi="宋体" w:cs="宋体"/>
          <w:color w:val="auto"/>
          <w:highlight w:val="none"/>
        </w:rPr>
        <w:t>。</w:t>
      </w:r>
    </w:p>
    <w:p w14:paraId="516F5EB0">
      <w:pPr>
        <w:spacing w:line="360" w:lineRule="auto"/>
        <w:ind w:firstLine="420" w:firstLineChars="200"/>
        <w:jc w:val="left"/>
        <w:rPr>
          <w:color w:val="auto"/>
          <w:highlight w:val="none"/>
        </w:rPr>
      </w:pPr>
      <w:r>
        <w:rPr>
          <w:rFonts w:hint="eastAsia" w:hAnsi="宋体" w:cs="宋体"/>
          <w:color w:val="auto"/>
          <w:highlight w:val="none"/>
        </w:rPr>
        <w:t>争议评审小组成员的报酬承担方式：</w:t>
      </w:r>
      <w:r>
        <w:rPr>
          <w:rFonts w:hint="eastAsia" w:ascii="宋体" w:hAnsi="宋体" w:cs="宋体"/>
          <w:color w:val="auto"/>
          <w:szCs w:val="21"/>
          <w:highlight w:val="none"/>
          <w:u w:val="single"/>
        </w:rPr>
        <w:t xml:space="preserve"> 无</w:t>
      </w:r>
      <w:r>
        <w:rPr>
          <w:rFonts w:hint="eastAsia" w:hAnsi="宋体" w:cs="宋体"/>
          <w:color w:val="auto"/>
          <w:highlight w:val="none"/>
        </w:rPr>
        <w:t>。</w:t>
      </w:r>
    </w:p>
    <w:p w14:paraId="65FD02E4">
      <w:pPr>
        <w:spacing w:line="360" w:lineRule="auto"/>
        <w:ind w:firstLine="420" w:firstLineChars="200"/>
        <w:jc w:val="left"/>
        <w:rPr>
          <w:color w:val="auto"/>
          <w:highlight w:val="none"/>
        </w:rPr>
      </w:pPr>
      <w:r>
        <w:rPr>
          <w:rFonts w:hint="eastAsia" w:hAnsi="宋体" w:cs="宋体"/>
          <w:color w:val="auto"/>
          <w:highlight w:val="none"/>
        </w:rPr>
        <w:t>其他事项的约定：。</w:t>
      </w:r>
    </w:p>
    <w:p w14:paraId="4CEE443D">
      <w:pPr>
        <w:autoSpaceDE w:val="0"/>
        <w:autoSpaceDN w:val="0"/>
        <w:adjustRightInd w:val="0"/>
        <w:spacing w:line="360" w:lineRule="auto"/>
        <w:ind w:firstLine="420" w:firstLineChars="200"/>
        <w:jc w:val="left"/>
        <w:rPr>
          <w:color w:val="auto"/>
          <w:kern w:val="0"/>
          <w:highlight w:val="none"/>
        </w:rPr>
      </w:pPr>
      <w:r>
        <w:rPr>
          <w:color w:val="auto"/>
          <w:kern w:val="0"/>
          <w:highlight w:val="none"/>
        </w:rPr>
        <w:t xml:space="preserve">20.3.2 </w:t>
      </w:r>
      <w:r>
        <w:rPr>
          <w:rFonts w:hint="eastAsia" w:hAnsi="宋体" w:cs="宋体"/>
          <w:color w:val="auto"/>
          <w:kern w:val="0"/>
          <w:highlight w:val="none"/>
        </w:rPr>
        <w:t>争议评审小组的决定</w:t>
      </w:r>
      <w:r>
        <w:rPr>
          <w:rFonts w:hint="eastAsia" w:ascii="宋体" w:hAnsi="宋体" w:cs="宋体"/>
          <w:color w:val="auto"/>
          <w:szCs w:val="21"/>
          <w:highlight w:val="none"/>
          <w:u w:val="single"/>
        </w:rPr>
        <w:t xml:space="preserve"> 无</w:t>
      </w:r>
    </w:p>
    <w:p w14:paraId="18629E5C">
      <w:pPr>
        <w:spacing w:line="360" w:lineRule="auto"/>
        <w:ind w:firstLine="420" w:firstLineChars="200"/>
        <w:jc w:val="left"/>
        <w:rPr>
          <w:color w:val="auto"/>
          <w:highlight w:val="none"/>
        </w:rPr>
      </w:pPr>
      <w:r>
        <w:rPr>
          <w:rFonts w:hint="eastAsia" w:hAnsi="宋体" w:cs="宋体"/>
          <w:color w:val="auto"/>
          <w:highlight w:val="none"/>
        </w:rPr>
        <w:t>合同当事人关于本项的约定：</w:t>
      </w:r>
      <w:r>
        <w:rPr>
          <w:rFonts w:hint="eastAsia" w:ascii="宋体" w:hAnsi="宋体" w:cs="宋体"/>
          <w:color w:val="auto"/>
          <w:szCs w:val="21"/>
          <w:highlight w:val="none"/>
          <w:u w:val="single"/>
        </w:rPr>
        <w:t xml:space="preserve"> 无</w:t>
      </w:r>
      <w:r>
        <w:rPr>
          <w:rFonts w:hint="eastAsia" w:hAnsi="宋体" w:cs="宋体"/>
          <w:color w:val="auto"/>
          <w:highlight w:val="none"/>
        </w:rPr>
        <w:t>。</w:t>
      </w:r>
    </w:p>
    <w:p w14:paraId="66BB6AA1">
      <w:pPr>
        <w:keepNext/>
        <w:keepLines/>
        <w:spacing w:line="600" w:lineRule="exact"/>
        <w:ind w:firstLine="643" w:firstLineChars="200"/>
        <w:outlineLvl w:val="2"/>
        <w:rPr>
          <w:b/>
          <w:bCs/>
          <w:color w:val="auto"/>
          <w:sz w:val="32"/>
          <w:szCs w:val="32"/>
          <w:highlight w:val="none"/>
        </w:rPr>
      </w:pPr>
      <w:bookmarkStart w:id="1318" w:name="_Toc78449867"/>
      <w:bookmarkStart w:id="1319" w:name="_Toc1456517022"/>
      <w:bookmarkStart w:id="1320" w:name="_Toc1156795721"/>
      <w:bookmarkStart w:id="1321" w:name="_Toc389065343"/>
      <w:bookmarkStart w:id="1322" w:name="_Toc407135281"/>
      <w:bookmarkStart w:id="1323" w:name="_Toc373227778"/>
      <w:bookmarkStart w:id="1324" w:name="_Toc373478425"/>
      <w:r>
        <w:rPr>
          <w:b/>
          <w:bCs/>
          <w:color w:val="auto"/>
          <w:sz w:val="32"/>
          <w:szCs w:val="32"/>
          <w:highlight w:val="none"/>
        </w:rPr>
        <w:t xml:space="preserve">20.4 </w:t>
      </w:r>
      <w:r>
        <w:rPr>
          <w:rFonts w:hint="eastAsia" w:hAnsi="宋体" w:cs="黑体"/>
          <w:b/>
          <w:bCs/>
          <w:color w:val="auto"/>
          <w:sz w:val="32"/>
          <w:szCs w:val="32"/>
          <w:highlight w:val="none"/>
        </w:rPr>
        <w:t>仲裁或诉讼</w:t>
      </w:r>
      <w:bookmarkEnd w:id="1200"/>
      <w:bookmarkEnd w:id="1318"/>
      <w:bookmarkEnd w:id="1319"/>
      <w:bookmarkEnd w:id="1320"/>
      <w:bookmarkEnd w:id="1321"/>
      <w:bookmarkEnd w:id="1322"/>
      <w:bookmarkEnd w:id="1323"/>
      <w:bookmarkEnd w:id="1324"/>
    </w:p>
    <w:p w14:paraId="4553C653">
      <w:pPr>
        <w:spacing w:line="360" w:lineRule="auto"/>
        <w:ind w:firstLine="420" w:firstLineChars="200"/>
        <w:rPr>
          <w:color w:val="auto"/>
          <w:highlight w:val="none"/>
        </w:rPr>
      </w:pPr>
      <w:r>
        <w:rPr>
          <w:rFonts w:hint="eastAsia" w:hAnsi="宋体" w:cs="宋体"/>
          <w:color w:val="auto"/>
          <w:highlight w:val="none"/>
        </w:rPr>
        <w:t>因合同及合同有关事项发生的争议，按下列第</w:t>
      </w:r>
      <w:r>
        <w:rPr>
          <w:rFonts w:hint="eastAsia"/>
          <w:color w:val="auto"/>
          <w:highlight w:val="none"/>
          <w:u w:val="single"/>
        </w:rPr>
        <w:t>（2）</w:t>
      </w:r>
      <w:r>
        <w:rPr>
          <w:rFonts w:hint="eastAsia" w:hAnsi="宋体" w:cs="宋体"/>
          <w:color w:val="auto"/>
          <w:highlight w:val="none"/>
        </w:rPr>
        <w:t>种方式解决：</w:t>
      </w:r>
    </w:p>
    <w:p w14:paraId="5A463DDD">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）提请</w:t>
      </w:r>
      <w:r>
        <w:rPr>
          <w:rFonts w:hint="eastAsia"/>
          <w:color w:val="auto"/>
          <w:highlight w:val="none"/>
          <w:u w:val="single"/>
        </w:rPr>
        <w:t>/</w:t>
      </w:r>
      <w:r>
        <w:rPr>
          <w:rFonts w:hint="eastAsia" w:hAnsi="宋体" w:cs="宋体"/>
          <w:color w:val="auto"/>
          <w:highlight w:val="none"/>
        </w:rPr>
        <w:t>仲裁委员会按照该会仲裁规则进行仲裁，仲裁裁决是终局的，对合同双方均有约束力。</w:t>
      </w:r>
    </w:p>
    <w:p w14:paraId="7D6E401E">
      <w:pPr>
        <w:spacing w:line="360" w:lineRule="auto"/>
        <w:ind w:firstLine="420" w:firstLineChars="200"/>
        <w:jc w:val="left"/>
        <w:rPr>
          <w:rFonts w:hAnsi="宋体" w:cs="宋体"/>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）向</w:t>
      </w:r>
      <w:r>
        <w:rPr>
          <w:rFonts w:hint="eastAsia" w:ascii="宋体" w:hAnsi="宋体" w:cs="宋体"/>
          <w:color w:val="auto"/>
          <w:highlight w:val="none"/>
          <w:u w:val="single"/>
        </w:rPr>
        <w:t>项目所在地有管辖权</w:t>
      </w:r>
      <w:r>
        <w:rPr>
          <w:rFonts w:hint="eastAsia"/>
          <w:color w:val="auto"/>
          <w:highlight w:val="none"/>
          <w:u w:val="single"/>
        </w:rPr>
        <w:t>的</w:t>
      </w:r>
      <w:r>
        <w:rPr>
          <w:rFonts w:hint="eastAsia" w:hAnsi="宋体" w:cs="宋体"/>
          <w:color w:val="auto"/>
          <w:highlight w:val="none"/>
        </w:rPr>
        <w:t>人民法院起诉。</w:t>
      </w:r>
      <w:bookmarkEnd w:id="1201"/>
      <w:bookmarkEnd w:id="1202"/>
      <w:bookmarkEnd w:id="1203"/>
      <w:bookmarkEnd w:id="1204"/>
      <w:bookmarkEnd w:id="1205"/>
      <w:bookmarkEnd w:id="1206"/>
    </w:p>
    <w:p w14:paraId="48219869">
      <w:pPr>
        <w:keepNext/>
        <w:keepLines/>
        <w:spacing w:line="400" w:lineRule="exact"/>
        <w:outlineLvl w:val="0"/>
        <w:rPr>
          <w:rFonts w:ascii="宋体" w:hAnsi="宋体" w:cs="宋体"/>
          <w:b/>
          <w:bCs/>
          <w:color w:val="auto"/>
          <w:kern w:val="44"/>
          <w:highlight w:val="none"/>
        </w:rPr>
      </w:pPr>
      <w:bookmarkStart w:id="1325" w:name="_Toc433389716"/>
      <w:bookmarkStart w:id="1326" w:name="_Toc431192222"/>
      <w:bookmarkStart w:id="1327" w:name="_Toc433131824"/>
      <w:bookmarkStart w:id="1328" w:name="_Toc373743696"/>
      <w:bookmarkStart w:id="1329" w:name="_Toc476645956"/>
      <w:bookmarkStart w:id="1330" w:name="_Toc454188820"/>
      <w:bookmarkStart w:id="1331" w:name="_Toc433787460"/>
      <w:r>
        <w:rPr>
          <w:rFonts w:hint="eastAsia" w:ascii="宋体" w:hAnsi="宋体" w:cs="宋体"/>
          <w:b/>
          <w:bCs/>
          <w:color w:val="auto"/>
          <w:kern w:val="44"/>
          <w:highlight w:val="none"/>
        </w:rPr>
        <w:t>21. 补充条款</w:t>
      </w:r>
      <w:bookmarkEnd w:id="1325"/>
      <w:bookmarkEnd w:id="1326"/>
      <w:bookmarkEnd w:id="1327"/>
      <w:bookmarkEnd w:id="1328"/>
      <w:bookmarkEnd w:id="1329"/>
      <w:bookmarkEnd w:id="1330"/>
      <w:bookmarkEnd w:id="1331"/>
    </w:p>
    <w:p w14:paraId="369CC18E">
      <w:pPr>
        <w:spacing w:line="400" w:lineRule="exact"/>
        <w:ind w:firstLine="405"/>
        <w:rPr>
          <w:rFonts w:ascii="宋体" w:hAnsi="宋体" w:cs="宋体"/>
          <w:color w:val="auto"/>
          <w:szCs w:val="21"/>
          <w:highlight w:val="none"/>
        </w:rPr>
      </w:pPr>
      <w:r>
        <w:rPr>
          <w:rFonts w:hint="eastAsia" w:ascii="宋体" w:hAnsi="宋体" w:cs="宋体"/>
          <w:color w:val="auto"/>
          <w:szCs w:val="21"/>
          <w:highlight w:val="none"/>
        </w:rPr>
        <w:t xml:space="preserve">21.1 </w:t>
      </w:r>
      <w:r>
        <w:rPr>
          <w:rFonts w:hint="eastAsia" w:ascii="宋体" w:hAnsi="宋体" w:cs="宋体"/>
          <w:b/>
          <w:bCs/>
          <w:color w:val="auto"/>
          <w:szCs w:val="21"/>
          <w:highlight w:val="none"/>
        </w:rPr>
        <w:t>凡进入本工程工作的禁止使用童工。</w:t>
      </w:r>
    </w:p>
    <w:p w14:paraId="403B6FF8">
      <w:pPr>
        <w:adjustRightInd w:val="0"/>
        <w:spacing w:line="400" w:lineRule="exact"/>
        <w:ind w:firstLine="482"/>
        <w:textAlignment w:val="baseline"/>
        <w:rPr>
          <w:rFonts w:ascii="宋体" w:hAnsi="宋体" w:cs="宋体"/>
          <w:snapToGrid w:val="0"/>
          <w:color w:val="auto"/>
          <w:szCs w:val="21"/>
          <w:highlight w:val="none"/>
        </w:rPr>
      </w:pPr>
      <w:bookmarkStart w:id="1332" w:name="_Toc476645957"/>
      <w:bookmarkStart w:id="1333" w:name="_Toc454188821"/>
      <w:r>
        <w:rPr>
          <w:rFonts w:hint="eastAsia" w:ascii="宋体" w:hAnsi="宋体" w:cs="宋体"/>
          <w:snapToGrid w:val="0"/>
          <w:color w:val="auto"/>
          <w:szCs w:val="21"/>
          <w:highlight w:val="none"/>
        </w:rPr>
        <w:t>21.2承包人拟投入本项目的所有管理人员在本项目实施过程中均不得同时在其他在建项目任职，如有违反，发包人有权扣除承包人的</w:t>
      </w:r>
      <w:r>
        <w:rPr>
          <w:rFonts w:hint="eastAsia" w:ascii="宋体" w:hAnsi="宋体" w:cs="宋体"/>
          <w:bCs/>
          <w:color w:val="auto"/>
          <w:highlight w:val="none"/>
          <w:u w:val="single"/>
        </w:rPr>
        <w:t>本合同工程结算造价的2%</w:t>
      </w:r>
      <w:r>
        <w:rPr>
          <w:rFonts w:hint="eastAsia" w:ascii="宋体" w:hAnsi="宋体" w:cs="宋体"/>
          <w:snapToGrid w:val="0"/>
          <w:color w:val="auto"/>
          <w:szCs w:val="21"/>
          <w:highlight w:val="none"/>
        </w:rPr>
        <w:t>。</w:t>
      </w:r>
      <w:bookmarkEnd w:id="1332"/>
      <w:bookmarkEnd w:id="1333"/>
    </w:p>
    <w:p w14:paraId="21ACEC54">
      <w:pPr>
        <w:adjustRightInd w:val="0"/>
        <w:spacing w:line="400" w:lineRule="exact"/>
        <w:ind w:firstLine="482"/>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21.3因任何一方违约致使相对方采取诉讼方式实现债权的，违约方应承担相对方为此支付的合理费用包括但不限于诉讼费、律师费、差旅费等。</w:t>
      </w:r>
    </w:p>
    <w:p w14:paraId="5FFF425E">
      <w:pPr>
        <w:adjustRightInd w:val="0"/>
        <w:spacing w:line="400" w:lineRule="exact"/>
        <w:ind w:firstLine="482"/>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21.4 本项目其它设备供应商进场施工时，承包人收取的配合费为1%，如配合工种较多的可另行协商。</w:t>
      </w:r>
    </w:p>
    <w:p w14:paraId="5E3E72F1">
      <w:pPr>
        <w:adjustRightInd w:val="0"/>
        <w:spacing w:line="400" w:lineRule="exact"/>
        <w:ind w:firstLine="482"/>
        <w:textAlignment w:val="baseline"/>
        <w:rPr>
          <w:rFonts w:ascii="宋体" w:hAnsi="宋体" w:cs="宋体"/>
          <w:snapToGrid w:val="0"/>
          <w:color w:val="auto"/>
          <w:highlight w:val="none"/>
        </w:rPr>
      </w:pPr>
      <w:r>
        <w:rPr>
          <w:rFonts w:hint="eastAsia" w:ascii="宋体" w:hAnsi="宋体" w:cs="宋体"/>
          <w:snapToGrid w:val="0"/>
          <w:color w:val="auto"/>
          <w:szCs w:val="21"/>
          <w:highlight w:val="none"/>
        </w:rPr>
        <w:t>21.5 承包人应加强对包括管理人员、分包、材料供货商等人员的管理，杜绝群体性事件的发生，本项目合同履行期间5人以上群体性事件的，每发生一次或者群体性事件每延续一天，承包人按合同金额的千分之一（按次或天）承担违约责任。</w:t>
      </w:r>
    </w:p>
    <w:p w14:paraId="708A6B02">
      <w:pPr>
        <w:adjustRightInd w:val="0"/>
        <w:spacing w:line="400" w:lineRule="exact"/>
        <w:ind w:firstLine="482"/>
        <w:textAlignment w:val="baseline"/>
        <w:rPr>
          <w:rFonts w:ascii="宋体" w:hAnsi="宋体" w:cs="宋体"/>
          <w:b/>
          <w:bCs/>
          <w:snapToGrid w:val="0"/>
          <w:color w:val="auto"/>
          <w:szCs w:val="21"/>
          <w:highlight w:val="none"/>
        </w:rPr>
      </w:pPr>
      <w:r>
        <w:rPr>
          <w:rFonts w:hint="eastAsia" w:ascii="宋体" w:hAnsi="宋体" w:cs="宋体"/>
          <w:b/>
          <w:bCs/>
          <w:snapToGrid w:val="0"/>
          <w:color w:val="auto"/>
          <w:szCs w:val="21"/>
          <w:highlight w:val="none"/>
        </w:rPr>
        <w:t>21.6 工程管理</w:t>
      </w:r>
    </w:p>
    <w:p w14:paraId="2D38F518">
      <w:pPr>
        <w:adjustRightInd w:val="0"/>
        <w:spacing w:line="400" w:lineRule="exact"/>
        <w:ind w:firstLine="482"/>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21.6.1承包人未按本合同“施工组织”约定组织施工，投入相应的材料，设备，劳动力，发包人视其情节轻重，处以承包人不低于5000元的违约处理金。在首次支付工程进度款之前，承包人项目部须提交施工组织计划、施工进度计划及人员、机械投入计划，上述计划至少以周为单位，并加盖施工单位公章及项目经理签字确认后提交监理单位和发包人单位一周内审核。上述文件作为发包人及监理单位考核承包人项目建设进度的依据，实行每月考核一次，考核达不到进度要求，经发包人代表及监理单位评判并无客观理由可以免责的，发包人可处承包人</w:t>
      </w:r>
      <w:r>
        <w:rPr>
          <w:rFonts w:ascii="宋体" w:hAnsi="宋体" w:cs="宋体"/>
          <w:snapToGrid w:val="0"/>
          <w:color w:val="auto"/>
          <w:szCs w:val="21"/>
          <w:highlight w:val="none"/>
        </w:rPr>
        <w:t>10</w:t>
      </w:r>
      <w:r>
        <w:rPr>
          <w:rFonts w:hint="eastAsia" w:ascii="宋体" w:hAnsi="宋体" w:cs="宋体"/>
          <w:snapToGrid w:val="0"/>
          <w:color w:val="auto"/>
          <w:szCs w:val="21"/>
          <w:highlight w:val="none"/>
        </w:rPr>
        <w:t>00元/次经济处罚。</w:t>
      </w:r>
    </w:p>
    <w:p w14:paraId="238E188B">
      <w:pPr>
        <w:adjustRightInd w:val="0"/>
        <w:spacing w:line="400" w:lineRule="exact"/>
        <w:ind w:firstLine="482"/>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21.6.2承包人在投标时确定的项目负责人、项目经理及项目技术负责人、专职安全员等主要管理人员，承包人不得随意更改。如未经发包人同意擅自更换项目经理，则予以2万元的处罚。</w:t>
      </w:r>
    </w:p>
    <w:p w14:paraId="39F5A925">
      <w:pPr>
        <w:adjustRightInd w:val="0"/>
        <w:spacing w:line="400" w:lineRule="exact"/>
        <w:ind w:firstLine="482"/>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21.6.3承包人将所承包的工程转包，如经发现，有权解除合同关系，承包人给发包人造成的损失由承包人承担。</w:t>
      </w:r>
    </w:p>
    <w:p w14:paraId="10D4971C">
      <w:pPr>
        <w:adjustRightInd w:val="0"/>
        <w:spacing w:line="400" w:lineRule="exact"/>
        <w:ind w:firstLine="482"/>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21.6.4若承包人未按国家规定发放民工工资，造成民工闹事等，发包人将处以承包人5000元违约处理金，且承包人还应无条件按规定发放民工工资。</w:t>
      </w:r>
    </w:p>
    <w:p w14:paraId="1EF2107B">
      <w:pPr>
        <w:adjustRightInd w:val="0"/>
        <w:spacing w:line="400" w:lineRule="exact"/>
        <w:ind w:firstLine="482"/>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21.6.5非合同确定的承包人现场管理人员或发包人以书面形式同意认可的项目管理人员，不得进入施工现场从事现场管理工作，否则，由此造成的一切损失，均由承包人自行负责。</w:t>
      </w:r>
    </w:p>
    <w:p w14:paraId="5AEDE7F0">
      <w:pPr>
        <w:adjustRightInd w:val="0"/>
        <w:spacing w:line="400" w:lineRule="exact"/>
        <w:ind w:firstLine="482"/>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21.6.6工程在完成工程竣工验收后，承包人应无条件将工程实物向项目业主进行移交，并立即撤出场地，其它任何事宜均与此无关，如承包人不移交，发包人将处以承包人违约处理金5000元整，且还应在十天内移交完毕；如承包人在移交后拒不撤场地，发包人将处以承包人违约处理金10000元整，且还应在三天内无条件撤出场地。</w:t>
      </w:r>
    </w:p>
    <w:p w14:paraId="2B6CF3F5">
      <w:pPr>
        <w:adjustRightInd w:val="0"/>
        <w:spacing w:line="400" w:lineRule="exact"/>
        <w:ind w:firstLine="482"/>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21.6.7承包人在竣工验收合格之日起90天之内未能向发包人提交工程竣工结算书和全套结算资料的，发包人按竣工验收合格之日起第91天开始计算承包人的违约延期时间，并按 1000元/天计算承包人的违约延期处理金。若承包人在半年内拒不提交工程竣工结算资料的，发包人有权聘请中介结构代为办理工程结算工作，相关费用由承包人支付。</w:t>
      </w:r>
    </w:p>
    <w:p w14:paraId="700828CB">
      <w:pPr>
        <w:adjustRightInd w:val="0"/>
        <w:spacing w:line="400" w:lineRule="exact"/>
        <w:ind w:firstLine="482"/>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21.6.8承包人或承包人人员人为破坏工程成品被其它承包单位或个人现场抓获或有确凿证据的，发包人按被破坏成品恢复金额的双倍处罚承包人，处罚金额由发包人在工程结算款中直接扣除，情节严重的，报公安机关进行处理。</w:t>
      </w:r>
    </w:p>
    <w:p w14:paraId="59481367">
      <w:pPr>
        <w:adjustRightInd w:val="0"/>
        <w:spacing w:line="400" w:lineRule="exact"/>
        <w:ind w:firstLine="482"/>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21.6.9承包人或承包人人员盗取自身的工程材料和设备，被现场抓获或有确凿证据的，发包人按被盗材料和设备相应价值的双倍处罚承包人，处理金额由发包人在工程结算款中直接扣除，情节严重的，报公安机关进行处理。</w:t>
      </w:r>
    </w:p>
    <w:p w14:paraId="5041BABB">
      <w:pPr>
        <w:adjustRightInd w:val="0"/>
        <w:spacing w:line="400" w:lineRule="exact"/>
        <w:ind w:firstLine="482"/>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21.6.10承包人应严格按照发包人给定的运距要求到合法合规的取土点、弃土点进行土方工程的取土和弃土工作。非法弃土所产生的后果由承包人自行负责，任何情况下，本项目的土方工程出现非法取土、弃土的情况，承包人须承担全部法律责任。</w:t>
      </w:r>
    </w:p>
    <w:p w14:paraId="0F5725DF">
      <w:pPr>
        <w:adjustRightInd w:val="0"/>
        <w:spacing w:line="400" w:lineRule="exact"/>
        <w:ind w:firstLine="482"/>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21.6.11在不违反国家相关法律法规的前提下，承包人不按时落实发包人工地例会要求，发包人每次可处200元经济处罚，该处罚可累计，并从每期工程款中进行扣除。</w:t>
      </w:r>
    </w:p>
    <w:p w14:paraId="1FF17BF0">
      <w:pPr>
        <w:adjustRightInd w:val="0"/>
        <w:spacing w:line="400" w:lineRule="exact"/>
        <w:ind w:firstLine="482"/>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21.7 竣工结算</w:t>
      </w:r>
    </w:p>
    <w:p w14:paraId="4348D108">
      <w:pPr>
        <w:adjustRightInd w:val="0"/>
        <w:spacing w:line="400" w:lineRule="exact"/>
        <w:ind w:firstLine="482"/>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21.7.1项目经审计结算后，遇到审计机关对项目进行抽查，承包人应予配合，并且按照最终审计报告出具的审计结果为最终工程结算价。对于已经支付的工程款，进行多还少补原则。</w:t>
      </w:r>
    </w:p>
    <w:p w14:paraId="0950CE6D">
      <w:pPr>
        <w:adjustRightInd w:val="0"/>
        <w:spacing w:line="400" w:lineRule="exact"/>
        <w:ind w:firstLine="482"/>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27.1.2承包人在竣工验收后3个月内未按发包人要求提交结算资料，延期按500元/天进行处罚。</w:t>
      </w:r>
    </w:p>
    <w:p w14:paraId="4B9348B7">
      <w:pPr>
        <w:adjustRightInd w:val="0"/>
        <w:spacing w:line="400" w:lineRule="exact"/>
        <w:ind w:firstLine="482"/>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27.1.3发包人在资金暂时不到位，发包人未能按时拔付工程款的情况下，承包人不得因此影响正常施工，不得聚众闹事，做到对发包人的谅解，否则每次承包人须向发包人支付违约金1000元-50000元，发包人可直接从月结算款中核减。</w:t>
      </w:r>
    </w:p>
    <w:p w14:paraId="5E5050B9">
      <w:pPr>
        <w:spacing w:before="196" w:line="360" w:lineRule="auto"/>
        <w:ind w:right="48" w:rightChars="23"/>
        <w:jc w:val="left"/>
        <w:rPr>
          <w:rFonts w:hint="eastAsia" w:ascii="宋体" w:hAnsi="宋体" w:eastAsia="宋体" w:cs="宋体"/>
          <w:b/>
          <w:color w:val="auto"/>
          <w:szCs w:val="21"/>
          <w:highlight w:val="none"/>
        </w:rPr>
      </w:pPr>
      <w:r>
        <w:rPr>
          <w:rFonts w:hint="eastAsia" w:ascii="宋体" w:hAnsi="宋体" w:cs="宋体"/>
          <w:snapToGrid w:val="0"/>
          <w:color w:val="auto"/>
          <w:szCs w:val="21"/>
          <w:highlight w:val="none"/>
        </w:rPr>
        <w:t>21.8若发生工程量增减，发包人按实施部分合同价款与承包人据实结算。</w:t>
      </w:r>
    </w:p>
    <w:p w14:paraId="41DB9A29">
      <w:pPr>
        <w:spacing w:before="196" w:line="360" w:lineRule="auto"/>
        <w:ind w:right="48" w:rightChars="23"/>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附件</w:t>
      </w:r>
    </w:p>
    <w:p w14:paraId="6E0E9F26">
      <w:pPr>
        <w:pStyle w:val="12"/>
        <w:autoSpaceDE w:val="0"/>
        <w:autoSpaceDN w:val="0"/>
        <w:adjustRightInd w:val="0"/>
        <w:spacing w:line="360" w:lineRule="auto"/>
        <w:ind w:right="48" w:rightChars="23" w:firstLine="348" w:firstLineChars="200"/>
        <w:rPr>
          <w:rFonts w:hint="eastAsia" w:ascii="宋体" w:hAnsi="宋体" w:eastAsia="宋体" w:cs="宋体"/>
          <w:color w:val="auto"/>
          <w:szCs w:val="21"/>
          <w:highlight w:val="none"/>
        </w:rPr>
      </w:pPr>
      <w:r>
        <w:rPr>
          <w:rFonts w:hint="eastAsia" w:ascii="宋体" w:hAnsi="宋体" w:eastAsia="宋体" w:cs="宋体"/>
          <w:color w:val="auto"/>
          <w:spacing w:val="-18"/>
          <w:szCs w:val="21"/>
          <w:highlight w:val="none"/>
        </w:rPr>
        <w:t xml:space="preserve">附件 </w:t>
      </w:r>
      <w:r>
        <w:rPr>
          <w:rFonts w:hint="eastAsia" w:ascii="宋体" w:hAnsi="宋体" w:eastAsia="宋体" w:cs="宋体"/>
          <w:color w:val="auto"/>
          <w:spacing w:val="-18"/>
          <w:szCs w:val="21"/>
          <w:highlight w:val="none"/>
          <w:lang w:val="en-US" w:eastAsia="zh-CN"/>
        </w:rPr>
        <w:t>1</w:t>
      </w:r>
      <w:r>
        <w:rPr>
          <w:rFonts w:hint="eastAsia" w:ascii="宋体" w:hAnsi="宋体" w:eastAsia="宋体" w:cs="宋体"/>
          <w:color w:val="auto"/>
          <w:szCs w:val="21"/>
          <w:highlight w:val="none"/>
        </w:rPr>
        <w:t>：</w:t>
      </w:r>
      <w:r>
        <w:rPr>
          <w:rFonts w:hint="eastAsia" w:ascii="宋体" w:hAnsi="宋体" w:eastAsia="宋体" w:cs="宋体"/>
          <w:color w:val="auto"/>
          <w:spacing w:val="-3"/>
          <w:szCs w:val="21"/>
          <w:highlight w:val="none"/>
        </w:rPr>
        <w:t>承包人主要施工管理人员表</w:t>
      </w:r>
    </w:p>
    <w:p w14:paraId="4E41F7A4">
      <w:pPr>
        <w:pStyle w:val="12"/>
        <w:autoSpaceDE w:val="0"/>
        <w:autoSpaceDN w:val="0"/>
        <w:adjustRightInd w:val="0"/>
        <w:spacing w:before="2" w:line="360" w:lineRule="auto"/>
        <w:ind w:right="48" w:rightChars="23" w:firstLine="352" w:firstLineChars="200"/>
        <w:rPr>
          <w:rFonts w:hint="eastAsia" w:ascii="宋体" w:hAnsi="宋体" w:eastAsia="宋体" w:cs="宋体"/>
          <w:color w:val="auto"/>
          <w:szCs w:val="21"/>
          <w:highlight w:val="none"/>
        </w:rPr>
      </w:pPr>
      <w:r>
        <w:rPr>
          <w:rFonts w:hint="eastAsia" w:ascii="宋体" w:hAnsi="宋体" w:eastAsia="宋体" w:cs="宋体"/>
          <w:color w:val="auto"/>
          <w:spacing w:val="-17"/>
          <w:szCs w:val="21"/>
          <w:highlight w:val="none"/>
        </w:rPr>
        <w:t xml:space="preserve">附件 </w:t>
      </w:r>
      <w:r>
        <w:rPr>
          <w:rFonts w:hint="eastAsia" w:ascii="宋体" w:hAnsi="宋体" w:eastAsia="宋体" w:cs="宋体"/>
          <w:color w:val="auto"/>
          <w:spacing w:val="-17"/>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pacing w:val="-3"/>
          <w:szCs w:val="21"/>
          <w:highlight w:val="none"/>
        </w:rPr>
        <w:t>承包人用于本工程施工的机械设备表</w:t>
      </w:r>
    </w:p>
    <w:p w14:paraId="0E9913C6">
      <w:pPr>
        <w:pStyle w:val="12"/>
        <w:autoSpaceDE w:val="0"/>
        <w:autoSpaceDN w:val="0"/>
        <w:adjustRightInd w:val="0"/>
        <w:spacing w:before="2" w:line="360" w:lineRule="auto"/>
        <w:ind w:right="48" w:rightChars="23" w:firstLine="348" w:firstLineChars="200"/>
        <w:rPr>
          <w:rFonts w:hint="eastAsia" w:ascii="宋体" w:hAnsi="宋体" w:eastAsia="宋体" w:cs="宋体"/>
          <w:color w:val="auto"/>
          <w:szCs w:val="21"/>
          <w:highlight w:val="none"/>
        </w:rPr>
      </w:pPr>
      <w:r>
        <w:rPr>
          <w:rFonts w:hint="eastAsia" w:ascii="宋体" w:hAnsi="宋体" w:eastAsia="宋体" w:cs="宋体"/>
          <w:color w:val="auto"/>
          <w:spacing w:val="-18"/>
          <w:szCs w:val="21"/>
          <w:highlight w:val="none"/>
        </w:rPr>
        <w:t xml:space="preserve">附件 </w:t>
      </w:r>
      <w:r>
        <w:rPr>
          <w:rFonts w:hint="eastAsia" w:ascii="宋体" w:hAnsi="宋体" w:eastAsia="宋体" w:cs="宋体"/>
          <w:color w:val="auto"/>
          <w:spacing w:val="-18"/>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pacing w:val="-3"/>
          <w:szCs w:val="21"/>
          <w:highlight w:val="none"/>
        </w:rPr>
        <w:t>工程质量保修书</w:t>
      </w:r>
    </w:p>
    <w:p w14:paraId="19A3B838">
      <w:pPr>
        <w:pStyle w:val="6"/>
        <w:jc w:val="left"/>
        <w:rPr>
          <w:rFonts w:hint="eastAsia" w:ascii="宋体" w:hAnsi="宋体" w:eastAsia="宋体" w:cs="宋体"/>
          <w:color w:val="auto"/>
          <w:sz w:val="21"/>
          <w:szCs w:val="21"/>
          <w:highlight w:val="none"/>
        </w:rPr>
        <w:sectPr>
          <w:footerReference r:id="rId6" w:type="default"/>
          <w:pgSz w:w="11920" w:h="16840"/>
          <w:pgMar w:top="1219" w:right="1423" w:bottom="1208" w:left="1423" w:header="0" w:footer="857" w:gutter="0"/>
          <w:cols w:space="720" w:num="1"/>
        </w:sectPr>
      </w:pPr>
    </w:p>
    <w:p w14:paraId="6B556F6E">
      <w:pPr>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附件1：</w:t>
      </w:r>
    </w:p>
    <w:p w14:paraId="0937EF08">
      <w:pPr>
        <w:spacing w:before="66"/>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承包人主要施工管理人员表</w:t>
      </w:r>
    </w:p>
    <w:tbl>
      <w:tblPr>
        <w:tblStyle w:val="25"/>
        <w:tblW w:w="0" w:type="auto"/>
        <w:tblInd w:w="2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71"/>
        <w:gridCol w:w="1418"/>
        <w:gridCol w:w="1134"/>
        <w:gridCol w:w="1134"/>
        <w:gridCol w:w="4252"/>
      </w:tblGrid>
      <w:tr w14:paraId="5D199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noWrap w:val="0"/>
            <w:vAlign w:val="center"/>
          </w:tcPr>
          <w:p w14:paraId="0BCAEF6E">
            <w:pPr>
              <w:pStyle w:val="37"/>
              <w:tabs>
                <w:tab w:val="left" w:pos="668"/>
              </w:tabs>
              <w:spacing w:before="132"/>
              <w:ind w:left="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1418" w:type="dxa"/>
            <w:noWrap w:val="0"/>
            <w:vAlign w:val="center"/>
          </w:tcPr>
          <w:p w14:paraId="7CB79227">
            <w:pPr>
              <w:pStyle w:val="37"/>
              <w:spacing w:before="132"/>
              <w:ind w:left="469" w:right="45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134" w:type="dxa"/>
            <w:noWrap w:val="0"/>
            <w:vAlign w:val="center"/>
          </w:tcPr>
          <w:p w14:paraId="13E386C2">
            <w:pPr>
              <w:pStyle w:val="37"/>
              <w:spacing w:before="132"/>
              <w:ind w:left="34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1134" w:type="dxa"/>
            <w:noWrap w:val="0"/>
            <w:vAlign w:val="center"/>
          </w:tcPr>
          <w:p w14:paraId="54789AB6">
            <w:pPr>
              <w:pStyle w:val="37"/>
              <w:spacing w:before="132"/>
              <w:ind w:left="34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4252" w:type="dxa"/>
            <w:noWrap w:val="0"/>
            <w:vAlign w:val="center"/>
          </w:tcPr>
          <w:p w14:paraId="757C73AD">
            <w:pPr>
              <w:jc w:val="center"/>
              <w:rPr>
                <w:rFonts w:hint="eastAsia" w:ascii="宋体" w:hAnsi="宋体" w:eastAsia="宋体" w:cs="宋体"/>
                <w:color w:val="auto"/>
                <w:highlight w:val="none"/>
              </w:rPr>
            </w:pPr>
            <w:r>
              <w:rPr>
                <w:rFonts w:hint="eastAsia" w:ascii="宋体" w:hAnsi="宋体" w:eastAsia="宋体" w:cs="宋体"/>
                <w:color w:val="auto"/>
                <w:kern w:val="0"/>
                <w:sz w:val="24"/>
                <w:highlight w:val="none"/>
                <w:lang w:eastAsia="en-US"/>
              </w:rPr>
              <w:t>计划进场时间</w:t>
            </w:r>
          </w:p>
        </w:tc>
      </w:tr>
      <w:tr w14:paraId="2A8A6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809" w:type="dxa"/>
            <w:gridSpan w:val="5"/>
            <w:noWrap w:val="0"/>
            <w:vAlign w:val="center"/>
          </w:tcPr>
          <w:p w14:paraId="56D9CBDC">
            <w:pPr>
              <w:pStyle w:val="37"/>
              <w:spacing w:before="133"/>
              <w:ind w:left="4223" w:right="421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一、总部人员</w:t>
            </w:r>
          </w:p>
        </w:tc>
      </w:tr>
      <w:tr w14:paraId="01EDA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noWrap w:val="0"/>
            <w:vAlign w:val="center"/>
          </w:tcPr>
          <w:p w14:paraId="20BFE7B2">
            <w:pPr>
              <w:pStyle w:val="37"/>
              <w:spacing w:before="132"/>
              <w:ind w:left="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项目主管</w:t>
            </w:r>
          </w:p>
        </w:tc>
        <w:tc>
          <w:tcPr>
            <w:tcW w:w="1418" w:type="dxa"/>
            <w:noWrap w:val="0"/>
            <w:vAlign w:val="center"/>
          </w:tcPr>
          <w:p w14:paraId="5B56519B">
            <w:pPr>
              <w:pStyle w:val="37"/>
              <w:jc w:val="center"/>
              <w:rPr>
                <w:rFonts w:hint="eastAsia" w:ascii="宋体" w:hAnsi="宋体" w:eastAsia="宋体" w:cs="宋体"/>
                <w:color w:val="auto"/>
                <w:sz w:val="24"/>
                <w:szCs w:val="24"/>
                <w:highlight w:val="none"/>
                <w:lang w:eastAsia="zh-CN"/>
              </w:rPr>
            </w:pPr>
          </w:p>
        </w:tc>
        <w:tc>
          <w:tcPr>
            <w:tcW w:w="1134" w:type="dxa"/>
            <w:noWrap w:val="0"/>
            <w:vAlign w:val="center"/>
          </w:tcPr>
          <w:p w14:paraId="489759DC">
            <w:pPr>
              <w:pStyle w:val="37"/>
              <w:jc w:val="center"/>
              <w:rPr>
                <w:rFonts w:hint="eastAsia" w:ascii="宋体" w:hAnsi="宋体" w:eastAsia="宋体" w:cs="宋体"/>
                <w:color w:val="auto"/>
                <w:sz w:val="24"/>
                <w:szCs w:val="24"/>
                <w:highlight w:val="none"/>
                <w:lang w:eastAsia="zh-CN"/>
              </w:rPr>
            </w:pPr>
          </w:p>
        </w:tc>
        <w:tc>
          <w:tcPr>
            <w:tcW w:w="1134" w:type="dxa"/>
            <w:noWrap w:val="0"/>
            <w:vAlign w:val="center"/>
          </w:tcPr>
          <w:p w14:paraId="076F1A5F">
            <w:pPr>
              <w:pStyle w:val="37"/>
              <w:jc w:val="center"/>
              <w:rPr>
                <w:rFonts w:hint="eastAsia" w:ascii="宋体" w:hAnsi="宋体" w:eastAsia="宋体" w:cs="宋体"/>
                <w:color w:val="auto"/>
                <w:sz w:val="24"/>
                <w:szCs w:val="24"/>
                <w:highlight w:val="none"/>
                <w:lang w:eastAsia="zh-CN"/>
              </w:rPr>
            </w:pPr>
          </w:p>
        </w:tc>
        <w:tc>
          <w:tcPr>
            <w:tcW w:w="4252" w:type="dxa"/>
            <w:noWrap w:val="0"/>
            <w:vAlign w:val="center"/>
          </w:tcPr>
          <w:p w14:paraId="526E9C02">
            <w:pPr>
              <w:pStyle w:val="37"/>
              <w:jc w:val="center"/>
              <w:rPr>
                <w:rFonts w:hint="eastAsia" w:ascii="宋体" w:hAnsi="宋体" w:eastAsia="宋体" w:cs="宋体"/>
                <w:color w:val="auto"/>
                <w:sz w:val="24"/>
                <w:szCs w:val="24"/>
                <w:highlight w:val="none"/>
              </w:rPr>
            </w:pPr>
          </w:p>
        </w:tc>
      </w:tr>
      <w:tr w14:paraId="5F05F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restart"/>
            <w:noWrap w:val="0"/>
            <w:vAlign w:val="center"/>
          </w:tcPr>
          <w:p w14:paraId="162049F3">
            <w:pPr>
              <w:pStyle w:val="37"/>
              <w:ind w:left="494"/>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其他人员</w:t>
            </w:r>
          </w:p>
        </w:tc>
        <w:tc>
          <w:tcPr>
            <w:tcW w:w="1418" w:type="dxa"/>
            <w:noWrap w:val="0"/>
            <w:vAlign w:val="center"/>
          </w:tcPr>
          <w:p w14:paraId="5CECD4AD">
            <w:pPr>
              <w:pStyle w:val="37"/>
              <w:jc w:val="center"/>
              <w:rPr>
                <w:rFonts w:hint="eastAsia" w:ascii="宋体" w:hAnsi="宋体" w:eastAsia="宋体" w:cs="宋体"/>
                <w:color w:val="auto"/>
                <w:sz w:val="24"/>
                <w:szCs w:val="24"/>
                <w:highlight w:val="none"/>
              </w:rPr>
            </w:pPr>
          </w:p>
        </w:tc>
        <w:tc>
          <w:tcPr>
            <w:tcW w:w="1134" w:type="dxa"/>
            <w:noWrap w:val="0"/>
            <w:vAlign w:val="center"/>
          </w:tcPr>
          <w:p w14:paraId="3A2F1F8A">
            <w:pPr>
              <w:pStyle w:val="37"/>
              <w:jc w:val="center"/>
              <w:rPr>
                <w:rFonts w:hint="eastAsia" w:ascii="宋体" w:hAnsi="宋体" w:eastAsia="宋体" w:cs="宋体"/>
                <w:color w:val="auto"/>
                <w:sz w:val="24"/>
                <w:szCs w:val="24"/>
                <w:highlight w:val="none"/>
              </w:rPr>
            </w:pPr>
          </w:p>
        </w:tc>
        <w:tc>
          <w:tcPr>
            <w:tcW w:w="1134" w:type="dxa"/>
            <w:noWrap w:val="0"/>
            <w:vAlign w:val="center"/>
          </w:tcPr>
          <w:p w14:paraId="7587CDB7">
            <w:pPr>
              <w:pStyle w:val="37"/>
              <w:jc w:val="center"/>
              <w:rPr>
                <w:rFonts w:hint="eastAsia" w:ascii="宋体" w:hAnsi="宋体" w:eastAsia="宋体" w:cs="宋体"/>
                <w:color w:val="auto"/>
                <w:sz w:val="24"/>
                <w:szCs w:val="24"/>
                <w:highlight w:val="none"/>
              </w:rPr>
            </w:pPr>
          </w:p>
        </w:tc>
        <w:tc>
          <w:tcPr>
            <w:tcW w:w="4252" w:type="dxa"/>
            <w:noWrap w:val="0"/>
            <w:vAlign w:val="center"/>
          </w:tcPr>
          <w:p w14:paraId="5DBFA516">
            <w:pPr>
              <w:pStyle w:val="37"/>
              <w:jc w:val="center"/>
              <w:rPr>
                <w:rFonts w:hint="eastAsia" w:ascii="宋体" w:hAnsi="宋体" w:eastAsia="宋体" w:cs="宋体"/>
                <w:color w:val="auto"/>
                <w:sz w:val="24"/>
                <w:szCs w:val="24"/>
                <w:highlight w:val="none"/>
              </w:rPr>
            </w:pPr>
          </w:p>
        </w:tc>
      </w:tr>
      <w:tr w14:paraId="28FDA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noWrap w:val="0"/>
            <w:vAlign w:val="center"/>
          </w:tcPr>
          <w:p w14:paraId="7DDDD300">
            <w:pPr>
              <w:jc w:val="center"/>
              <w:rPr>
                <w:rFonts w:hint="eastAsia" w:ascii="宋体" w:hAnsi="宋体" w:eastAsia="宋体" w:cs="宋体"/>
                <w:color w:val="auto"/>
                <w:sz w:val="24"/>
                <w:highlight w:val="none"/>
              </w:rPr>
            </w:pPr>
          </w:p>
        </w:tc>
        <w:tc>
          <w:tcPr>
            <w:tcW w:w="1418" w:type="dxa"/>
            <w:noWrap w:val="0"/>
            <w:vAlign w:val="center"/>
          </w:tcPr>
          <w:p w14:paraId="009C00E5">
            <w:pPr>
              <w:pStyle w:val="37"/>
              <w:jc w:val="center"/>
              <w:rPr>
                <w:rFonts w:hint="eastAsia" w:ascii="宋体" w:hAnsi="宋体" w:eastAsia="宋体" w:cs="宋体"/>
                <w:color w:val="auto"/>
                <w:sz w:val="24"/>
                <w:szCs w:val="24"/>
                <w:highlight w:val="none"/>
              </w:rPr>
            </w:pPr>
          </w:p>
        </w:tc>
        <w:tc>
          <w:tcPr>
            <w:tcW w:w="1134" w:type="dxa"/>
            <w:noWrap w:val="0"/>
            <w:vAlign w:val="center"/>
          </w:tcPr>
          <w:p w14:paraId="48E616D5">
            <w:pPr>
              <w:pStyle w:val="37"/>
              <w:jc w:val="center"/>
              <w:rPr>
                <w:rFonts w:hint="eastAsia" w:ascii="宋体" w:hAnsi="宋体" w:eastAsia="宋体" w:cs="宋体"/>
                <w:color w:val="auto"/>
                <w:sz w:val="24"/>
                <w:szCs w:val="24"/>
                <w:highlight w:val="none"/>
              </w:rPr>
            </w:pPr>
          </w:p>
        </w:tc>
        <w:tc>
          <w:tcPr>
            <w:tcW w:w="1134" w:type="dxa"/>
            <w:noWrap w:val="0"/>
            <w:vAlign w:val="center"/>
          </w:tcPr>
          <w:p w14:paraId="56FE4F50">
            <w:pPr>
              <w:pStyle w:val="37"/>
              <w:jc w:val="center"/>
              <w:rPr>
                <w:rFonts w:hint="eastAsia" w:ascii="宋体" w:hAnsi="宋体" w:eastAsia="宋体" w:cs="宋体"/>
                <w:color w:val="auto"/>
                <w:sz w:val="24"/>
                <w:szCs w:val="24"/>
                <w:highlight w:val="none"/>
              </w:rPr>
            </w:pPr>
          </w:p>
        </w:tc>
        <w:tc>
          <w:tcPr>
            <w:tcW w:w="4252" w:type="dxa"/>
            <w:noWrap w:val="0"/>
            <w:vAlign w:val="center"/>
          </w:tcPr>
          <w:p w14:paraId="3F827601">
            <w:pPr>
              <w:pStyle w:val="37"/>
              <w:jc w:val="center"/>
              <w:rPr>
                <w:rFonts w:hint="eastAsia" w:ascii="宋体" w:hAnsi="宋体" w:eastAsia="宋体" w:cs="宋体"/>
                <w:color w:val="auto"/>
                <w:sz w:val="24"/>
                <w:szCs w:val="24"/>
                <w:highlight w:val="none"/>
              </w:rPr>
            </w:pPr>
          </w:p>
        </w:tc>
      </w:tr>
      <w:tr w14:paraId="00840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noWrap w:val="0"/>
            <w:vAlign w:val="center"/>
          </w:tcPr>
          <w:p w14:paraId="7A69815A">
            <w:pPr>
              <w:jc w:val="center"/>
              <w:rPr>
                <w:rFonts w:hint="eastAsia" w:ascii="宋体" w:hAnsi="宋体" w:eastAsia="宋体" w:cs="宋体"/>
                <w:color w:val="auto"/>
                <w:sz w:val="24"/>
                <w:highlight w:val="none"/>
              </w:rPr>
            </w:pPr>
          </w:p>
        </w:tc>
        <w:tc>
          <w:tcPr>
            <w:tcW w:w="1418" w:type="dxa"/>
            <w:noWrap w:val="0"/>
            <w:vAlign w:val="center"/>
          </w:tcPr>
          <w:p w14:paraId="55CB48BF">
            <w:pPr>
              <w:pStyle w:val="37"/>
              <w:jc w:val="center"/>
              <w:rPr>
                <w:rFonts w:hint="eastAsia" w:ascii="宋体" w:hAnsi="宋体" w:eastAsia="宋体" w:cs="宋体"/>
                <w:color w:val="auto"/>
                <w:sz w:val="24"/>
                <w:szCs w:val="24"/>
                <w:highlight w:val="none"/>
              </w:rPr>
            </w:pPr>
          </w:p>
        </w:tc>
        <w:tc>
          <w:tcPr>
            <w:tcW w:w="1134" w:type="dxa"/>
            <w:noWrap w:val="0"/>
            <w:vAlign w:val="center"/>
          </w:tcPr>
          <w:p w14:paraId="20FBFCBB">
            <w:pPr>
              <w:pStyle w:val="37"/>
              <w:jc w:val="center"/>
              <w:rPr>
                <w:rFonts w:hint="eastAsia" w:ascii="宋体" w:hAnsi="宋体" w:eastAsia="宋体" w:cs="宋体"/>
                <w:color w:val="auto"/>
                <w:sz w:val="24"/>
                <w:szCs w:val="24"/>
                <w:highlight w:val="none"/>
              </w:rPr>
            </w:pPr>
          </w:p>
        </w:tc>
        <w:tc>
          <w:tcPr>
            <w:tcW w:w="1134" w:type="dxa"/>
            <w:noWrap w:val="0"/>
            <w:vAlign w:val="center"/>
          </w:tcPr>
          <w:p w14:paraId="09D3845C">
            <w:pPr>
              <w:pStyle w:val="37"/>
              <w:jc w:val="center"/>
              <w:rPr>
                <w:rFonts w:hint="eastAsia" w:ascii="宋体" w:hAnsi="宋体" w:eastAsia="宋体" w:cs="宋体"/>
                <w:color w:val="auto"/>
                <w:sz w:val="24"/>
                <w:szCs w:val="24"/>
                <w:highlight w:val="none"/>
              </w:rPr>
            </w:pPr>
          </w:p>
        </w:tc>
        <w:tc>
          <w:tcPr>
            <w:tcW w:w="4252" w:type="dxa"/>
            <w:noWrap w:val="0"/>
            <w:vAlign w:val="center"/>
          </w:tcPr>
          <w:p w14:paraId="78580548">
            <w:pPr>
              <w:pStyle w:val="37"/>
              <w:jc w:val="center"/>
              <w:rPr>
                <w:rFonts w:hint="eastAsia" w:ascii="宋体" w:hAnsi="宋体" w:eastAsia="宋体" w:cs="宋体"/>
                <w:color w:val="auto"/>
                <w:sz w:val="24"/>
                <w:szCs w:val="24"/>
                <w:highlight w:val="none"/>
              </w:rPr>
            </w:pPr>
          </w:p>
        </w:tc>
      </w:tr>
      <w:tr w14:paraId="12200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809" w:type="dxa"/>
            <w:gridSpan w:val="5"/>
            <w:noWrap w:val="0"/>
            <w:vAlign w:val="center"/>
          </w:tcPr>
          <w:p w14:paraId="2891F5A5">
            <w:pPr>
              <w:pStyle w:val="37"/>
              <w:spacing w:before="132"/>
              <w:ind w:left="4223" w:right="421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二、现场人员</w:t>
            </w:r>
          </w:p>
        </w:tc>
      </w:tr>
      <w:tr w14:paraId="39776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noWrap w:val="0"/>
            <w:vAlign w:val="center"/>
          </w:tcPr>
          <w:p w14:paraId="6FA14EDD">
            <w:pPr>
              <w:pStyle w:val="37"/>
              <w:spacing w:before="133"/>
              <w:ind w:left="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1418" w:type="dxa"/>
            <w:noWrap w:val="0"/>
            <w:vAlign w:val="center"/>
          </w:tcPr>
          <w:p w14:paraId="440CEB10">
            <w:pPr>
              <w:pStyle w:val="37"/>
              <w:jc w:val="center"/>
              <w:rPr>
                <w:rFonts w:hint="eastAsia" w:ascii="宋体" w:hAnsi="宋体" w:eastAsia="宋体" w:cs="宋体"/>
                <w:color w:val="auto"/>
                <w:sz w:val="24"/>
                <w:szCs w:val="24"/>
                <w:highlight w:val="none"/>
                <w:lang w:eastAsia="zh-CN"/>
              </w:rPr>
            </w:pPr>
          </w:p>
        </w:tc>
        <w:tc>
          <w:tcPr>
            <w:tcW w:w="1134" w:type="dxa"/>
            <w:noWrap w:val="0"/>
            <w:vAlign w:val="center"/>
          </w:tcPr>
          <w:p w14:paraId="3D977BF7">
            <w:pPr>
              <w:pStyle w:val="37"/>
              <w:jc w:val="center"/>
              <w:rPr>
                <w:rFonts w:hint="eastAsia" w:ascii="宋体" w:hAnsi="宋体" w:eastAsia="宋体" w:cs="宋体"/>
                <w:color w:val="auto"/>
                <w:sz w:val="24"/>
                <w:szCs w:val="24"/>
                <w:highlight w:val="none"/>
                <w:lang w:eastAsia="zh-CN"/>
              </w:rPr>
            </w:pPr>
          </w:p>
        </w:tc>
        <w:tc>
          <w:tcPr>
            <w:tcW w:w="1134" w:type="dxa"/>
            <w:noWrap w:val="0"/>
            <w:vAlign w:val="center"/>
          </w:tcPr>
          <w:p w14:paraId="5197AD2D">
            <w:pPr>
              <w:pStyle w:val="37"/>
              <w:jc w:val="center"/>
              <w:rPr>
                <w:rFonts w:hint="eastAsia" w:ascii="宋体" w:hAnsi="宋体" w:eastAsia="宋体" w:cs="宋体"/>
                <w:color w:val="auto"/>
                <w:sz w:val="24"/>
                <w:szCs w:val="24"/>
                <w:highlight w:val="none"/>
                <w:lang w:eastAsia="zh-CN"/>
              </w:rPr>
            </w:pPr>
          </w:p>
        </w:tc>
        <w:tc>
          <w:tcPr>
            <w:tcW w:w="4252" w:type="dxa"/>
            <w:noWrap w:val="0"/>
            <w:vAlign w:val="center"/>
          </w:tcPr>
          <w:p w14:paraId="58D5FB5A">
            <w:pPr>
              <w:pStyle w:val="37"/>
              <w:jc w:val="center"/>
              <w:rPr>
                <w:rFonts w:hint="eastAsia" w:ascii="宋体" w:hAnsi="宋体" w:eastAsia="宋体" w:cs="宋体"/>
                <w:color w:val="auto"/>
                <w:sz w:val="24"/>
                <w:szCs w:val="24"/>
                <w:highlight w:val="none"/>
                <w:lang w:eastAsia="zh-CN"/>
              </w:rPr>
            </w:pPr>
          </w:p>
        </w:tc>
      </w:tr>
      <w:tr w14:paraId="19875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noWrap w:val="0"/>
            <w:vAlign w:val="center"/>
          </w:tcPr>
          <w:p w14:paraId="65A95394">
            <w:pPr>
              <w:pStyle w:val="37"/>
              <w:spacing w:before="132"/>
              <w:ind w:left="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项目副经理</w:t>
            </w:r>
          </w:p>
        </w:tc>
        <w:tc>
          <w:tcPr>
            <w:tcW w:w="1418" w:type="dxa"/>
            <w:noWrap w:val="0"/>
            <w:vAlign w:val="center"/>
          </w:tcPr>
          <w:p w14:paraId="64C3CAA1">
            <w:pPr>
              <w:pStyle w:val="37"/>
              <w:jc w:val="center"/>
              <w:rPr>
                <w:rFonts w:hint="eastAsia" w:ascii="宋体" w:hAnsi="宋体" w:eastAsia="宋体" w:cs="宋体"/>
                <w:color w:val="auto"/>
                <w:sz w:val="24"/>
                <w:szCs w:val="24"/>
                <w:highlight w:val="none"/>
              </w:rPr>
            </w:pPr>
          </w:p>
        </w:tc>
        <w:tc>
          <w:tcPr>
            <w:tcW w:w="1134" w:type="dxa"/>
            <w:noWrap w:val="0"/>
            <w:vAlign w:val="center"/>
          </w:tcPr>
          <w:p w14:paraId="0938EC12">
            <w:pPr>
              <w:pStyle w:val="37"/>
              <w:jc w:val="center"/>
              <w:rPr>
                <w:rFonts w:hint="eastAsia" w:ascii="宋体" w:hAnsi="宋体" w:eastAsia="宋体" w:cs="宋体"/>
                <w:color w:val="auto"/>
                <w:sz w:val="24"/>
                <w:szCs w:val="24"/>
                <w:highlight w:val="none"/>
              </w:rPr>
            </w:pPr>
          </w:p>
        </w:tc>
        <w:tc>
          <w:tcPr>
            <w:tcW w:w="1134" w:type="dxa"/>
            <w:noWrap w:val="0"/>
            <w:vAlign w:val="center"/>
          </w:tcPr>
          <w:p w14:paraId="7268F89F">
            <w:pPr>
              <w:pStyle w:val="37"/>
              <w:jc w:val="center"/>
              <w:rPr>
                <w:rFonts w:hint="eastAsia" w:ascii="宋体" w:hAnsi="宋体" w:eastAsia="宋体" w:cs="宋体"/>
                <w:color w:val="auto"/>
                <w:sz w:val="24"/>
                <w:szCs w:val="24"/>
                <w:highlight w:val="none"/>
              </w:rPr>
            </w:pPr>
          </w:p>
        </w:tc>
        <w:tc>
          <w:tcPr>
            <w:tcW w:w="4252" w:type="dxa"/>
            <w:noWrap w:val="0"/>
            <w:vAlign w:val="center"/>
          </w:tcPr>
          <w:p w14:paraId="1F52C8B2">
            <w:pPr>
              <w:pStyle w:val="37"/>
              <w:jc w:val="center"/>
              <w:rPr>
                <w:rFonts w:hint="eastAsia" w:ascii="宋体" w:hAnsi="宋体" w:eastAsia="宋体" w:cs="宋体"/>
                <w:color w:val="auto"/>
                <w:sz w:val="24"/>
                <w:szCs w:val="24"/>
                <w:highlight w:val="none"/>
              </w:rPr>
            </w:pPr>
          </w:p>
        </w:tc>
      </w:tr>
      <w:tr w14:paraId="09B7E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871" w:type="dxa"/>
            <w:noWrap w:val="0"/>
            <w:vAlign w:val="center"/>
          </w:tcPr>
          <w:p w14:paraId="73E91EC7">
            <w:pPr>
              <w:pStyle w:val="37"/>
              <w:spacing w:before="133"/>
              <w:ind w:left="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1418" w:type="dxa"/>
            <w:noWrap w:val="0"/>
            <w:vAlign w:val="center"/>
          </w:tcPr>
          <w:p w14:paraId="0B8908F1">
            <w:pPr>
              <w:pStyle w:val="37"/>
              <w:jc w:val="center"/>
              <w:rPr>
                <w:rFonts w:hint="eastAsia" w:ascii="宋体" w:hAnsi="宋体" w:eastAsia="宋体" w:cs="宋体"/>
                <w:color w:val="auto"/>
                <w:sz w:val="24"/>
                <w:szCs w:val="24"/>
                <w:highlight w:val="none"/>
                <w:lang w:eastAsia="zh-CN"/>
              </w:rPr>
            </w:pPr>
          </w:p>
        </w:tc>
        <w:tc>
          <w:tcPr>
            <w:tcW w:w="1134" w:type="dxa"/>
            <w:noWrap w:val="0"/>
            <w:vAlign w:val="center"/>
          </w:tcPr>
          <w:p w14:paraId="5A15AC1A">
            <w:pPr>
              <w:pStyle w:val="37"/>
              <w:jc w:val="center"/>
              <w:rPr>
                <w:rFonts w:hint="eastAsia" w:ascii="宋体" w:hAnsi="宋体" w:eastAsia="宋体" w:cs="宋体"/>
                <w:color w:val="auto"/>
                <w:sz w:val="24"/>
                <w:szCs w:val="24"/>
                <w:highlight w:val="none"/>
                <w:lang w:eastAsia="zh-CN"/>
              </w:rPr>
            </w:pPr>
          </w:p>
        </w:tc>
        <w:tc>
          <w:tcPr>
            <w:tcW w:w="1134" w:type="dxa"/>
            <w:noWrap w:val="0"/>
            <w:vAlign w:val="center"/>
          </w:tcPr>
          <w:p w14:paraId="0BC6139D">
            <w:pPr>
              <w:pStyle w:val="37"/>
              <w:jc w:val="center"/>
              <w:rPr>
                <w:rFonts w:hint="eastAsia" w:ascii="宋体" w:hAnsi="宋体" w:eastAsia="宋体" w:cs="宋体"/>
                <w:color w:val="auto"/>
                <w:sz w:val="24"/>
                <w:szCs w:val="24"/>
                <w:highlight w:val="none"/>
                <w:lang w:eastAsia="zh-CN"/>
              </w:rPr>
            </w:pPr>
          </w:p>
        </w:tc>
        <w:tc>
          <w:tcPr>
            <w:tcW w:w="4252" w:type="dxa"/>
            <w:noWrap w:val="0"/>
            <w:vAlign w:val="center"/>
          </w:tcPr>
          <w:p w14:paraId="14267C69">
            <w:pPr>
              <w:pStyle w:val="37"/>
              <w:jc w:val="center"/>
              <w:rPr>
                <w:rFonts w:hint="eastAsia" w:ascii="宋体" w:hAnsi="宋体" w:eastAsia="宋体" w:cs="宋体"/>
                <w:color w:val="auto"/>
                <w:sz w:val="24"/>
                <w:szCs w:val="24"/>
                <w:highlight w:val="none"/>
              </w:rPr>
            </w:pPr>
          </w:p>
        </w:tc>
      </w:tr>
      <w:tr w14:paraId="43D21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noWrap w:val="0"/>
            <w:vAlign w:val="center"/>
          </w:tcPr>
          <w:p w14:paraId="4FD2F6AB">
            <w:pPr>
              <w:pStyle w:val="37"/>
              <w:spacing w:before="132"/>
              <w:ind w:left="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造价管理</w:t>
            </w:r>
          </w:p>
        </w:tc>
        <w:tc>
          <w:tcPr>
            <w:tcW w:w="1418" w:type="dxa"/>
            <w:noWrap w:val="0"/>
            <w:vAlign w:val="center"/>
          </w:tcPr>
          <w:p w14:paraId="11F45063">
            <w:pPr>
              <w:pStyle w:val="37"/>
              <w:jc w:val="center"/>
              <w:rPr>
                <w:rFonts w:hint="eastAsia" w:ascii="宋体" w:hAnsi="宋体" w:eastAsia="宋体" w:cs="宋体"/>
                <w:color w:val="auto"/>
                <w:sz w:val="24"/>
                <w:szCs w:val="24"/>
                <w:highlight w:val="none"/>
                <w:lang w:eastAsia="zh-CN"/>
              </w:rPr>
            </w:pPr>
          </w:p>
        </w:tc>
        <w:tc>
          <w:tcPr>
            <w:tcW w:w="1134" w:type="dxa"/>
            <w:noWrap w:val="0"/>
            <w:vAlign w:val="center"/>
          </w:tcPr>
          <w:p w14:paraId="3BDE8037">
            <w:pPr>
              <w:pStyle w:val="37"/>
              <w:jc w:val="center"/>
              <w:rPr>
                <w:rFonts w:hint="eastAsia" w:ascii="宋体" w:hAnsi="宋体" w:eastAsia="宋体" w:cs="宋体"/>
                <w:color w:val="auto"/>
                <w:sz w:val="24"/>
                <w:szCs w:val="24"/>
                <w:highlight w:val="none"/>
                <w:lang w:eastAsia="zh-CN"/>
              </w:rPr>
            </w:pPr>
          </w:p>
        </w:tc>
        <w:tc>
          <w:tcPr>
            <w:tcW w:w="1134" w:type="dxa"/>
            <w:noWrap w:val="0"/>
            <w:vAlign w:val="center"/>
          </w:tcPr>
          <w:p w14:paraId="443DBA7D">
            <w:pPr>
              <w:pStyle w:val="37"/>
              <w:jc w:val="center"/>
              <w:rPr>
                <w:rFonts w:hint="eastAsia" w:ascii="宋体" w:hAnsi="宋体" w:eastAsia="宋体" w:cs="宋体"/>
                <w:color w:val="auto"/>
                <w:sz w:val="24"/>
                <w:szCs w:val="24"/>
                <w:highlight w:val="none"/>
                <w:lang w:eastAsia="zh-CN"/>
              </w:rPr>
            </w:pPr>
          </w:p>
        </w:tc>
        <w:tc>
          <w:tcPr>
            <w:tcW w:w="4252" w:type="dxa"/>
            <w:noWrap w:val="0"/>
            <w:vAlign w:val="center"/>
          </w:tcPr>
          <w:p w14:paraId="73CB9E9F">
            <w:pPr>
              <w:pStyle w:val="37"/>
              <w:jc w:val="center"/>
              <w:rPr>
                <w:rFonts w:hint="eastAsia" w:ascii="宋体" w:hAnsi="宋体" w:eastAsia="宋体" w:cs="宋体"/>
                <w:color w:val="auto"/>
                <w:sz w:val="24"/>
                <w:szCs w:val="24"/>
                <w:highlight w:val="none"/>
              </w:rPr>
            </w:pPr>
          </w:p>
        </w:tc>
      </w:tr>
      <w:tr w14:paraId="126D9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restart"/>
            <w:noWrap w:val="0"/>
            <w:vAlign w:val="center"/>
          </w:tcPr>
          <w:p w14:paraId="792E1879">
            <w:pPr>
              <w:pStyle w:val="37"/>
              <w:ind w:left="494"/>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质量管理</w:t>
            </w:r>
          </w:p>
        </w:tc>
        <w:tc>
          <w:tcPr>
            <w:tcW w:w="1418" w:type="dxa"/>
            <w:noWrap w:val="0"/>
            <w:vAlign w:val="center"/>
          </w:tcPr>
          <w:p w14:paraId="087F31E6">
            <w:pPr>
              <w:pStyle w:val="37"/>
              <w:jc w:val="center"/>
              <w:rPr>
                <w:rFonts w:hint="eastAsia" w:ascii="宋体" w:hAnsi="宋体" w:eastAsia="宋体" w:cs="宋体"/>
                <w:color w:val="auto"/>
                <w:sz w:val="24"/>
                <w:szCs w:val="24"/>
                <w:highlight w:val="none"/>
                <w:lang w:eastAsia="zh-CN"/>
              </w:rPr>
            </w:pPr>
          </w:p>
        </w:tc>
        <w:tc>
          <w:tcPr>
            <w:tcW w:w="1134" w:type="dxa"/>
            <w:noWrap w:val="0"/>
            <w:vAlign w:val="center"/>
          </w:tcPr>
          <w:p w14:paraId="5FD468B4">
            <w:pPr>
              <w:pStyle w:val="37"/>
              <w:jc w:val="center"/>
              <w:rPr>
                <w:rFonts w:hint="eastAsia" w:ascii="宋体" w:hAnsi="宋体" w:eastAsia="宋体" w:cs="宋体"/>
                <w:color w:val="auto"/>
                <w:sz w:val="24"/>
                <w:szCs w:val="24"/>
                <w:highlight w:val="none"/>
                <w:lang w:eastAsia="zh-CN"/>
              </w:rPr>
            </w:pPr>
          </w:p>
        </w:tc>
        <w:tc>
          <w:tcPr>
            <w:tcW w:w="1134" w:type="dxa"/>
            <w:noWrap w:val="0"/>
            <w:vAlign w:val="center"/>
          </w:tcPr>
          <w:p w14:paraId="7F5A209B">
            <w:pPr>
              <w:pStyle w:val="37"/>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p>
        </w:tc>
        <w:tc>
          <w:tcPr>
            <w:tcW w:w="4252" w:type="dxa"/>
            <w:noWrap w:val="0"/>
            <w:vAlign w:val="center"/>
          </w:tcPr>
          <w:p w14:paraId="0E2E5196">
            <w:pPr>
              <w:pStyle w:val="37"/>
              <w:jc w:val="center"/>
              <w:rPr>
                <w:rFonts w:hint="eastAsia" w:ascii="宋体" w:hAnsi="宋体" w:eastAsia="宋体" w:cs="宋体"/>
                <w:color w:val="auto"/>
                <w:sz w:val="24"/>
                <w:szCs w:val="24"/>
                <w:highlight w:val="none"/>
              </w:rPr>
            </w:pPr>
          </w:p>
        </w:tc>
      </w:tr>
      <w:tr w14:paraId="2E192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noWrap w:val="0"/>
            <w:vAlign w:val="center"/>
          </w:tcPr>
          <w:p w14:paraId="55B9D9F3">
            <w:pPr>
              <w:jc w:val="center"/>
              <w:rPr>
                <w:rFonts w:hint="eastAsia" w:ascii="宋体" w:hAnsi="宋体" w:eastAsia="宋体" w:cs="宋体"/>
                <w:color w:val="auto"/>
                <w:sz w:val="24"/>
                <w:highlight w:val="none"/>
              </w:rPr>
            </w:pPr>
          </w:p>
        </w:tc>
        <w:tc>
          <w:tcPr>
            <w:tcW w:w="1418" w:type="dxa"/>
            <w:noWrap w:val="0"/>
            <w:vAlign w:val="center"/>
          </w:tcPr>
          <w:p w14:paraId="5C8C01A1">
            <w:pPr>
              <w:pStyle w:val="37"/>
              <w:jc w:val="center"/>
              <w:rPr>
                <w:rFonts w:hint="eastAsia" w:ascii="宋体" w:hAnsi="宋体" w:eastAsia="宋体" w:cs="宋体"/>
                <w:color w:val="auto"/>
                <w:sz w:val="24"/>
                <w:szCs w:val="24"/>
                <w:highlight w:val="none"/>
              </w:rPr>
            </w:pPr>
          </w:p>
        </w:tc>
        <w:tc>
          <w:tcPr>
            <w:tcW w:w="1134" w:type="dxa"/>
            <w:noWrap w:val="0"/>
            <w:vAlign w:val="center"/>
          </w:tcPr>
          <w:p w14:paraId="056FDB0D">
            <w:pPr>
              <w:pStyle w:val="37"/>
              <w:jc w:val="center"/>
              <w:rPr>
                <w:rFonts w:hint="eastAsia" w:ascii="宋体" w:hAnsi="宋体" w:eastAsia="宋体" w:cs="宋体"/>
                <w:color w:val="auto"/>
                <w:sz w:val="24"/>
                <w:szCs w:val="24"/>
                <w:highlight w:val="none"/>
              </w:rPr>
            </w:pPr>
          </w:p>
        </w:tc>
        <w:tc>
          <w:tcPr>
            <w:tcW w:w="1134" w:type="dxa"/>
            <w:noWrap w:val="0"/>
            <w:vAlign w:val="center"/>
          </w:tcPr>
          <w:p w14:paraId="3166106C">
            <w:pPr>
              <w:pStyle w:val="37"/>
              <w:jc w:val="center"/>
              <w:rPr>
                <w:rFonts w:hint="eastAsia" w:ascii="宋体" w:hAnsi="宋体" w:eastAsia="宋体" w:cs="宋体"/>
                <w:color w:val="auto"/>
                <w:sz w:val="24"/>
                <w:szCs w:val="24"/>
                <w:highlight w:val="none"/>
              </w:rPr>
            </w:pPr>
          </w:p>
        </w:tc>
        <w:tc>
          <w:tcPr>
            <w:tcW w:w="4252" w:type="dxa"/>
            <w:noWrap w:val="0"/>
            <w:vAlign w:val="center"/>
          </w:tcPr>
          <w:p w14:paraId="7B939053">
            <w:pPr>
              <w:pStyle w:val="37"/>
              <w:jc w:val="center"/>
              <w:rPr>
                <w:rFonts w:hint="eastAsia" w:ascii="宋体" w:hAnsi="宋体" w:eastAsia="宋体" w:cs="宋体"/>
                <w:color w:val="auto"/>
                <w:sz w:val="24"/>
                <w:szCs w:val="24"/>
                <w:highlight w:val="none"/>
              </w:rPr>
            </w:pPr>
          </w:p>
        </w:tc>
      </w:tr>
      <w:tr w14:paraId="2B8E6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noWrap w:val="0"/>
            <w:vAlign w:val="center"/>
          </w:tcPr>
          <w:p w14:paraId="3FDCD140">
            <w:pPr>
              <w:jc w:val="center"/>
              <w:rPr>
                <w:rFonts w:hint="eastAsia" w:ascii="宋体" w:hAnsi="宋体" w:eastAsia="宋体" w:cs="宋体"/>
                <w:color w:val="auto"/>
                <w:sz w:val="24"/>
                <w:highlight w:val="none"/>
              </w:rPr>
            </w:pPr>
          </w:p>
        </w:tc>
        <w:tc>
          <w:tcPr>
            <w:tcW w:w="1418" w:type="dxa"/>
            <w:noWrap w:val="0"/>
            <w:vAlign w:val="center"/>
          </w:tcPr>
          <w:p w14:paraId="71874EB2">
            <w:pPr>
              <w:pStyle w:val="37"/>
              <w:jc w:val="center"/>
              <w:rPr>
                <w:rFonts w:hint="eastAsia" w:ascii="宋体" w:hAnsi="宋体" w:eastAsia="宋体" w:cs="宋体"/>
                <w:color w:val="auto"/>
                <w:sz w:val="24"/>
                <w:szCs w:val="24"/>
                <w:highlight w:val="none"/>
              </w:rPr>
            </w:pPr>
          </w:p>
        </w:tc>
        <w:tc>
          <w:tcPr>
            <w:tcW w:w="1134" w:type="dxa"/>
            <w:noWrap w:val="0"/>
            <w:vAlign w:val="center"/>
          </w:tcPr>
          <w:p w14:paraId="7C4F55BE">
            <w:pPr>
              <w:pStyle w:val="37"/>
              <w:jc w:val="center"/>
              <w:rPr>
                <w:rFonts w:hint="eastAsia" w:ascii="宋体" w:hAnsi="宋体" w:eastAsia="宋体" w:cs="宋体"/>
                <w:color w:val="auto"/>
                <w:sz w:val="24"/>
                <w:szCs w:val="24"/>
                <w:highlight w:val="none"/>
              </w:rPr>
            </w:pPr>
          </w:p>
        </w:tc>
        <w:tc>
          <w:tcPr>
            <w:tcW w:w="1134" w:type="dxa"/>
            <w:noWrap w:val="0"/>
            <w:vAlign w:val="center"/>
          </w:tcPr>
          <w:p w14:paraId="7436552A">
            <w:pPr>
              <w:pStyle w:val="37"/>
              <w:jc w:val="center"/>
              <w:rPr>
                <w:rFonts w:hint="eastAsia" w:ascii="宋体" w:hAnsi="宋体" w:eastAsia="宋体" w:cs="宋体"/>
                <w:color w:val="auto"/>
                <w:sz w:val="24"/>
                <w:szCs w:val="24"/>
                <w:highlight w:val="none"/>
              </w:rPr>
            </w:pPr>
          </w:p>
        </w:tc>
        <w:tc>
          <w:tcPr>
            <w:tcW w:w="4252" w:type="dxa"/>
            <w:noWrap w:val="0"/>
            <w:vAlign w:val="center"/>
          </w:tcPr>
          <w:p w14:paraId="51EC423E">
            <w:pPr>
              <w:pStyle w:val="37"/>
              <w:jc w:val="center"/>
              <w:rPr>
                <w:rFonts w:hint="eastAsia" w:ascii="宋体" w:hAnsi="宋体" w:eastAsia="宋体" w:cs="宋体"/>
                <w:color w:val="auto"/>
                <w:sz w:val="24"/>
                <w:szCs w:val="24"/>
                <w:highlight w:val="none"/>
              </w:rPr>
            </w:pPr>
          </w:p>
        </w:tc>
      </w:tr>
      <w:tr w14:paraId="721F2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noWrap w:val="0"/>
            <w:vAlign w:val="center"/>
          </w:tcPr>
          <w:p w14:paraId="6BF245A3">
            <w:pPr>
              <w:pStyle w:val="37"/>
              <w:spacing w:before="132"/>
              <w:ind w:left="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材料管理</w:t>
            </w:r>
          </w:p>
        </w:tc>
        <w:tc>
          <w:tcPr>
            <w:tcW w:w="1418" w:type="dxa"/>
            <w:noWrap w:val="0"/>
            <w:vAlign w:val="center"/>
          </w:tcPr>
          <w:p w14:paraId="1D3F9E76">
            <w:pPr>
              <w:pStyle w:val="37"/>
              <w:jc w:val="center"/>
              <w:rPr>
                <w:rFonts w:hint="eastAsia" w:ascii="宋体" w:hAnsi="宋体" w:eastAsia="宋体" w:cs="宋体"/>
                <w:color w:val="auto"/>
                <w:sz w:val="24"/>
                <w:szCs w:val="24"/>
                <w:highlight w:val="none"/>
                <w:lang w:eastAsia="zh-CN"/>
              </w:rPr>
            </w:pPr>
          </w:p>
        </w:tc>
        <w:tc>
          <w:tcPr>
            <w:tcW w:w="1134" w:type="dxa"/>
            <w:noWrap w:val="0"/>
            <w:vAlign w:val="center"/>
          </w:tcPr>
          <w:p w14:paraId="4744A3A7">
            <w:pPr>
              <w:pStyle w:val="37"/>
              <w:jc w:val="center"/>
              <w:rPr>
                <w:rFonts w:hint="eastAsia" w:ascii="宋体" w:hAnsi="宋体" w:eastAsia="宋体" w:cs="宋体"/>
                <w:color w:val="auto"/>
                <w:sz w:val="24"/>
                <w:szCs w:val="24"/>
                <w:highlight w:val="none"/>
                <w:lang w:eastAsia="zh-CN"/>
              </w:rPr>
            </w:pPr>
          </w:p>
        </w:tc>
        <w:tc>
          <w:tcPr>
            <w:tcW w:w="1134" w:type="dxa"/>
            <w:noWrap w:val="0"/>
            <w:vAlign w:val="center"/>
          </w:tcPr>
          <w:p w14:paraId="322D776C">
            <w:pPr>
              <w:pStyle w:val="37"/>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p>
        </w:tc>
        <w:tc>
          <w:tcPr>
            <w:tcW w:w="4252" w:type="dxa"/>
            <w:noWrap w:val="0"/>
            <w:vAlign w:val="center"/>
          </w:tcPr>
          <w:p w14:paraId="61484FBD">
            <w:pPr>
              <w:pStyle w:val="37"/>
              <w:jc w:val="center"/>
              <w:rPr>
                <w:rFonts w:hint="eastAsia" w:ascii="宋体" w:hAnsi="宋体" w:eastAsia="宋体" w:cs="宋体"/>
                <w:color w:val="auto"/>
                <w:sz w:val="24"/>
                <w:szCs w:val="24"/>
                <w:highlight w:val="none"/>
              </w:rPr>
            </w:pPr>
          </w:p>
        </w:tc>
      </w:tr>
      <w:tr w14:paraId="1ECCD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noWrap w:val="0"/>
            <w:vAlign w:val="center"/>
          </w:tcPr>
          <w:p w14:paraId="1BC08035">
            <w:pPr>
              <w:pStyle w:val="37"/>
              <w:spacing w:before="133"/>
              <w:ind w:left="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计划管理</w:t>
            </w:r>
          </w:p>
        </w:tc>
        <w:tc>
          <w:tcPr>
            <w:tcW w:w="1418" w:type="dxa"/>
            <w:noWrap w:val="0"/>
            <w:vAlign w:val="center"/>
          </w:tcPr>
          <w:p w14:paraId="167B818B">
            <w:pPr>
              <w:pStyle w:val="37"/>
              <w:jc w:val="center"/>
              <w:rPr>
                <w:rFonts w:hint="eastAsia" w:ascii="宋体" w:hAnsi="宋体" w:eastAsia="宋体" w:cs="宋体"/>
                <w:color w:val="auto"/>
                <w:sz w:val="24"/>
                <w:szCs w:val="24"/>
                <w:highlight w:val="none"/>
              </w:rPr>
            </w:pPr>
          </w:p>
        </w:tc>
        <w:tc>
          <w:tcPr>
            <w:tcW w:w="1134" w:type="dxa"/>
            <w:noWrap w:val="0"/>
            <w:vAlign w:val="center"/>
          </w:tcPr>
          <w:p w14:paraId="51158297">
            <w:pPr>
              <w:pStyle w:val="37"/>
              <w:jc w:val="center"/>
              <w:rPr>
                <w:rFonts w:hint="eastAsia" w:ascii="宋体" w:hAnsi="宋体" w:eastAsia="宋体" w:cs="宋体"/>
                <w:color w:val="auto"/>
                <w:sz w:val="24"/>
                <w:szCs w:val="24"/>
                <w:highlight w:val="none"/>
              </w:rPr>
            </w:pPr>
          </w:p>
        </w:tc>
        <w:tc>
          <w:tcPr>
            <w:tcW w:w="1134" w:type="dxa"/>
            <w:noWrap w:val="0"/>
            <w:vAlign w:val="center"/>
          </w:tcPr>
          <w:p w14:paraId="07A3A6C7">
            <w:pPr>
              <w:pStyle w:val="37"/>
              <w:jc w:val="center"/>
              <w:rPr>
                <w:rFonts w:hint="eastAsia" w:ascii="宋体" w:hAnsi="宋体" w:eastAsia="宋体" w:cs="宋体"/>
                <w:color w:val="auto"/>
                <w:sz w:val="24"/>
                <w:szCs w:val="24"/>
                <w:highlight w:val="none"/>
              </w:rPr>
            </w:pPr>
          </w:p>
        </w:tc>
        <w:tc>
          <w:tcPr>
            <w:tcW w:w="4252" w:type="dxa"/>
            <w:noWrap w:val="0"/>
            <w:vAlign w:val="center"/>
          </w:tcPr>
          <w:p w14:paraId="4CDEBDA3">
            <w:pPr>
              <w:pStyle w:val="37"/>
              <w:jc w:val="center"/>
              <w:rPr>
                <w:rFonts w:hint="eastAsia" w:ascii="宋体" w:hAnsi="宋体" w:eastAsia="宋体" w:cs="宋体"/>
                <w:color w:val="auto"/>
                <w:sz w:val="24"/>
                <w:szCs w:val="24"/>
                <w:highlight w:val="none"/>
              </w:rPr>
            </w:pPr>
          </w:p>
        </w:tc>
      </w:tr>
      <w:tr w14:paraId="2CB60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restart"/>
            <w:noWrap w:val="0"/>
            <w:vAlign w:val="center"/>
          </w:tcPr>
          <w:p w14:paraId="24183151">
            <w:pPr>
              <w:pStyle w:val="37"/>
              <w:ind w:left="494"/>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安全管理</w:t>
            </w:r>
          </w:p>
        </w:tc>
        <w:tc>
          <w:tcPr>
            <w:tcW w:w="1418" w:type="dxa"/>
            <w:noWrap w:val="0"/>
            <w:vAlign w:val="center"/>
          </w:tcPr>
          <w:p w14:paraId="4843C1C1">
            <w:pPr>
              <w:pStyle w:val="37"/>
              <w:jc w:val="center"/>
              <w:rPr>
                <w:rFonts w:hint="eastAsia" w:ascii="宋体" w:hAnsi="宋体" w:eastAsia="宋体" w:cs="宋体"/>
                <w:color w:val="auto"/>
                <w:sz w:val="24"/>
                <w:szCs w:val="24"/>
                <w:highlight w:val="none"/>
                <w:lang w:eastAsia="zh-CN"/>
              </w:rPr>
            </w:pPr>
          </w:p>
        </w:tc>
        <w:tc>
          <w:tcPr>
            <w:tcW w:w="1134" w:type="dxa"/>
            <w:noWrap w:val="0"/>
            <w:vAlign w:val="center"/>
          </w:tcPr>
          <w:p w14:paraId="17DED41A">
            <w:pPr>
              <w:pStyle w:val="37"/>
              <w:jc w:val="center"/>
              <w:rPr>
                <w:rFonts w:hint="eastAsia" w:ascii="宋体" w:hAnsi="宋体" w:eastAsia="宋体" w:cs="宋体"/>
                <w:color w:val="auto"/>
                <w:sz w:val="24"/>
                <w:szCs w:val="24"/>
                <w:highlight w:val="none"/>
                <w:lang w:eastAsia="zh-CN"/>
              </w:rPr>
            </w:pPr>
          </w:p>
        </w:tc>
        <w:tc>
          <w:tcPr>
            <w:tcW w:w="1134" w:type="dxa"/>
            <w:noWrap w:val="0"/>
            <w:vAlign w:val="center"/>
          </w:tcPr>
          <w:p w14:paraId="091BC2F2">
            <w:pPr>
              <w:pStyle w:val="37"/>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p>
        </w:tc>
        <w:tc>
          <w:tcPr>
            <w:tcW w:w="4252" w:type="dxa"/>
            <w:noWrap w:val="0"/>
            <w:vAlign w:val="center"/>
          </w:tcPr>
          <w:p w14:paraId="77BE3125">
            <w:pPr>
              <w:pStyle w:val="37"/>
              <w:jc w:val="center"/>
              <w:rPr>
                <w:rFonts w:hint="eastAsia" w:ascii="宋体" w:hAnsi="宋体" w:eastAsia="宋体" w:cs="宋体"/>
                <w:color w:val="auto"/>
                <w:sz w:val="24"/>
                <w:szCs w:val="24"/>
                <w:highlight w:val="none"/>
              </w:rPr>
            </w:pPr>
          </w:p>
        </w:tc>
      </w:tr>
      <w:tr w14:paraId="40727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871" w:type="dxa"/>
            <w:vMerge w:val="continue"/>
            <w:tcBorders>
              <w:top w:val="nil"/>
            </w:tcBorders>
            <w:noWrap w:val="0"/>
            <w:vAlign w:val="center"/>
          </w:tcPr>
          <w:p w14:paraId="56D4B635">
            <w:pPr>
              <w:jc w:val="center"/>
              <w:rPr>
                <w:rFonts w:hint="eastAsia" w:ascii="宋体" w:hAnsi="宋体" w:eastAsia="宋体" w:cs="宋体"/>
                <w:color w:val="auto"/>
                <w:sz w:val="24"/>
                <w:highlight w:val="none"/>
              </w:rPr>
            </w:pPr>
          </w:p>
        </w:tc>
        <w:tc>
          <w:tcPr>
            <w:tcW w:w="1418" w:type="dxa"/>
            <w:noWrap w:val="0"/>
            <w:vAlign w:val="center"/>
          </w:tcPr>
          <w:p w14:paraId="2A856EB9">
            <w:pPr>
              <w:pStyle w:val="37"/>
              <w:jc w:val="center"/>
              <w:rPr>
                <w:rFonts w:hint="eastAsia" w:ascii="宋体" w:hAnsi="宋体" w:eastAsia="宋体" w:cs="宋体"/>
                <w:color w:val="auto"/>
                <w:sz w:val="24"/>
                <w:szCs w:val="24"/>
                <w:highlight w:val="none"/>
              </w:rPr>
            </w:pPr>
          </w:p>
        </w:tc>
        <w:tc>
          <w:tcPr>
            <w:tcW w:w="1134" w:type="dxa"/>
            <w:noWrap w:val="0"/>
            <w:vAlign w:val="center"/>
          </w:tcPr>
          <w:p w14:paraId="401ED7D5">
            <w:pPr>
              <w:pStyle w:val="37"/>
              <w:jc w:val="center"/>
              <w:rPr>
                <w:rFonts w:hint="eastAsia" w:ascii="宋体" w:hAnsi="宋体" w:eastAsia="宋体" w:cs="宋体"/>
                <w:color w:val="auto"/>
                <w:sz w:val="24"/>
                <w:szCs w:val="24"/>
                <w:highlight w:val="none"/>
              </w:rPr>
            </w:pPr>
          </w:p>
        </w:tc>
        <w:tc>
          <w:tcPr>
            <w:tcW w:w="1134" w:type="dxa"/>
            <w:noWrap w:val="0"/>
            <w:vAlign w:val="center"/>
          </w:tcPr>
          <w:p w14:paraId="3EA1FFA8">
            <w:pPr>
              <w:pStyle w:val="37"/>
              <w:jc w:val="center"/>
              <w:rPr>
                <w:rFonts w:hint="eastAsia" w:ascii="宋体" w:hAnsi="宋体" w:eastAsia="宋体" w:cs="宋体"/>
                <w:color w:val="auto"/>
                <w:sz w:val="24"/>
                <w:szCs w:val="24"/>
                <w:highlight w:val="none"/>
              </w:rPr>
            </w:pPr>
          </w:p>
        </w:tc>
        <w:tc>
          <w:tcPr>
            <w:tcW w:w="4252" w:type="dxa"/>
            <w:noWrap w:val="0"/>
            <w:vAlign w:val="center"/>
          </w:tcPr>
          <w:p w14:paraId="447D6CDF">
            <w:pPr>
              <w:pStyle w:val="37"/>
              <w:jc w:val="center"/>
              <w:rPr>
                <w:rFonts w:hint="eastAsia" w:ascii="宋体" w:hAnsi="宋体" w:eastAsia="宋体" w:cs="宋体"/>
                <w:color w:val="auto"/>
                <w:sz w:val="24"/>
                <w:szCs w:val="24"/>
                <w:highlight w:val="none"/>
              </w:rPr>
            </w:pPr>
          </w:p>
        </w:tc>
      </w:tr>
      <w:tr w14:paraId="2D1F3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noWrap w:val="0"/>
            <w:vAlign w:val="center"/>
          </w:tcPr>
          <w:p w14:paraId="5BB16DD8">
            <w:pPr>
              <w:jc w:val="center"/>
              <w:rPr>
                <w:rFonts w:hint="eastAsia" w:ascii="宋体" w:hAnsi="宋体" w:eastAsia="宋体" w:cs="宋体"/>
                <w:color w:val="auto"/>
                <w:sz w:val="24"/>
                <w:highlight w:val="none"/>
              </w:rPr>
            </w:pPr>
          </w:p>
        </w:tc>
        <w:tc>
          <w:tcPr>
            <w:tcW w:w="1418" w:type="dxa"/>
            <w:noWrap w:val="0"/>
            <w:vAlign w:val="center"/>
          </w:tcPr>
          <w:p w14:paraId="70F2E631">
            <w:pPr>
              <w:pStyle w:val="37"/>
              <w:jc w:val="center"/>
              <w:rPr>
                <w:rFonts w:hint="eastAsia" w:ascii="宋体" w:hAnsi="宋体" w:eastAsia="宋体" w:cs="宋体"/>
                <w:color w:val="auto"/>
                <w:sz w:val="24"/>
                <w:szCs w:val="24"/>
                <w:highlight w:val="none"/>
              </w:rPr>
            </w:pPr>
          </w:p>
        </w:tc>
        <w:tc>
          <w:tcPr>
            <w:tcW w:w="1134" w:type="dxa"/>
            <w:noWrap w:val="0"/>
            <w:vAlign w:val="center"/>
          </w:tcPr>
          <w:p w14:paraId="15DC5E34">
            <w:pPr>
              <w:pStyle w:val="37"/>
              <w:jc w:val="center"/>
              <w:rPr>
                <w:rFonts w:hint="eastAsia" w:ascii="宋体" w:hAnsi="宋体" w:eastAsia="宋体" w:cs="宋体"/>
                <w:color w:val="auto"/>
                <w:sz w:val="24"/>
                <w:szCs w:val="24"/>
                <w:highlight w:val="none"/>
              </w:rPr>
            </w:pPr>
          </w:p>
        </w:tc>
        <w:tc>
          <w:tcPr>
            <w:tcW w:w="1134" w:type="dxa"/>
            <w:noWrap w:val="0"/>
            <w:vAlign w:val="center"/>
          </w:tcPr>
          <w:p w14:paraId="0A0B4AAE">
            <w:pPr>
              <w:pStyle w:val="37"/>
              <w:jc w:val="center"/>
              <w:rPr>
                <w:rFonts w:hint="eastAsia" w:ascii="宋体" w:hAnsi="宋体" w:eastAsia="宋体" w:cs="宋体"/>
                <w:color w:val="auto"/>
                <w:sz w:val="24"/>
                <w:szCs w:val="24"/>
                <w:highlight w:val="none"/>
              </w:rPr>
            </w:pPr>
          </w:p>
        </w:tc>
        <w:tc>
          <w:tcPr>
            <w:tcW w:w="4252" w:type="dxa"/>
            <w:noWrap w:val="0"/>
            <w:vAlign w:val="center"/>
          </w:tcPr>
          <w:p w14:paraId="1E18ABF1">
            <w:pPr>
              <w:pStyle w:val="37"/>
              <w:jc w:val="center"/>
              <w:rPr>
                <w:rFonts w:hint="eastAsia" w:ascii="宋体" w:hAnsi="宋体" w:eastAsia="宋体" w:cs="宋体"/>
                <w:color w:val="auto"/>
                <w:sz w:val="24"/>
                <w:szCs w:val="24"/>
                <w:highlight w:val="none"/>
              </w:rPr>
            </w:pPr>
          </w:p>
        </w:tc>
      </w:tr>
      <w:tr w14:paraId="11B24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restart"/>
            <w:noWrap w:val="0"/>
            <w:vAlign w:val="center"/>
          </w:tcPr>
          <w:p w14:paraId="72822BA5">
            <w:pPr>
              <w:pStyle w:val="37"/>
              <w:ind w:left="494"/>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其他人员</w:t>
            </w:r>
          </w:p>
        </w:tc>
        <w:tc>
          <w:tcPr>
            <w:tcW w:w="1418" w:type="dxa"/>
            <w:noWrap w:val="0"/>
            <w:vAlign w:val="center"/>
          </w:tcPr>
          <w:p w14:paraId="4FFA329A">
            <w:pPr>
              <w:pStyle w:val="37"/>
              <w:jc w:val="center"/>
              <w:rPr>
                <w:rFonts w:hint="eastAsia" w:ascii="宋体" w:hAnsi="宋体" w:eastAsia="宋体" w:cs="宋体"/>
                <w:color w:val="auto"/>
                <w:sz w:val="24"/>
                <w:szCs w:val="24"/>
                <w:highlight w:val="none"/>
                <w:lang w:eastAsia="zh-CN"/>
              </w:rPr>
            </w:pPr>
          </w:p>
        </w:tc>
        <w:tc>
          <w:tcPr>
            <w:tcW w:w="1134" w:type="dxa"/>
            <w:noWrap w:val="0"/>
            <w:vAlign w:val="center"/>
          </w:tcPr>
          <w:p w14:paraId="71E2EE5E">
            <w:pPr>
              <w:pStyle w:val="37"/>
              <w:jc w:val="center"/>
              <w:rPr>
                <w:rFonts w:hint="eastAsia" w:ascii="宋体" w:hAnsi="宋体" w:eastAsia="宋体" w:cs="宋体"/>
                <w:color w:val="auto"/>
                <w:sz w:val="24"/>
                <w:szCs w:val="24"/>
                <w:highlight w:val="none"/>
                <w:lang w:eastAsia="zh-CN"/>
              </w:rPr>
            </w:pPr>
          </w:p>
        </w:tc>
        <w:tc>
          <w:tcPr>
            <w:tcW w:w="1134" w:type="dxa"/>
            <w:noWrap w:val="0"/>
            <w:vAlign w:val="center"/>
          </w:tcPr>
          <w:p w14:paraId="0B548532">
            <w:pPr>
              <w:pStyle w:val="37"/>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p>
        </w:tc>
        <w:tc>
          <w:tcPr>
            <w:tcW w:w="4252" w:type="dxa"/>
            <w:noWrap w:val="0"/>
            <w:vAlign w:val="center"/>
          </w:tcPr>
          <w:p w14:paraId="04ADFC08">
            <w:pPr>
              <w:pStyle w:val="37"/>
              <w:jc w:val="center"/>
              <w:rPr>
                <w:rFonts w:hint="eastAsia" w:ascii="宋体" w:hAnsi="宋体" w:eastAsia="宋体" w:cs="宋体"/>
                <w:color w:val="auto"/>
                <w:sz w:val="24"/>
                <w:szCs w:val="24"/>
                <w:highlight w:val="none"/>
              </w:rPr>
            </w:pPr>
          </w:p>
        </w:tc>
      </w:tr>
      <w:tr w14:paraId="680EF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noWrap w:val="0"/>
            <w:vAlign w:val="center"/>
          </w:tcPr>
          <w:p w14:paraId="7283D3E7">
            <w:pPr>
              <w:jc w:val="center"/>
              <w:rPr>
                <w:rFonts w:hint="eastAsia" w:ascii="宋体" w:hAnsi="宋体" w:eastAsia="宋体" w:cs="宋体"/>
                <w:color w:val="auto"/>
                <w:sz w:val="24"/>
                <w:highlight w:val="none"/>
              </w:rPr>
            </w:pPr>
          </w:p>
        </w:tc>
        <w:tc>
          <w:tcPr>
            <w:tcW w:w="1418" w:type="dxa"/>
            <w:noWrap w:val="0"/>
            <w:vAlign w:val="center"/>
          </w:tcPr>
          <w:p w14:paraId="35D57639">
            <w:pPr>
              <w:pStyle w:val="37"/>
              <w:jc w:val="center"/>
              <w:rPr>
                <w:rFonts w:hint="eastAsia" w:ascii="宋体" w:hAnsi="宋体" w:eastAsia="宋体" w:cs="宋体"/>
                <w:color w:val="auto"/>
                <w:sz w:val="24"/>
                <w:szCs w:val="24"/>
                <w:highlight w:val="none"/>
              </w:rPr>
            </w:pPr>
          </w:p>
        </w:tc>
        <w:tc>
          <w:tcPr>
            <w:tcW w:w="1134" w:type="dxa"/>
            <w:noWrap w:val="0"/>
            <w:vAlign w:val="center"/>
          </w:tcPr>
          <w:p w14:paraId="04D9F0A1">
            <w:pPr>
              <w:pStyle w:val="37"/>
              <w:jc w:val="center"/>
              <w:rPr>
                <w:rFonts w:hint="eastAsia" w:ascii="宋体" w:hAnsi="宋体" w:eastAsia="宋体" w:cs="宋体"/>
                <w:color w:val="auto"/>
                <w:sz w:val="24"/>
                <w:szCs w:val="24"/>
                <w:highlight w:val="none"/>
              </w:rPr>
            </w:pPr>
          </w:p>
        </w:tc>
        <w:tc>
          <w:tcPr>
            <w:tcW w:w="1134" w:type="dxa"/>
            <w:noWrap w:val="0"/>
            <w:vAlign w:val="center"/>
          </w:tcPr>
          <w:p w14:paraId="015B3C65">
            <w:pPr>
              <w:pStyle w:val="37"/>
              <w:jc w:val="center"/>
              <w:rPr>
                <w:rFonts w:hint="eastAsia" w:ascii="宋体" w:hAnsi="宋体" w:eastAsia="宋体" w:cs="宋体"/>
                <w:color w:val="auto"/>
                <w:sz w:val="24"/>
                <w:szCs w:val="24"/>
                <w:highlight w:val="none"/>
              </w:rPr>
            </w:pPr>
          </w:p>
        </w:tc>
        <w:tc>
          <w:tcPr>
            <w:tcW w:w="4252" w:type="dxa"/>
            <w:noWrap w:val="0"/>
            <w:vAlign w:val="center"/>
          </w:tcPr>
          <w:p w14:paraId="75128A35">
            <w:pPr>
              <w:pStyle w:val="37"/>
              <w:jc w:val="center"/>
              <w:rPr>
                <w:rFonts w:hint="eastAsia" w:ascii="宋体" w:hAnsi="宋体" w:eastAsia="宋体" w:cs="宋体"/>
                <w:color w:val="auto"/>
                <w:sz w:val="24"/>
                <w:szCs w:val="24"/>
                <w:highlight w:val="none"/>
              </w:rPr>
            </w:pPr>
          </w:p>
        </w:tc>
      </w:tr>
      <w:tr w14:paraId="72EED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noWrap w:val="0"/>
            <w:vAlign w:val="center"/>
          </w:tcPr>
          <w:p w14:paraId="01214E10">
            <w:pPr>
              <w:jc w:val="center"/>
              <w:rPr>
                <w:rFonts w:hint="eastAsia" w:ascii="宋体" w:hAnsi="宋体" w:eastAsia="宋体" w:cs="宋体"/>
                <w:color w:val="auto"/>
                <w:sz w:val="24"/>
                <w:highlight w:val="none"/>
              </w:rPr>
            </w:pPr>
          </w:p>
        </w:tc>
        <w:tc>
          <w:tcPr>
            <w:tcW w:w="1418" w:type="dxa"/>
            <w:noWrap w:val="0"/>
            <w:vAlign w:val="center"/>
          </w:tcPr>
          <w:p w14:paraId="79C9058F">
            <w:pPr>
              <w:pStyle w:val="37"/>
              <w:jc w:val="center"/>
              <w:rPr>
                <w:rFonts w:hint="eastAsia" w:ascii="宋体" w:hAnsi="宋体" w:eastAsia="宋体" w:cs="宋体"/>
                <w:color w:val="auto"/>
                <w:sz w:val="24"/>
                <w:szCs w:val="24"/>
                <w:highlight w:val="none"/>
              </w:rPr>
            </w:pPr>
          </w:p>
        </w:tc>
        <w:tc>
          <w:tcPr>
            <w:tcW w:w="1134" w:type="dxa"/>
            <w:noWrap w:val="0"/>
            <w:vAlign w:val="center"/>
          </w:tcPr>
          <w:p w14:paraId="173E742B">
            <w:pPr>
              <w:pStyle w:val="37"/>
              <w:jc w:val="center"/>
              <w:rPr>
                <w:rFonts w:hint="eastAsia" w:ascii="宋体" w:hAnsi="宋体" w:eastAsia="宋体" w:cs="宋体"/>
                <w:color w:val="auto"/>
                <w:sz w:val="24"/>
                <w:szCs w:val="24"/>
                <w:highlight w:val="none"/>
              </w:rPr>
            </w:pPr>
          </w:p>
        </w:tc>
        <w:tc>
          <w:tcPr>
            <w:tcW w:w="1134" w:type="dxa"/>
            <w:noWrap w:val="0"/>
            <w:vAlign w:val="center"/>
          </w:tcPr>
          <w:p w14:paraId="72D7DDF8">
            <w:pPr>
              <w:pStyle w:val="37"/>
              <w:jc w:val="center"/>
              <w:rPr>
                <w:rFonts w:hint="eastAsia" w:ascii="宋体" w:hAnsi="宋体" w:eastAsia="宋体" w:cs="宋体"/>
                <w:color w:val="auto"/>
                <w:sz w:val="24"/>
                <w:szCs w:val="24"/>
                <w:highlight w:val="none"/>
              </w:rPr>
            </w:pPr>
          </w:p>
        </w:tc>
        <w:tc>
          <w:tcPr>
            <w:tcW w:w="4252" w:type="dxa"/>
            <w:noWrap w:val="0"/>
            <w:vAlign w:val="center"/>
          </w:tcPr>
          <w:p w14:paraId="3249D919">
            <w:pPr>
              <w:pStyle w:val="37"/>
              <w:jc w:val="center"/>
              <w:rPr>
                <w:rFonts w:hint="eastAsia" w:ascii="宋体" w:hAnsi="宋体" w:eastAsia="宋体" w:cs="宋体"/>
                <w:color w:val="auto"/>
                <w:sz w:val="24"/>
                <w:szCs w:val="24"/>
                <w:highlight w:val="none"/>
              </w:rPr>
            </w:pPr>
          </w:p>
        </w:tc>
      </w:tr>
      <w:tr w14:paraId="40B41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noWrap w:val="0"/>
            <w:vAlign w:val="center"/>
          </w:tcPr>
          <w:p w14:paraId="73B78C66">
            <w:pPr>
              <w:jc w:val="center"/>
              <w:rPr>
                <w:rFonts w:hint="eastAsia" w:ascii="宋体" w:hAnsi="宋体" w:eastAsia="宋体" w:cs="宋体"/>
                <w:color w:val="auto"/>
                <w:sz w:val="24"/>
                <w:highlight w:val="none"/>
              </w:rPr>
            </w:pPr>
          </w:p>
        </w:tc>
        <w:tc>
          <w:tcPr>
            <w:tcW w:w="1418" w:type="dxa"/>
            <w:noWrap w:val="0"/>
            <w:vAlign w:val="center"/>
          </w:tcPr>
          <w:p w14:paraId="7DC6A77F">
            <w:pPr>
              <w:pStyle w:val="37"/>
              <w:jc w:val="center"/>
              <w:rPr>
                <w:rFonts w:hint="eastAsia" w:ascii="宋体" w:hAnsi="宋体" w:eastAsia="宋体" w:cs="宋体"/>
                <w:color w:val="auto"/>
                <w:sz w:val="24"/>
                <w:szCs w:val="24"/>
                <w:highlight w:val="none"/>
              </w:rPr>
            </w:pPr>
          </w:p>
        </w:tc>
        <w:tc>
          <w:tcPr>
            <w:tcW w:w="1134" w:type="dxa"/>
            <w:noWrap w:val="0"/>
            <w:vAlign w:val="center"/>
          </w:tcPr>
          <w:p w14:paraId="594AB842">
            <w:pPr>
              <w:pStyle w:val="37"/>
              <w:jc w:val="center"/>
              <w:rPr>
                <w:rFonts w:hint="eastAsia" w:ascii="宋体" w:hAnsi="宋体" w:eastAsia="宋体" w:cs="宋体"/>
                <w:color w:val="auto"/>
                <w:sz w:val="24"/>
                <w:szCs w:val="24"/>
                <w:highlight w:val="none"/>
              </w:rPr>
            </w:pPr>
          </w:p>
        </w:tc>
        <w:tc>
          <w:tcPr>
            <w:tcW w:w="1134" w:type="dxa"/>
            <w:noWrap w:val="0"/>
            <w:vAlign w:val="center"/>
          </w:tcPr>
          <w:p w14:paraId="45DE93DD">
            <w:pPr>
              <w:pStyle w:val="37"/>
              <w:jc w:val="center"/>
              <w:rPr>
                <w:rFonts w:hint="eastAsia" w:ascii="宋体" w:hAnsi="宋体" w:eastAsia="宋体" w:cs="宋体"/>
                <w:color w:val="auto"/>
                <w:sz w:val="24"/>
                <w:szCs w:val="24"/>
                <w:highlight w:val="none"/>
              </w:rPr>
            </w:pPr>
          </w:p>
        </w:tc>
        <w:tc>
          <w:tcPr>
            <w:tcW w:w="4252" w:type="dxa"/>
            <w:noWrap w:val="0"/>
            <w:vAlign w:val="center"/>
          </w:tcPr>
          <w:p w14:paraId="1F26B8C3">
            <w:pPr>
              <w:pStyle w:val="37"/>
              <w:jc w:val="center"/>
              <w:rPr>
                <w:rFonts w:hint="eastAsia" w:ascii="宋体" w:hAnsi="宋体" w:eastAsia="宋体" w:cs="宋体"/>
                <w:color w:val="auto"/>
                <w:sz w:val="24"/>
                <w:szCs w:val="24"/>
                <w:highlight w:val="none"/>
              </w:rPr>
            </w:pPr>
          </w:p>
        </w:tc>
      </w:tr>
      <w:tr w14:paraId="3B77B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noWrap w:val="0"/>
            <w:vAlign w:val="center"/>
          </w:tcPr>
          <w:p w14:paraId="06ED8840">
            <w:pPr>
              <w:jc w:val="center"/>
              <w:rPr>
                <w:rFonts w:hint="eastAsia" w:ascii="宋体" w:hAnsi="宋体" w:eastAsia="宋体" w:cs="宋体"/>
                <w:color w:val="auto"/>
                <w:sz w:val="24"/>
                <w:highlight w:val="none"/>
              </w:rPr>
            </w:pPr>
          </w:p>
        </w:tc>
        <w:tc>
          <w:tcPr>
            <w:tcW w:w="1418" w:type="dxa"/>
            <w:noWrap w:val="0"/>
            <w:vAlign w:val="center"/>
          </w:tcPr>
          <w:p w14:paraId="5437EFC4">
            <w:pPr>
              <w:pStyle w:val="37"/>
              <w:jc w:val="center"/>
              <w:rPr>
                <w:rFonts w:hint="eastAsia" w:ascii="宋体" w:hAnsi="宋体" w:eastAsia="宋体" w:cs="宋体"/>
                <w:color w:val="auto"/>
                <w:sz w:val="24"/>
                <w:szCs w:val="24"/>
                <w:highlight w:val="none"/>
              </w:rPr>
            </w:pPr>
          </w:p>
        </w:tc>
        <w:tc>
          <w:tcPr>
            <w:tcW w:w="1134" w:type="dxa"/>
            <w:noWrap w:val="0"/>
            <w:vAlign w:val="center"/>
          </w:tcPr>
          <w:p w14:paraId="78A722A9">
            <w:pPr>
              <w:pStyle w:val="37"/>
              <w:jc w:val="center"/>
              <w:rPr>
                <w:rFonts w:hint="eastAsia" w:ascii="宋体" w:hAnsi="宋体" w:eastAsia="宋体" w:cs="宋体"/>
                <w:color w:val="auto"/>
                <w:sz w:val="24"/>
                <w:szCs w:val="24"/>
                <w:highlight w:val="none"/>
              </w:rPr>
            </w:pPr>
          </w:p>
        </w:tc>
        <w:tc>
          <w:tcPr>
            <w:tcW w:w="1134" w:type="dxa"/>
            <w:noWrap w:val="0"/>
            <w:vAlign w:val="center"/>
          </w:tcPr>
          <w:p w14:paraId="3AC8FE2A">
            <w:pPr>
              <w:pStyle w:val="37"/>
              <w:jc w:val="center"/>
              <w:rPr>
                <w:rFonts w:hint="eastAsia" w:ascii="宋体" w:hAnsi="宋体" w:eastAsia="宋体" w:cs="宋体"/>
                <w:color w:val="auto"/>
                <w:sz w:val="24"/>
                <w:szCs w:val="24"/>
                <w:highlight w:val="none"/>
              </w:rPr>
            </w:pPr>
          </w:p>
        </w:tc>
        <w:tc>
          <w:tcPr>
            <w:tcW w:w="4252" w:type="dxa"/>
            <w:noWrap w:val="0"/>
            <w:vAlign w:val="center"/>
          </w:tcPr>
          <w:p w14:paraId="7CECCD5D">
            <w:pPr>
              <w:pStyle w:val="37"/>
              <w:jc w:val="center"/>
              <w:rPr>
                <w:rFonts w:hint="eastAsia" w:ascii="宋体" w:hAnsi="宋体" w:eastAsia="宋体" w:cs="宋体"/>
                <w:color w:val="auto"/>
                <w:sz w:val="24"/>
                <w:szCs w:val="24"/>
                <w:highlight w:val="none"/>
              </w:rPr>
            </w:pPr>
          </w:p>
        </w:tc>
      </w:tr>
      <w:tr w14:paraId="4C76D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noWrap w:val="0"/>
            <w:vAlign w:val="center"/>
          </w:tcPr>
          <w:p w14:paraId="47BC986F">
            <w:pPr>
              <w:jc w:val="center"/>
              <w:rPr>
                <w:rFonts w:hint="eastAsia" w:ascii="宋体" w:hAnsi="宋体" w:eastAsia="宋体" w:cs="宋体"/>
                <w:color w:val="auto"/>
                <w:sz w:val="24"/>
                <w:highlight w:val="none"/>
              </w:rPr>
            </w:pPr>
          </w:p>
        </w:tc>
        <w:tc>
          <w:tcPr>
            <w:tcW w:w="1418" w:type="dxa"/>
            <w:noWrap w:val="0"/>
            <w:vAlign w:val="center"/>
          </w:tcPr>
          <w:p w14:paraId="310C59C0">
            <w:pPr>
              <w:pStyle w:val="37"/>
              <w:jc w:val="center"/>
              <w:rPr>
                <w:rFonts w:hint="eastAsia" w:ascii="宋体" w:hAnsi="宋体" w:eastAsia="宋体" w:cs="宋体"/>
                <w:color w:val="auto"/>
                <w:sz w:val="24"/>
                <w:szCs w:val="24"/>
                <w:highlight w:val="none"/>
              </w:rPr>
            </w:pPr>
          </w:p>
        </w:tc>
        <w:tc>
          <w:tcPr>
            <w:tcW w:w="1134" w:type="dxa"/>
            <w:noWrap w:val="0"/>
            <w:vAlign w:val="center"/>
          </w:tcPr>
          <w:p w14:paraId="0D238199">
            <w:pPr>
              <w:pStyle w:val="37"/>
              <w:jc w:val="center"/>
              <w:rPr>
                <w:rFonts w:hint="eastAsia" w:ascii="宋体" w:hAnsi="宋体" w:eastAsia="宋体" w:cs="宋体"/>
                <w:color w:val="auto"/>
                <w:sz w:val="24"/>
                <w:szCs w:val="24"/>
                <w:highlight w:val="none"/>
              </w:rPr>
            </w:pPr>
          </w:p>
        </w:tc>
        <w:tc>
          <w:tcPr>
            <w:tcW w:w="1134" w:type="dxa"/>
            <w:noWrap w:val="0"/>
            <w:vAlign w:val="center"/>
          </w:tcPr>
          <w:p w14:paraId="5F406681">
            <w:pPr>
              <w:pStyle w:val="37"/>
              <w:jc w:val="center"/>
              <w:rPr>
                <w:rFonts w:hint="eastAsia" w:ascii="宋体" w:hAnsi="宋体" w:eastAsia="宋体" w:cs="宋体"/>
                <w:color w:val="auto"/>
                <w:sz w:val="24"/>
                <w:szCs w:val="24"/>
                <w:highlight w:val="none"/>
              </w:rPr>
            </w:pPr>
          </w:p>
        </w:tc>
        <w:tc>
          <w:tcPr>
            <w:tcW w:w="4252" w:type="dxa"/>
            <w:noWrap w:val="0"/>
            <w:vAlign w:val="center"/>
          </w:tcPr>
          <w:p w14:paraId="6A296E46">
            <w:pPr>
              <w:pStyle w:val="37"/>
              <w:jc w:val="center"/>
              <w:rPr>
                <w:rFonts w:hint="eastAsia" w:ascii="宋体" w:hAnsi="宋体" w:eastAsia="宋体" w:cs="宋体"/>
                <w:color w:val="auto"/>
                <w:sz w:val="24"/>
                <w:szCs w:val="24"/>
                <w:highlight w:val="none"/>
              </w:rPr>
            </w:pPr>
          </w:p>
        </w:tc>
      </w:tr>
    </w:tbl>
    <w:p w14:paraId="682452EF">
      <w:pPr>
        <w:rPr>
          <w:rFonts w:hint="eastAsia" w:ascii="宋体" w:hAnsi="宋体" w:eastAsia="宋体" w:cs="宋体"/>
          <w:color w:val="auto"/>
          <w:szCs w:val="21"/>
          <w:highlight w:val="none"/>
        </w:rPr>
        <w:sectPr>
          <w:pgSz w:w="11920" w:h="16840"/>
          <w:pgMar w:top="1160" w:right="800" w:bottom="1040" w:left="800" w:header="0" w:footer="857" w:gutter="0"/>
          <w:cols w:space="720" w:num="1"/>
        </w:sectPr>
      </w:pPr>
    </w:p>
    <w:p w14:paraId="5B117A20">
      <w:pPr>
        <w:spacing w:before="58"/>
        <w:ind w:right="8517"/>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附件 2：</w:t>
      </w:r>
    </w:p>
    <w:p w14:paraId="6B33EAFD">
      <w:pPr>
        <w:spacing w:before="178"/>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承包人用于本工程施工的机械设备表</w:t>
      </w:r>
    </w:p>
    <w:tbl>
      <w:tblPr>
        <w:tblStyle w:val="25"/>
        <w:tblW w:w="0" w:type="auto"/>
        <w:tblInd w:w="2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9"/>
        <w:gridCol w:w="1305"/>
        <w:gridCol w:w="1226"/>
        <w:gridCol w:w="1058"/>
        <w:gridCol w:w="880"/>
        <w:gridCol w:w="1020"/>
        <w:gridCol w:w="1480"/>
        <w:gridCol w:w="1020"/>
        <w:gridCol w:w="921"/>
      </w:tblGrid>
      <w:tr w14:paraId="16AC8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899" w:type="dxa"/>
            <w:noWrap w:val="0"/>
            <w:vAlign w:val="center"/>
          </w:tcPr>
          <w:p w14:paraId="4A811ACE">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序号</w:t>
            </w:r>
          </w:p>
        </w:tc>
        <w:tc>
          <w:tcPr>
            <w:tcW w:w="1305" w:type="dxa"/>
            <w:noWrap w:val="0"/>
            <w:vAlign w:val="center"/>
          </w:tcPr>
          <w:p w14:paraId="2C1FBAE5">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机械或设备名称</w:t>
            </w:r>
          </w:p>
        </w:tc>
        <w:tc>
          <w:tcPr>
            <w:tcW w:w="1226" w:type="dxa"/>
            <w:noWrap w:val="0"/>
            <w:vAlign w:val="center"/>
          </w:tcPr>
          <w:p w14:paraId="71D72065">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规格型号</w:t>
            </w:r>
          </w:p>
        </w:tc>
        <w:tc>
          <w:tcPr>
            <w:tcW w:w="1058" w:type="dxa"/>
            <w:noWrap w:val="0"/>
            <w:vAlign w:val="center"/>
          </w:tcPr>
          <w:p w14:paraId="2BAC8BEB">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数量</w:t>
            </w:r>
          </w:p>
        </w:tc>
        <w:tc>
          <w:tcPr>
            <w:tcW w:w="880" w:type="dxa"/>
            <w:noWrap w:val="0"/>
            <w:vAlign w:val="center"/>
          </w:tcPr>
          <w:p w14:paraId="12721281">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产地</w:t>
            </w:r>
          </w:p>
        </w:tc>
        <w:tc>
          <w:tcPr>
            <w:tcW w:w="1020" w:type="dxa"/>
            <w:noWrap w:val="0"/>
            <w:vAlign w:val="center"/>
          </w:tcPr>
          <w:p w14:paraId="16845B7E">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制造年份</w:t>
            </w:r>
          </w:p>
        </w:tc>
        <w:tc>
          <w:tcPr>
            <w:tcW w:w="1480" w:type="dxa"/>
            <w:noWrap w:val="0"/>
            <w:vAlign w:val="center"/>
          </w:tcPr>
          <w:p w14:paraId="4FB47467">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额定功率</w:t>
            </w:r>
          </w:p>
          <w:p w14:paraId="64361A4A">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（kW）</w:t>
            </w:r>
          </w:p>
        </w:tc>
        <w:tc>
          <w:tcPr>
            <w:tcW w:w="1020" w:type="dxa"/>
            <w:noWrap w:val="0"/>
            <w:vAlign w:val="center"/>
          </w:tcPr>
          <w:p w14:paraId="2881F661">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生产能力</w:t>
            </w:r>
          </w:p>
        </w:tc>
        <w:tc>
          <w:tcPr>
            <w:tcW w:w="921" w:type="dxa"/>
            <w:noWrap w:val="0"/>
            <w:vAlign w:val="center"/>
          </w:tcPr>
          <w:p w14:paraId="3001935E">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备注</w:t>
            </w:r>
          </w:p>
        </w:tc>
      </w:tr>
      <w:tr w14:paraId="796A3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99" w:type="dxa"/>
            <w:noWrap w:val="0"/>
            <w:vAlign w:val="center"/>
          </w:tcPr>
          <w:p w14:paraId="5F28C586">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1305" w:type="dxa"/>
            <w:noWrap w:val="0"/>
            <w:vAlign w:val="center"/>
          </w:tcPr>
          <w:p w14:paraId="79E71E05">
            <w:pPr>
              <w:spacing w:before="100" w:line="360" w:lineRule="auto"/>
              <w:jc w:val="center"/>
              <w:rPr>
                <w:rFonts w:hint="eastAsia" w:ascii="宋体" w:hAnsi="宋体" w:eastAsia="宋体" w:cs="宋体"/>
                <w:color w:val="auto"/>
                <w:sz w:val="24"/>
                <w:highlight w:val="none"/>
              </w:rPr>
            </w:pPr>
          </w:p>
        </w:tc>
        <w:tc>
          <w:tcPr>
            <w:tcW w:w="1226" w:type="dxa"/>
            <w:noWrap w:val="0"/>
            <w:vAlign w:val="center"/>
          </w:tcPr>
          <w:p w14:paraId="1DCEB815">
            <w:pPr>
              <w:spacing w:before="100" w:line="360" w:lineRule="auto"/>
              <w:jc w:val="center"/>
              <w:rPr>
                <w:rFonts w:hint="eastAsia" w:ascii="宋体" w:hAnsi="宋体" w:eastAsia="宋体" w:cs="宋体"/>
                <w:color w:val="auto"/>
                <w:sz w:val="24"/>
                <w:highlight w:val="none"/>
              </w:rPr>
            </w:pPr>
          </w:p>
        </w:tc>
        <w:tc>
          <w:tcPr>
            <w:tcW w:w="1058" w:type="dxa"/>
            <w:noWrap w:val="0"/>
            <w:vAlign w:val="center"/>
          </w:tcPr>
          <w:p w14:paraId="441680FC">
            <w:pPr>
              <w:spacing w:before="100" w:line="360" w:lineRule="auto"/>
              <w:jc w:val="center"/>
              <w:rPr>
                <w:rFonts w:hint="eastAsia" w:ascii="宋体" w:hAnsi="宋体" w:eastAsia="宋体" w:cs="宋体"/>
                <w:color w:val="auto"/>
                <w:sz w:val="24"/>
                <w:highlight w:val="none"/>
              </w:rPr>
            </w:pPr>
          </w:p>
        </w:tc>
        <w:tc>
          <w:tcPr>
            <w:tcW w:w="880" w:type="dxa"/>
            <w:noWrap w:val="0"/>
            <w:vAlign w:val="center"/>
          </w:tcPr>
          <w:p w14:paraId="2B9B9C0B">
            <w:pPr>
              <w:widowControl/>
              <w:jc w:val="center"/>
              <w:textAlignment w:val="center"/>
              <w:rPr>
                <w:rFonts w:hint="eastAsia" w:ascii="宋体" w:hAnsi="宋体" w:eastAsia="宋体" w:cs="宋体"/>
                <w:color w:val="auto"/>
                <w:sz w:val="24"/>
                <w:highlight w:val="none"/>
              </w:rPr>
            </w:pPr>
          </w:p>
        </w:tc>
        <w:tc>
          <w:tcPr>
            <w:tcW w:w="1020" w:type="dxa"/>
            <w:noWrap w:val="0"/>
            <w:vAlign w:val="center"/>
          </w:tcPr>
          <w:p w14:paraId="237BF486">
            <w:pPr>
              <w:spacing w:before="100" w:line="360" w:lineRule="auto"/>
              <w:jc w:val="center"/>
              <w:rPr>
                <w:rFonts w:hint="eastAsia" w:ascii="宋体" w:hAnsi="宋体" w:eastAsia="宋体" w:cs="宋体"/>
                <w:color w:val="auto"/>
                <w:sz w:val="24"/>
                <w:highlight w:val="none"/>
              </w:rPr>
            </w:pPr>
          </w:p>
        </w:tc>
        <w:tc>
          <w:tcPr>
            <w:tcW w:w="1480" w:type="dxa"/>
            <w:noWrap w:val="0"/>
            <w:vAlign w:val="center"/>
          </w:tcPr>
          <w:p w14:paraId="62B90483">
            <w:pPr>
              <w:widowControl/>
              <w:jc w:val="center"/>
              <w:textAlignment w:val="center"/>
              <w:rPr>
                <w:rFonts w:hint="eastAsia" w:ascii="宋体" w:hAnsi="宋体" w:eastAsia="宋体" w:cs="宋体"/>
                <w:color w:val="auto"/>
                <w:sz w:val="24"/>
                <w:highlight w:val="none"/>
              </w:rPr>
            </w:pPr>
          </w:p>
        </w:tc>
        <w:tc>
          <w:tcPr>
            <w:tcW w:w="1020" w:type="dxa"/>
            <w:noWrap w:val="0"/>
            <w:vAlign w:val="center"/>
          </w:tcPr>
          <w:p w14:paraId="3255C7A3">
            <w:pPr>
              <w:spacing w:before="100"/>
              <w:jc w:val="center"/>
              <w:rPr>
                <w:rFonts w:hint="eastAsia" w:ascii="宋体" w:hAnsi="宋体" w:eastAsia="宋体" w:cs="宋体"/>
                <w:color w:val="auto"/>
                <w:sz w:val="24"/>
                <w:highlight w:val="none"/>
              </w:rPr>
            </w:pPr>
          </w:p>
        </w:tc>
        <w:tc>
          <w:tcPr>
            <w:tcW w:w="921" w:type="dxa"/>
            <w:noWrap w:val="0"/>
            <w:vAlign w:val="center"/>
          </w:tcPr>
          <w:p w14:paraId="7CFD7B3F">
            <w:pPr>
              <w:widowControl/>
              <w:jc w:val="center"/>
              <w:textAlignment w:val="center"/>
              <w:rPr>
                <w:rFonts w:hint="eastAsia" w:ascii="宋体" w:hAnsi="宋体" w:eastAsia="宋体" w:cs="宋体"/>
                <w:color w:val="auto"/>
                <w:sz w:val="24"/>
                <w:highlight w:val="none"/>
              </w:rPr>
            </w:pPr>
          </w:p>
        </w:tc>
      </w:tr>
      <w:tr w14:paraId="02467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9" w:type="dxa"/>
            <w:noWrap w:val="0"/>
            <w:vAlign w:val="center"/>
          </w:tcPr>
          <w:p w14:paraId="3811985A">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w:t>
            </w:r>
          </w:p>
        </w:tc>
        <w:tc>
          <w:tcPr>
            <w:tcW w:w="1305" w:type="dxa"/>
            <w:noWrap w:val="0"/>
            <w:vAlign w:val="center"/>
          </w:tcPr>
          <w:p w14:paraId="1194A818">
            <w:pPr>
              <w:spacing w:before="100" w:line="360" w:lineRule="auto"/>
              <w:jc w:val="center"/>
              <w:rPr>
                <w:rFonts w:hint="eastAsia" w:ascii="宋体" w:hAnsi="宋体" w:eastAsia="宋体" w:cs="宋体"/>
                <w:color w:val="auto"/>
                <w:sz w:val="24"/>
                <w:highlight w:val="none"/>
              </w:rPr>
            </w:pPr>
          </w:p>
        </w:tc>
        <w:tc>
          <w:tcPr>
            <w:tcW w:w="1226" w:type="dxa"/>
            <w:noWrap w:val="0"/>
            <w:vAlign w:val="center"/>
          </w:tcPr>
          <w:p w14:paraId="1E8B89CD">
            <w:pPr>
              <w:spacing w:before="100" w:line="360" w:lineRule="auto"/>
              <w:jc w:val="center"/>
              <w:rPr>
                <w:rFonts w:hint="eastAsia" w:ascii="宋体" w:hAnsi="宋体" w:eastAsia="宋体" w:cs="宋体"/>
                <w:color w:val="auto"/>
                <w:sz w:val="24"/>
                <w:highlight w:val="none"/>
              </w:rPr>
            </w:pPr>
          </w:p>
        </w:tc>
        <w:tc>
          <w:tcPr>
            <w:tcW w:w="1058" w:type="dxa"/>
            <w:noWrap w:val="0"/>
            <w:vAlign w:val="center"/>
          </w:tcPr>
          <w:p w14:paraId="6F982329">
            <w:pPr>
              <w:spacing w:before="100" w:line="360" w:lineRule="auto"/>
              <w:jc w:val="center"/>
              <w:rPr>
                <w:rFonts w:hint="eastAsia" w:ascii="宋体" w:hAnsi="宋体" w:eastAsia="宋体" w:cs="宋体"/>
                <w:color w:val="auto"/>
                <w:sz w:val="24"/>
                <w:highlight w:val="none"/>
              </w:rPr>
            </w:pPr>
          </w:p>
        </w:tc>
        <w:tc>
          <w:tcPr>
            <w:tcW w:w="880" w:type="dxa"/>
            <w:noWrap w:val="0"/>
            <w:vAlign w:val="center"/>
          </w:tcPr>
          <w:p w14:paraId="7D6D2B44">
            <w:pPr>
              <w:widowControl/>
              <w:jc w:val="center"/>
              <w:textAlignment w:val="center"/>
              <w:rPr>
                <w:rFonts w:hint="eastAsia" w:ascii="宋体" w:hAnsi="宋体" w:eastAsia="宋体" w:cs="宋体"/>
                <w:color w:val="auto"/>
                <w:sz w:val="24"/>
                <w:highlight w:val="none"/>
              </w:rPr>
            </w:pPr>
          </w:p>
        </w:tc>
        <w:tc>
          <w:tcPr>
            <w:tcW w:w="1020" w:type="dxa"/>
            <w:noWrap w:val="0"/>
            <w:vAlign w:val="center"/>
          </w:tcPr>
          <w:p w14:paraId="46C65484">
            <w:pPr>
              <w:spacing w:before="100" w:line="360" w:lineRule="auto"/>
              <w:jc w:val="center"/>
              <w:rPr>
                <w:rFonts w:hint="eastAsia" w:ascii="宋体" w:hAnsi="宋体" w:eastAsia="宋体" w:cs="宋体"/>
                <w:color w:val="auto"/>
                <w:sz w:val="24"/>
                <w:highlight w:val="none"/>
              </w:rPr>
            </w:pPr>
          </w:p>
        </w:tc>
        <w:tc>
          <w:tcPr>
            <w:tcW w:w="1480" w:type="dxa"/>
            <w:noWrap w:val="0"/>
            <w:vAlign w:val="center"/>
          </w:tcPr>
          <w:p w14:paraId="17630F1A">
            <w:pPr>
              <w:widowControl/>
              <w:jc w:val="center"/>
              <w:textAlignment w:val="center"/>
              <w:rPr>
                <w:rFonts w:hint="eastAsia" w:ascii="宋体" w:hAnsi="宋体" w:eastAsia="宋体" w:cs="宋体"/>
                <w:color w:val="auto"/>
                <w:sz w:val="24"/>
                <w:highlight w:val="none"/>
              </w:rPr>
            </w:pPr>
          </w:p>
        </w:tc>
        <w:tc>
          <w:tcPr>
            <w:tcW w:w="1020" w:type="dxa"/>
            <w:noWrap w:val="0"/>
            <w:vAlign w:val="center"/>
          </w:tcPr>
          <w:p w14:paraId="142A0345">
            <w:pPr>
              <w:spacing w:before="100"/>
              <w:jc w:val="center"/>
              <w:rPr>
                <w:rFonts w:hint="eastAsia" w:ascii="宋体" w:hAnsi="宋体" w:eastAsia="宋体" w:cs="宋体"/>
                <w:color w:val="auto"/>
                <w:sz w:val="24"/>
                <w:highlight w:val="none"/>
              </w:rPr>
            </w:pPr>
          </w:p>
        </w:tc>
        <w:tc>
          <w:tcPr>
            <w:tcW w:w="921" w:type="dxa"/>
            <w:noWrap w:val="0"/>
            <w:vAlign w:val="center"/>
          </w:tcPr>
          <w:p w14:paraId="79E3E4A4">
            <w:pPr>
              <w:widowControl/>
              <w:jc w:val="center"/>
              <w:textAlignment w:val="center"/>
              <w:rPr>
                <w:rFonts w:hint="eastAsia" w:ascii="宋体" w:hAnsi="宋体" w:eastAsia="宋体" w:cs="宋体"/>
                <w:color w:val="auto"/>
                <w:sz w:val="24"/>
                <w:highlight w:val="none"/>
              </w:rPr>
            </w:pPr>
          </w:p>
        </w:tc>
      </w:tr>
      <w:tr w14:paraId="64444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9" w:type="dxa"/>
            <w:noWrap w:val="0"/>
            <w:vAlign w:val="center"/>
          </w:tcPr>
          <w:p w14:paraId="4E703D79">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w:t>
            </w:r>
          </w:p>
        </w:tc>
        <w:tc>
          <w:tcPr>
            <w:tcW w:w="1305" w:type="dxa"/>
            <w:noWrap w:val="0"/>
            <w:vAlign w:val="center"/>
          </w:tcPr>
          <w:p w14:paraId="30763ED5">
            <w:pPr>
              <w:spacing w:before="100" w:line="360" w:lineRule="auto"/>
              <w:jc w:val="center"/>
              <w:rPr>
                <w:rFonts w:hint="eastAsia" w:ascii="宋体" w:hAnsi="宋体" w:eastAsia="宋体" w:cs="宋体"/>
                <w:color w:val="auto"/>
                <w:sz w:val="24"/>
                <w:highlight w:val="none"/>
              </w:rPr>
            </w:pPr>
          </w:p>
        </w:tc>
        <w:tc>
          <w:tcPr>
            <w:tcW w:w="1226" w:type="dxa"/>
            <w:noWrap w:val="0"/>
            <w:vAlign w:val="center"/>
          </w:tcPr>
          <w:p w14:paraId="7D7C9058">
            <w:pPr>
              <w:spacing w:before="100" w:line="360" w:lineRule="auto"/>
              <w:jc w:val="center"/>
              <w:rPr>
                <w:rFonts w:hint="eastAsia" w:ascii="宋体" w:hAnsi="宋体" w:eastAsia="宋体" w:cs="宋体"/>
                <w:color w:val="auto"/>
                <w:sz w:val="24"/>
                <w:highlight w:val="none"/>
              </w:rPr>
            </w:pPr>
          </w:p>
        </w:tc>
        <w:tc>
          <w:tcPr>
            <w:tcW w:w="1058" w:type="dxa"/>
            <w:noWrap w:val="0"/>
            <w:vAlign w:val="center"/>
          </w:tcPr>
          <w:p w14:paraId="39EBFD9A">
            <w:pPr>
              <w:spacing w:before="100" w:line="360" w:lineRule="auto"/>
              <w:jc w:val="center"/>
              <w:rPr>
                <w:rFonts w:hint="eastAsia" w:ascii="宋体" w:hAnsi="宋体" w:eastAsia="宋体" w:cs="宋体"/>
                <w:color w:val="auto"/>
                <w:sz w:val="24"/>
                <w:highlight w:val="none"/>
              </w:rPr>
            </w:pPr>
          </w:p>
        </w:tc>
        <w:tc>
          <w:tcPr>
            <w:tcW w:w="880" w:type="dxa"/>
            <w:noWrap w:val="0"/>
            <w:vAlign w:val="center"/>
          </w:tcPr>
          <w:p w14:paraId="39C3CB95">
            <w:pPr>
              <w:widowControl/>
              <w:jc w:val="center"/>
              <w:textAlignment w:val="center"/>
              <w:rPr>
                <w:rFonts w:hint="eastAsia" w:ascii="宋体" w:hAnsi="宋体" w:eastAsia="宋体" w:cs="宋体"/>
                <w:color w:val="auto"/>
                <w:sz w:val="24"/>
                <w:highlight w:val="none"/>
              </w:rPr>
            </w:pPr>
          </w:p>
        </w:tc>
        <w:tc>
          <w:tcPr>
            <w:tcW w:w="1020" w:type="dxa"/>
            <w:noWrap w:val="0"/>
            <w:vAlign w:val="center"/>
          </w:tcPr>
          <w:p w14:paraId="3605324E">
            <w:pPr>
              <w:spacing w:before="100" w:line="360" w:lineRule="auto"/>
              <w:jc w:val="center"/>
              <w:rPr>
                <w:rFonts w:hint="eastAsia" w:ascii="宋体" w:hAnsi="宋体" w:eastAsia="宋体" w:cs="宋体"/>
                <w:color w:val="auto"/>
                <w:sz w:val="24"/>
                <w:highlight w:val="none"/>
              </w:rPr>
            </w:pPr>
          </w:p>
        </w:tc>
        <w:tc>
          <w:tcPr>
            <w:tcW w:w="1480" w:type="dxa"/>
            <w:noWrap w:val="0"/>
            <w:vAlign w:val="center"/>
          </w:tcPr>
          <w:p w14:paraId="60F3CFA3">
            <w:pPr>
              <w:widowControl/>
              <w:jc w:val="center"/>
              <w:textAlignment w:val="center"/>
              <w:rPr>
                <w:rFonts w:hint="eastAsia" w:ascii="宋体" w:hAnsi="宋体" w:eastAsia="宋体" w:cs="宋体"/>
                <w:color w:val="auto"/>
                <w:sz w:val="24"/>
                <w:highlight w:val="none"/>
              </w:rPr>
            </w:pPr>
          </w:p>
        </w:tc>
        <w:tc>
          <w:tcPr>
            <w:tcW w:w="1020" w:type="dxa"/>
            <w:noWrap w:val="0"/>
            <w:vAlign w:val="center"/>
          </w:tcPr>
          <w:p w14:paraId="4FDED2C0">
            <w:pPr>
              <w:spacing w:before="100"/>
              <w:jc w:val="center"/>
              <w:rPr>
                <w:rFonts w:hint="eastAsia" w:ascii="宋体" w:hAnsi="宋体" w:eastAsia="宋体" w:cs="宋体"/>
                <w:color w:val="auto"/>
                <w:sz w:val="24"/>
                <w:highlight w:val="none"/>
              </w:rPr>
            </w:pPr>
          </w:p>
        </w:tc>
        <w:tc>
          <w:tcPr>
            <w:tcW w:w="921" w:type="dxa"/>
            <w:noWrap w:val="0"/>
            <w:vAlign w:val="center"/>
          </w:tcPr>
          <w:p w14:paraId="1E9C3D50">
            <w:pPr>
              <w:widowControl/>
              <w:jc w:val="center"/>
              <w:textAlignment w:val="center"/>
              <w:rPr>
                <w:rFonts w:hint="eastAsia" w:ascii="宋体" w:hAnsi="宋体" w:eastAsia="宋体" w:cs="宋体"/>
                <w:color w:val="auto"/>
                <w:sz w:val="24"/>
                <w:highlight w:val="none"/>
              </w:rPr>
            </w:pPr>
          </w:p>
        </w:tc>
      </w:tr>
      <w:tr w14:paraId="70F16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99" w:type="dxa"/>
            <w:noWrap w:val="0"/>
            <w:vAlign w:val="center"/>
          </w:tcPr>
          <w:p w14:paraId="7A2CA7AD">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w:t>
            </w:r>
          </w:p>
        </w:tc>
        <w:tc>
          <w:tcPr>
            <w:tcW w:w="1305" w:type="dxa"/>
            <w:noWrap w:val="0"/>
            <w:vAlign w:val="center"/>
          </w:tcPr>
          <w:p w14:paraId="02B9462D">
            <w:pPr>
              <w:spacing w:before="100"/>
              <w:jc w:val="center"/>
              <w:rPr>
                <w:rFonts w:hint="eastAsia" w:ascii="宋体" w:hAnsi="宋体" w:eastAsia="宋体" w:cs="宋体"/>
                <w:color w:val="auto"/>
                <w:sz w:val="24"/>
                <w:highlight w:val="none"/>
              </w:rPr>
            </w:pPr>
          </w:p>
        </w:tc>
        <w:tc>
          <w:tcPr>
            <w:tcW w:w="1226" w:type="dxa"/>
            <w:noWrap w:val="0"/>
            <w:vAlign w:val="center"/>
          </w:tcPr>
          <w:p w14:paraId="4D24FA8C">
            <w:pPr>
              <w:spacing w:before="100"/>
              <w:jc w:val="center"/>
              <w:rPr>
                <w:rFonts w:hint="eastAsia" w:ascii="宋体" w:hAnsi="宋体" w:eastAsia="宋体" w:cs="宋体"/>
                <w:color w:val="auto"/>
                <w:sz w:val="24"/>
                <w:highlight w:val="none"/>
              </w:rPr>
            </w:pPr>
          </w:p>
        </w:tc>
        <w:tc>
          <w:tcPr>
            <w:tcW w:w="1058" w:type="dxa"/>
            <w:noWrap w:val="0"/>
            <w:vAlign w:val="center"/>
          </w:tcPr>
          <w:p w14:paraId="0934C045">
            <w:pPr>
              <w:spacing w:before="100" w:line="360" w:lineRule="auto"/>
              <w:jc w:val="center"/>
              <w:rPr>
                <w:rFonts w:hint="eastAsia" w:ascii="宋体" w:hAnsi="宋体" w:eastAsia="宋体" w:cs="宋体"/>
                <w:color w:val="auto"/>
                <w:sz w:val="24"/>
                <w:highlight w:val="none"/>
              </w:rPr>
            </w:pPr>
          </w:p>
        </w:tc>
        <w:tc>
          <w:tcPr>
            <w:tcW w:w="880" w:type="dxa"/>
            <w:noWrap w:val="0"/>
            <w:vAlign w:val="center"/>
          </w:tcPr>
          <w:p w14:paraId="2C35C800">
            <w:pPr>
              <w:widowControl/>
              <w:jc w:val="center"/>
              <w:textAlignment w:val="center"/>
              <w:rPr>
                <w:rFonts w:hint="eastAsia" w:ascii="宋体" w:hAnsi="宋体" w:eastAsia="宋体" w:cs="宋体"/>
                <w:color w:val="auto"/>
                <w:sz w:val="24"/>
                <w:highlight w:val="none"/>
              </w:rPr>
            </w:pPr>
          </w:p>
        </w:tc>
        <w:tc>
          <w:tcPr>
            <w:tcW w:w="1020" w:type="dxa"/>
            <w:noWrap w:val="0"/>
            <w:vAlign w:val="center"/>
          </w:tcPr>
          <w:p w14:paraId="0D31B6CA">
            <w:pPr>
              <w:spacing w:before="100" w:line="360" w:lineRule="auto"/>
              <w:jc w:val="center"/>
              <w:rPr>
                <w:rFonts w:hint="eastAsia" w:ascii="宋体" w:hAnsi="宋体" w:eastAsia="宋体" w:cs="宋体"/>
                <w:color w:val="auto"/>
                <w:sz w:val="24"/>
                <w:highlight w:val="none"/>
              </w:rPr>
            </w:pPr>
          </w:p>
        </w:tc>
        <w:tc>
          <w:tcPr>
            <w:tcW w:w="1480" w:type="dxa"/>
            <w:noWrap w:val="0"/>
            <w:vAlign w:val="center"/>
          </w:tcPr>
          <w:p w14:paraId="3F104802">
            <w:pPr>
              <w:widowControl/>
              <w:jc w:val="center"/>
              <w:textAlignment w:val="center"/>
              <w:rPr>
                <w:rFonts w:hint="eastAsia" w:ascii="宋体" w:hAnsi="宋体" w:eastAsia="宋体" w:cs="宋体"/>
                <w:color w:val="auto"/>
                <w:sz w:val="24"/>
                <w:highlight w:val="none"/>
              </w:rPr>
            </w:pPr>
          </w:p>
        </w:tc>
        <w:tc>
          <w:tcPr>
            <w:tcW w:w="1020" w:type="dxa"/>
            <w:noWrap w:val="0"/>
            <w:vAlign w:val="center"/>
          </w:tcPr>
          <w:p w14:paraId="41C000D3">
            <w:pPr>
              <w:spacing w:before="100"/>
              <w:jc w:val="center"/>
              <w:rPr>
                <w:rFonts w:hint="eastAsia" w:ascii="宋体" w:hAnsi="宋体" w:eastAsia="宋体" w:cs="宋体"/>
                <w:color w:val="auto"/>
                <w:sz w:val="24"/>
                <w:highlight w:val="none"/>
              </w:rPr>
            </w:pPr>
          </w:p>
        </w:tc>
        <w:tc>
          <w:tcPr>
            <w:tcW w:w="921" w:type="dxa"/>
            <w:noWrap w:val="0"/>
            <w:vAlign w:val="center"/>
          </w:tcPr>
          <w:p w14:paraId="19DB6878">
            <w:pPr>
              <w:widowControl/>
              <w:jc w:val="center"/>
              <w:textAlignment w:val="center"/>
              <w:rPr>
                <w:rFonts w:hint="eastAsia" w:ascii="宋体" w:hAnsi="宋体" w:eastAsia="宋体" w:cs="宋体"/>
                <w:color w:val="auto"/>
                <w:sz w:val="24"/>
                <w:highlight w:val="none"/>
              </w:rPr>
            </w:pPr>
          </w:p>
        </w:tc>
      </w:tr>
      <w:tr w14:paraId="0C0A0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9" w:type="dxa"/>
            <w:noWrap w:val="0"/>
            <w:vAlign w:val="center"/>
          </w:tcPr>
          <w:p w14:paraId="4E352E21">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5</w:t>
            </w:r>
          </w:p>
        </w:tc>
        <w:tc>
          <w:tcPr>
            <w:tcW w:w="1305" w:type="dxa"/>
            <w:noWrap w:val="0"/>
            <w:vAlign w:val="center"/>
          </w:tcPr>
          <w:p w14:paraId="34D2A1C5">
            <w:pPr>
              <w:spacing w:before="100" w:line="200" w:lineRule="exact"/>
              <w:jc w:val="center"/>
              <w:rPr>
                <w:rFonts w:hint="eastAsia" w:ascii="宋体" w:hAnsi="宋体" w:eastAsia="宋体" w:cs="宋体"/>
                <w:color w:val="auto"/>
                <w:sz w:val="24"/>
                <w:highlight w:val="none"/>
              </w:rPr>
            </w:pPr>
          </w:p>
        </w:tc>
        <w:tc>
          <w:tcPr>
            <w:tcW w:w="1226" w:type="dxa"/>
            <w:noWrap w:val="0"/>
            <w:vAlign w:val="center"/>
          </w:tcPr>
          <w:p w14:paraId="1FA0EF11">
            <w:pPr>
              <w:spacing w:before="100" w:line="200" w:lineRule="exact"/>
              <w:jc w:val="center"/>
              <w:rPr>
                <w:rFonts w:hint="eastAsia" w:ascii="宋体" w:hAnsi="宋体" w:eastAsia="宋体" w:cs="宋体"/>
                <w:color w:val="auto"/>
                <w:sz w:val="24"/>
                <w:highlight w:val="none"/>
              </w:rPr>
            </w:pPr>
          </w:p>
        </w:tc>
        <w:tc>
          <w:tcPr>
            <w:tcW w:w="1058" w:type="dxa"/>
            <w:noWrap w:val="0"/>
            <w:vAlign w:val="center"/>
          </w:tcPr>
          <w:p w14:paraId="430764C0">
            <w:pPr>
              <w:spacing w:before="100" w:line="200" w:lineRule="exact"/>
              <w:jc w:val="center"/>
              <w:rPr>
                <w:rFonts w:hint="eastAsia" w:ascii="宋体" w:hAnsi="宋体" w:eastAsia="宋体" w:cs="宋体"/>
                <w:color w:val="auto"/>
                <w:sz w:val="24"/>
                <w:highlight w:val="none"/>
              </w:rPr>
            </w:pPr>
          </w:p>
        </w:tc>
        <w:tc>
          <w:tcPr>
            <w:tcW w:w="880" w:type="dxa"/>
            <w:noWrap w:val="0"/>
            <w:vAlign w:val="center"/>
          </w:tcPr>
          <w:p w14:paraId="2C0D409C">
            <w:pPr>
              <w:widowControl/>
              <w:jc w:val="center"/>
              <w:textAlignment w:val="center"/>
              <w:rPr>
                <w:rFonts w:hint="eastAsia" w:ascii="宋体" w:hAnsi="宋体" w:eastAsia="宋体" w:cs="宋体"/>
                <w:color w:val="auto"/>
                <w:sz w:val="24"/>
                <w:highlight w:val="none"/>
              </w:rPr>
            </w:pPr>
          </w:p>
        </w:tc>
        <w:tc>
          <w:tcPr>
            <w:tcW w:w="1020" w:type="dxa"/>
            <w:noWrap w:val="0"/>
            <w:vAlign w:val="center"/>
          </w:tcPr>
          <w:p w14:paraId="19922725">
            <w:pPr>
              <w:spacing w:before="100" w:line="200" w:lineRule="exact"/>
              <w:jc w:val="center"/>
              <w:rPr>
                <w:rFonts w:hint="eastAsia" w:ascii="宋体" w:hAnsi="宋体" w:eastAsia="宋体" w:cs="宋体"/>
                <w:color w:val="auto"/>
                <w:sz w:val="24"/>
                <w:highlight w:val="none"/>
              </w:rPr>
            </w:pPr>
          </w:p>
        </w:tc>
        <w:tc>
          <w:tcPr>
            <w:tcW w:w="1480" w:type="dxa"/>
            <w:noWrap w:val="0"/>
            <w:vAlign w:val="center"/>
          </w:tcPr>
          <w:p w14:paraId="3E0C2041">
            <w:pPr>
              <w:widowControl/>
              <w:jc w:val="center"/>
              <w:textAlignment w:val="center"/>
              <w:rPr>
                <w:rFonts w:hint="eastAsia" w:ascii="宋体" w:hAnsi="宋体" w:eastAsia="宋体" w:cs="宋体"/>
                <w:color w:val="auto"/>
                <w:sz w:val="24"/>
                <w:highlight w:val="none"/>
              </w:rPr>
            </w:pPr>
          </w:p>
        </w:tc>
        <w:tc>
          <w:tcPr>
            <w:tcW w:w="1020" w:type="dxa"/>
            <w:noWrap w:val="0"/>
            <w:vAlign w:val="center"/>
          </w:tcPr>
          <w:p w14:paraId="4DA35F6F">
            <w:pPr>
              <w:spacing w:before="100"/>
              <w:jc w:val="center"/>
              <w:rPr>
                <w:rFonts w:hint="eastAsia" w:ascii="宋体" w:hAnsi="宋体" w:eastAsia="宋体" w:cs="宋体"/>
                <w:color w:val="auto"/>
                <w:sz w:val="24"/>
                <w:highlight w:val="none"/>
              </w:rPr>
            </w:pPr>
          </w:p>
        </w:tc>
        <w:tc>
          <w:tcPr>
            <w:tcW w:w="921" w:type="dxa"/>
            <w:noWrap w:val="0"/>
            <w:vAlign w:val="center"/>
          </w:tcPr>
          <w:p w14:paraId="739916C8">
            <w:pPr>
              <w:widowControl/>
              <w:jc w:val="center"/>
              <w:textAlignment w:val="center"/>
              <w:rPr>
                <w:rFonts w:hint="eastAsia" w:ascii="宋体" w:hAnsi="宋体" w:eastAsia="宋体" w:cs="宋体"/>
                <w:color w:val="auto"/>
                <w:sz w:val="24"/>
                <w:highlight w:val="none"/>
              </w:rPr>
            </w:pPr>
          </w:p>
        </w:tc>
      </w:tr>
      <w:tr w14:paraId="3A7D9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99" w:type="dxa"/>
            <w:noWrap w:val="0"/>
            <w:vAlign w:val="center"/>
          </w:tcPr>
          <w:p w14:paraId="2E563C7C">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6</w:t>
            </w:r>
          </w:p>
        </w:tc>
        <w:tc>
          <w:tcPr>
            <w:tcW w:w="1305" w:type="dxa"/>
            <w:noWrap w:val="0"/>
            <w:vAlign w:val="center"/>
          </w:tcPr>
          <w:p w14:paraId="6FDC8C1D">
            <w:pPr>
              <w:spacing w:before="100"/>
              <w:jc w:val="center"/>
              <w:rPr>
                <w:rFonts w:hint="eastAsia" w:ascii="宋体" w:hAnsi="宋体" w:eastAsia="宋体" w:cs="宋体"/>
                <w:color w:val="auto"/>
                <w:sz w:val="24"/>
                <w:highlight w:val="none"/>
              </w:rPr>
            </w:pPr>
          </w:p>
        </w:tc>
        <w:tc>
          <w:tcPr>
            <w:tcW w:w="1226" w:type="dxa"/>
            <w:noWrap w:val="0"/>
            <w:vAlign w:val="center"/>
          </w:tcPr>
          <w:p w14:paraId="28D270DE">
            <w:pPr>
              <w:spacing w:before="100"/>
              <w:jc w:val="center"/>
              <w:rPr>
                <w:rFonts w:hint="eastAsia" w:ascii="宋体" w:hAnsi="宋体" w:eastAsia="宋体" w:cs="宋体"/>
                <w:color w:val="auto"/>
                <w:sz w:val="24"/>
                <w:highlight w:val="none"/>
              </w:rPr>
            </w:pPr>
          </w:p>
        </w:tc>
        <w:tc>
          <w:tcPr>
            <w:tcW w:w="1058" w:type="dxa"/>
            <w:noWrap w:val="0"/>
            <w:vAlign w:val="center"/>
          </w:tcPr>
          <w:p w14:paraId="6C9E0160">
            <w:pPr>
              <w:spacing w:before="100"/>
              <w:jc w:val="center"/>
              <w:rPr>
                <w:rFonts w:hint="eastAsia" w:ascii="宋体" w:hAnsi="宋体" w:eastAsia="宋体" w:cs="宋体"/>
                <w:color w:val="auto"/>
                <w:sz w:val="24"/>
                <w:highlight w:val="none"/>
              </w:rPr>
            </w:pPr>
          </w:p>
        </w:tc>
        <w:tc>
          <w:tcPr>
            <w:tcW w:w="880" w:type="dxa"/>
            <w:noWrap w:val="0"/>
            <w:vAlign w:val="center"/>
          </w:tcPr>
          <w:p w14:paraId="4E6897D6">
            <w:pPr>
              <w:widowControl/>
              <w:jc w:val="center"/>
              <w:textAlignment w:val="center"/>
              <w:rPr>
                <w:rFonts w:hint="eastAsia" w:ascii="宋体" w:hAnsi="宋体" w:eastAsia="宋体" w:cs="宋体"/>
                <w:color w:val="auto"/>
                <w:sz w:val="24"/>
                <w:highlight w:val="none"/>
              </w:rPr>
            </w:pPr>
          </w:p>
        </w:tc>
        <w:tc>
          <w:tcPr>
            <w:tcW w:w="1020" w:type="dxa"/>
            <w:noWrap w:val="0"/>
            <w:vAlign w:val="center"/>
          </w:tcPr>
          <w:p w14:paraId="74711000">
            <w:pPr>
              <w:spacing w:before="100"/>
              <w:jc w:val="center"/>
              <w:rPr>
                <w:rFonts w:hint="eastAsia" w:ascii="宋体" w:hAnsi="宋体" w:eastAsia="宋体" w:cs="宋体"/>
                <w:color w:val="auto"/>
                <w:sz w:val="24"/>
                <w:highlight w:val="none"/>
              </w:rPr>
            </w:pPr>
          </w:p>
        </w:tc>
        <w:tc>
          <w:tcPr>
            <w:tcW w:w="1480" w:type="dxa"/>
            <w:noWrap w:val="0"/>
            <w:vAlign w:val="center"/>
          </w:tcPr>
          <w:p w14:paraId="34C1CF5B">
            <w:pPr>
              <w:widowControl/>
              <w:jc w:val="center"/>
              <w:textAlignment w:val="center"/>
              <w:rPr>
                <w:rFonts w:hint="eastAsia" w:ascii="宋体" w:hAnsi="宋体" w:eastAsia="宋体" w:cs="宋体"/>
                <w:color w:val="auto"/>
                <w:sz w:val="24"/>
                <w:highlight w:val="none"/>
              </w:rPr>
            </w:pPr>
          </w:p>
        </w:tc>
        <w:tc>
          <w:tcPr>
            <w:tcW w:w="1020" w:type="dxa"/>
            <w:noWrap w:val="0"/>
            <w:vAlign w:val="center"/>
          </w:tcPr>
          <w:p w14:paraId="52EABA18">
            <w:pPr>
              <w:spacing w:before="100"/>
              <w:jc w:val="center"/>
              <w:rPr>
                <w:rFonts w:hint="eastAsia" w:ascii="宋体" w:hAnsi="宋体" w:eastAsia="宋体" w:cs="宋体"/>
                <w:color w:val="auto"/>
                <w:sz w:val="24"/>
                <w:highlight w:val="none"/>
              </w:rPr>
            </w:pPr>
          </w:p>
        </w:tc>
        <w:tc>
          <w:tcPr>
            <w:tcW w:w="921" w:type="dxa"/>
            <w:noWrap w:val="0"/>
            <w:vAlign w:val="center"/>
          </w:tcPr>
          <w:p w14:paraId="00D25110">
            <w:pPr>
              <w:widowControl/>
              <w:jc w:val="center"/>
              <w:textAlignment w:val="center"/>
              <w:rPr>
                <w:rFonts w:hint="eastAsia" w:ascii="宋体" w:hAnsi="宋体" w:eastAsia="宋体" w:cs="宋体"/>
                <w:color w:val="auto"/>
                <w:sz w:val="24"/>
                <w:highlight w:val="none"/>
              </w:rPr>
            </w:pPr>
          </w:p>
        </w:tc>
      </w:tr>
      <w:tr w14:paraId="081765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9" w:type="dxa"/>
            <w:noWrap w:val="0"/>
            <w:vAlign w:val="center"/>
          </w:tcPr>
          <w:p w14:paraId="3DFCA217">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7</w:t>
            </w:r>
          </w:p>
        </w:tc>
        <w:tc>
          <w:tcPr>
            <w:tcW w:w="1305" w:type="dxa"/>
            <w:noWrap w:val="0"/>
            <w:vAlign w:val="center"/>
          </w:tcPr>
          <w:p w14:paraId="57E09E34">
            <w:pPr>
              <w:spacing w:before="100"/>
              <w:jc w:val="center"/>
              <w:rPr>
                <w:rFonts w:hint="eastAsia" w:ascii="宋体" w:hAnsi="宋体" w:eastAsia="宋体" w:cs="宋体"/>
                <w:color w:val="auto"/>
                <w:sz w:val="24"/>
                <w:highlight w:val="none"/>
              </w:rPr>
            </w:pPr>
          </w:p>
        </w:tc>
        <w:tc>
          <w:tcPr>
            <w:tcW w:w="1226" w:type="dxa"/>
            <w:noWrap w:val="0"/>
            <w:vAlign w:val="center"/>
          </w:tcPr>
          <w:p w14:paraId="603A360F">
            <w:pPr>
              <w:spacing w:before="100"/>
              <w:jc w:val="center"/>
              <w:rPr>
                <w:rFonts w:hint="eastAsia" w:ascii="宋体" w:hAnsi="宋体" w:eastAsia="宋体" w:cs="宋体"/>
                <w:color w:val="auto"/>
                <w:sz w:val="24"/>
                <w:highlight w:val="none"/>
              </w:rPr>
            </w:pPr>
          </w:p>
        </w:tc>
        <w:tc>
          <w:tcPr>
            <w:tcW w:w="1058" w:type="dxa"/>
            <w:noWrap w:val="0"/>
            <w:vAlign w:val="center"/>
          </w:tcPr>
          <w:p w14:paraId="65DD8272">
            <w:pPr>
              <w:spacing w:before="100"/>
              <w:jc w:val="center"/>
              <w:rPr>
                <w:rFonts w:hint="eastAsia" w:ascii="宋体" w:hAnsi="宋体" w:eastAsia="宋体" w:cs="宋体"/>
                <w:color w:val="auto"/>
                <w:sz w:val="24"/>
                <w:highlight w:val="none"/>
              </w:rPr>
            </w:pPr>
          </w:p>
        </w:tc>
        <w:tc>
          <w:tcPr>
            <w:tcW w:w="880" w:type="dxa"/>
            <w:noWrap w:val="0"/>
            <w:vAlign w:val="center"/>
          </w:tcPr>
          <w:p w14:paraId="5FE7FE7C">
            <w:pPr>
              <w:widowControl/>
              <w:jc w:val="center"/>
              <w:textAlignment w:val="center"/>
              <w:rPr>
                <w:rFonts w:hint="eastAsia" w:ascii="宋体" w:hAnsi="宋体" w:eastAsia="宋体" w:cs="宋体"/>
                <w:color w:val="auto"/>
                <w:sz w:val="24"/>
                <w:highlight w:val="none"/>
              </w:rPr>
            </w:pPr>
          </w:p>
        </w:tc>
        <w:tc>
          <w:tcPr>
            <w:tcW w:w="1020" w:type="dxa"/>
            <w:noWrap w:val="0"/>
            <w:vAlign w:val="center"/>
          </w:tcPr>
          <w:p w14:paraId="4F2934B5">
            <w:pPr>
              <w:spacing w:before="100"/>
              <w:jc w:val="center"/>
              <w:rPr>
                <w:rFonts w:hint="eastAsia" w:ascii="宋体" w:hAnsi="宋体" w:eastAsia="宋体" w:cs="宋体"/>
                <w:color w:val="auto"/>
                <w:sz w:val="24"/>
                <w:highlight w:val="none"/>
              </w:rPr>
            </w:pPr>
          </w:p>
        </w:tc>
        <w:tc>
          <w:tcPr>
            <w:tcW w:w="1480" w:type="dxa"/>
            <w:noWrap w:val="0"/>
            <w:vAlign w:val="center"/>
          </w:tcPr>
          <w:p w14:paraId="24AB2F1D">
            <w:pPr>
              <w:widowControl/>
              <w:jc w:val="center"/>
              <w:textAlignment w:val="center"/>
              <w:rPr>
                <w:rFonts w:hint="eastAsia" w:ascii="宋体" w:hAnsi="宋体" w:eastAsia="宋体" w:cs="宋体"/>
                <w:color w:val="auto"/>
                <w:sz w:val="24"/>
                <w:highlight w:val="none"/>
              </w:rPr>
            </w:pPr>
          </w:p>
        </w:tc>
        <w:tc>
          <w:tcPr>
            <w:tcW w:w="1020" w:type="dxa"/>
            <w:noWrap w:val="0"/>
            <w:vAlign w:val="center"/>
          </w:tcPr>
          <w:p w14:paraId="766E77AD">
            <w:pPr>
              <w:spacing w:before="100"/>
              <w:jc w:val="center"/>
              <w:rPr>
                <w:rFonts w:hint="eastAsia" w:ascii="宋体" w:hAnsi="宋体" w:eastAsia="宋体" w:cs="宋体"/>
                <w:color w:val="auto"/>
                <w:sz w:val="24"/>
                <w:highlight w:val="none"/>
              </w:rPr>
            </w:pPr>
          </w:p>
        </w:tc>
        <w:tc>
          <w:tcPr>
            <w:tcW w:w="921" w:type="dxa"/>
            <w:noWrap w:val="0"/>
            <w:vAlign w:val="center"/>
          </w:tcPr>
          <w:p w14:paraId="77F64D54">
            <w:pPr>
              <w:widowControl/>
              <w:jc w:val="center"/>
              <w:textAlignment w:val="center"/>
              <w:rPr>
                <w:rFonts w:hint="eastAsia" w:ascii="宋体" w:hAnsi="宋体" w:eastAsia="宋体" w:cs="宋体"/>
                <w:color w:val="auto"/>
                <w:sz w:val="24"/>
                <w:highlight w:val="none"/>
              </w:rPr>
            </w:pPr>
          </w:p>
        </w:tc>
      </w:tr>
      <w:tr w14:paraId="2DBAD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99" w:type="dxa"/>
            <w:noWrap w:val="0"/>
            <w:vAlign w:val="center"/>
          </w:tcPr>
          <w:p w14:paraId="41A9B9EA">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8</w:t>
            </w:r>
          </w:p>
        </w:tc>
        <w:tc>
          <w:tcPr>
            <w:tcW w:w="1305" w:type="dxa"/>
            <w:noWrap w:val="0"/>
            <w:vAlign w:val="center"/>
          </w:tcPr>
          <w:p w14:paraId="32871426">
            <w:pPr>
              <w:spacing w:before="100"/>
              <w:jc w:val="center"/>
              <w:rPr>
                <w:rFonts w:hint="eastAsia" w:ascii="宋体" w:hAnsi="宋体" w:eastAsia="宋体" w:cs="宋体"/>
                <w:color w:val="auto"/>
                <w:sz w:val="24"/>
                <w:highlight w:val="none"/>
              </w:rPr>
            </w:pPr>
          </w:p>
        </w:tc>
        <w:tc>
          <w:tcPr>
            <w:tcW w:w="1226" w:type="dxa"/>
            <w:noWrap w:val="0"/>
            <w:vAlign w:val="center"/>
          </w:tcPr>
          <w:p w14:paraId="214E1F39">
            <w:pPr>
              <w:spacing w:before="100"/>
              <w:jc w:val="center"/>
              <w:rPr>
                <w:rFonts w:hint="eastAsia" w:ascii="宋体" w:hAnsi="宋体" w:eastAsia="宋体" w:cs="宋体"/>
                <w:color w:val="auto"/>
                <w:sz w:val="24"/>
                <w:highlight w:val="none"/>
              </w:rPr>
            </w:pPr>
          </w:p>
        </w:tc>
        <w:tc>
          <w:tcPr>
            <w:tcW w:w="1058" w:type="dxa"/>
            <w:noWrap w:val="0"/>
            <w:vAlign w:val="center"/>
          </w:tcPr>
          <w:p w14:paraId="2C1DB61F">
            <w:pPr>
              <w:spacing w:before="100"/>
              <w:jc w:val="center"/>
              <w:rPr>
                <w:rFonts w:hint="eastAsia" w:ascii="宋体" w:hAnsi="宋体" w:eastAsia="宋体" w:cs="宋体"/>
                <w:color w:val="auto"/>
                <w:sz w:val="24"/>
                <w:highlight w:val="none"/>
              </w:rPr>
            </w:pPr>
          </w:p>
        </w:tc>
        <w:tc>
          <w:tcPr>
            <w:tcW w:w="880" w:type="dxa"/>
            <w:noWrap w:val="0"/>
            <w:vAlign w:val="center"/>
          </w:tcPr>
          <w:p w14:paraId="10DD6E59">
            <w:pPr>
              <w:widowControl/>
              <w:jc w:val="center"/>
              <w:textAlignment w:val="center"/>
              <w:rPr>
                <w:rFonts w:hint="eastAsia" w:ascii="宋体" w:hAnsi="宋体" w:eastAsia="宋体" w:cs="宋体"/>
                <w:color w:val="auto"/>
                <w:sz w:val="24"/>
                <w:highlight w:val="none"/>
              </w:rPr>
            </w:pPr>
          </w:p>
        </w:tc>
        <w:tc>
          <w:tcPr>
            <w:tcW w:w="1020" w:type="dxa"/>
            <w:noWrap w:val="0"/>
            <w:vAlign w:val="center"/>
          </w:tcPr>
          <w:p w14:paraId="74592821">
            <w:pPr>
              <w:spacing w:before="100"/>
              <w:jc w:val="center"/>
              <w:rPr>
                <w:rFonts w:hint="eastAsia" w:ascii="宋体" w:hAnsi="宋体" w:eastAsia="宋体" w:cs="宋体"/>
                <w:color w:val="auto"/>
                <w:sz w:val="24"/>
                <w:highlight w:val="none"/>
              </w:rPr>
            </w:pPr>
          </w:p>
        </w:tc>
        <w:tc>
          <w:tcPr>
            <w:tcW w:w="1480" w:type="dxa"/>
            <w:noWrap w:val="0"/>
            <w:vAlign w:val="center"/>
          </w:tcPr>
          <w:p w14:paraId="6A07A879">
            <w:pPr>
              <w:widowControl/>
              <w:jc w:val="center"/>
              <w:textAlignment w:val="center"/>
              <w:rPr>
                <w:rFonts w:hint="eastAsia" w:ascii="宋体" w:hAnsi="宋体" w:eastAsia="宋体" w:cs="宋体"/>
                <w:color w:val="auto"/>
                <w:sz w:val="24"/>
                <w:highlight w:val="none"/>
              </w:rPr>
            </w:pPr>
          </w:p>
        </w:tc>
        <w:tc>
          <w:tcPr>
            <w:tcW w:w="1020" w:type="dxa"/>
            <w:noWrap w:val="0"/>
            <w:vAlign w:val="center"/>
          </w:tcPr>
          <w:p w14:paraId="5684A94F">
            <w:pPr>
              <w:spacing w:before="100"/>
              <w:jc w:val="center"/>
              <w:rPr>
                <w:rFonts w:hint="eastAsia" w:ascii="宋体" w:hAnsi="宋体" w:eastAsia="宋体" w:cs="宋体"/>
                <w:color w:val="auto"/>
                <w:sz w:val="24"/>
                <w:highlight w:val="none"/>
              </w:rPr>
            </w:pPr>
          </w:p>
        </w:tc>
        <w:tc>
          <w:tcPr>
            <w:tcW w:w="921" w:type="dxa"/>
            <w:noWrap w:val="0"/>
            <w:vAlign w:val="center"/>
          </w:tcPr>
          <w:p w14:paraId="0D2E4EAA">
            <w:pPr>
              <w:widowControl/>
              <w:jc w:val="center"/>
              <w:textAlignment w:val="center"/>
              <w:rPr>
                <w:rFonts w:hint="eastAsia" w:ascii="宋体" w:hAnsi="宋体" w:eastAsia="宋体" w:cs="宋体"/>
                <w:color w:val="auto"/>
                <w:sz w:val="24"/>
                <w:highlight w:val="none"/>
              </w:rPr>
            </w:pPr>
          </w:p>
        </w:tc>
      </w:tr>
      <w:tr w14:paraId="6087B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9" w:type="dxa"/>
            <w:noWrap w:val="0"/>
            <w:vAlign w:val="center"/>
          </w:tcPr>
          <w:p w14:paraId="03CF44E1">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9</w:t>
            </w:r>
          </w:p>
        </w:tc>
        <w:tc>
          <w:tcPr>
            <w:tcW w:w="1305" w:type="dxa"/>
            <w:noWrap w:val="0"/>
            <w:vAlign w:val="center"/>
          </w:tcPr>
          <w:p w14:paraId="44E32957">
            <w:pPr>
              <w:spacing w:before="100"/>
              <w:jc w:val="center"/>
              <w:rPr>
                <w:rFonts w:hint="eastAsia" w:ascii="宋体" w:hAnsi="宋体" w:eastAsia="宋体" w:cs="宋体"/>
                <w:color w:val="auto"/>
                <w:sz w:val="24"/>
                <w:highlight w:val="none"/>
              </w:rPr>
            </w:pPr>
          </w:p>
        </w:tc>
        <w:tc>
          <w:tcPr>
            <w:tcW w:w="1226" w:type="dxa"/>
            <w:noWrap w:val="0"/>
            <w:vAlign w:val="center"/>
          </w:tcPr>
          <w:p w14:paraId="3908E198">
            <w:pPr>
              <w:spacing w:before="100"/>
              <w:jc w:val="center"/>
              <w:rPr>
                <w:rFonts w:hint="eastAsia" w:ascii="宋体" w:hAnsi="宋体" w:eastAsia="宋体" w:cs="宋体"/>
                <w:color w:val="auto"/>
                <w:sz w:val="24"/>
                <w:highlight w:val="none"/>
              </w:rPr>
            </w:pPr>
          </w:p>
        </w:tc>
        <w:tc>
          <w:tcPr>
            <w:tcW w:w="1058" w:type="dxa"/>
            <w:noWrap w:val="0"/>
            <w:vAlign w:val="center"/>
          </w:tcPr>
          <w:p w14:paraId="307FC195">
            <w:pPr>
              <w:spacing w:before="100"/>
              <w:jc w:val="center"/>
              <w:rPr>
                <w:rFonts w:hint="eastAsia" w:ascii="宋体" w:hAnsi="宋体" w:eastAsia="宋体" w:cs="宋体"/>
                <w:color w:val="auto"/>
                <w:sz w:val="24"/>
                <w:highlight w:val="none"/>
              </w:rPr>
            </w:pPr>
          </w:p>
        </w:tc>
        <w:tc>
          <w:tcPr>
            <w:tcW w:w="880" w:type="dxa"/>
            <w:noWrap w:val="0"/>
            <w:vAlign w:val="center"/>
          </w:tcPr>
          <w:p w14:paraId="011DAA49">
            <w:pPr>
              <w:widowControl/>
              <w:jc w:val="center"/>
              <w:textAlignment w:val="center"/>
              <w:rPr>
                <w:rFonts w:hint="eastAsia" w:ascii="宋体" w:hAnsi="宋体" w:eastAsia="宋体" w:cs="宋体"/>
                <w:color w:val="auto"/>
                <w:sz w:val="24"/>
                <w:highlight w:val="none"/>
              </w:rPr>
            </w:pPr>
          </w:p>
        </w:tc>
        <w:tc>
          <w:tcPr>
            <w:tcW w:w="1020" w:type="dxa"/>
            <w:noWrap w:val="0"/>
            <w:vAlign w:val="center"/>
          </w:tcPr>
          <w:p w14:paraId="2925AEFF">
            <w:pPr>
              <w:spacing w:before="100"/>
              <w:jc w:val="center"/>
              <w:rPr>
                <w:rFonts w:hint="eastAsia" w:ascii="宋体" w:hAnsi="宋体" w:eastAsia="宋体" w:cs="宋体"/>
                <w:color w:val="auto"/>
                <w:sz w:val="24"/>
                <w:highlight w:val="none"/>
              </w:rPr>
            </w:pPr>
          </w:p>
        </w:tc>
        <w:tc>
          <w:tcPr>
            <w:tcW w:w="1480" w:type="dxa"/>
            <w:noWrap w:val="0"/>
            <w:vAlign w:val="center"/>
          </w:tcPr>
          <w:p w14:paraId="2434C37F">
            <w:pPr>
              <w:widowControl/>
              <w:jc w:val="center"/>
              <w:textAlignment w:val="center"/>
              <w:rPr>
                <w:rFonts w:hint="eastAsia" w:ascii="宋体" w:hAnsi="宋体" w:eastAsia="宋体" w:cs="宋体"/>
                <w:color w:val="auto"/>
                <w:sz w:val="24"/>
                <w:highlight w:val="none"/>
              </w:rPr>
            </w:pPr>
          </w:p>
        </w:tc>
        <w:tc>
          <w:tcPr>
            <w:tcW w:w="1020" w:type="dxa"/>
            <w:noWrap w:val="0"/>
            <w:vAlign w:val="center"/>
          </w:tcPr>
          <w:p w14:paraId="02349873">
            <w:pPr>
              <w:spacing w:before="100"/>
              <w:jc w:val="center"/>
              <w:rPr>
                <w:rFonts w:hint="eastAsia" w:ascii="宋体" w:hAnsi="宋体" w:eastAsia="宋体" w:cs="宋体"/>
                <w:color w:val="auto"/>
                <w:sz w:val="24"/>
                <w:highlight w:val="none"/>
              </w:rPr>
            </w:pPr>
          </w:p>
        </w:tc>
        <w:tc>
          <w:tcPr>
            <w:tcW w:w="921" w:type="dxa"/>
            <w:noWrap w:val="0"/>
            <w:vAlign w:val="center"/>
          </w:tcPr>
          <w:p w14:paraId="065EC720">
            <w:pPr>
              <w:widowControl/>
              <w:jc w:val="center"/>
              <w:textAlignment w:val="center"/>
              <w:rPr>
                <w:rFonts w:hint="eastAsia" w:ascii="宋体" w:hAnsi="宋体" w:eastAsia="宋体" w:cs="宋体"/>
                <w:color w:val="auto"/>
                <w:sz w:val="24"/>
                <w:highlight w:val="none"/>
              </w:rPr>
            </w:pPr>
          </w:p>
        </w:tc>
      </w:tr>
      <w:tr w14:paraId="5015E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9" w:type="dxa"/>
            <w:noWrap w:val="0"/>
            <w:vAlign w:val="center"/>
          </w:tcPr>
          <w:p w14:paraId="28325E2B">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10</w:t>
            </w:r>
          </w:p>
        </w:tc>
        <w:tc>
          <w:tcPr>
            <w:tcW w:w="1305" w:type="dxa"/>
            <w:noWrap w:val="0"/>
            <w:vAlign w:val="center"/>
          </w:tcPr>
          <w:p w14:paraId="656E4520">
            <w:pPr>
              <w:spacing w:before="100"/>
              <w:jc w:val="center"/>
              <w:rPr>
                <w:rFonts w:hint="eastAsia" w:ascii="宋体" w:hAnsi="宋体" w:eastAsia="宋体" w:cs="宋体"/>
                <w:color w:val="auto"/>
                <w:sz w:val="24"/>
                <w:highlight w:val="none"/>
              </w:rPr>
            </w:pPr>
          </w:p>
        </w:tc>
        <w:tc>
          <w:tcPr>
            <w:tcW w:w="1226" w:type="dxa"/>
            <w:noWrap w:val="0"/>
            <w:vAlign w:val="center"/>
          </w:tcPr>
          <w:p w14:paraId="27C34168">
            <w:pPr>
              <w:spacing w:before="100"/>
              <w:jc w:val="center"/>
              <w:rPr>
                <w:rFonts w:hint="eastAsia" w:ascii="宋体" w:hAnsi="宋体" w:eastAsia="宋体" w:cs="宋体"/>
                <w:color w:val="auto"/>
                <w:sz w:val="24"/>
                <w:highlight w:val="none"/>
              </w:rPr>
            </w:pPr>
          </w:p>
        </w:tc>
        <w:tc>
          <w:tcPr>
            <w:tcW w:w="1058" w:type="dxa"/>
            <w:noWrap w:val="0"/>
            <w:vAlign w:val="center"/>
          </w:tcPr>
          <w:p w14:paraId="5FFCBAA7">
            <w:pPr>
              <w:spacing w:before="100"/>
              <w:jc w:val="center"/>
              <w:rPr>
                <w:rFonts w:hint="eastAsia" w:ascii="宋体" w:hAnsi="宋体" w:eastAsia="宋体" w:cs="宋体"/>
                <w:color w:val="auto"/>
                <w:sz w:val="24"/>
                <w:highlight w:val="none"/>
              </w:rPr>
            </w:pPr>
          </w:p>
        </w:tc>
        <w:tc>
          <w:tcPr>
            <w:tcW w:w="880" w:type="dxa"/>
            <w:noWrap w:val="0"/>
            <w:vAlign w:val="center"/>
          </w:tcPr>
          <w:p w14:paraId="1112BAFF">
            <w:pPr>
              <w:widowControl/>
              <w:jc w:val="center"/>
              <w:textAlignment w:val="center"/>
              <w:rPr>
                <w:rFonts w:hint="eastAsia" w:ascii="宋体" w:hAnsi="宋体" w:eastAsia="宋体" w:cs="宋体"/>
                <w:color w:val="auto"/>
                <w:sz w:val="24"/>
                <w:highlight w:val="none"/>
              </w:rPr>
            </w:pPr>
          </w:p>
        </w:tc>
        <w:tc>
          <w:tcPr>
            <w:tcW w:w="1020" w:type="dxa"/>
            <w:noWrap w:val="0"/>
            <w:vAlign w:val="center"/>
          </w:tcPr>
          <w:p w14:paraId="37AB42BD">
            <w:pPr>
              <w:spacing w:before="100"/>
              <w:jc w:val="center"/>
              <w:rPr>
                <w:rFonts w:hint="eastAsia" w:ascii="宋体" w:hAnsi="宋体" w:eastAsia="宋体" w:cs="宋体"/>
                <w:color w:val="auto"/>
                <w:sz w:val="24"/>
                <w:highlight w:val="none"/>
              </w:rPr>
            </w:pPr>
          </w:p>
        </w:tc>
        <w:tc>
          <w:tcPr>
            <w:tcW w:w="1480" w:type="dxa"/>
            <w:noWrap w:val="0"/>
            <w:vAlign w:val="center"/>
          </w:tcPr>
          <w:p w14:paraId="0A3E926A">
            <w:pPr>
              <w:widowControl/>
              <w:jc w:val="center"/>
              <w:textAlignment w:val="center"/>
              <w:rPr>
                <w:rFonts w:hint="eastAsia" w:ascii="宋体" w:hAnsi="宋体" w:eastAsia="宋体" w:cs="宋体"/>
                <w:color w:val="auto"/>
                <w:sz w:val="24"/>
                <w:highlight w:val="none"/>
              </w:rPr>
            </w:pPr>
          </w:p>
        </w:tc>
        <w:tc>
          <w:tcPr>
            <w:tcW w:w="1020" w:type="dxa"/>
            <w:noWrap w:val="0"/>
            <w:vAlign w:val="center"/>
          </w:tcPr>
          <w:p w14:paraId="47FFA6FA">
            <w:pPr>
              <w:spacing w:before="100"/>
              <w:jc w:val="center"/>
              <w:rPr>
                <w:rFonts w:hint="eastAsia" w:ascii="宋体" w:hAnsi="宋体" w:eastAsia="宋体" w:cs="宋体"/>
                <w:color w:val="auto"/>
                <w:sz w:val="24"/>
                <w:highlight w:val="none"/>
              </w:rPr>
            </w:pPr>
          </w:p>
        </w:tc>
        <w:tc>
          <w:tcPr>
            <w:tcW w:w="921" w:type="dxa"/>
            <w:noWrap w:val="0"/>
            <w:vAlign w:val="center"/>
          </w:tcPr>
          <w:p w14:paraId="78E871CC">
            <w:pPr>
              <w:widowControl/>
              <w:jc w:val="center"/>
              <w:textAlignment w:val="center"/>
              <w:rPr>
                <w:rFonts w:hint="eastAsia" w:ascii="宋体" w:hAnsi="宋体" w:eastAsia="宋体" w:cs="宋体"/>
                <w:color w:val="auto"/>
                <w:sz w:val="24"/>
                <w:highlight w:val="none"/>
              </w:rPr>
            </w:pPr>
          </w:p>
        </w:tc>
      </w:tr>
      <w:tr w14:paraId="4DDCA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99" w:type="dxa"/>
            <w:noWrap w:val="0"/>
            <w:vAlign w:val="center"/>
          </w:tcPr>
          <w:p w14:paraId="20840278">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11</w:t>
            </w:r>
          </w:p>
        </w:tc>
        <w:tc>
          <w:tcPr>
            <w:tcW w:w="1305" w:type="dxa"/>
            <w:noWrap w:val="0"/>
            <w:vAlign w:val="center"/>
          </w:tcPr>
          <w:p w14:paraId="2CC26AF9">
            <w:pPr>
              <w:jc w:val="center"/>
              <w:rPr>
                <w:rFonts w:hint="eastAsia" w:ascii="宋体" w:hAnsi="宋体" w:eastAsia="宋体" w:cs="宋体"/>
                <w:color w:val="auto"/>
                <w:sz w:val="24"/>
                <w:highlight w:val="none"/>
              </w:rPr>
            </w:pPr>
          </w:p>
        </w:tc>
        <w:tc>
          <w:tcPr>
            <w:tcW w:w="1226" w:type="dxa"/>
            <w:noWrap w:val="0"/>
            <w:vAlign w:val="center"/>
          </w:tcPr>
          <w:p w14:paraId="09283C1B">
            <w:pPr>
              <w:spacing w:line="440" w:lineRule="exact"/>
              <w:jc w:val="center"/>
              <w:rPr>
                <w:rFonts w:hint="eastAsia" w:ascii="宋体" w:hAnsi="宋体" w:eastAsia="宋体" w:cs="宋体"/>
                <w:color w:val="auto"/>
                <w:sz w:val="24"/>
                <w:highlight w:val="none"/>
              </w:rPr>
            </w:pPr>
          </w:p>
        </w:tc>
        <w:tc>
          <w:tcPr>
            <w:tcW w:w="1058" w:type="dxa"/>
            <w:noWrap w:val="0"/>
            <w:vAlign w:val="center"/>
          </w:tcPr>
          <w:p w14:paraId="2FE121A1">
            <w:pPr>
              <w:spacing w:before="100"/>
              <w:jc w:val="center"/>
              <w:rPr>
                <w:rFonts w:hint="eastAsia" w:ascii="宋体" w:hAnsi="宋体" w:eastAsia="宋体" w:cs="宋体"/>
                <w:color w:val="auto"/>
                <w:sz w:val="24"/>
                <w:highlight w:val="none"/>
              </w:rPr>
            </w:pPr>
          </w:p>
        </w:tc>
        <w:tc>
          <w:tcPr>
            <w:tcW w:w="880" w:type="dxa"/>
            <w:noWrap w:val="0"/>
            <w:vAlign w:val="center"/>
          </w:tcPr>
          <w:p w14:paraId="5AF2FF58">
            <w:pPr>
              <w:widowControl/>
              <w:jc w:val="center"/>
              <w:textAlignment w:val="center"/>
              <w:rPr>
                <w:rFonts w:hint="eastAsia" w:ascii="宋体" w:hAnsi="宋体" w:eastAsia="宋体" w:cs="宋体"/>
                <w:color w:val="auto"/>
                <w:sz w:val="24"/>
                <w:highlight w:val="none"/>
              </w:rPr>
            </w:pPr>
          </w:p>
        </w:tc>
        <w:tc>
          <w:tcPr>
            <w:tcW w:w="1020" w:type="dxa"/>
            <w:noWrap w:val="0"/>
            <w:vAlign w:val="center"/>
          </w:tcPr>
          <w:p w14:paraId="5607956C">
            <w:pPr>
              <w:spacing w:before="100"/>
              <w:jc w:val="center"/>
              <w:rPr>
                <w:rFonts w:hint="eastAsia" w:ascii="宋体" w:hAnsi="宋体" w:eastAsia="宋体" w:cs="宋体"/>
                <w:color w:val="auto"/>
                <w:sz w:val="24"/>
                <w:highlight w:val="none"/>
              </w:rPr>
            </w:pPr>
          </w:p>
        </w:tc>
        <w:tc>
          <w:tcPr>
            <w:tcW w:w="1480" w:type="dxa"/>
            <w:noWrap w:val="0"/>
            <w:vAlign w:val="center"/>
          </w:tcPr>
          <w:p w14:paraId="7CED2FB9">
            <w:pPr>
              <w:widowControl/>
              <w:jc w:val="center"/>
              <w:textAlignment w:val="center"/>
              <w:rPr>
                <w:rFonts w:hint="eastAsia" w:ascii="宋体" w:hAnsi="宋体" w:eastAsia="宋体" w:cs="宋体"/>
                <w:color w:val="auto"/>
                <w:sz w:val="24"/>
                <w:highlight w:val="none"/>
              </w:rPr>
            </w:pPr>
          </w:p>
        </w:tc>
        <w:tc>
          <w:tcPr>
            <w:tcW w:w="1020" w:type="dxa"/>
            <w:noWrap w:val="0"/>
            <w:vAlign w:val="center"/>
          </w:tcPr>
          <w:p w14:paraId="2382DCC4">
            <w:pPr>
              <w:spacing w:before="100"/>
              <w:jc w:val="center"/>
              <w:rPr>
                <w:rFonts w:hint="eastAsia" w:ascii="宋体" w:hAnsi="宋体" w:eastAsia="宋体" w:cs="宋体"/>
                <w:color w:val="auto"/>
                <w:sz w:val="24"/>
                <w:highlight w:val="none"/>
              </w:rPr>
            </w:pPr>
          </w:p>
        </w:tc>
        <w:tc>
          <w:tcPr>
            <w:tcW w:w="921" w:type="dxa"/>
            <w:noWrap w:val="0"/>
            <w:vAlign w:val="center"/>
          </w:tcPr>
          <w:p w14:paraId="721CBD73">
            <w:pPr>
              <w:widowControl/>
              <w:jc w:val="center"/>
              <w:textAlignment w:val="center"/>
              <w:rPr>
                <w:rFonts w:hint="eastAsia" w:ascii="宋体" w:hAnsi="宋体" w:eastAsia="宋体" w:cs="宋体"/>
                <w:color w:val="auto"/>
                <w:sz w:val="24"/>
                <w:highlight w:val="none"/>
              </w:rPr>
            </w:pPr>
          </w:p>
        </w:tc>
      </w:tr>
      <w:tr w14:paraId="20579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9" w:type="dxa"/>
            <w:noWrap w:val="0"/>
            <w:vAlign w:val="center"/>
          </w:tcPr>
          <w:p w14:paraId="12C4D123">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12</w:t>
            </w:r>
          </w:p>
        </w:tc>
        <w:tc>
          <w:tcPr>
            <w:tcW w:w="1305" w:type="dxa"/>
            <w:noWrap w:val="0"/>
            <w:vAlign w:val="center"/>
          </w:tcPr>
          <w:p w14:paraId="56F6F053">
            <w:pPr>
              <w:jc w:val="center"/>
              <w:rPr>
                <w:rFonts w:hint="eastAsia" w:ascii="宋体" w:hAnsi="宋体" w:eastAsia="宋体" w:cs="宋体"/>
                <w:color w:val="auto"/>
                <w:sz w:val="24"/>
                <w:highlight w:val="none"/>
              </w:rPr>
            </w:pPr>
          </w:p>
        </w:tc>
        <w:tc>
          <w:tcPr>
            <w:tcW w:w="1226" w:type="dxa"/>
            <w:noWrap w:val="0"/>
            <w:vAlign w:val="center"/>
          </w:tcPr>
          <w:p w14:paraId="25ECEBFB">
            <w:pPr>
              <w:spacing w:line="440" w:lineRule="exact"/>
              <w:jc w:val="center"/>
              <w:rPr>
                <w:rFonts w:hint="eastAsia" w:ascii="宋体" w:hAnsi="宋体" w:eastAsia="宋体" w:cs="宋体"/>
                <w:color w:val="auto"/>
                <w:sz w:val="24"/>
                <w:highlight w:val="none"/>
              </w:rPr>
            </w:pPr>
          </w:p>
        </w:tc>
        <w:tc>
          <w:tcPr>
            <w:tcW w:w="1058" w:type="dxa"/>
            <w:noWrap w:val="0"/>
            <w:vAlign w:val="center"/>
          </w:tcPr>
          <w:p w14:paraId="36D36C11">
            <w:pPr>
              <w:spacing w:before="100"/>
              <w:jc w:val="center"/>
              <w:rPr>
                <w:rFonts w:hint="eastAsia" w:ascii="宋体" w:hAnsi="宋体" w:eastAsia="宋体" w:cs="宋体"/>
                <w:color w:val="auto"/>
                <w:sz w:val="24"/>
                <w:highlight w:val="none"/>
              </w:rPr>
            </w:pPr>
          </w:p>
        </w:tc>
        <w:tc>
          <w:tcPr>
            <w:tcW w:w="880" w:type="dxa"/>
            <w:noWrap w:val="0"/>
            <w:vAlign w:val="center"/>
          </w:tcPr>
          <w:p w14:paraId="6814EA3B">
            <w:pPr>
              <w:widowControl/>
              <w:jc w:val="center"/>
              <w:textAlignment w:val="center"/>
              <w:rPr>
                <w:rFonts w:hint="eastAsia" w:ascii="宋体" w:hAnsi="宋体" w:eastAsia="宋体" w:cs="宋体"/>
                <w:color w:val="auto"/>
                <w:sz w:val="24"/>
                <w:highlight w:val="none"/>
              </w:rPr>
            </w:pPr>
          </w:p>
        </w:tc>
        <w:tc>
          <w:tcPr>
            <w:tcW w:w="1020" w:type="dxa"/>
            <w:noWrap w:val="0"/>
            <w:vAlign w:val="center"/>
          </w:tcPr>
          <w:p w14:paraId="0A5F1A32">
            <w:pPr>
              <w:spacing w:before="100"/>
              <w:jc w:val="center"/>
              <w:rPr>
                <w:rFonts w:hint="eastAsia" w:ascii="宋体" w:hAnsi="宋体" w:eastAsia="宋体" w:cs="宋体"/>
                <w:color w:val="auto"/>
                <w:sz w:val="24"/>
                <w:highlight w:val="none"/>
              </w:rPr>
            </w:pPr>
          </w:p>
        </w:tc>
        <w:tc>
          <w:tcPr>
            <w:tcW w:w="1480" w:type="dxa"/>
            <w:noWrap w:val="0"/>
            <w:vAlign w:val="center"/>
          </w:tcPr>
          <w:p w14:paraId="22F76253">
            <w:pPr>
              <w:widowControl/>
              <w:jc w:val="center"/>
              <w:textAlignment w:val="center"/>
              <w:rPr>
                <w:rFonts w:hint="eastAsia" w:ascii="宋体" w:hAnsi="宋体" w:eastAsia="宋体" w:cs="宋体"/>
                <w:color w:val="auto"/>
                <w:sz w:val="24"/>
                <w:highlight w:val="none"/>
              </w:rPr>
            </w:pPr>
          </w:p>
        </w:tc>
        <w:tc>
          <w:tcPr>
            <w:tcW w:w="1020" w:type="dxa"/>
            <w:noWrap w:val="0"/>
            <w:vAlign w:val="center"/>
          </w:tcPr>
          <w:p w14:paraId="72609C59">
            <w:pPr>
              <w:spacing w:before="100"/>
              <w:jc w:val="center"/>
              <w:rPr>
                <w:rFonts w:hint="eastAsia" w:ascii="宋体" w:hAnsi="宋体" w:eastAsia="宋体" w:cs="宋体"/>
                <w:color w:val="auto"/>
                <w:sz w:val="24"/>
                <w:highlight w:val="none"/>
              </w:rPr>
            </w:pPr>
          </w:p>
        </w:tc>
        <w:tc>
          <w:tcPr>
            <w:tcW w:w="921" w:type="dxa"/>
            <w:noWrap w:val="0"/>
            <w:vAlign w:val="center"/>
          </w:tcPr>
          <w:p w14:paraId="7E759380">
            <w:pPr>
              <w:widowControl/>
              <w:jc w:val="center"/>
              <w:textAlignment w:val="center"/>
              <w:rPr>
                <w:rFonts w:hint="eastAsia" w:ascii="宋体" w:hAnsi="宋体" w:eastAsia="宋体" w:cs="宋体"/>
                <w:color w:val="auto"/>
                <w:sz w:val="24"/>
                <w:highlight w:val="none"/>
              </w:rPr>
            </w:pPr>
          </w:p>
        </w:tc>
      </w:tr>
    </w:tbl>
    <w:p w14:paraId="107479AF">
      <w:pPr>
        <w:rPr>
          <w:rFonts w:hint="eastAsia" w:ascii="宋体" w:hAnsi="宋体" w:eastAsia="宋体" w:cs="宋体"/>
          <w:color w:val="auto"/>
          <w:szCs w:val="21"/>
          <w:highlight w:val="none"/>
        </w:rPr>
        <w:sectPr>
          <w:footerReference r:id="rId7" w:type="default"/>
          <w:pgSz w:w="11920" w:h="16840"/>
          <w:pgMar w:top="1580" w:right="800" w:bottom="1040" w:left="800" w:header="0" w:footer="857" w:gutter="0"/>
          <w:cols w:space="720" w:num="1"/>
        </w:sectPr>
      </w:pPr>
    </w:p>
    <w:p w14:paraId="16597DD9">
      <w:pPr>
        <w:spacing w:before="36"/>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附件 3：</w:t>
      </w:r>
    </w:p>
    <w:p w14:paraId="67E8D7CB">
      <w:pPr>
        <w:pStyle w:val="5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工程质量保修书</w:t>
      </w:r>
    </w:p>
    <w:p w14:paraId="266C27DE">
      <w:pPr>
        <w:pStyle w:val="5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发包人(全称)：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586BE1A8">
      <w:pPr>
        <w:pStyle w:val="50"/>
        <w:snapToGrid w:val="0"/>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承包人(全称)：</w:t>
      </w:r>
      <w:r>
        <w:rPr>
          <w:rFonts w:hint="eastAsia" w:ascii="宋体" w:hAnsi="宋体" w:eastAsia="宋体" w:cs="宋体"/>
          <w:color w:val="auto"/>
          <w:szCs w:val="21"/>
          <w:highlight w:val="none"/>
          <w:u w:val="single"/>
        </w:rPr>
        <w:t xml:space="preserve">               （联合体成员）</w:t>
      </w:r>
    </w:p>
    <w:p w14:paraId="6B15BA80">
      <w:pPr>
        <w:pStyle w:val="5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为保证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在合理使用期限内正常使用，发包人和承包人协商一致签订工程质量保修书。承包人在质量保修期内按照有关管理规定及双方约定承担工程质量保修责任。</w:t>
      </w:r>
    </w:p>
    <w:p w14:paraId="473F3988">
      <w:pPr>
        <w:pStyle w:val="50"/>
        <w:spacing w:line="360" w:lineRule="auto"/>
        <w:rPr>
          <w:rFonts w:hint="eastAsia" w:ascii="宋体" w:hAnsi="宋体" w:eastAsia="宋体" w:cs="宋体"/>
          <w:color w:val="auto"/>
          <w:szCs w:val="21"/>
          <w:highlight w:val="none"/>
        </w:rPr>
      </w:pPr>
      <w:bookmarkStart w:id="1334" w:name="_Toc419363873"/>
      <w:r>
        <w:rPr>
          <w:rFonts w:hint="eastAsia" w:ascii="宋体" w:hAnsi="宋体" w:eastAsia="宋体" w:cs="宋体"/>
          <w:color w:val="auto"/>
          <w:szCs w:val="21"/>
          <w:highlight w:val="none"/>
        </w:rPr>
        <w:t>一、工程质量保修范围和内容</w:t>
      </w:r>
      <w:bookmarkEnd w:id="1334"/>
    </w:p>
    <w:p w14:paraId="72B40F3A">
      <w:pPr>
        <w:pStyle w:val="5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质量保修范围包括合同及施工图纸所包括的工程。具体质量保修内容双方约定如下：</w:t>
      </w:r>
      <w:r>
        <w:rPr>
          <w:rFonts w:hint="eastAsia" w:ascii="宋体" w:hAnsi="宋体" w:eastAsia="宋体" w:cs="宋体"/>
          <w:color w:val="auto"/>
          <w:szCs w:val="21"/>
          <w:highlight w:val="none"/>
          <w:u w:val="single"/>
        </w:rPr>
        <w:t>在承包人承包范围内，属承包人责任造成的工程质量问题，由承包人承担保修责任。</w:t>
      </w:r>
      <w:r>
        <w:rPr>
          <w:rFonts w:hint="eastAsia" w:ascii="宋体" w:hAnsi="宋体" w:eastAsia="宋体" w:cs="宋体"/>
          <w:color w:val="auto"/>
          <w:szCs w:val="21"/>
          <w:highlight w:val="none"/>
        </w:rPr>
        <w:t xml:space="preserve">                                                                 </w:t>
      </w:r>
    </w:p>
    <w:p w14:paraId="1D29600F">
      <w:pPr>
        <w:pStyle w:val="50"/>
        <w:spacing w:line="360" w:lineRule="auto"/>
        <w:rPr>
          <w:rFonts w:hint="eastAsia" w:ascii="宋体" w:hAnsi="宋体" w:eastAsia="宋体" w:cs="宋体"/>
          <w:color w:val="auto"/>
          <w:szCs w:val="21"/>
          <w:highlight w:val="none"/>
        </w:rPr>
      </w:pPr>
      <w:bookmarkStart w:id="1335" w:name="_Toc419363874"/>
      <w:r>
        <w:rPr>
          <w:rFonts w:hint="eastAsia" w:ascii="宋体" w:hAnsi="宋体" w:eastAsia="宋体" w:cs="宋体"/>
          <w:color w:val="auto"/>
          <w:szCs w:val="21"/>
          <w:highlight w:val="none"/>
        </w:rPr>
        <w:t>二、质量保修期</w:t>
      </w:r>
      <w:bookmarkEnd w:id="1335"/>
    </w:p>
    <w:p w14:paraId="3FC48C03">
      <w:pPr>
        <w:pStyle w:val="5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1．双方根据《建设工程质量管理条例》及有关规定，约定本工程的质量保修期如下：</w:t>
      </w:r>
    </w:p>
    <w:p w14:paraId="37FE81C9">
      <w:pPr>
        <w:pStyle w:val="5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地基基础工程和主体结构工程为设计文件规定的该工程合理使用年限；</w:t>
      </w:r>
    </w:p>
    <w:p w14:paraId="640885DD">
      <w:pPr>
        <w:pStyle w:val="5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屋面防水工程、有防水要求的卫生间、房间和外墙面的防渗漏为</w:t>
      </w:r>
      <w:r>
        <w:rPr>
          <w:rFonts w:hint="eastAsia" w:ascii="宋体" w:hAnsi="宋体" w:eastAsia="宋体" w:cs="宋体"/>
          <w:color w:val="auto"/>
          <w:szCs w:val="21"/>
          <w:highlight w:val="none"/>
          <w:u w:val="single"/>
        </w:rPr>
        <w:t xml:space="preserve">5  </w:t>
      </w:r>
      <w:r>
        <w:rPr>
          <w:rFonts w:hint="eastAsia" w:ascii="宋体" w:hAnsi="宋体" w:eastAsia="宋体" w:cs="宋体"/>
          <w:color w:val="auto"/>
          <w:szCs w:val="21"/>
          <w:highlight w:val="none"/>
        </w:rPr>
        <w:t>年；</w:t>
      </w:r>
    </w:p>
    <w:p w14:paraId="3936B66A">
      <w:pPr>
        <w:pStyle w:val="5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装修工程为</w:t>
      </w:r>
      <w:r>
        <w:rPr>
          <w:rFonts w:hint="eastAsia" w:ascii="宋体" w:hAnsi="宋体" w:eastAsia="宋体" w:cs="宋体"/>
          <w:color w:val="auto"/>
          <w:szCs w:val="21"/>
          <w:highlight w:val="none"/>
          <w:u w:val="single"/>
        </w:rPr>
        <w:t xml:space="preserve">  2  </w:t>
      </w:r>
      <w:r>
        <w:rPr>
          <w:rFonts w:hint="eastAsia" w:ascii="宋体" w:hAnsi="宋体" w:eastAsia="宋体" w:cs="宋体"/>
          <w:color w:val="auto"/>
          <w:szCs w:val="21"/>
          <w:highlight w:val="none"/>
        </w:rPr>
        <w:t>年；</w:t>
      </w:r>
    </w:p>
    <w:p w14:paraId="4BF96E3C">
      <w:pPr>
        <w:pStyle w:val="5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电气管线、给排水管道、设备安装工程为</w:t>
      </w:r>
      <w:r>
        <w:rPr>
          <w:rFonts w:hint="eastAsia" w:ascii="宋体" w:hAnsi="宋体" w:eastAsia="宋体" w:cs="宋体"/>
          <w:color w:val="auto"/>
          <w:szCs w:val="21"/>
          <w:highlight w:val="none"/>
          <w:u w:val="single"/>
        </w:rPr>
        <w:t xml:space="preserve">  2  </w:t>
      </w:r>
      <w:r>
        <w:rPr>
          <w:rFonts w:hint="eastAsia" w:ascii="宋体" w:hAnsi="宋体" w:eastAsia="宋体" w:cs="宋体"/>
          <w:color w:val="auto"/>
          <w:szCs w:val="21"/>
          <w:highlight w:val="none"/>
        </w:rPr>
        <w:t>年；</w:t>
      </w:r>
    </w:p>
    <w:p w14:paraId="444FA409">
      <w:pPr>
        <w:pStyle w:val="5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供热与供冷系统为</w:t>
      </w:r>
      <w:r>
        <w:rPr>
          <w:rFonts w:hint="eastAsia" w:ascii="宋体" w:hAnsi="宋体" w:eastAsia="宋体" w:cs="宋体"/>
          <w:color w:val="auto"/>
          <w:szCs w:val="21"/>
          <w:highlight w:val="none"/>
          <w:u w:val="single"/>
        </w:rPr>
        <w:t xml:space="preserve">  2  </w:t>
      </w:r>
      <w:r>
        <w:rPr>
          <w:rFonts w:hint="eastAsia" w:ascii="宋体" w:hAnsi="宋体" w:eastAsia="宋体" w:cs="宋体"/>
          <w:color w:val="auto"/>
          <w:szCs w:val="21"/>
          <w:highlight w:val="none"/>
        </w:rPr>
        <w:t>个采暖期、供冷期；</w:t>
      </w:r>
    </w:p>
    <w:p w14:paraId="0AC2F658">
      <w:pPr>
        <w:pStyle w:val="5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景观绿化工程管养期为</w:t>
      </w:r>
      <w:r>
        <w:rPr>
          <w:rFonts w:hint="eastAsia" w:ascii="宋体" w:hAnsi="宋体" w:eastAsia="宋体" w:cs="宋体"/>
          <w:color w:val="auto"/>
          <w:szCs w:val="21"/>
          <w:highlight w:val="none"/>
          <w:u w:val="single"/>
        </w:rPr>
        <w:t xml:space="preserve">  1  </w:t>
      </w:r>
      <w:r>
        <w:rPr>
          <w:rFonts w:hint="eastAsia" w:ascii="宋体" w:hAnsi="宋体" w:eastAsia="宋体" w:cs="宋体"/>
          <w:color w:val="auto"/>
          <w:szCs w:val="21"/>
          <w:highlight w:val="none"/>
        </w:rPr>
        <w:t>年；</w:t>
      </w:r>
    </w:p>
    <w:p w14:paraId="08D29C9B">
      <w:pPr>
        <w:pStyle w:val="5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其他项目保修期限约定如下：</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53BA921F">
      <w:pPr>
        <w:pStyle w:val="5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质量保修期自工程竣工验收合格之日起计算。</w:t>
      </w:r>
    </w:p>
    <w:p w14:paraId="34BAA2C2">
      <w:pPr>
        <w:pStyle w:val="5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2．质量保修期自本合同工程签发的工程竣工验收合格交工证书中写明的竣工日期起计算。分单项竣工验收的工程，按单项工程分别计算质量保修期。</w:t>
      </w:r>
    </w:p>
    <w:p w14:paraId="2FBF4EFE">
      <w:pPr>
        <w:pStyle w:val="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3．其他约定：             /                 </w:t>
      </w:r>
    </w:p>
    <w:p w14:paraId="63C48567">
      <w:pPr>
        <w:pStyle w:val="50"/>
        <w:spacing w:line="360" w:lineRule="auto"/>
        <w:rPr>
          <w:rFonts w:hint="eastAsia" w:ascii="宋体" w:hAnsi="宋体" w:eastAsia="宋体" w:cs="宋体"/>
          <w:color w:val="auto"/>
          <w:szCs w:val="21"/>
          <w:highlight w:val="none"/>
        </w:rPr>
      </w:pPr>
      <w:bookmarkStart w:id="1336" w:name="_Toc419363875"/>
      <w:r>
        <w:rPr>
          <w:rFonts w:hint="eastAsia" w:ascii="宋体" w:hAnsi="宋体" w:eastAsia="宋体" w:cs="宋体"/>
          <w:color w:val="auto"/>
          <w:szCs w:val="21"/>
          <w:highlight w:val="none"/>
        </w:rPr>
        <w:t>三、质量保修保质责任</w:t>
      </w:r>
      <w:bookmarkEnd w:id="1336"/>
    </w:p>
    <w:p w14:paraId="228308EF">
      <w:pPr>
        <w:pStyle w:val="5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1．质量保修期自工程竣工验收合格之日起计算。</w:t>
      </w:r>
    </w:p>
    <w:p w14:paraId="4B2F4DF1">
      <w:pPr>
        <w:pStyle w:val="5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2．质量保修责任</w:t>
      </w:r>
    </w:p>
    <w:p w14:paraId="72D8A74C">
      <w:pPr>
        <w:pStyle w:val="5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2.1属于保修范围、内容的项目，承包人应当在接到保修通知之日起七日内派人保修。承包人不在约定期限内派人保修的，发包人可以委托他人修理，修理费用由承包人承担。</w:t>
      </w:r>
    </w:p>
    <w:p w14:paraId="1C3AA9CF">
      <w:pPr>
        <w:pStyle w:val="5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2.2发生紧急抢修事故的，承包人在接到事故通知后，应当立即到达事故现场抢修。非承包人施工质量引起的事故，抢修费用由发包人承担。</w:t>
      </w:r>
    </w:p>
    <w:p w14:paraId="62934ED9">
      <w:pPr>
        <w:pStyle w:val="5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2.3对于涉及结构安全的质量问题，应当按照有关的规定，立即向当地建设行政主管部门报告，采取安全防范措施；由原设计单位或者具有相应资质等级的设计单位提出保修方案，承包人实施保修。</w:t>
      </w:r>
    </w:p>
    <w:p w14:paraId="05536156">
      <w:pPr>
        <w:pStyle w:val="5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2.4质量保修完成后，由发包人组织验收。</w:t>
      </w:r>
    </w:p>
    <w:p w14:paraId="4E5D0229">
      <w:pPr>
        <w:pStyle w:val="5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3．保修费用</w:t>
      </w:r>
    </w:p>
    <w:p w14:paraId="6816980D">
      <w:pPr>
        <w:pStyle w:val="5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保修费用由造成质量缺陷的责任方承担。</w:t>
      </w:r>
    </w:p>
    <w:p w14:paraId="39282E3E">
      <w:pPr>
        <w:pStyle w:val="50"/>
        <w:spacing w:line="360" w:lineRule="auto"/>
        <w:ind w:firstLine="420" w:firstLineChars="200"/>
        <w:rPr>
          <w:rFonts w:hint="eastAsia" w:ascii="宋体" w:hAnsi="宋体" w:eastAsia="宋体" w:cs="宋体"/>
          <w:color w:val="auto"/>
          <w:szCs w:val="21"/>
          <w:highlight w:val="none"/>
        </w:rPr>
      </w:pPr>
      <w:bookmarkStart w:id="1337" w:name="_Toc419363878"/>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、其他</w:t>
      </w:r>
      <w:bookmarkEnd w:id="1337"/>
    </w:p>
    <w:p w14:paraId="530ED0E8">
      <w:pPr>
        <w:pStyle w:val="5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双方约定的其他工程质量保修事项：保修期内，如发生属承包人责任的质量问题，按本保修书第2.1款约定。</w:t>
      </w:r>
    </w:p>
    <w:p w14:paraId="31592251">
      <w:pPr>
        <w:pStyle w:val="5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本工程质量保修书作为主合同附件，正本和副本份数与本合同专用条款第19.2条的约定相同，由总承包合同发包人和承包人双方共同签署。</w:t>
      </w:r>
    </w:p>
    <w:p w14:paraId="1C7DDFE1">
      <w:pPr>
        <w:pStyle w:val="50"/>
        <w:spacing w:line="360" w:lineRule="auto"/>
        <w:rPr>
          <w:rFonts w:hint="eastAsia" w:ascii="宋体" w:hAnsi="宋体" w:eastAsia="宋体" w:cs="宋体"/>
          <w:color w:val="auto"/>
          <w:szCs w:val="21"/>
          <w:highlight w:val="none"/>
        </w:rPr>
      </w:pPr>
    </w:p>
    <w:p w14:paraId="29CDCB2D">
      <w:pPr>
        <w:pStyle w:val="5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发包人： </w:t>
      </w:r>
    </w:p>
    <w:p w14:paraId="06B0ED89">
      <w:pPr>
        <w:pStyle w:val="5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（公章或合同专用章）          </w:t>
      </w:r>
    </w:p>
    <w:p w14:paraId="0788AF82">
      <w:pPr>
        <w:pStyle w:val="5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法定代表人：        </w:t>
      </w:r>
    </w:p>
    <w:p w14:paraId="02621249">
      <w:pPr>
        <w:pStyle w:val="5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（签字或盖章）                     　　</w:t>
      </w:r>
    </w:p>
    <w:p w14:paraId="559C8145">
      <w:pPr>
        <w:pStyle w:val="5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p>
    <w:p w14:paraId="2FCF65F5">
      <w:pPr>
        <w:pStyle w:val="5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p>
    <w:p w14:paraId="0A8E8CB6">
      <w:pPr>
        <w:pStyle w:val="5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承包人：    （公章或合同专用章）          </w:t>
      </w:r>
    </w:p>
    <w:p w14:paraId="64113E1C">
      <w:pPr>
        <w:pStyle w:val="5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法定代表人：      </w:t>
      </w:r>
    </w:p>
    <w:p w14:paraId="569F054A">
      <w:pPr>
        <w:pStyle w:val="5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（签字或盖章）                      　</w:t>
      </w:r>
    </w:p>
    <w:p w14:paraId="77EB1E3E">
      <w:pPr>
        <w:pStyle w:val="5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p>
    <w:p w14:paraId="1DBA307A">
      <w:pPr>
        <w:pStyle w:val="5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p>
    <w:p w14:paraId="51AE40F3">
      <w:pPr>
        <w:pStyle w:val="50"/>
        <w:spacing w:line="360" w:lineRule="auto"/>
        <w:rPr>
          <w:rFonts w:hint="eastAsia" w:ascii="宋体" w:hAnsi="宋体" w:eastAsia="宋体" w:cs="宋体"/>
          <w:color w:val="auto"/>
          <w:szCs w:val="21"/>
          <w:highlight w:val="none"/>
        </w:rPr>
      </w:pPr>
    </w:p>
    <w:p w14:paraId="6444E124">
      <w:pPr>
        <w:pStyle w:val="50"/>
        <w:spacing w:line="360" w:lineRule="auto"/>
        <w:rPr>
          <w:rFonts w:hint="eastAsia" w:ascii="宋体" w:hAnsi="宋体" w:eastAsia="宋体" w:cs="宋体"/>
          <w:color w:val="auto"/>
          <w:szCs w:val="21"/>
          <w:highlight w:val="none"/>
        </w:rPr>
      </w:pPr>
    </w:p>
    <w:p w14:paraId="22BC69EF">
      <w:pPr>
        <w:pStyle w:val="50"/>
        <w:spacing w:line="360" w:lineRule="auto"/>
        <w:rPr>
          <w:rFonts w:hint="eastAsia" w:ascii="宋体" w:hAnsi="宋体" w:eastAsia="宋体" w:cs="宋体"/>
          <w:color w:val="auto"/>
          <w:szCs w:val="21"/>
          <w:highlight w:val="none"/>
        </w:rPr>
      </w:pPr>
    </w:p>
    <w:p w14:paraId="3603D11B">
      <w:pPr>
        <w:pStyle w:val="50"/>
        <w:spacing w:line="360" w:lineRule="auto"/>
        <w:rPr>
          <w:rFonts w:hint="eastAsia" w:ascii="宋体" w:hAnsi="宋体" w:eastAsia="宋体" w:cs="宋体"/>
          <w:color w:val="auto"/>
          <w:szCs w:val="21"/>
          <w:highlight w:val="none"/>
        </w:rPr>
      </w:pPr>
    </w:p>
    <w:p w14:paraId="197741E4">
      <w:pPr>
        <w:pStyle w:val="50"/>
        <w:spacing w:line="360" w:lineRule="auto"/>
        <w:rPr>
          <w:rFonts w:hint="eastAsia" w:ascii="宋体" w:hAnsi="宋体" w:eastAsia="宋体" w:cs="宋体"/>
          <w:color w:val="auto"/>
          <w:szCs w:val="21"/>
          <w:highlight w:val="none"/>
        </w:rPr>
      </w:pPr>
    </w:p>
    <w:p w14:paraId="5E36095E">
      <w:pPr>
        <w:pStyle w:val="50"/>
        <w:spacing w:line="360" w:lineRule="auto"/>
        <w:rPr>
          <w:rFonts w:hint="eastAsia" w:ascii="宋体" w:hAnsi="宋体" w:eastAsia="宋体" w:cs="宋体"/>
          <w:color w:val="auto"/>
          <w:szCs w:val="21"/>
          <w:highlight w:val="none"/>
        </w:rPr>
      </w:pPr>
    </w:p>
    <w:p w14:paraId="546CABC5">
      <w:pPr>
        <w:pStyle w:val="50"/>
        <w:spacing w:line="360" w:lineRule="auto"/>
        <w:rPr>
          <w:rFonts w:hint="eastAsia" w:ascii="宋体" w:hAnsi="宋体" w:eastAsia="宋体" w:cs="宋体"/>
          <w:color w:val="auto"/>
          <w:szCs w:val="21"/>
          <w:highlight w:val="none"/>
        </w:rPr>
      </w:pPr>
    </w:p>
    <w:p w14:paraId="7F961319">
      <w:pPr>
        <w:pStyle w:val="50"/>
        <w:spacing w:line="360" w:lineRule="auto"/>
        <w:rPr>
          <w:rFonts w:hint="eastAsia" w:ascii="宋体" w:hAnsi="宋体" w:eastAsia="宋体" w:cs="宋体"/>
          <w:color w:val="auto"/>
          <w:szCs w:val="21"/>
          <w:highlight w:val="none"/>
        </w:rPr>
      </w:pPr>
    </w:p>
    <w:p w14:paraId="45E93E31">
      <w:pPr>
        <w:pStyle w:val="50"/>
        <w:spacing w:line="360" w:lineRule="auto"/>
        <w:rPr>
          <w:rFonts w:hint="eastAsia" w:ascii="宋体" w:hAnsi="宋体" w:eastAsia="宋体" w:cs="宋体"/>
          <w:color w:val="auto"/>
          <w:szCs w:val="21"/>
          <w:highlight w:val="none"/>
        </w:rPr>
      </w:pPr>
    </w:p>
    <w:p w14:paraId="65EDE73B">
      <w:pPr>
        <w:pStyle w:val="50"/>
        <w:spacing w:line="360" w:lineRule="auto"/>
        <w:rPr>
          <w:rFonts w:hint="eastAsia" w:ascii="宋体" w:hAnsi="宋体" w:eastAsia="宋体" w:cs="宋体"/>
          <w:color w:val="auto"/>
          <w:szCs w:val="21"/>
          <w:highlight w:val="none"/>
        </w:rPr>
      </w:pPr>
    </w:p>
    <w:p w14:paraId="7B68F69D">
      <w:pPr>
        <w:pStyle w:val="50"/>
        <w:spacing w:line="360" w:lineRule="auto"/>
        <w:rPr>
          <w:rFonts w:hint="eastAsia" w:ascii="宋体" w:hAnsi="宋体" w:eastAsia="宋体" w:cs="宋体"/>
          <w:color w:val="auto"/>
          <w:szCs w:val="21"/>
          <w:highlight w:val="none"/>
        </w:rPr>
      </w:pPr>
    </w:p>
    <w:p w14:paraId="6236DE3A">
      <w:pPr>
        <w:pStyle w:val="50"/>
        <w:spacing w:line="360" w:lineRule="auto"/>
        <w:rPr>
          <w:rFonts w:hint="eastAsia" w:ascii="宋体" w:hAnsi="宋体" w:eastAsia="宋体" w:cs="宋体"/>
          <w:color w:val="auto"/>
          <w:szCs w:val="21"/>
          <w:highlight w:val="none"/>
        </w:rPr>
      </w:pPr>
    </w:p>
    <w:p w14:paraId="38AFCC2C">
      <w:pPr>
        <w:pStyle w:val="50"/>
        <w:spacing w:line="360" w:lineRule="auto"/>
        <w:rPr>
          <w:rFonts w:hint="eastAsia" w:ascii="宋体" w:hAnsi="宋体" w:eastAsia="宋体" w:cs="宋体"/>
          <w:color w:val="auto"/>
          <w:szCs w:val="21"/>
          <w:highlight w:val="none"/>
        </w:rPr>
      </w:pPr>
    </w:p>
    <w:p w14:paraId="13EAD358">
      <w:pPr>
        <w:pStyle w:val="50"/>
        <w:spacing w:line="360" w:lineRule="auto"/>
        <w:rPr>
          <w:rFonts w:hint="eastAsia" w:ascii="宋体" w:hAnsi="宋体" w:eastAsia="宋体" w:cs="宋体"/>
          <w:color w:val="auto"/>
          <w:szCs w:val="21"/>
          <w:highlight w:val="none"/>
        </w:rPr>
      </w:pPr>
    </w:p>
    <w:p w14:paraId="25CDA5C9">
      <w:pPr>
        <w:pStyle w:val="50"/>
        <w:spacing w:line="360" w:lineRule="auto"/>
        <w:rPr>
          <w:rFonts w:hint="eastAsia" w:ascii="宋体" w:hAnsi="宋体" w:eastAsia="宋体" w:cs="宋体"/>
          <w:color w:val="auto"/>
          <w:szCs w:val="21"/>
          <w:highlight w:val="none"/>
        </w:rPr>
      </w:pPr>
    </w:p>
    <w:p w14:paraId="448B90EA">
      <w:pPr>
        <w:pStyle w:val="50"/>
        <w:spacing w:line="360" w:lineRule="auto"/>
        <w:rPr>
          <w:rFonts w:hint="eastAsia" w:ascii="宋体" w:hAnsi="宋体" w:eastAsia="宋体" w:cs="宋体"/>
          <w:color w:val="auto"/>
          <w:szCs w:val="21"/>
          <w:highlight w:val="none"/>
        </w:rPr>
      </w:pPr>
    </w:p>
    <w:p w14:paraId="364D3F1C">
      <w:pPr>
        <w:pStyle w:val="50"/>
        <w:spacing w:line="360" w:lineRule="auto"/>
        <w:rPr>
          <w:rFonts w:hint="eastAsia" w:ascii="宋体" w:hAnsi="宋体" w:eastAsia="宋体" w:cs="宋体"/>
          <w:color w:val="auto"/>
          <w:szCs w:val="21"/>
          <w:highlight w:val="none"/>
        </w:rPr>
      </w:pPr>
    </w:p>
    <w:p w14:paraId="14915ADE">
      <w:pPr>
        <w:spacing w:before="120" w:beforeLines="50" w:after="120" w:afterLines="50" w:line="440" w:lineRule="exact"/>
        <w:jc w:val="center"/>
        <w:rPr>
          <w:rFonts w:ascii="黑体" w:eastAsia="黑体"/>
          <w:color w:val="auto"/>
          <w:sz w:val="32"/>
          <w:szCs w:val="32"/>
          <w:highlight w:val="none"/>
        </w:rPr>
      </w:pPr>
      <w:r>
        <w:rPr>
          <w:rFonts w:hint="eastAsia" w:ascii="黑体" w:hAnsi="宋体" w:eastAsia="黑体" w:cs="黑体"/>
          <w:color w:val="auto"/>
          <w:sz w:val="32"/>
          <w:szCs w:val="32"/>
          <w:highlight w:val="none"/>
        </w:rPr>
        <w:t>工程质量保修书（市政公用工程）</w:t>
      </w:r>
    </w:p>
    <w:p w14:paraId="5586940E">
      <w:pPr>
        <w:spacing w:line="360" w:lineRule="auto"/>
        <w:ind w:firstLine="420" w:firstLineChars="200"/>
        <w:rPr>
          <w:rFonts w:ascii="宋体"/>
          <w:color w:val="auto"/>
          <w:highlight w:val="none"/>
        </w:rPr>
      </w:pPr>
      <w:r>
        <w:rPr>
          <w:rFonts w:hint="eastAsia" w:ascii="宋体" w:hAnsi="宋体" w:cs="宋体"/>
          <w:color w:val="auto"/>
          <w:highlight w:val="none"/>
        </w:rPr>
        <w:t>发包人（全称）：</w:t>
      </w:r>
      <w:r>
        <w:rPr>
          <w:rFonts w:ascii="宋体" w:hAnsi="宋体" w:cs="宋体"/>
          <w:color w:val="auto"/>
          <w:highlight w:val="none"/>
          <w:u w:val="single"/>
        </w:rPr>
        <w:t xml:space="preserve">                                </w:t>
      </w:r>
      <w:r>
        <w:rPr>
          <w:rFonts w:ascii="宋体" w:hAnsi="宋体" w:cs="宋体"/>
          <w:color w:val="auto"/>
          <w:highlight w:val="none"/>
        </w:rPr>
        <w:t xml:space="preserve"> </w:t>
      </w:r>
    </w:p>
    <w:p w14:paraId="4EC551C0">
      <w:pPr>
        <w:spacing w:line="360" w:lineRule="auto"/>
        <w:ind w:firstLine="420" w:firstLineChars="200"/>
        <w:rPr>
          <w:rFonts w:ascii="宋体"/>
          <w:color w:val="auto"/>
          <w:highlight w:val="none"/>
        </w:rPr>
      </w:pPr>
      <w:r>
        <w:rPr>
          <w:rFonts w:hint="eastAsia" w:ascii="宋体" w:hAnsi="宋体" w:cs="宋体"/>
          <w:color w:val="auto"/>
          <w:highlight w:val="none"/>
        </w:rPr>
        <w:t>承包人（全称）：</w:t>
      </w:r>
      <w:r>
        <w:rPr>
          <w:rFonts w:ascii="宋体" w:hAnsi="宋体" w:cs="宋体"/>
          <w:color w:val="auto"/>
          <w:highlight w:val="none"/>
          <w:u w:val="single"/>
        </w:rPr>
        <w:t xml:space="preserve">                                </w:t>
      </w:r>
      <w:r>
        <w:rPr>
          <w:rFonts w:ascii="宋体" w:hAnsi="宋体" w:cs="宋体"/>
          <w:color w:val="auto"/>
          <w:highlight w:val="none"/>
        </w:rPr>
        <w:t xml:space="preserve"> </w:t>
      </w:r>
    </w:p>
    <w:p w14:paraId="421A231C">
      <w:pPr>
        <w:spacing w:line="360" w:lineRule="auto"/>
        <w:rPr>
          <w:rFonts w:ascii="宋体"/>
          <w:color w:val="auto"/>
          <w:highlight w:val="none"/>
        </w:rPr>
      </w:pPr>
    </w:p>
    <w:p w14:paraId="4F40B342">
      <w:pPr>
        <w:spacing w:line="360" w:lineRule="auto"/>
        <w:ind w:firstLine="420"/>
        <w:rPr>
          <w:rFonts w:ascii="宋体"/>
          <w:color w:val="auto"/>
          <w:highlight w:val="none"/>
        </w:rPr>
      </w:pPr>
      <w:r>
        <w:rPr>
          <w:rFonts w:hint="eastAsia" w:ascii="宋体" w:hAnsi="宋体" w:cs="宋体"/>
          <w:color w:val="auto"/>
          <w:highlight w:val="none"/>
        </w:rPr>
        <w:t>发包人和承包人根据《中华人民共和国建筑法》和《建设工程质量管理条例》，经协商一致就</w:t>
      </w:r>
      <w:r>
        <w:rPr>
          <w:rFonts w:ascii="宋体" w:hAnsi="宋体" w:cs="宋体"/>
          <w:color w:val="auto"/>
          <w:highlight w:val="none"/>
          <w:u w:val="single"/>
        </w:rPr>
        <w:t xml:space="preserve">                                     </w:t>
      </w:r>
      <w:r>
        <w:rPr>
          <w:rFonts w:hint="eastAsia" w:ascii="宋体" w:hAnsi="宋体" w:cs="宋体"/>
          <w:color w:val="auto"/>
          <w:highlight w:val="none"/>
        </w:rPr>
        <w:t>（工程全称）签订工程质量保修书。</w:t>
      </w:r>
    </w:p>
    <w:p w14:paraId="038AED22">
      <w:pPr>
        <w:spacing w:line="360" w:lineRule="auto"/>
        <w:ind w:firstLine="420" w:firstLineChars="200"/>
        <w:rPr>
          <w:rFonts w:ascii="黑体" w:hAnsi="宋体" w:eastAsia="黑体"/>
          <w:color w:val="auto"/>
          <w:highlight w:val="none"/>
        </w:rPr>
      </w:pPr>
      <w:r>
        <w:rPr>
          <w:rFonts w:hint="eastAsia" w:ascii="黑体" w:hAnsi="宋体" w:eastAsia="黑体" w:cs="黑体"/>
          <w:color w:val="auto"/>
          <w:highlight w:val="none"/>
        </w:rPr>
        <w:t>一、工程质量保修范围和内容</w:t>
      </w:r>
    </w:p>
    <w:p w14:paraId="2DDF1685">
      <w:pPr>
        <w:spacing w:line="360" w:lineRule="auto"/>
        <w:ind w:firstLine="420" w:firstLineChars="200"/>
        <w:rPr>
          <w:rFonts w:ascii="宋体"/>
          <w:color w:val="auto"/>
          <w:highlight w:val="none"/>
        </w:rPr>
      </w:pPr>
      <w:r>
        <w:rPr>
          <w:rFonts w:hint="eastAsia" w:ascii="宋体" w:hAnsi="宋体" w:cs="宋体"/>
          <w:color w:val="auto"/>
          <w:highlight w:val="none"/>
        </w:rPr>
        <w:t>承包人在质量保修期内，按照有关法律规定和合同约定，承担工程质量保修责任。</w:t>
      </w:r>
    </w:p>
    <w:p w14:paraId="64306CDA">
      <w:pPr>
        <w:spacing w:line="360" w:lineRule="auto"/>
        <w:ind w:firstLine="420" w:firstLineChars="200"/>
        <w:rPr>
          <w:rFonts w:ascii="宋体"/>
          <w:color w:val="auto"/>
          <w:highlight w:val="none"/>
        </w:rPr>
      </w:pPr>
      <w:r>
        <w:rPr>
          <w:rFonts w:hint="eastAsia" w:ascii="宋体" w:hAnsi="宋体" w:cs="宋体"/>
          <w:color w:val="auto"/>
          <w:highlight w:val="none"/>
        </w:rPr>
        <w:t>质量保修范围包括</w:t>
      </w:r>
      <w:r>
        <w:rPr>
          <w:rFonts w:ascii="宋体" w:hAnsi="宋体" w:cs="宋体"/>
          <w:color w:val="auto"/>
          <w:highlight w:val="none"/>
          <w:u w:val="single"/>
        </w:rPr>
        <w:t xml:space="preserve">                                </w:t>
      </w:r>
      <w:r>
        <w:rPr>
          <w:rFonts w:hint="eastAsia" w:ascii="宋体" w:hAnsi="宋体" w:cs="宋体"/>
          <w:color w:val="auto"/>
          <w:highlight w:val="none"/>
        </w:rPr>
        <w:t>，以及双方约定的其他项目。具体保修的内容，双方约定如下：</w:t>
      </w:r>
    </w:p>
    <w:p w14:paraId="4E4FC975">
      <w:pPr>
        <w:spacing w:line="360" w:lineRule="auto"/>
        <w:ind w:firstLine="420" w:firstLineChars="200"/>
        <w:rPr>
          <w:rFonts w:ascii="宋体"/>
          <w:color w:val="auto"/>
          <w:highlight w:val="none"/>
        </w:rPr>
      </w:pPr>
      <w:r>
        <w:rPr>
          <w:rFonts w:ascii="宋体" w:hAnsi="宋体" w:cs="宋体"/>
          <w:color w:val="auto"/>
          <w:highlight w:val="none"/>
          <w:u w:val="single"/>
        </w:rPr>
        <w:t xml:space="preserve">                                                                                                                                                              </w:t>
      </w:r>
      <w:r>
        <w:rPr>
          <w:rFonts w:hint="eastAsia" w:ascii="宋体" w:hAnsi="宋体" w:cs="宋体"/>
          <w:color w:val="auto"/>
          <w:highlight w:val="none"/>
        </w:rPr>
        <w:t>。</w:t>
      </w:r>
    </w:p>
    <w:p w14:paraId="7EC96150">
      <w:pPr>
        <w:spacing w:line="360" w:lineRule="auto"/>
        <w:ind w:firstLine="420" w:firstLineChars="200"/>
        <w:rPr>
          <w:rFonts w:ascii="黑体" w:hAnsi="宋体" w:eastAsia="黑体"/>
          <w:color w:val="auto"/>
          <w:highlight w:val="none"/>
        </w:rPr>
      </w:pPr>
      <w:r>
        <w:rPr>
          <w:rFonts w:hint="eastAsia" w:ascii="黑体" w:hAnsi="宋体" w:eastAsia="黑体" w:cs="黑体"/>
          <w:color w:val="auto"/>
          <w:highlight w:val="none"/>
        </w:rPr>
        <w:t>二、质量保修期</w:t>
      </w:r>
    </w:p>
    <w:p w14:paraId="6AD4C1E0">
      <w:pPr>
        <w:spacing w:line="360" w:lineRule="auto"/>
        <w:ind w:firstLine="420" w:firstLineChars="200"/>
        <w:rPr>
          <w:rFonts w:ascii="宋体"/>
          <w:color w:val="auto"/>
          <w:highlight w:val="none"/>
        </w:rPr>
      </w:pPr>
      <w:r>
        <w:rPr>
          <w:rFonts w:hint="eastAsia" w:ascii="宋体" w:hAnsi="宋体" w:cs="宋体"/>
          <w:color w:val="auto"/>
          <w:highlight w:val="none"/>
        </w:rPr>
        <w:t>根据《建设工程质量管理条例》及有关规定，工程的质量保修期如下：</w:t>
      </w:r>
    </w:p>
    <w:p w14:paraId="24F0EA1D">
      <w:pPr>
        <w:spacing w:line="360" w:lineRule="auto"/>
        <w:ind w:firstLine="426"/>
        <w:rPr>
          <w:color w:val="auto"/>
          <w:highlight w:val="none"/>
        </w:rPr>
      </w:pPr>
      <w:r>
        <w:rPr>
          <w:rFonts w:ascii="宋体" w:hAnsi="宋体" w:cs="宋体"/>
          <w:color w:val="auto"/>
          <w:highlight w:val="none"/>
        </w:rPr>
        <w:t>1</w:t>
      </w:r>
      <w:r>
        <w:rPr>
          <w:rFonts w:hint="eastAsia" w:ascii="宋体" w:hAnsi="宋体" w:cs="宋体"/>
          <w:color w:val="auto"/>
          <w:highlight w:val="none"/>
        </w:rPr>
        <w:t>．</w:t>
      </w:r>
      <w:r>
        <w:rPr>
          <w:rFonts w:hint="eastAsia" w:cs="宋体"/>
          <w:color w:val="auto"/>
          <w:highlight w:val="none"/>
        </w:rPr>
        <w:t>桥梁工程为</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cs="宋体"/>
          <w:color w:val="auto"/>
          <w:highlight w:val="none"/>
        </w:rPr>
        <w:t>年（建议桥梁隧道主体结构工程为设计文件规定的合理使用年限）；</w:t>
      </w:r>
    </w:p>
    <w:p w14:paraId="684B5D20">
      <w:pPr>
        <w:spacing w:line="360" w:lineRule="auto"/>
        <w:ind w:firstLine="426"/>
        <w:rPr>
          <w:color w:val="auto"/>
          <w:highlight w:val="none"/>
        </w:rPr>
      </w:pPr>
      <w:r>
        <w:rPr>
          <w:color w:val="auto"/>
          <w:highlight w:val="none"/>
        </w:rPr>
        <w:t>2</w:t>
      </w:r>
      <w:r>
        <w:rPr>
          <w:rFonts w:hint="eastAsia" w:ascii="宋体" w:hAnsi="宋体" w:cs="宋体"/>
          <w:color w:val="auto"/>
          <w:highlight w:val="none"/>
        </w:rPr>
        <w:t>．</w:t>
      </w:r>
      <w:r>
        <w:rPr>
          <w:rFonts w:hint="eastAsia" w:cs="宋体"/>
          <w:color w:val="auto"/>
          <w:highlight w:val="none"/>
        </w:rPr>
        <w:t>道路工程为</w:t>
      </w:r>
      <w:r>
        <w:rPr>
          <w:color w:val="auto"/>
          <w:highlight w:val="none"/>
          <w:u w:val="single"/>
        </w:rPr>
        <w:t xml:space="preserve">  </w:t>
      </w:r>
      <w:r>
        <w:rPr>
          <w:rFonts w:hint="eastAsia"/>
          <w:color w:val="auto"/>
          <w:highlight w:val="none"/>
          <w:u w:val="single"/>
          <w:lang w:val="en-US" w:eastAsia="zh-CN"/>
        </w:rPr>
        <w:t>2</w:t>
      </w:r>
      <w:r>
        <w:rPr>
          <w:color w:val="auto"/>
          <w:highlight w:val="none"/>
          <w:u w:val="single"/>
        </w:rPr>
        <w:t xml:space="preserve">   </w:t>
      </w:r>
      <w:r>
        <w:rPr>
          <w:rFonts w:hint="eastAsia" w:cs="宋体"/>
          <w:color w:val="auto"/>
          <w:highlight w:val="none"/>
        </w:rPr>
        <w:t>年（建议路基、路面、桥面为</w:t>
      </w:r>
      <w:r>
        <w:rPr>
          <w:color w:val="auto"/>
          <w:highlight w:val="none"/>
        </w:rPr>
        <w:t>2</w:t>
      </w:r>
      <w:r>
        <w:rPr>
          <w:rFonts w:hint="eastAsia" w:cs="宋体"/>
          <w:color w:val="auto"/>
          <w:highlight w:val="none"/>
        </w:rPr>
        <w:t>年）；</w:t>
      </w:r>
    </w:p>
    <w:p w14:paraId="64AAFA10">
      <w:pPr>
        <w:spacing w:line="360" w:lineRule="auto"/>
        <w:ind w:firstLine="426"/>
        <w:rPr>
          <w:color w:val="auto"/>
          <w:highlight w:val="none"/>
        </w:rPr>
      </w:pPr>
      <w:r>
        <w:rPr>
          <w:color w:val="auto"/>
          <w:highlight w:val="none"/>
        </w:rPr>
        <w:t>3</w:t>
      </w:r>
      <w:r>
        <w:rPr>
          <w:rFonts w:hint="eastAsia" w:ascii="宋体" w:hAnsi="宋体" w:cs="宋体"/>
          <w:color w:val="auto"/>
          <w:highlight w:val="none"/>
        </w:rPr>
        <w:t>．</w:t>
      </w:r>
      <w:r>
        <w:rPr>
          <w:rFonts w:hint="eastAsia" w:cs="宋体"/>
          <w:color w:val="auto"/>
          <w:highlight w:val="none"/>
        </w:rPr>
        <w:t>排水（雨水）工程为</w:t>
      </w:r>
      <w:r>
        <w:rPr>
          <w:color w:val="auto"/>
          <w:highlight w:val="none"/>
          <w:u w:val="single"/>
        </w:rPr>
        <w:t xml:space="preserve">   </w:t>
      </w:r>
      <w:r>
        <w:rPr>
          <w:rFonts w:hint="eastAsia"/>
          <w:color w:val="auto"/>
          <w:highlight w:val="none"/>
          <w:u w:val="single"/>
          <w:lang w:val="en-US" w:eastAsia="zh-CN"/>
        </w:rPr>
        <w:t>3</w:t>
      </w:r>
      <w:r>
        <w:rPr>
          <w:color w:val="auto"/>
          <w:highlight w:val="none"/>
          <w:u w:val="single"/>
        </w:rPr>
        <w:t xml:space="preserve">  </w:t>
      </w:r>
      <w:r>
        <w:rPr>
          <w:rFonts w:hint="eastAsia" w:cs="宋体"/>
          <w:color w:val="auto"/>
          <w:highlight w:val="none"/>
        </w:rPr>
        <w:t>年（建议道路工程中的排水工程为</w:t>
      </w:r>
      <w:r>
        <w:rPr>
          <w:color w:val="auto"/>
          <w:highlight w:val="none"/>
        </w:rPr>
        <w:t>3</w:t>
      </w:r>
      <w:r>
        <w:rPr>
          <w:rFonts w:hint="eastAsia" w:cs="宋体"/>
          <w:color w:val="auto"/>
          <w:highlight w:val="none"/>
        </w:rPr>
        <w:t>年）；</w:t>
      </w:r>
    </w:p>
    <w:p w14:paraId="33031C1A">
      <w:pPr>
        <w:spacing w:line="360" w:lineRule="auto"/>
        <w:ind w:firstLine="426"/>
        <w:rPr>
          <w:color w:val="auto"/>
          <w:highlight w:val="none"/>
        </w:rPr>
      </w:pPr>
      <w:r>
        <w:rPr>
          <w:color w:val="auto"/>
          <w:highlight w:val="none"/>
        </w:rPr>
        <w:t>4</w:t>
      </w:r>
      <w:r>
        <w:rPr>
          <w:rFonts w:hint="eastAsia" w:ascii="宋体" w:hAnsi="宋体" w:cs="宋体"/>
          <w:color w:val="auto"/>
          <w:highlight w:val="none"/>
        </w:rPr>
        <w:t>．</w:t>
      </w:r>
      <w:r>
        <w:rPr>
          <w:rFonts w:hint="eastAsia" w:cs="宋体"/>
          <w:color w:val="auto"/>
          <w:highlight w:val="none"/>
        </w:rPr>
        <w:t>绿化工程为</w:t>
      </w:r>
      <w:r>
        <w:rPr>
          <w:color w:val="auto"/>
          <w:highlight w:val="none"/>
        </w:rPr>
        <w:t xml:space="preserve"> </w:t>
      </w:r>
      <w:r>
        <w:rPr>
          <w:rFonts w:hint="eastAsia" w:cs="宋体"/>
          <w:color w:val="auto"/>
          <w:highlight w:val="none"/>
          <w:u w:val="single"/>
        </w:rPr>
        <w:t>单位工程竣工验收合格后</w:t>
      </w:r>
      <w:r>
        <w:rPr>
          <w:rFonts w:hint="eastAsia"/>
          <w:color w:val="auto"/>
          <w:highlight w:val="none"/>
          <w:u w:val="single"/>
          <w:lang w:val="en-US" w:eastAsia="zh-CN"/>
        </w:rPr>
        <w:t>2</w:t>
      </w:r>
      <w:r>
        <w:rPr>
          <w:rFonts w:hint="eastAsia" w:cs="宋体"/>
          <w:color w:val="auto"/>
          <w:highlight w:val="none"/>
          <w:u w:val="single"/>
        </w:rPr>
        <w:t>年</w:t>
      </w:r>
      <w:r>
        <w:rPr>
          <w:rFonts w:hint="eastAsia" w:cs="宋体"/>
          <w:color w:val="auto"/>
          <w:highlight w:val="none"/>
        </w:rPr>
        <w:t>；</w:t>
      </w:r>
    </w:p>
    <w:p w14:paraId="44DD9ED5">
      <w:pPr>
        <w:spacing w:line="360" w:lineRule="auto"/>
        <w:ind w:firstLine="426"/>
        <w:rPr>
          <w:color w:val="auto"/>
          <w:highlight w:val="none"/>
        </w:rPr>
      </w:pPr>
      <w:r>
        <w:rPr>
          <w:color w:val="auto"/>
          <w:highlight w:val="none"/>
        </w:rPr>
        <w:t xml:space="preserve">5.  </w:t>
      </w:r>
      <w:r>
        <w:rPr>
          <w:rFonts w:hint="eastAsia" w:cs="宋体"/>
          <w:color w:val="auto"/>
          <w:highlight w:val="none"/>
        </w:rPr>
        <w:t>地下防水工程为</w:t>
      </w:r>
      <w:r>
        <w:rPr>
          <w:color w:val="auto"/>
          <w:highlight w:val="none"/>
          <w:u w:val="single"/>
        </w:rPr>
        <w:t xml:space="preserve">   </w:t>
      </w:r>
      <w:r>
        <w:rPr>
          <w:rFonts w:hint="eastAsia"/>
          <w:color w:val="auto"/>
          <w:highlight w:val="none"/>
          <w:u w:val="single"/>
          <w:lang w:val="en-US" w:eastAsia="zh-CN"/>
        </w:rPr>
        <w:t>5</w:t>
      </w:r>
      <w:r>
        <w:rPr>
          <w:color w:val="auto"/>
          <w:highlight w:val="none"/>
          <w:u w:val="single"/>
        </w:rPr>
        <w:t xml:space="preserve">  </w:t>
      </w:r>
      <w:r>
        <w:rPr>
          <w:rFonts w:hint="eastAsia" w:cs="宋体"/>
          <w:color w:val="auto"/>
          <w:highlight w:val="none"/>
        </w:rPr>
        <w:t>年（建议为</w:t>
      </w:r>
      <w:r>
        <w:rPr>
          <w:color w:val="auto"/>
          <w:highlight w:val="none"/>
        </w:rPr>
        <w:t>5</w:t>
      </w:r>
      <w:r>
        <w:rPr>
          <w:rFonts w:hint="eastAsia" w:cs="宋体"/>
          <w:color w:val="auto"/>
          <w:highlight w:val="none"/>
        </w:rPr>
        <w:t>年）；</w:t>
      </w:r>
    </w:p>
    <w:p w14:paraId="5868AC80">
      <w:pPr>
        <w:spacing w:line="360" w:lineRule="auto"/>
        <w:ind w:firstLine="426"/>
        <w:rPr>
          <w:color w:val="auto"/>
          <w:highlight w:val="none"/>
        </w:rPr>
      </w:pPr>
      <w:r>
        <w:rPr>
          <w:color w:val="auto"/>
          <w:highlight w:val="none"/>
        </w:rPr>
        <w:t>6</w:t>
      </w:r>
      <w:r>
        <w:rPr>
          <w:rFonts w:hint="eastAsia" w:ascii="宋体" w:hAnsi="宋体" w:cs="宋体"/>
          <w:color w:val="auto"/>
          <w:highlight w:val="none"/>
        </w:rPr>
        <w:t>．</w:t>
      </w:r>
      <w:r>
        <w:rPr>
          <w:rFonts w:hint="eastAsia" w:cs="宋体"/>
          <w:color w:val="auto"/>
          <w:highlight w:val="none"/>
        </w:rPr>
        <w:t>其他附属工程为</w:t>
      </w:r>
      <w:r>
        <w:rPr>
          <w:color w:val="auto"/>
          <w:highlight w:val="none"/>
          <w:u w:val="single"/>
        </w:rPr>
        <w:t xml:space="preserve">   </w:t>
      </w:r>
      <w:r>
        <w:rPr>
          <w:rFonts w:hint="eastAsia"/>
          <w:color w:val="auto"/>
          <w:highlight w:val="none"/>
          <w:u w:val="single"/>
          <w:lang w:val="en-US" w:eastAsia="zh-CN"/>
        </w:rPr>
        <w:t>2</w:t>
      </w:r>
      <w:r>
        <w:rPr>
          <w:color w:val="auto"/>
          <w:highlight w:val="none"/>
          <w:u w:val="single"/>
        </w:rPr>
        <w:t xml:space="preserve">   </w:t>
      </w:r>
      <w:r>
        <w:rPr>
          <w:rFonts w:hint="eastAsia" w:cs="宋体"/>
          <w:color w:val="auto"/>
          <w:highlight w:val="none"/>
        </w:rPr>
        <w:t>年；</w:t>
      </w:r>
    </w:p>
    <w:p w14:paraId="1C7D64BD">
      <w:pPr>
        <w:spacing w:line="360" w:lineRule="auto"/>
        <w:ind w:firstLine="420" w:firstLineChars="200"/>
        <w:rPr>
          <w:rFonts w:ascii="宋体"/>
          <w:color w:val="auto"/>
          <w:highlight w:val="none"/>
        </w:rPr>
      </w:pPr>
      <w:r>
        <w:rPr>
          <w:rFonts w:ascii="宋体" w:hAnsi="宋体" w:cs="宋体"/>
          <w:color w:val="auto"/>
          <w:highlight w:val="none"/>
        </w:rPr>
        <w:t>7</w:t>
      </w:r>
      <w:r>
        <w:rPr>
          <w:rFonts w:hint="eastAsia" w:ascii="宋体" w:hAnsi="宋体" w:cs="宋体"/>
          <w:color w:val="auto"/>
          <w:highlight w:val="none"/>
        </w:rPr>
        <w:t>．其他项目保修期限约定如下：</w:t>
      </w:r>
    </w:p>
    <w:p w14:paraId="4E5B1A4C">
      <w:pPr>
        <w:spacing w:line="360" w:lineRule="auto"/>
        <w:ind w:firstLine="420" w:firstLineChars="200"/>
        <w:rPr>
          <w:rFonts w:ascii="宋体"/>
          <w:color w:val="auto"/>
          <w:highlight w:val="none"/>
        </w:rPr>
      </w:pPr>
      <w:r>
        <w:rPr>
          <w:rFonts w:ascii="宋体" w:hAnsi="宋体" w:cs="宋体"/>
          <w:color w:val="auto"/>
          <w:highlight w:val="none"/>
          <w:u w:val="single"/>
        </w:rPr>
        <w:t xml:space="preserve">                                                                    </w:t>
      </w:r>
      <w:r>
        <w:rPr>
          <w:rFonts w:hint="eastAsia" w:ascii="宋体" w:hAnsi="宋体" w:cs="宋体"/>
          <w:color w:val="auto"/>
          <w:highlight w:val="none"/>
        </w:rPr>
        <w:t>。</w:t>
      </w:r>
    </w:p>
    <w:p w14:paraId="58CB20D9">
      <w:pPr>
        <w:spacing w:line="360" w:lineRule="auto"/>
        <w:ind w:firstLine="420" w:firstLineChars="200"/>
        <w:rPr>
          <w:rFonts w:ascii="宋体"/>
          <w:color w:val="auto"/>
          <w:highlight w:val="none"/>
        </w:rPr>
      </w:pPr>
      <w:r>
        <w:rPr>
          <w:rFonts w:hint="eastAsia" w:ascii="宋体" w:hAnsi="宋体" w:cs="宋体"/>
          <w:color w:val="auto"/>
          <w:highlight w:val="none"/>
        </w:rPr>
        <w:t>质量保修期自工程竣工验收合格之日起计算。</w:t>
      </w:r>
    </w:p>
    <w:p w14:paraId="63127784">
      <w:pPr>
        <w:spacing w:line="360" w:lineRule="auto"/>
        <w:ind w:firstLine="420" w:firstLineChars="200"/>
        <w:rPr>
          <w:rFonts w:ascii="黑体" w:hAnsi="宋体" w:eastAsia="黑体"/>
          <w:color w:val="auto"/>
          <w:highlight w:val="none"/>
        </w:rPr>
      </w:pPr>
      <w:r>
        <w:rPr>
          <w:rFonts w:hint="eastAsia" w:ascii="黑体" w:hAnsi="宋体" w:eastAsia="黑体" w:cs="黑体"/>
          <w:color w:val="auto"/>
          <w:highlight w:val="none"/>
        </w:rPr>
        <w:t>三、缺陷责任期</w:t>
      </w:r>
    </w:p>
    <w:p w14:paraId="5F750B7A">
      <w:pPr>
        <w:spacing w:line="360" w:lineRule="auto"/>
        <w:ind w:firstLine="420" w:firstLineChars="200"/>
        <w:rPr>
          <w:rFonts w:ascii="宋体"/>
          <w:color w:val="auto"/>
          <w:highlight w:val="none"/>
        </w:rPr>
      </w:pPr>
      <w:r>
        <w:rPr>
          <w:rFonts w:hint="eastAsia" w:ascii="宋体" w:hAnsi="宋体" w:cs="宋体"/>
          <w:color w:val="auto"/>
          <w:highlight w:val="none"/>
        </w:rPr>
        <w:t>工程缺陷责任期为</w:t>
      </w:r>
      <w:r>
        <w:rPr>
          <w:rFonts w:ascii="宋体" w:hAnsi="宋体" w:cs="宋体"/>
          <w:color w:val="auto"/>
          <w:highlight w:val="none"/>
          <w:u w:val="single"/>
        </w:rPr>
        <w:t xml:space="preserve"> </w:t>
      </w:r>
      <w:r>
        <w:rPr>
          <w:rFonts w:hint="eastAsia" w:ascii="宋体" w:hAnsi="宋体" w:cs="宋体"/>
          <w:color w:val="auto"/>
          <w:highlight w:val="none"/>
          <w:u w:val="single"/>
          <w:lang w:val="en-US" w:eastAsia="zh-CN"/>
        </w:rPr>
        <w:t>24</w:t>
      </w:r>
      <w:r>
        <w:rPr>
          <w:rFonts w:ascii="宋体" w:hAnsi="宋体" w:cs="宋体"/>
          <w:color w:val="auto"/>
          <w:highlight w:val="none"/>
          <w:u w:val="single"/>
        </w:rPr>
        <w:t xml:space="preserve">  </w:t>
      </w:r>
      <w:r>
        <w:rPr>
          <w:rFonts w:hint="eastAsia" w:ascii="宋体" w:hAnsi="宋体" w:cs="宋体"/>
          <w:color w:val="auto"/>
          <w:highlight w:val="none"/>
        </w:rPr>
        <w:t>个月</w:t>
      </w:r>
      <w:r>
        <w:rPr>
          <w:rFonts w:hint="eastAsia" w:hAnsi="宋体" w:cs="宋体"/>
          <w:color w:val="auto"/>
          <w:highlight w:val="none"/>
        </w:rPr>
        <w:t>（最长不超过</w:t>
      </w:r>
      <w:r>
        <w:rPr>
          <w:rFonts w:hAnsi="宋体"/>
          <w:color w:val="auto"/>
          <w:highlight w:val="none"/>
        </w:rPr>
        <w:t>24</w:t>
      </w:r>
      <w:r>
        <w:rPr>
          <w:rFonts w:hint="eastAsia" w:hAnsi="宋体" w:cs="宋体"/>
          <w:color w:val="auto"/>
          <w:highlight w:val="none"/>
        </w:rPr>
        <w:t>个月）</w:t>
      </w:r>
      <w:r>
        <w:rPr>
          <w:rFonts w:hint="eastAsia" w:ascii="宋体" w:hAnsi="宋体" w:cs="宋体"/>
          <w:color w:val="auto"/>
          <w:highlight w:val="none"/>
        </w:rPr>
        <w:t>，缺陷责任期自工程竣工验收合格之日起计算。单位工程先于全部工程进行验收，单位工程缺陷责任期自单位工程验收合格之日起算。</w:t>
      </w:r>
    </w:p>
    <w:p w14:paraId="6F752038">
      <w:pPr>
        <w:spacing w:line="360" w:lineRule="auto"/>
        <w:ind w:firstLine="420" w:firstLineChars="200"/>
        <w:rPr>
          <w:rFonts w:ascii="宋体"/>
          <w:color w:val="auto"/>
          <w:highlight w:val="none"/>
        </w:rPr>
      </w:pPr>
      <w:r>
        <w:rPr>
          <w:rFonts w:hint="eastAsia" w:ascii="宋体" w:hAnsi="宋体" w:cs="宋体"/>
          <w:color w:val="auto"/>
          <w:highlight w:val="none"/>
        </w:rPr>
        <w:t>缺陷责任期</w:t>
      </w:r>
      <w:r>
        <w:rPr>
          <w:rFonts w:hint="eastAsia" w:hAnsi="宋体" w:cs="宋体"/>
          <w:color w:val="auto"/>
          <w:highlight w:val="none"/>
          <w:u w:val="single"/>
        </w:rPr>
        <w:t>满</w:t>
      </w:r>
      <w:r>
        <w:rPr>
          <w:rFonts w:hint="eastAsia" w:ascii="仿宋_GB2312" w:hAnsi="宋体"/>
          <w:color w:val="auto"/>
          <w:highlight w:val="none"/>
        </w:rPr>
        <w:t>之日起</w:t>
      </w:r>
      <w:r>
        <w:rPr>
          <w:rFonts w:hint="eastAsia" w:ascii="仿宋_GB2312" w:hAnsi="宋体"/>
          <w:color w:val="auto"/>
          <w:highlight w:val="none"/>
          <w:u w:val="single"/>
        </w:rPr>
        <w:t xml:space="preserve"> </w:t>
      </w:r>
      <w:r>
        <w:rPr>
          <w:rFonts w:ascii="仿宋_GB2312" w:hAnsi="宋体"/>
          <w:color w:val="auto"/>
          <w:highlight w:val="none"/>
          <w:u w:val="single"/>
        </w:rPr>
        <w:t xml:space="preserve"> </w:t>
      </w:r>
      <w:r>
        <w:rPr>
          <w:rFonts w:hint="eastAsia" w:ascii="仿宋_GB2312" w:hAnsi="宋体"/>
          <w:color w:val="auto"/>
          <w:highlight w:val="none"/>
          <w:u w:val="single"/>
          <w:lang w:val="en-US" w:eastAsia="zh-CN"/>
        </w:rPr>
        <w:t>28</w:t>
      </w:r>
      <w:r>
        <w:rPr>
          <w:rFonts w:ascii="仿宋_GB2312" w:hAnsi="宋体"/>
          <w:color w:val="auto"/>
          <w:highlight w:val="none"/>
          <w:u w:val="single"/>
        </w:rPr>
        <w:t xml:space="preserve"> </w:t>
      </w:r>
      <w:r>
        <w:rPr>
          <w:rFonts w:hint="eastAsia" w:ascii="仿宋_GB2312" w:hAnsi="宋体"/>
          <w:color w:val="auto"/>
          <w:highlight w:val="none"/>
          <w:u w:val="single"/>
        </w:rPr>
        <w:t xml:space="preserve"> </w:t>
      </w:r>
      <w:r>
        <w:rPr>
          <w:rFonts w:hint="eastAsia" w:ascii="仿宋_GB2312" w:hAnsi="宋体"/>
          <w:color w:val="auto"/>
          <w:highlight w:val="none"/>
        </w:rPr>
        <w:t>天</w:t>
      </w:r>
      <w:r>
        <w:rPr>
          <w:rFonts w:hint="eastAsia" w:hAnsi="宋体" w:cs="宋体"/>
          <w:color w:val="auto"/>
          <w:highlight w:val="none"/>
          <w:u w:val="single"/>
        </w:rPr>
        <w:t>（按</w:t>
      </w:r>
      <w:r>
        <w:rPr>
          <w:rFonts w:hAnsi="宋体" w:cs="宋体"/>
          <w:color w:val="auto"/>
          <w:highlight w:val="none"/>
          <w:u w:val="single"/>
        </w:rPr>
        <w:t>合同约定期限）</w:t>
      </w:r>
      <w:r>
        <w:rPr>
          <w:rFonts w:hint="eastAsia" w:hAnsi="宋体" w:cs="宋体"/>
          <w:color w:val="auto"/>
          <w:highlight w:val="none"/>
          <w:u w:val="single"/>
        </w:rPr>
        <w:t>，</w:t>
      </w:r>
      <w:r>
        <w:rPr>
          <w:rFonts w:hint="eastAsia" w:ascii="宋体" w:hAnsi="宋体" w:cs="宋体"/>
          <w:color w:val="auto"/>
          <w:highlight w:val="none"/>
        </w:rPr>
        <w:t>发包人应退还剩余的质量保证金。</w:t>
      </w:r>
    </w:p>
    <w:p w14:paraId="42D63046">
      <w:pPr>
        <w:spacing w:line="360" w:lineRule="auto"/>
        <w:ind w:firstLine="420" w:firstLineChars="200"/>
        <w:rPr>
          <w:rFonts w:ascii="黑体" w:hAnsi="宋体" w:eastAsia="黑体"/>
          <w:color w:val="auto"/>
          <w:highlight w:val="none"/>
        </w:rPr>
      </w:pPr>
      <w:r>
        <w:rPr>
          <w:rFonts w:hint="eastAsia" w:ascii="黑体" w:hAnsi="宋体" w:eastAsia="黑体" w:cs="黑体"/>
          <w:color w:val="auto"/>
          <w:highlight w:val="none"/>
        </w:rPr>
        <w:t>四、质量保修责任</w:t>
      </w:r>
    </w:p>
    <w:p w14:paraId="5252AEE2">
      <w:pPr>
        <w:spacing w:line="360" w:lineRule="auto"/>
        <w:ind w:firstLine="420" w:firstLineChars="200"/>
        <w:rPr>
          <w:rFonts w:ascii="宋体"/>
          <w:color w:val="auto"/>
          <w:highlight w:val="none"/>
        </w:rPr>
      </w:pPr>
      <w:r>
        <w:rPr>
          <w:rFonts w:ascii="宋体" w:hAnsi="宋体" w:cs="宋体"/>
          <w:color w:val="auto"/>
          <w:highlight w:val="none"/>
        </w:rPr>
        <w:t>1</w:t>
      </w:r>
      <w:r>
        <w:rPr>
          <w:rFonts w:hint="eastAsia" w:ascii="宋体" w:hAnsi="宋体" w:cs="宋体"/>
          <w:color w:val="auto"/>
          <w:highlight w:val="none"/>
        </w:rPr>
        <w:t>．属于保修范围、内容的项目，承包人应当在接到保修通知之日起</w:t>
      </w:r>
      <w:r>
        <w:rPr>
          <w:rFonts w:ascii="宋体" w:hAnsi="宋体" w:cs="宋体"/>
          <w:color w:val="auto"/>
          <w:highlight w:val="none"/>
          <w:u w:val="single"/>
        </w:rPr>
        <w:t xml:space="preserve">   </w:t>
      </w:r>
      <w:r>
        <w:rPr>
          <w:rFonts w:hint="eastAsia" w:ascii="宋体" w:hAnsi="宋体" w:cs="宋体"/>
          <w:color w:val="auto"/>
          <w:highlight w:val="none"/>
          <w:u w:val="single"/>
          <w:lang w:val="en-US" w:eastAsia="zh-CN"/>
        </w:rPr>
        <w:t>3</w:t>
      </w:r>
      <w:r>
        <w:rPr>
          <w:rFonts w:ascii="宋体" w:hAnsi="宋体" w:cs="宋体"/>
          <w:color w:val="auto"/>
          <w:highlight w:val="none"/>
          <w:u w:val="single"/>
        </w:rPr>
        <w:t xml:space="preserve">   </w:t>
      </w:r>
      <w:r>
        <w:rPr>
          <w:rFonts w:hint="eastAsia" w:ascii="宋体" w:hAnsi="宋体" w:cs="宋体"/>
          <w:color w:val="auto"/>
          <w:highlight w:val="none"/>
        </w:rPr>
        <w:t>天内派人保修。承包人不在约定期限内派人保修的，发包人可以委托他人修理</w:t>
      </w:r>
      <w:r>
        <w:rPr>
          <w:rFonts w:hint="eastAsia" w:hAnsi="宋体" w:cs="宋体"/>
          <w:color w:val="auto"/>
          <w:highlight w:val="none"/>
        </w:rPr>
        <w:t>，修理费用从质量保证金内扣除。</w:t>
      </w:r>
    </w:p>
    <w:p w14:paraId="70BF9AF8">
      <w:pPr>
        <w:spacing w:line="360" w:lineRule="auto"/>
        <w:ind w:firstLine="420" w:firstLineChars="200"/>
        <w:rPr>
          <w:rFonts w:ascii="宋体"/>
          <w:color w:val="auto"/>
          <w:highlight w:val="none"/>
        </w:rPr>
      </w:pPr>
      <w:r>
        <w:rPr>
          <w:rFonts w:ascii="宋体" w:hAnsi="宋体" w:cs="宋体"/>
          <w:color w:val="auto"/>
          <w:highlight w:val="none"/>
        </w:rPr>
        <w:t>2</w:t>
      </w:r>
      <w:r>
        <w:rPr>
          <w:rFonts w:hint="eastAsia" w:ascii="宋体" w:hAnsi="宋体" w:cs="宋体"/>
          <w:color w:val="auto"/>
          <w:highlight w:val="none"/>
        </w:rPr>
        <w:t>．发生紧急事故需抢修的，承包人在接到事故通知后，应当立即到达事故现场抢修。</w:t>
      </w:r>
    </w:p>
    <w:p w14:paraId="265DD93B">
      <w:pPr>
        <w:spacing w:line="360" w:lineRule="auto"/>
        <w:ind w:firstLine="420" w:firstLineChars="200"/>
        <w:rPr>
          <w:rFonts w:ascii="宋体"/>
          <w:color w:val="auto"/>
          <w:highlight w:val="none"/>
        </w:rPr>
      </w:pPr>
      <w:r>
        <w:rPr>
          <w:rFonts w:ascii="宋体" w:hAnsi="宋体" w:cs="宋体"/>
          <w:color w:val="auto"/>
          <w:highlight w:val="none"/>
        </w:rPr>
        <w:t>3</w:t>
      </w:r>
      <w:r>
        <w:rPr>
          <w:rFonts w:hint="eastAsia" w:ascii="宋体" w:hAnsi="宋体" w:cs="宋体"/>
          <w:color w:val="auto"/>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6FAC2CC">
      <w:pPr>
        <w:spacing w:line="360" w:lineRule="auto"/>
        <w:ind w:firstLine="420" w:firstLineChars="200"/>
        <w:rPr>
          <w:rFonts w:ascii="宋体"/>
          <w:color w:val="auto"/>
          <w:highlight w:val="none"/>
        </w:rPr>
      </w:pPr>
      <w:r>
        <w:rPr>
          <w:rFonts w:ascii="宋体" w:hAnsi="宋体" w:cs="宋体"/>
          <w:color w:val="auto"/>
          <w:highlight w:val="none"/>
        </w:rPr>
        <w:t>4</w:t>
      </w:r>
      <w:r>
        <w:rPr>
          <w:rFonts w:hint="eastAsia" w:ascii="宋体" w:hAnsi="宋体" w:cs="宋体"/>
          <w:color w:val="auto"/>
          <w:highlight w:val="none"/>
        </w:rPr>
        <w:t>．质量保修完成后，由发包人组织验收。</w:t>
      </w:r>
    </w:p>
    <w:p w14:paraId="08FE01AD">
      <w:pPr>
        <w:spacing w:line="360" w:lineRule="auto"/>
        <w:ind w:firstLine="420" w:firstLineChars="200"/>
        <w:rPr>
          <w:rFonts w:ascii="黑体" w:hAnsi="宋体" w:eastAsia="黑体"/>
          <w:color w:val="auto"/>
          <w:highlight w:val="none"/>
        </w:rPr>
      </w:pPr>
      <w:r>
        <w:rPr>
          <w:rFonts w:hint="eastAsia" w:ascii="黑体" w:hAnsi="宋体" w:eastAsia="黑体" w:cs="黑体"/>
          <w:color w:val="auto"/>
          <w:highlight w:val="none"/>
        </w:rPr>
        <w:t>五、保修费用</w:t>
      </w:r>
    </w:p>
    <w:p w14:paraId="1D6EF9B8">
      <w:pPr>
        <w:spacing w:line="360" w:lineRule="auto"/>
        <w:ind w:firstLine="420" w:firstLineChars="200"/>
        <w:rPr>
          <w:rFonts w:ascii="宋体"/>
          <w:color w:val="auto"/>
          <w:highlight w:val="none"/>
        </w:rPr>
      </w:pPr>
      <w:r>
        <w:rPr>
          <w:rFonts w:hint="eastAsia" w:ascii="宋体" w:hAnsi="宋体" w:cs="宋体"/>
          <w:color w:val="auto"/>
          <w:highlight w:val="none"/>
        </w:rPr>
        <w:t>保修费用由造成质量缺陷的责任方承担。</w:t>
      </w:r>
    </w:p>
    <w:p w14:paraId="64AE5C61">
      <w:pPr>
        <w:spacing w:line="360" w:lineRule="auto"/>
        <w:jc w:val="left"/>
        <w:rPr>
          <w:rFonts w:ascii="宋体"/>
          <w:color w:val="auto"/>
          <w:highlight w:val="none"/>
        </w:rPr>
      </w:pPr>
      <w:r>
        <w:rPr>
          <w:rFonts w:hint="eastAsia" w:ascii="黑体" w:hAnsi="宋体" w:eastAsia="黑体" w:cs="黑体"/>
          <w:color w:val="auto"/>
          <w:highlight w:val="none"/>
        </w:rPr>
        <w:t>六、双方约定的其他工程质量保修事项：</w:t>
      </w:r>
      <w:r>
        <w:rPr>
          <w:rFonts w:ascii="黑体" w:hAnsi="宋体" w:eastAsia="黑体" w:cs="黑体"/>
          <w:color w:val="auto"/>
          <w:highlight w:val="none"/>
          <w:u w:val="single"/>
        </w:rPr>
        <w:t xml:space="preserve">                                </w:t>
      </w:r>
      <w:r>
        <w:rPr>
          <w:rFonts w:ascii="宋体" w:hAnsi="宋体" w:cs="宋体"/>
          <w:color w:val="auto"/>
          <w:highlight w:val="none"/>
          <w:u w:val="single"/>
        </w:rPr>
        <w:t xml:space="preserve">  </w:t>
      </w:r>
      <w:r>
        <w:rPr>
          <w:rFonts w:hint="eastAsia" w:ascii="宋体" w:hAnsi="宋体" w:cs="宋体"/>
          <w:color w:val="auto"/>
          <w:highlight w:val="none"/>
        </w:rPr>
        <w:t>。</w:t>
      </w:r>
    </w:p>
    <w:p w14:paraId="0350D7C7">
      <w:pPr>
        <w:spacing w:line="360" w:lineRule="auto"/>
        <w:ind w:firstLine="399" w:firstLineChars="190"/>
        <w:rPr>
          <w:rFonts w:ascii="宋体"/>
          <w:color w:val="auto"/>
          <w:highlight w:val="none"/>
        </w:rPr>
      </w:pPr>
      <w:r>
        <w:rPr>
          <w:rFonts w:hint="eastAsia" w:ascii="宋体" w:hAnsi="宋体" w:cs="宋体"/>
          <w:color w:val="auto"/>
          <w:highlight w:val="none"/>
        </w:rPr>
        <w:t>工程质量保修书由发包人、承包人在工程竣工验收前共同签署，作为施工合同附件，其有效期限至保修期满。</w:t>
      </w:r>
    </w:p>
    <w:p w14:paraId="155C8EC6">
      <w:pPr>
        <w:spacing w:line="360" w:lineRule="auto"/>
        <w:ind w:firstLine="420"/>
        <w:rPr>
          <w:rFonts w:ascii="宋体"/>
          <w:color w:val="auto"/>
          <w:highlight w:val="none"/>
        </w:rPr>
      </w:pPr>
    </w:p>
    <w:p w14:paraId="5CFBDAA3">
      <w:pPr>
        <w:spacing w:line="360" w:lineRule="auto"/>
        <w:ind w:firstLine="420"/>
        <w:rPr>
          <w:rFonts w:ascii="宋体"/>
          <w:color w:val="auto"/>
          <w:highlight w:val="none"/>
        </w:rPr>
      </w:pPr>
    </w:p>
    <w:p w14:paraId="224BFBDC">
      <w:pPr>
        <w:spacing w:line="360" w:lineRule="auto"/>
        <w:rPr>
          <w:color w:val="auto"/>
          <w:highlight w:val="none"/>
        </w:rPr>
      </w:pPr>
      <w:r>
        <w:rPr>
          <w:rFonts w:hAnsi="宋体"/>
          <w:color w:val="auto"/>
          <w:highlight w:val="none"/>
        </w:rPr>
        <w:t>发包人</w:t>
      </w:r>
      <w:r>
        <w:rPr>
          <w:rFonts w:hint="eastAsia"/>
          <w:color w:val="auto"/>
          <w:highlight w:val="none"/>
        </w:rPr>
        <w:t>（</w:t>
      </w:r>
      <w:r>
        <w:rPr>
          <w:rFonts w:hAnsi="宋体"/>
          <w:color w:val="auto"/>
          <w:highlight w:val="none"/>
        </w:rPr>
        <w:t>公章</w:t>
      </w:r>
      <w:r>
        <w:rPr>
          <w:rFonts w:hint="eastAsia"/>
          <w:color w:val="auto"/>
          <w:highlight w:val="none"/>
        </w:rPr>
        <w:t>）</w:t>
      </w:r>
      <w:r>
        <w:rPr>
          <w:rFonts w:hAnsi="宋体"/>
          <w:color w:val="auto"/>
          <w:highlight w:val="non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承包人</w:t>
      </w:r>
      <w:r>
        <w:rPr>
          <w:rFonts w:hint="eastAsia"/>
          <w:color w:val="auto"/>
          <w:highlight w:val="none"/>
        </w:rPr>
        <w:t>（</w:t>
      </w:r>
      <w:r>
        <w:rPr>
          <w:rFonts w:hAnsi="宋体"/>
          <w:color w:val="auto"/>
          <w:highlight w:val="none"/>
        </w:rPr>
        <w:t>公章</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p>
    <w:p w14:paraId="555960FC">
      <w:pPr>
        <w:spacing w:line="360" w:lineRule="auto"/>
        <w:rPr>
          <w:color w:val="auto"/>
          <w:highlight w:val="none"/>
        </w:rPr>
      </w:pPr>
      <w:r>
        <w:rPr>
          <w:rFonts w:hAnsi="宋体"/>
          <w:color w:val="auto"/>
          <w:highlight w:val="none"/>
        </w:rPr>
        <w:t>地</w:t>
      </w:r>
      <w:r>
        <w:rPr>
          <w:color w:val="auto"/>
          <w:highlight w:val="none"/>
        </w:rPr>
        <w:t xml:space="preserve">  </w:t>
      </w:r>
      <w:r>
        <w:rPr>
          <w:rFonts w:hAnsi="宋体"/>
          <w:color w:val="auto"/>
          <w:highlight w:val="none"/>
        </w:rPr>
        <w:t>址：</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地</w:t>
      </w:r>
      <w:r>
        <w:rPr>
          <w:color w:val="auto"/>
          <w:highlight w:val="none"/>
        </w:rPr>
        <w:t xml:space="preserve">  </w:t>
      </w:r>
      <w:r>
        <w:rPr>
          <w:rFonts w:hAnsi="宋体"/>
          <w:color w:val="auto"/>
          <w:highlight w:val="none"/>
        </w:rPr>
        <w:t>址：</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rFonts w:ascii="宋体" w:hAnsi="宋体"/>
          <w:color w:val="auto"/>
          <w:highlight w:val="none"/>
          <w:u w:val="single"/>
        </w:rPr>
        <w:t></w:t>
      </w:r>
    </w:p>
    <w:p w14:paraId="2CBCC3DE">
      <w:pPr>
        <w:spacing w:line="360" w:lineRule="auto"/>
        <w:rPr>
          <w:color w:val="auto"/>
          <w:highlight w:val="none"/>
        </w:rPr>
      </w:pPr>
      <w:r>
        <w:rPr>
          <w:rFonts w:hAnsi="宋体"/>
          <w:color w:val="auto"/>
          <w:highlight w:val="none"/>
        </w:rPr>
        <w:t>法定代表人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法定代表人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11C84B85">
      <w:pPr>
        <w:spacing w:line="360" w:lineRule="auto"/>
        <w:rPr>
          <w:color w:val="auto"/>
          <w:highlight w:val="none"/>
        </w:rPr>
      </w:pPr>
      <w:r>
        <w:rPr>
          <w:rFonts w:hAnsi="宋体"/>
          <w:color w:val="auto"/>
          <w:highlight w:val="none"/>
        </w:rPr>
        <w:t>委托代理人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委托代理人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1045F91C">
      <w:pPr>
        <w:spacing w:line="360" w:lineRule="auto"/>
        <w:rPr>
          <w:color w:val="auto"/>
          <w:highlight w:val="none"/>
        </w:rPr>
      </w:pPr>
      <w:r>
        <w:rPr>
          <w:rFonts w:hAnsi="宋体"/>
          <w:color w:val="auto"/>
          <w:highlight w:val="none"/>
        </w:rPr>
        <w:t>电</w:t>
      </w:r>
      <w:r>
        <w:rPr>
          <w:color w:val="auto"/>
          <w:highlight w:val="none"/>
        </w:rPr>
        <w:t xml:space="preserve">  </w:t>
      </w:r>
      <w:r>
        <w:rPr>
          <w:rFonts w:hAnsi="宋体"/>
          <w:color w:val="auto"/>
          <w:highlight w:val="none"/>
        </w:rPr>
        <w:t>话：</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电</w:t>
      </w:r>
      <w:r>
        <w:rPr>
          <w:color w:val="auto"/>
          <w:highlight w:val="none"/>
        </w:rPr>
        <w:t xml:space="preserve">  </w:t>
      </w:r>
      <w:r>
        <w:rPr>
          <w:rFonts w:hAnsi="宋体"/>
          <w:color w:val="auto"/>
          <w:highlight w:val="none"/>
        </w:rPr>
        <w:t>话：</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343968E8">
      <w:pPr>
        <w:spacing w:line="360" w:lineRule="auto"/>
        <w:rPr>
          <w:color w:val="auto"/>
          <w:highlight w:val="none"/>
        </w:rPr>
      </w:pPr>
      <w:r>
        <w:rPr>
          <w:rFonts w:hAnsi="宋体"/>
          <w:color w:val="auto"/>
          <w:highlight w:val="none"/>
        </w:rPr>
        <w:t>传</w:t>
      </w:r>
      <w:r>
        <w:rPr>
          <w:color w:val="auto"/>
          <w:highlight w:val="none"/>
        </w:rPr>
        <w:t xml:space="preserve">  </w:t>
      </w:r>
      <w:r>
        <w:rPr>
          <w:rFonts w:hAnsi="宋体"/>
          <w:color w:val="auto"/>
          <w:highlight w:val="none"/>
        </w:rPr>
        <w:t>真：</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传</w:t>
      </w:r>
      <w:r>
        <w:rPr>
          <w:color w:val="auto"/>
          <w:highlight w:val="none"/>
        </w:rPr>
        <w:t xml:space="preserve">  </w:t>
      </w:r>
      <w:r>
        <w:rPr>
          <w:rFonts w:hAnsi="宋体"/>
          <w:color w:val="auto"/>
          <w:highlight w:val="none"/>
        </w:rPr>
        <w:t>真：</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rFonts w:ascii="宋体" w:hAnsi="宋体"/>
          <w:color w:val="auto"/>
          <w:highlight w:val="none"/>
          <w:u w:val="single"/>
        </w:rPr>
        <w:t></w:t>
      </w:r>
    </w:p>
    <w:p w14:paraId="348E05FE">
      <w:pPr>
        <w:spacing w:line="360" w:lineRule="auto"/>
        <w:rPr>
          <w:color w:val="auto"/>
          <w:highlight w:val="none"/>
        </w:rPr>
      </w:pPr>
      <w:r>
        <w:rPr>
          <w:rFonts w:hAnsi="宋体"/>
          <w:color w:val="auto"/>
          <w:highlight w:val="none"/>
        </w:rPr>
        <w:t>开户银行：</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开户银行：</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1900FED7">
      <w:pPr>
        <w:tabs>
          <w:tab w:val="left" w:pos="2880"/>
          <w:tab w:val="left" w:pos="3060"/>
          <w:tab w:val="left" w:pos="4500"/>
        </w:tabs>
        <w:spacing w:line="360" w:lineRule="auto"/>
        <w:rPr>
          <w:color w:val="auto"/>
          <w:highlight w:val="none"/>
        </w:rPr>
      </w:pPr>
      <w:r>
        <w:rPr>
          <w:rFonts w:hAnsi="宋体"/>
          <w:color w:val="auto"/>
          <w:highlight w:val="none"/>
        </w:rPr>
        <w:t>账</w:t>
      </w:r>
      <w:r>
        <w:rPr>
          <w:color w:val="auto"/>
          <w:highlight w:val="none"/>
        </w:rPr>
        <w:t xml:space="preserve">  </w:t>
      </w:r>
      <w:r>
        <w:rPr>
          <w:rFonts w:hAnsi="宋体"/>
          <w:color w:val="auto"/>
          <w:highlight w:val="none"/>
        </w:rPr>
        <w:t>号：</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账</w:t>
      </w:r>
      <w:r>
        <w:rPr>
          <w:color w:val="auto"/>
          <w:highlight w:val="none"/>
        </w:rPr>
        <w:t xml:space="preserve">  </w:t>
      </w:r>
      <w:r>
        <w:rPr>
          <w:rFonts w:hAnsi="宋体"/>
          <w:color w:val="auto"/>
          <w:highlight w:val="none"/>
        </w:rPr>
        <w:t>号：</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05A22275">
      <w:pPr>
        <w:pStyle w:val="50"/>
        <w:spacing w:line="360" w:lineRule="auto"/>
        <w:rPr>
          <w:rFonts w:hint="eastAsia" w:ascii="宋体" w:hAnsi="宋体"/>
          <w:color w:val="auto"/>
          <w:highlight w:val="none"/>
          <w:u w:val="single"/>
        </w:rPr>
      </w:pPr>
      <w:r>
        <w:rPr>
          <w:rFonts w:hAnsi="宋体"/>
          <w:color w:val="auto"/>
          <w:highlight w:val="none"/>
        </w:rPr>
        <w:t>邮政编码：</w:t>
      </w:r>
      <w:r>
        <w:rPr>
          <w:color w:val="auto"/>
          <w:highlight w:val="none"/>
          <w:u w:val="single"/>
        </w:rPr>
        <w:t xml:space="preserve"> </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邮政编码：</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r>
        <w:rPr>
          <w:rFonts w:hint="eastAsia" w:ascii="宋体" w:hAnsi="宋体"/>
          <w:color w:val="auto"/>
          <w:highlight w:val="none"/>
          <w:u w:val="single"/>
        </w:rPr>
        <w:t xml:space="preserve"> </w:t>
      </w:r>
    </w:p>
    <w:p w14:paraId="68136C85">
      <w:pPr>
        <w:pStyle w:val="50"/>
        <w:spacing w:line="360" w:lineRule="auto"/>
        <w:rPr>
          <w:rFonts w:hint="eastAsia" w:ascii="宋体" w:hAnsi="宋体"/>
          <w:color w:val="auto"/>
          <w:highlight w:val="none"/>
          <w:u w:val="single"/>
        </w:rPr>
      </w:pPr>
    </w:p>
    <w:p w14:paraId="7047B33D">
      <w:pPr>
        <w:pStyle w:val="50"/>
        <w:spacing w:line="360" w:lineRule="auto"/>
        <w:rPr>
          <w:rFonts w:hint="eastAsia" w:ascii="宋体" w:hAnsi="宋体"/>
          <w:color w:val="auto"/>
          <w:highlight w:val="none"/>
          <w:u w:val="single"/>
        </w:rPr>
      </w:pPr>
    </w:p>
    <w:p w14:paraId="4D448C97">
      <w:pPr>
        <w:pStyle w:val="50"/>
        <w:spacing w:line="360" w:lineRule="auto"/>
        <w:rPr>
          <w:rFonts w:hint="eastAsia" w:ascii="宋体" w:hAnsi="宋体"/>
          <w:color w:val="auto"/>
          <w:highlight w:val="none"/>
          <w:u w:val="single"/>
        </w:rPr>
      </w:pPr>
    </w:p>
    <w:p w14:paraId="26C25A0D">
      <w:pPr>
        <w:pStyle w:val="50"/>
        <w:spacing w:line="360" w:lineRule="auto"/>
        <w:rPr>
          <w:rFonts w:hint="eastAsia" w:ascii="宋体" w:hAnsi="宋体"/>
          <w:color w:val="auto"/>
          <w:highlight w:val="none"/>
          <w:u w:val="single"/>
        </w:rPr>
      </w:pPr>
    </w:p>
    <w:p w14:paraId="619E1CE3">
      <w:pPr>
        <w:pStyle w:val="50"/>
        <w:spacing w:line="360" w:lineRule="auto"/>
        <w:rPr>
          <w:rFonts w:hint="eastAsia" w:ascii="宋体" w:hAnsi="宋体"/>
          <w:color w:val="auto"/>
          <w:highlight w:val="none"/>
          <w:u w:val="single"/>
        </w:rPr>
      </w:pPr>
    </w:p>
    <w:p w14:paraId="7BF2E289">
      <w:pPr>
        <w:pStyle w:val="50"/>
        <w:spacing w:line="360" w:lineRule="auto"/>
        <w:rPr>
          <w:rFonts w:hint="eastAsia" w:ascii="宋体" w:hAnsi="宋体"/>
          <w:color w:val="auto"/>
          <w:highlight w:val="none"/>
          <w:u w:val="single"/>
        </w:rPr>
      </w:pPr>
    </w:p>
    <w:p w14:paraId="53DC753C">
      <w:pPr>
        <w:pStyle w:val="50"/>
        <w:spacing w:line="360" w:lineRule="auto"/>
        <w:rPr>
          <w:rFonts w:hint="eastAsia" w:ascii="宋体" w:hAnsi="宋体"/>
          <w:color w:val="auto"/>
          <w:highlight w:val="none"/>
          <w:u w:val="single"/>
        </w:rPr>
      </w:pPr>
    </w:p>
    <w:p w14:paraId="72F0AA08">
      <w:pPr>
        <w:pStyle w:val="50"/>
        <w:spacing w:line="360" w:lineRule="auto"/>
        <w:rPr>
          <w:rFonts w:hint="eastAsia" w:ascii="宋体" w:hAnsi="宋体"/>
          <w:color w:val="auto"/>
          <w:highlight w:val="none"/>
          <w:u w:val="single"/>
        </w:rPr>
      </w:pPr>
    </w:p>
    <w:p w14:paraId="119A7073">
      <w:pPr>
        <w:pStyle w:val="50"/>
        <w:spacing w:line="360" w:lineRule="auto"/>
        <w:rPr>
          <w:rFonts w:hint="eastAsia" w:ascii="宋体" w:hAnsi="宋体"/>
          <w:color w:val="auto"/>
          <w:highlight w:val="none"/>
          <w:u w:val="single"/>
        </w:rPr>
      </w:pPr>
    </w:p>
    <w:p w14:paraId="0AD51D21">
      <w:pPr>
        <w:pStyle w:val="50"/>
        <w:spacing w:line="360" w:lineRule="auto"/>
        <w:rPr>
          <w:rFonts w:hint="eastAsia" w:ascii="宋体" w:hAnsi="宋体"/>
          <w:color w:val="auto"/>
          <w:highlight w:val="none"/>
          <w:u w:val="single"/>
        </w:rPr>
      </w:pPr>
    </w:p>
    <w:p w14:paraId="49FA29BA">
      <w:pPr>
        <w:pStyle w:val="50"/>
        <w:spacing w:line="360" w:lineRule="auto"/>
        <w:rPr>
          <w:rFonts w:hint="eastAsia" w:ascii="宋体" w:hAnsi="宋体"/>
          <w:color w:val="auto"/>
          <w:highlight w:val="none"/>
          <w:u w:val="single"/>
        </w:rPr>
      </w:pPr>
    </w:p>
    <w:p w14:paraId="676C3DD9">
      <w:pPr>
        <w:pStyle w:val="50"/>
        <w:spacing w:line="360" w:lineRule="auto"/>
        <w:rPr>
          <w:rFonts w:hint="eastAsia" w:ascii="宋体" w:hAnsi="宋体" w:eastAsia="宋体" w:cs="宋体"/>
          <w:color w:val="auto"/>
          <w:szCs w:val="21"/>
          <w:highlight w:val="none"/>
        </w:rPr>
      </w:pPr>
    </w:p>
    <w:p w14:paraId="4E5D2892">
      <w:pPr>
        <w:pStyle w:val="50"/>
        <w:spacing w:line="360" w:lineRule="auto"/>
        <w:rPr>
          <w:rFonts w:hint="eastAsia" w:ascii="宋体" w:hAnsi="宋体" w:eastAsia="宋体" w:cs="宋体"/>
          <w:color w:val="auto"/>
          <w:szCs w:val="21"/>
          <w:highlight w:val="none"/>
        </w:rPr>
      </w:pPr>
    </w:p>
    <w:p w14:paraId="3261B6C0">
      <w:pPr>
        <w:pStyle w:val="50"/>
        <w:spacing w:line="360" w:lineRule="auto"/>
        <w:rPr>
          <w:rFonts w:hint="eastAsia" w:ascii="宋体" w:hAnsi="宋体" w:eastAsia="宋体" w:cs="宋体"/>
          <w:color w:val="auto"/>
          <w:szCs w:val="21"/>
          <w:highlight w:val="none"/>
        </w:rPr>
      </w:pPr>
    </w:p>
    <w:p w14:paraId="0974BB04">
      <w:pPr>
        <w:pStyle w:val="50"/>
        <w:spacing w:line="360" w:lineRule="auto"/>
        <w:rPr>
          <w:rFonts w:hint="eastAsia" w:ascii="宋体" w:hAnsi="宋体" w:eastAsia="宋体" w:cs="宋体"/>
          <w:color w:val="auto"/>
          <w:szCs w:val="21"/>
          <w:highlight w:val="none"/>
        </w:rPr>
      </w:pPr>
    </w:p>
    <w:p w14:paraId="7E19EEB7">
      <w:pPr>
        <w:pStyle w:val="50"/>
        <w:spacing w:line="360" w:lineRule="auto"/>
        <w:rPr>
          <w:rFonts w:hint="eastAsia" w:ascii="宋体" w:hAnsi="宋体" w:eastAsia="宋体" w:cs="宋体"/>
          <w:color w:val="auto"/>
          <w:szCs w:val="21"/>
          <w:highlight w:val="none"/>
        </w:rPr>
      </w:pPr>
    </w:p>
    <w:p w14:paraId="4BDAC5A2">
      <w:pPr>
        <w:pStyle w:val="50"/>
        <w:spacing w:line="360" w:lineRule="auto"/>
        <w:rPr>
          <w:rFonts w:hint="eastAsia" w:ascii="宋体" w:hAnsi="宋体" w:eastAsia="宋体" w:cs="宋体"/>
          <w:color w:val="auto"/>
          <w:szCs w:val="21"/>
          <w:highlight w:val="none"/>
        </w:rPr>
      </w:pPr>
    </w:p>
    <w:p w14:paraId="39305018">
      <w:pPr>
        <w:pStyle w:val="5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廉政合同</w:t>
      </w:r>
    </w:p>
    <w:p w14:paraId="48E5D338">
      <w:pPr>
        <w:pStyle w:val="5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根据国家有关工程建设、廉政建设的规定，为做好工程建设中的党风廉政建设，保证工程建设高效优质，保证建设资金的安全和有效使用以及投资效益，建设工程的项目法人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（以下简称“甲方”）与总承包单位（以下简称“乙方”），特订立如下合同。</w:t>
      </w:r>
    </w:p>
    <w:p w14:paraId="7F217E59">
      <w:pPr>
        <w:pStyle w:val="5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bookmarkStart w:id="1338" w:name="_Toc419363880"/>
      <w:r>
        <w:rPr>
          <w:rFonts w:hint="eastAsia" w:ascii="宋体" w:hAnsi="宋体" w:eastAsia="宋体" w:cs="宋体"/>
          <w:color w:val="auto"/>
          <w:szCs w:val="21"/>
          <w:highlight w:val="none"/>
        </w:rPr>
        <w:t>1.甲乙双方的权利和义务</w:t>
      </w:r>
      <w:bookmarkEnd w:id="1338"/>
    </w:p>
    <w:p w14:paraId="530FD58D">
      <w:pPr>
        <w:pStyle w:val="5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（1）严格遵守党和国家的有关法律法规及中纪委监察部的有关规定。</w:t>
      </w:r>
    </w:p>
    <w:p w14:paraId="00E226DD">
      <w:pPr>
        <w:pStyle w:val="5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（2）严格执行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工程的合同文件，自觉按合同办事。</w:t>
      </w:r>
    </w:p>
    <w:p w14:paraId="5DADD348">
      <w:pPr>
        <w:pStyle w:val="5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（3）双方的业务活动坚持公开、公正、诚信、透明的原则（法律认定的商业秘密和合同文件另有规定除外），不得损害国家和集体利益，违反工程建设管理规章制度。</w:t>
      </w:r>
    </w:p>
    <w:p w14:paraId="4D8E0993">
      <w:pPr>
        <w:pStyle w:val="5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（4）建立健全廉政制度，开展廉政教育，设立廉政告示牌，公布举报电话，监督并认真查处违法违纪行为。</w:t>
      </w:r>
    </w:p>
    <w:p w14:paraId="64C96CEA">
      <w:pPr>
        <w:pStyle w:val="5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（5）发现对方在业务活动中有违反廉政规定的行为，有及时提醒对方纠正的权利及义务。</w:t>
      </w:r>
    </w:p>
    <w:p w14:paraId="381E83DF">
      <w:pPr>
        <w:pStyle w:val="5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（6）发现对方严重违反本合同义务条款的行为，有向其上级有关部门举报、建议给予处理并要求告知处理结果的权利。</w:t>
      </w:r>
    </w:p>
    <w:p w14:paraId="5ACD93AE">
      <w:pPr>
        <w:pStyle w:val="5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bookmarkStart w:id="1339" w:name="_Toc419363881"/>
      <w:r>
        <w:rPr>
          <w:rFonts w:hint="eastAsia" w:ascii="宋体" w:hAnsi="宋体" w:eastAsia="宋体" w:cs="宋体"/>
          <w:color w:val="auto"/>
          <w:szCs w:val="21"/>
          <w:highlight w:val="none"/>
        </w:rPr>
        <w:t>2.甲方的义务</w:t>
      </w:r>
      <w:bookmarkEnd w:id="1339"/>
    </w:p>
    <w:p w14:paraId="71304AA2">
      <w:pPr>
        <w:pStyle w:val="5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（1）甲方及其工作人员不得索要或接受乙方的礼金、有价证券和贵重物品，不得在乙方报销任何应由甲方或甲方工作人员个人支付的费用等。</w:t>
      </w:r>
    </w:p>
    <w:p w14:paraId="59EA0B0A">
      <w:pPr>
        <w:pStyle w:val="5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（2）甲方工作人员不得参加乙方安排的超标准宴请和娱乐活动；不得接受乙方提供的通讯工具、交通工具和高档办公用品等。</w:t>
      </w:r>
    </w:p>
    <w:p w14:paraId="0202755C">
      <w:pPr>
        <w:pStyle w:val="5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（3）甲方及其工作人员不得要求或者接受乙方为其住房装修、婚丧嫁娶活动、配偶子女的工作安排以及出国出境、旅游等提供方便等。</w:t>
      </w:r>
    </w:p>
    <w:p w14:paraId="59A5ECE6">
      <w:pPr>
        <w:pStyle w:val="5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（4）甲方工作人及其配偶、子女不得从事与甲方工程有关的材料设备供应、工程分包、劳务等经济活动等。</w:t>
      </w:r>
    </w:p>
    <w:p w14:paraId="3377619C">
      <w:pPr>
        <w:pStyle w:val="5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（5）甲方及其工作人员不得以任何理由向乙方推荐分包单位或推销材料，不得要求乙方购买合同规定外的材料和设备。</w:t>
      </w:r>
    </w:p>
    <w:p w14:paraId="18F2F971">
      <w:pPr>
        <w:pStyle w:val="5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（6）甲方工作人员要秉公办事，不准营私舞弊，不准利用职权从事各种个人有偿中介活动和安排个人施工队伍。</w:t>
      </w:r>
    </w:p>
    <w:p w14:paraId="09F795DC">
      <w:pPr>
        <w:pStyle w:val="5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bookmarkStart w:id="1340" w:name="_Toc419363882"/>
      <w:r>
        <w:rPr>
          <w:rFonts w:hint="eastAsia" w:ascii="宋体" w:hAnsi="宋体" w:eastAsia="宋体" w:cs="宋体"/>
          <w:color w:val="auto"/>
          <w:szCs w:val="21"/>
          <w:highlight w:val="none"/>
        </w:rPr>
        <w:t>3.乙方义务</w:t>
      </w:r>
      <w:bookmarkEnd w:id="1340"/>
    </w:p>
    <w:p w14:paraId="02AD5A6D">
      <w:pPr>
        <w:pStyle w:val="5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（1）乙方不得以任何理由向甲方及其工作人员行贿或馈赠礼金、有价证券、贵重礼品。</w:t>
      </w:r>
    </w:p>
    <w:p w14:paraId="628FBF37">
      <w:pPr>
        <w:pStyle w:val="5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（2）乙方不得以任何名义为甲方及其工作人员报销应由甲方单位或个人支付的任何费用。</w:t>
      </w:r>
    </w:p>
    <w:p w14:paraId="773C260B">
      <w:pPr>
        <w:pStyle w:val="5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（3）乙方不得以任何理由安排甲方工作人员参加超标准宴请及娱乐活动。</w:t>
      </w:r>
    </w:p>
    <w:p w14:paraId="63EA6FA7">
      <w:pPr>
        <w:pStyle w:val="5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（4）乙方不得为甲方单位和个人购置或提供通讯工具、交通工具和高档办公用品等。</w:t>
      </w:r>
    </w:p>
    <w:p w14:paraId="301DB9D6">
      <w:pPr>
        <w:pStyle w:val="5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b/>
          <w:color w:val="auto"/>
          <w:szCs w:val="21"/>
          <w:highlight w:val="none"/>
        </w:rPr>
        <w:t xml:space="preserve"> 4.违约责任</w:t>
      </w:r>
    </w:p>
    <w:p w14:paraId="7738D9F5">
      <w:pPr>
        <w:pStyle w:val="5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（1）甲方及其工作人员违反本合同第一、二条，按管理权限，依据有关规定给予党纪、政纪或组织处理；涉嫌犯罪的，移交司法机关追究刑事责任；给乙方单位造成经济损失的，应予以赔偿。</w:t>
      </w:r>
    </w:p>
    <w:p w14:paraId="4E36B7F7">
      <w:pPr>
        <w:pStyle w:val="5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乙方及其工作人员违反本合同第一、三条，按管理权限，依据有关规定给予党纪、政纪或组织处理；给甲方单位造成经济损失的，应予以赔偿；情节严重的，甲方建议工程建设主管部门给予乙方一至三年内不得进入其主管的工程建设市场的处罚。</w:t>
      </w:r>
    </w:p>
    <w:p w14:paraId="32899CE6">
      <w:pPr>
        <w:pStyle w:val="5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b/>
          <w:color w:val="auto"/>
          <w:szCs w:val="21"/>
          <w:highlight w:val="none"/>
        </w:rPr>
        <w:t>5.双方约定</w:t>
      </w:r>
      <w:r>
        <w:rPr>
          <w:rFonts w:hint="eastAsia" w:ascii="宋体" w:hAnsi="宋体" w:eastAsia="宋体" w:cs="宋体"/>
          <w:color w:val="auto"/>
          <w:szCs w:val="21"/>
          <w:highlight w:val="none"/>
        </w:rPr>
        <w:t>：本合同由双方或双方上级单位的纪检监察机关负责监督执行。由甲方或甲方上级单位的纪检监察机关约请乙方或乙方上级单位纪检监察机关对本合同执行情况进行检查，提出在本合同规定范围内的裁定意见。</w:t>
      </w:r>
    </w:p>
    <w:p w14:paraId="169A7575">
      <w:pPr>
        <w:pStyle w:val="5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6.本合同有效期为甲乙双签署之日起至该工程项目竣工验收后止。</w:t>
      </w:r>
    </w:p>
    <w:p w14:paraId="1FF494D1">
      <w:pPr>
        <w:pStyle w:val="5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7.本合同作为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工程总承包合同的附件，与工程施工合同具有同等的法律效力。</w:t>
      </w:r>
    </w:p>
    <w:p w14:paraId="4565C319">
      <w:pPr>
        <w:pStyle w:val="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8. 本合同作为主合同附件，正本和副本份数与本合同专用条款第19.2条的约定相同。由双方法定代表人或其授权的代理人签署与加盖公章后生效，全部工程竣工验收后失效。</w:t>
      </w:r>
    </w:p>
    <w:p w14:paraId="3B7D659F">
      <w:pPr>
        <w:pStyle w:val="50"/>
        <w:spacing w:line="360" w:lineRule="auto"/>
        <w:rPr>
          <w:rFonts w:hint="eastAsia" w:ascii="宋体" w:hAnsi="宋体" w:eastAsia="宋体" w:cs="宋体"/>
          <w:color w:val="auto"/>
          <w:szCs w:val="21"/>
          <w:highlight w:val="none"/>
        </w:rPr>
      </w:pPr>
    </w:p>
    <w:p w14:paraId="0E39D1C7">
      <w:pPr>
        <w:pStyle w:val="5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发包人： </w:t>
      </w:r>
    </w:p>
    <w:p w14:paraId="396F6309">
      <w:pPr>
        <w:pStyle w:val="5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（公章或合同专用章）          </w:t>
      </w:r>
    </w:p>
    <w:p w14:paraId="5502308F">
      <w:pPr>
        <w:pStyle w:val="5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法定代表人：        </w:t>
      </w:r>
    </w:p>
    <w:p w14:paraId="3DA9A2B3">
      <w:pPr>
        <w:pStyle w:val="5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（签字或盖章）                     　　</w:t>
      </w:r>
    </w:p>
    <w:p w14:paraId="1989697B">
      <w:pPr>
        <w:pStyle w:val="5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p>
    <w:p w14:paraId="5DB259DD">
      <w:pPr>
        <w:pStyle w:val="5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p>
    <w:p w14:paraId="56C73BAA">
      <w:pPr>
        <w:pStyle w:val="50"/>
        <w:spacing w:line="360" w:lineRule="auto"/>
        <w:rPr>
          <w:rFonts w:hint="eastAsia" w:ascii="宋体" w:hAnsi="宋体" w:eastAsia="宋体" w:cs="宋体"/>
          <w:color w:val="auto"/>
          <w:szCs w:val="21"/>
          <w:highlight w:val="none"/>
        </w:rPr>
      </w:pPr>
    </w:p>
    <w:p w14:paraId="35825677">
      <w:pPr>
        <w:pStyle w:val="5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承包人：            （公章或合同专用章）          </w:t>
      </w:r>
    </w:p>
    <w:p w14:paraId="4178451A">
      <w:pPr>
        <w:pStyle w:val="5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法定代表人：      </w:t>
      </w:r>
    </w:p>
    <w:p w14:paraId="5DC88654">
      <w:pPr>
        <w:pStyle w:val="5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（签字或盖章）                      　</w:t>
      </w:r>
    </w:p>
    <w:p w14:paraId="22D9F3F1">
      <w:pPr>
        <w:pStyle w:val="5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p>
    <w:p w14:paraId="1F6FE04E">
      <w:pPr>
        <w:pStyle w:val="5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p>
    <w:p w14:paraId="37D1B645">
      <w:pPr>
        <w:pStyle w:val="50"/>
        <w:spacing w:line="360" w:lineRule="auto"/>
        <w:rPr>
          <w:rFonts w:hint="eastAsia" w:ascii="宋体" w:hAnsi="宋体" w:eastAsia="宋体" w:cs="宋体"/>
          <w:color w:val="auto"/>
          <w:szCs w:val="21"/>
          <w:highlight w:val="none"/>
        </w:rPr>
      </w:pPr>
    </w:p>
    <w:p w14:paraId="3387CC05">
      <w:pPr>
        <w:pStyle w:val="50"/>
        <w:spacing w:line="360" w:lineRule="auto"/>
        <w:rPr>
          <w:rFonts w:hint="eastAsia" w:ascii="宋体" w:hAnsi="宋体" w:eastAsia="宋体" w:cs="宋体"/>
          <w:color w:val="auto"/>
          <w:szCs w:val="21"/>
          <w:highlight w:val="none"/>
        </w:rPr>
      </w:pPr>
    </w:p>
    <w:p w14:paraId="29D5FBEE">
      <w:pPr>
        <w:pStyle w:val="50"/>
        <w:spacing w:line="360" w:lineRule="auto"/>
        <w:rPr>
          <w:rFonts w:hint="eastAsia" w:ascii="宋体" w:hAnsi="宋体" w:eastAsia="宋体" w:cs="宋体"/>
          <w:color w:val="auto"/>
          <w:szCs w:val="21"/>
          <w:highlight w:val="none"/>
        </w:rPr>
      </w:pPr>
    </w:p>
    <w:p w14:paraId="3EEC4A01">
      <w:pPr>
        <w:pStyle w:val="50"/>
        <w:spacing w:line="360" w:lineRule="auto"/>
        <w:rPr>
          <w:rFonts w:hint="eastAsia" w:ascii="宋体" w:hAnsi="宋体" w:eastAsia="宋体" w:cs="宋体"/>
          <w:color w:val="auto"/>
          <w:szCs w:val="21"/>
          <w:highlight w:val="none"/>
        </w:rPr>
      </w:pPr>
    </w:p>
    <w:p w14:paraId="4EEFBF2B">
      <w:pPr>
        <w:pStyle w:val="50"/>
        <w:spacing w:line="360" w:lineRule="auto"/>
        <w:rPr>
          <w:rFonts w:hint="eastAsia" w:ascii="宋体" w:hAnsi="宋体" w:eastAsia="宋体" w:cs="宋体"/>
          <w:color w:val="auto"/>
          <w:szCs w:val="21"/>
          <w:highlight w:val="none"/>
        </w:rPr>
      </w:pPr>
    </w:p>
    <w:p w14:paraId="1ABFDDB7">
      <w:pPr>
        <w:pStyle w:val="50"/>
        <w:spacing w:line="360" w:lineRule="auto"/>
        <w:rPr>
          <w:rFonts w:hint="eastAsia" w:ascii="宋体" w:hAnsi="宋体" w:eastAsia="宋体" w:cs="宋体"/>
          <w:color w:val="auto"/>
          <w:szCs w:val="21"/>
          <w:highlight w:val="none"/>
        </w:rPr>
      </w:pPr>
    </w:p>
    <w:p w14:paraId="3B9E8257">
      <w:pPr>
        <w:pStyle w:val="50"/>
        <w:spacing w:line="360" w:lineRule="auto"/>
        <w:rPr>
          <w:rFonts w:hint="eastAsia" w:ascii="宋体" w:hAnsi="宋体" w:eastAsia="宋体" w:cs="宋体"/>
          <w:color w:val="auto"/>
          <w:szCs w:val="21"/>
          <w:highlight w:val="none"/>
        </w:rPr>
      </w:pPr>
    </w:p>
    <w:p w14:paraId="0F8B13A8">
      <w:pPr>
        <w:pStyle w:val="50"/>
        <w:spacing w:line="360" w:lineRule="auto"/>
        <w:rPr>
          <w:rFonts w:hint="eastAsia" w:ascii="宋体" w:hAnsi="宋体" w:eastAsia="宋体" w:cs="宋体"/>
          <w:color w:val="auto"/>
          <w:szCs w:val="21"/>
          <w:highlight w:val="none"/>
        </w:rPr>
      </w:pPr>
    </w:p>
    <w:p w14:paraId="794BD318">
      <w:pPr>
        <w:pStyle w:val="50"/>
        <w:spacing w:line="360" w:lineRule="auto"/>
        <w:rPr>
          <w:rFonts w:hint="eastAsia" w:ascii="宋体" w:hAnsi="宋体" w:eastAsia="宋体" w:cs="宋体"/>
          <w:color w:val="auto"/>
          <w:szCs w:val="21"/>
          <w:highlight w:val="none"/>
        </w:rPr>
      </w:pPr>
    </w:p>
    <w:p w14:paraId="7A669A45">
      <w:pPr>
        <w:pStyle w:val="50"/>
        <w:spacing w:line="360" w:lineRule="auto"/>
        <w:rPr>
          <w:rFonts w:hint="eastAsia" w:ascii="宋体" w:hAnsi="宋体" w:eastAsia="宋体" w:cs="宋体"/>
          <w:color w:val="auto"/>
          <w:szCs w:val="21"/>
          <w:highlight w:val="none"/>
        </w:rPr>
      </w:pPr>
    </w:p>
    <w:p w14:paraId="6A973A44">
      <w:pPr>
        <w:pStyle w:val="5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安全生产合同</w:t>
      </w:r>
    </w:p>
    <w:p w14:paraId="5A5BC763">
      <w:pPr>
        <w:pStyle w:val="5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施工合同的实施过程中创造安全、高效的施工环境，切实搞好本项目的安全管理工作，本项目业主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（以下简称“甲方”）与承包人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（以下简称“乙方”）特此签订安全生产合同：</w:t>
      </w:r>
    </w:p>
    <w:p w14:paraId="5693DD41">
      <w:pPr>
        <w:pStyle w:val="50"/>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w:t>
      </w:r>
      <w:bookmarkStart w:id="1341" w:name="_Toc419363884"/>
      <w:r>
        <w:rPr>
          <w:rFonts w:hint="eastAsia" w:ascii="宋体" w:hAnsi="宋体" w:eastAsia="宋体" w:cs="宋体"/>
          <w:b/>
          <w:color w:val="auto"/>
          <w:szCs w:val="21"/>
          <w:highlight w:val="none"/>
        </w:rPr>
        <w:t>一、甲方职责</w:t>
      </w:r>
      <w:bookmarkEnd w:id="1341"/>
    </w:p>
    <w:p w14:paraId="7FA3F04F">
      <w:pPr>
        <w:pStyle w:val="5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1.严格遵守国家有关安全生产的法律法规，认真执行工程承包合同中的有关安全要求。</w:t>
      </w:r>
    </w:p>
    <w:p w14:paraId="507B3E7F">
      <w:pPr>
        <w:pStyle w:val="5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2.按照“安全第一、预防为主”和坚持“管生产必须管安全”的原则进行安全生产管理，做到生产与安全工作同时计划、布置、检查、总结和评比。</w:t>
      </w:r>
    </w:p>
    <w:p w14:paraId="05654E7C">
      <w:pPr>
        <w:pStyle w:val="5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3.重要的安全设施必须坚持与主体工程“三同时”的原则，即：同时设计、审批，同时施工，同时验收，投入使用。</w:t>
      </w:r>
    </w:p>
    <w:p w14:paraId="0C334425">
      <w:pPr>
        <w:pStyle w:val="5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4.定期召开安全生产调度会，及时传达中央及地方有关安全生产的精神。</w:t>
      </w:r>
    </w:p>
    <w:p w14:paraId="7901906C">
      <w:pPr>
        <w:pStyle w:val="5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5.组织对乙方施工现场安全生产检查，监督乙方及时处理发现的各种安全隐患。</w:t>
      </w:r>
    </w:p>
    <w:p w14:paraId="78807F59">
      <w:pPr>
        <w:pStyle w:val="50"/>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w:t>
      </w:r>
      <w:bookmarkStart w:id="1342" w:name="_Toc419363885"/>
      <w:r>
        <w:rPr>
          <w:rFonts w:hint="eastAsia" w:ascii="宋体" w:hAnsi="宋体" w:eastAsia="宋体" w:cs="宋体"/>
          <w:b/>
          <w:color w:val="auto"/>
          <w:szCs w:val="21"/>
          <w:highlight w:val="none"/>
        </w:rPr>
        <w:t>二、乙方职责</w:t>
      </w:r>
      <w:bookmarkEnd w:id="1342"/>
    </w:p>
    <w:p w14:paraId="43988052">
      <w:pPr>
        <w:pStyle w:val="5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1.严格遵守国家有关安全生产的法律法规及建筑工程有关安全生产的规定，认真执行工程承包合同中的有关安全要求。</w:t>
      </w:r>
    </w:p>
    <w:p w14:paraId="57EB2718">
      <w:pPr>
        <w:pStyle w:val="5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29D0F023">
      <w:pPr>
        <w:pStyle w:val="5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740DE092">
      <w:pPr>
        <w:pStyle w:val="5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4.乙方在任何时候都应采取各种合理的预防措施，防止其员工发生任何违法、违禁、暴力或妨碍治安的行为。</w:t>
      </w:r>
    </w:p>
    <w:p w14:paraId="16918E50">
      <w:pPr>
        <w:pStyle w:val="5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项目负责人必须承担管理责任。</w:t>
      </w:r>
    </w:p>
    <w:p w14:paraId="1866EB6D">
      <w:pPr>
        <w:pStyle w:val="5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55FFF2AD">
      <w:pPr>
        <w:pStyle w:val="5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7.操作人员上岗，必须按规定穿戴防护用品。项目经理和安全检查员应随时检查劳动防护用品的穿戴情况，不按规定穿戴防护用品的人员不得上岗。</w:t>
      </w:r>
    </w:p>
    <w:p w14:paraId="0BB407B9">
      <w:pPr>
        <w:pStyle w:val="5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8.所有施工机械设备和高空作业的设备均应定期检查，并有安全员的签字记录，保证其经常处于完好状态；不合格的机具、设备和劳动保护用品严禁使用。</w:t>
      </w:r>
    </w:p>
    <w:p w14:paraId="0FB3BD9D">
      <w:pPr>
        <w:pStyle w:val="5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9.施工中采用新技术、新工艺、新设备、新材料时，必须制定相应的安全技术措施，施工现场必须具有相关的安全标志牌。</w:t>
      </w:r>
    </w:p>
    <w:p w14:paraId="3CAA10C6">
      <w:pPr>
        <w:pStyle w:val="5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10.乙方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14:paraId="7A4E0C0D">
      <w:pPr>
        <w:pStyle w:val="5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 xml:space="preserve"> </w:t>
      </w:r>
      <w:bookmarkStart w:id="1343" w:name="_Toc419363886"/>
      <w:r>
        <w:rPr>
          <w:rFonts w:hint="eastAsia" w:ascii="宋体" w:hAnsi="宋体" w:eastAsia="宋体" w:cs="宋体"/>
          <w:b/>
          <w:color w:val="auto"/>
          <w:szCs w:val="21"/>
          <w:highlight w:val="none"/>
        </w:rPr>
        <w:t>三、违约责任</w:t>
      </w:r>
      <w:bookmarkEnd w:id="1343"/>
    </w:p>
    <w:p w14:paraId="7E36B0D8">
      <w:pPr>
        <w:pStyle w:val="5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如因甲方或乙方违约造成安全事故，将依法追究责任。</w:t>
      </w:r>
    </w:p>
    <w:p w14:paraId="4944C0B0">
      <w:pPr>
        <w:pStyle w:val="5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本合同作为主合同附件，正本和副本份数与本合同专用条款的约定相同。由双方法定代表人或其授权的代理人签署与加盖公章后生效，全部工程竣工验收后失效。</w:t>
      </w:r>
    </w:p>
    <w:p w14:paraId="0C3D1E51">
      <w:pPr>
        <w:pStyle w:val="5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发包人： </w:t>
      </w:r>
    </w:p>
    <w:p w14:paraId="3BD98BB5">
      <w:pPr>
        <w:pStyle w:val="5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（公章或合同专用章）          </w:t>
      </w:r>
    </w:p>
    <w:p w14:paraId="796B93DA">
      <w:pPr>
        <w:pStyle w:val="5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法定代表人：        </w:t>
      </w:r>
    </w:p>
    <w:p w14:paraId="2E534A6F">
      <w:pPr>
        <w:pStyle w:val="5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（签字或盖章）                     　　</w:t>
      </w:r>
    </w:p>
    <w:p w14:paraId="03AC097A">
      <w:pPr>
        <w:pStyle w:val="5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p>
    <w:p w14:paraId="5E0FDF93">
      <w:pPr>
        <w:pStyle w:val="5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p>
    <w:p w14:paraId="7CEDCFDD">
      <w:pPr>
        <w:pStyle w:val="50"/>
        <w:spacing w:line="360" w:lineRule="auto"/>
        <w:rPr>
          <w:rFonts w:hint="eastAsia" w:ascii="宋体" w:hAnsi="宋体" w:eastAsia="宋体" w:cs="宋体"/>
          <w:color w:val="auto"/>
          <w:szCs w:val="21"/>
          <w:highlight w:val="none"/>
        </w:rPr>
      </w:pPr>
    </w:p>
    <w:p w14:paraId="0812C709">
      <w:pPr>
        <w:pStyle w:val="5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承包人：             （公章或合同专用章）          </w:t>
      </w:r>
    </w:p>
    <w:p w14:paraId="533E2437">
      <w:pPr>
        <w:pStyle w:val="5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法定代表人：       </w:t>
      </w:r>
    </w:p>
    <w:p w14:paraId="3982B03C">
      <w:pPr>
        <w:pStyle w:val="5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（签字或盖章）                      　</w:t>
      </w:r>
    </w:p>
    <w:p w14:paraId="08155567">
      <w:pPr>
        <w:pStyle w:val="5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p>
    <w:p w14:paraId="678F6FD8">
      <w:pPr>
        <w:pStyle w:val="5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p>
    <w:p w14:paraId="50DD3FC9">
      <w:pPr>
        <w:bidi w:val="0"/>
        <w:rPr>
          <w:color w:val="auto"/>
          <w:highlight w:val="none"/>
        </w:rPr>
      </w:pPr>
    </w:p>
    <w:p w14:paraId="4273DD64">
      <w:pPr>
        <w:bidi w:val="0"/>
        <w:rPr>
          <w:color w:val="auto"/>
          <w:highlight w:val="none"/>
        </w:rPr>
      </w:pPr>
    </w:p>
    <w:p w14:paraId="30BA6C36">
      <w:pPr>
        <w:bidi w:val="0"/>
        <w:rPr>
          <w:color w:val="auto"/>
          <w:highlight w:val="none"/>
        </w:rPr>
      </w:pPr>
    </w:p>
    <w:p w14:paraId="018B3B32">
      <w:pPr>
        <w:bidi w:val="0"/>
        <w:rPr>
          <w:color w:val="auto"/>
          <w:highlight w:val="none"/>
        </w:rPr>
      </w:pPr>
    </w:p>
    <w:p w14:paraId="32A4DD58">
      <w:pPr>
        <w:bidi w:val="0"/>
        <w:rPr>
          <w:color w:val="auto"/>
          <w:highlight w:val="none"/>
        </w:rPr>
      </w:pPr>
    </w:p>
    <w:p w14:paraId="4D6CC6E3">
      <w:pPr>
        <w:bidi w:val="0"/>
        <w:rPr>
          <w:color w:val="auto"/>
          <w:highlight w:val="none"/>
        </w:rPr>
      </w:pPr>
    </w:p>
    <w:p w14:paraId="2A258382">
      <w:pPr>
        <w:tabs>
          <w:tab w:val="left" w:pos="3261"/>
        </w:tabs>
        <w:spacing w:line="360" w:lineRule="auto"/>
        <w:jc w:val="both"/>
        <w:rPr>
          <w:rFonts w:ascii="宋体" w:hAnsi="宋体" w:cs="宋体"/>
          <w:b/>
          <w:color w:val="auto"/>
          <w:sz w:val="44"/>
          <w:szCs w:val="44"/>
          <w:highlight w:val="none"/>
        </w:rPr>
      </w:pPr>
    </w:p>
    <w:p w14:paraId="6208AC86">
      <w:pPr>
        <w:pStyle w:val="3"/>
        <w:jc w:val="center"/>
        <w:rPr>
          <w:rFonts w:hint="eastAsia" w:ascii="宋体" w:hAnsi="宋体" w:eastAsia="宋体" w:cs="宋体"/>
          <w:b/>
          <w:bCs w:val="0"/>
          <w:color w:val="auto"/>
          <w:kern w:val="44"/>
          <w:sz w:val="44"/>
          <w:szCs w:val="44"/>
          <w:highlight w:val="none"/>
          <w:lang w:val="en-US" w:eastAsia="zh-CN" w:bidi="ar-SA"/>
        </w:rPr>
      </w:pPr>
      <w:bookmarkStart w:id="1344" w:name="_Toc1707863990"/>
      <w:bookmarkStart w:id="1345" w:name="_Toc26654"/>
      <w:r>
        <w:rPr>
          <w:rFonts w:hint="eastAsia" w:ascii="宋体" w:hAnsi="宋体" w:eastAsia="宋体" w:cs="宋体"/>
          <w:b/>
          <w:bCs w:val="0"/>
          <w:color w:val="auto"/>
          <w:kern w:val="44"/>
          <w:sz w:val="44"/>
          <w:szCs w:val="44"/>
          <w:highlight w:val="none"/>
          <w:lang w:val="en-US" w:eastAsia="zh-CN" w:bidi="ar-SA"/>
        </w:rPr>
        <w:t>第</w:t>
      </w:r>
      <w:r>
        <w:rPr>
          <w:rFonts w:hint="eastAsia" w:ascii="宋体" w:hAnsi="宋体" w:cs="宋体"/>
          <w:b/>
          <w:bCs w:val="0"/>
          <w:color w:val="auto"/>
          <w:kern w:val="44"/>
          <w:sz w:val="44"/>
          <w:szCs w:val="44"/>
          <w:highlight w:val="none"/>
          <w:lang w:val="en-US" w:eastAsia="zh-CN" w:bidi="ar-SA"/>
        </w:rPr>
        <w:t>七</w:t>
      </w:r>
      <w:r>
        <w:rPr>
          <w:rFonts w:hint="eastAsia" w:ascii="宋体" w:hAnsi="宋体" w:eastAsia="宋体" w:cs="宋体"/>
          <w:b/>
          <w:bCs w:val="0"/>
          <w:color w:val="auto"/>
          <w:kern w:val="44"/>
          <w:sz w:val="44"/>
          <w:szCs w:val="44"/>
          <w:highlight w:val="none"/>
          <w:lang w:val="en-US" w:eastAsia="zh-CN" w:bidi="ar-SA"/>
        </w:rPr>
        <w:t>章 工程量清单</w:t>
      </w:r>
      <w:bookmarkEnd w:id="1344"/>
      <w:bookmarkEnd w:id="1345"/>
    </w:p>
    <w:p w14:paraId="20DF50D6">
      <w:pPr>
        <w:pStyle w:val="3"/>
        <w:rPr>
          <w:color w:val="auto"/>
          <w:kern w:val="44"/>
          <w:highlight w:val="none"/>
        </w:rPr>
      </w:pPr>
      <w:bookmarkStart w:id="1346" w:name="bookmark1944"/>
      <w:bookmarkEnd w:id="1346"/>
      <w:bookmarkStart w:id="1347" w:name="_Toc407135284"/>
      <w:bookmarkStart w:id="1348" w:name="_Toc78449869"/>
      <w:bookmarkStart w:id="1349" w:name="_Toc1392571603"/>
      <w:bookmarkStart w:id="1350" w:name="_Toc1386396751"/>
      <w:r>
        <w:rPr>
          <w:color w:val="auto"/>
          <w:highlight w:val="none"/>
        </w:rPr>
        <w:t xml:space="preserve">1 </w:t>
      </w:r>
      <w:r>
        <w:rPr>
          <w:rFonts w:hint="eastAsia" w:cs="黑体"/>
          <w:color w:val="auto"/>
          <w:highlight w:val="none"/>
        </w:rPr>
        <w:t>工程量清单编制说明</w:t>
      </w:r>
      <w:bookmarkEnd w:id="1347"/>
      <w:bookmarkEnd w:id="1348"/>
      <w:bookmarkEnd w:id="1349"/>
      <w:bookmarkEnd w:id="1350"/>
    </w:p>
    <w:p w14:paraId="490527D0">
      <w:pPr>
        <w:spacing w:line="360" w:lineRule="auto"/>
        <w:ind w:firstLine="420" w:firstLineChars="200"/>
        <w:rPr>
          <w:color w:val="auto"/>
          <w:highlight w:val="none"/>
        </w:rPr>
      </w:pPr>
      <w:r>
        <w:rPr>
          <w:color w:val="auto"/>
          <w:highlight w:val="none"/>
        </w:rPr>
        <w:t>1.1</w:t>
      </w:r>
      <w:r>
        <w:rPr>
          <w:rFonts w:hint="eastAsia" w:hAnsi="宋体" w:cs="宋体"/>
          <w:color w:val="auto"/>
          <w:highlight w:val="none"/>
        </w:rPr>
        <w:t>本工程量清单依据《建设工程工程量清单计价规范</w:t>
      </w:r>
      <w:r>
        <w:rPr>
          <w:rFonts w:hint="eastAsia" w:cs="宋体"/>
          <w:color w:val="auto"/>
          <w:highlight w:val="none"/>
        </w:rPr>
        <w:t>（</w:t>
      </w:r>
      <w:r>
        <w:rPr>
          <w:color w:val="auto"/>
          <w:highlight w:val="none"/>
        </w:rPr>
        <w:t>GB50500-2013</w:t>
      </w:r>
      <w:r>
        <w:rPr>
          <w:rFonts w:hint="eastAsia" w:cs="宋体"/>
          <w:color w:val="auto"/>
          <w:highlight w:val="none"/>
        </w:rPr>
        <w:t>）</w:t>
      </w:r>
      <w:r>
        <w:rPr>
          <w:rFonts w:hint="eastAsia" w:hAnsi="宋体" w:cs="宋体"/>
          <w:color w:val="auto"/>
          <w:highlight w:val="none"/>
        </w:rPr>
        <w:t>广西实施细则》（以下简称</w:t>
      </w:r>
      <w:r>
        <w:rPr>
          <w:color w:val="auto"/>
          <w:highlight w:val="none"/>
        </w:rPr>
        <w:t>“</w:t>
      </w:r>
      <w:r>
        <w:rPr>
          <w:rFonts w:hint="eastAsia" w:hAnsi="宋体" w:cs="宋体"/>
          <w:color w:val="auto"/>
          <w:highlight w:val="none"/>
        </w:rPr>
        <w:t>《计价规范》</w:t>
      </w:r>
      <w:r>
        <w:rPr>
          <w:color w:val="auto"/>
          <w:highlight w:val="none"/>
        </w:rPr>
        <w:t>”</w:t>
      </w:r>
      <w:r>
        <w:rPr>
          <w:rFonts w:hint="eastAsia" w:cs="宋体"/>
          <w:color w:val="auto"/>
          <w:highlight w:val="none"/>
        </w:rPr>
        <w:t>）</w:t>
      </w:r>
      <w:r>
        <w:rPr>
          <w:rFonts w:hint="eastAsia" w:hAnsi="宋体" w:cs="宋体"/>
          <w:color w:val="auto"/>
          <w:highlight w:val="none"/>
        </w:rPr>
        <w:t>、《工程量清单计算规范（</w:t>
      </w:r>
      <w:r>
        <w:rPr>
          <w:color w:val="auto"/>
          <w:highlight w:val="none"/>
        </w:rPr>
        <w:t>GB50854~50862-2013</w:t>
      </w:r>
      <w:r>
        <w:rPr>
          <w:rFonts w:hint="eastAsia" w:hAnsi="宋体" w:cs="宋体"/>
          <w:color w:val="auto"/>
          <w:highlight w:val="none"/>
        </w:rPr>
        <w:t>）》及广西实施细则（修订本）（以下简称</w:t>
      </w:r>
      <w:r>
        <w:rPr>
          <w:color w:val="auto"/>
          <w:highlight w:val="none"/>
        </w:rPr>
        <w:t>“</w:t>
      </w:r>
      <w:r>
        <w:rPr>
          <w:rFonts w:hint="eastAsia" w:hAnsi="宋体" w:cs="宋体"/>
          <w:color w:val="auto"/>
          <w:highlight w:val="none"/>
        </w:rPr>
        <w:t>《计算规范》</w:t>
      </w:r>
      <w:r>
        <w:rPr>
          <w:color w:val="auto"/>
          <w:highlight w:val="none"/>
        </w:rPr>
        <w:t>”</w:t>
      </w:r>
      <w:r>
        <w:rPr>
          <w:rFonts w:hint="eastAsia" w:hAnsi="宋体" w:cs="宋体"/>
          <w:color w:val="auto"/>
          <w:highlight w:val="none"/>
        </w:rPr>
        <w:t>）、</w:t>
      </w:r>
      <w:r>
        <w:rPr>
          <w:rFonts w:hint="eastAsia" w:hAnsi="宋体" w:cs="宋体"/>
          <w:color w:val="auto"/>
          <w:kern w:val="0"/>
          <w:highlight w:val="none"/>
        </w:rPr>
        <w:t>《关于建筑业实施营业税改征增值税后广西壮族自治区建设工程计价依据调整的通知》（桂建标〔</w:t>
      </w:r>
      <w:r>
        <w:rPr>
          <w:rFonts w:hAnsi="宋体"/>
          <w:color w:val="auto"/>
          <w:kern w:val="0"/>
          <w:highlight w:val="none"/>
        </w:rPr>
        <w:t>2016</w:t>
      </w:r>
      <w:r>
        <w:rPr>
          <w:rFonts w:hint="eastAsia" w:hAnsi="宋体" w:cs="宋体"/>
          <w:color w:val="auto"/>
          <w:kern w:val="0"/>
          <w:highlight w:val="none"/>
        </w:rPr>
        <w:t>〕</w:t>
      </w:r>
      <w:r>
        <w:rPr>
          <w:rFonts w:hAnsi="宋体"/>
          <w:color w:val="auto"/>
          <w:kern w:val="0"/>
          <w:highlight w:val="none"/>
        </w:rPr>
        <w:t>17</w:t>
      </w:r>
      <w:r>
        <w:rPr>
          <w:rFonts w:hint="eastAsia" w:hAnsi="宋体" w:cs="宋体"/>
          <w:color w:val="auto"/>
          <w:kern w:val="0"/>
          <w:highlight w:val="none"/>
        </w:rPr>
        <w:t>号）、招</w:t>
      </w:r>
      <w:r>
        <w:rPr>
          <w:rFonts w:hint="eastAsia" w:hAnsi="宋体" w:cs="宋体"/>
          <w:color w:val="auto"/>
          <w:highlight w:val="none"/>
        </w:rPr>
        <w:t>标文件、施工图等编制。计算规范中没有的清单项目，应在本章第</w:t>
      </w:r>
      <w:r>
        <w:rPr>
          <w:color w:val="auto"/>
          <w:highlight w:val="none"/>
        </w:rPr>
        <w:t>1.4</w:t>
      </w:r>
      <w:r>
        <w:rPr>
          <w:rFonts w:hint="eastAsia" w:hAnsi="宋体" w:cs="宋体"/>
          <w:color w:val="auto"/>
          <w:highlight w:val="none"/>
        </w:rPr>
        <w:t>款约定。</w:t>
      </w:r>
    </w:p>
    <w:p w14:paraId="6B1E475F">
      <w:pPr>
        <w:spacing w:line="360" w:lineRule="auto"/>
        <w:ind w:firstLine="420" w:firstLineChars="200"/>
        <w:outlineLvl w:val="9"/>
        <w:rPr>
          <w:color w:val="auto"/>
          <w:highlight w:val="none"/>
        </w:rPr>
      </w:pPr>
      <w:r>
        <w:rPr>
          <w:color w:val="auto"/>
          <w:highlight w:val="none"/>
        </w:rPr>
        <w:t xml:space="preserve">1.2 </w:t>
      </w:r>
      <w:r>
        <w:rPr>
          <w:rFonts w:hint="eastAsia"/>
          <w:color w:val="auto"/>
          <w:highlight w:val="none"/>
        </w:rPr>
        <w:t>工程量清单应与投标须知、合同协议条款、合同的通用条款、合同专用条款、技术规范及图纸等文件一起结合使用。</w:t>
      </w:r>
    </w:p>
    <w:p w14:paraId="135CC90C">
      <w:pPr>
        <w:spacing w:line="360" w:lineRule="auto"/>
        <w:ind w:firstLine="420" w:firstLineChars="200"/>
        <w:rPr>
          <w:color w:val="auto"/>
          <w:highlight w:val="none"/>
        </w:rPr>
      </w:pPr>
      <w:r>
        <w:rPr>
          <w:color w:val="auto"/>
          <w:highlight w:val="none"/>
        </w:rPr>
        <w:t xml:space="preserve">1.3 </w:t>
      </w:r>
      <w:r>
        <w:rPr>
          <w:rFonts w:hint="eastAsia" w:cs="宋体"/>
          <w:color w:val="auto"/>
          <w:highlight w:val="none"/>
        </w:rPr>
        <w:t>工程量清单是招标文件的组成部分，是工程量清单计价的基础，作为编制招标控制价、投标报价、计算或调整工程量、索赔等的依据之一。</w:t>
      </w:r>
    </w:p>
    <w:p w14:paraId="36CA2BBF">
      <w:pPr>
        <w:spacing w:line="360" w:lineRule="auto"/>
        <w:ind w:firstLine="420" w:firstLineChars="200"/>
        <w:rPr>
          <w:color w:val="auto"/>
          <w:highlight w:val="none"/>
        </w:rPr>
      </w:pPr>
      <w:r>
        <w:rPr>
          <w:color w:val="auto"/>
          <w:highlight w:val="none"/>
        </w:rPr>
        <w:t xml:space="preserve">1.4 </w:t>
      </w:r>
      <w:r>
        <w:rPr>
          <w:rFonts w:hint="eastAsia" w:cs="宋体"/>
          <w:color w:val="auto"/>
          <w:highlight w:val="none"/>
        </w:rPr>
        <w:t>补充清单项目的特征、计量单位、工程量计算规则及工作内容说明如下：</w:t>
      </w:r>
      <w:r>
        <w:rPr>
          <w:rFonts w:hint="eastAsia"/>
          <w:color w:val="auto"/>
          <w:highlight w:val="none"/>
          <w:u w:val="single"/>
          <w:lang w:val="en-US" w:eastAsia="zh-CN"/>
        </w:rPr>
        <w:t>详见招标工程量清单总说明</w:t>
      </w:r>
      <w:r>
        <w:rPr>
          <w:color w:val="auto"/>
          <w:highlight w:val="none"/>
          <w:u w:val="single"/>
        </w:rPr>
        <w:t xml:space="preserve">  </w:t>
      </w:r>
      <w:r>
        <w:rPr>
          <w:rFonts w:hint="eastAsia" w:hAnsi="宋体" w:cs="宋体"/>
          <w:color w:val="auto"/>
          <w:highlight w:val="none"/>
        </w:rPr>
        <w:t>。</w:t>
      </w:r>
    </w:p>
    <w:p w14:paraId="0EB1F428">
      <w:pPr>
        <w:pStyle w:val="16"/>
        <w:spacing w:line="360" w:lineRule="auto"/>
        <w:ind w:firstLine="420" w:firstLineChars="200"/>
        <w:rPr>
          <w:rFonts w:ascii="Times New Roman" w:hAnsi="Times New Roman"/>
          <w:color w:val="auto"/>
          <w:sz w:val="21"/>
          <w:szCs w:val="21"/>
          <w:highlight w:val="none"/>
        </w:rPr>
      </w:pPr>
      <w:r>
        <w:rPr>
          <w:rFonts w:ascii="Times New Roman" w:hAnsi="Times New Roman"/>
          <w:color w:val="auto"/>
          <w:sz w:val="21"/>
          <w:szCs w:val="21"/>
          <w:highlight w:val="none"/>
        </w:rPr>
        <w:t xml:space="preserve">1.5 </w:t>
      </w:r>
      <w:r>
        <w:rPr>
          <w:rFonts w:hint="eastAsia" w:ascii="Times New Roman" w:hAnsi="Times New Roman"/>
          <w:color w:val="auto"/>
          <w:sz w:val="21"/>
          <w:szCs w:val="21"/>
          <w:highlight w:val="none"/>
        </w:rPr>
        <w:t>《</w:t>
      </w:r>
      <w:r>
        <w:rPr>
          <w:rFonts w:hint="eastAsia" w:ascii="Times New Roman" w:hAnsi="Times New Roman"/>
          <w:color w:val="auto"/>
          <w:sz w:val="21"/>
          <w:szCs w:val="21"/>
          <w:highlight w:val="none"/>
          <w:lang w:eastAsia="zh-CN"/>
        </w:rPr>
        <w:t>允许调整</w:t>
      </w:r>
      <w:r>
        <w:rPr>
          <w:rFonts w:hint="eastAsia" w:ascii="Times New Roman" w:hAnsi="Times New Roman"/>
          <w:color w:val="auto"/>
          <w:sz w:val="21"/>
          <w:szCs w:val="21"/>
          <w:highlight w:val="none"/>
        </w:rPr>
        <w:t>主要材料和</w:t>
      </w:r>
      <w:r>
        <w:rPr>
          <w:rFonts w:hint="eastAsia" w:ascii="Times New Roman" w:hAnsi="Times New Roman"/>
          <w:color w:val="auto"/>
          <w:sz w:val="21"/>
          <w:szCs w:val="21"/>
          <w:highlight w:val="none"/>
          <w:lang w:eastAsia="zh-CN"/>
        </w:rPr>
        <w:t>工程</w:t>
      </w:r>
      <w:r>
        <w:rPr>
          <w:rFonts w:hint="eastAsia" w:ascii="Times New Roman" w:hAnsi="Times New Roman"/>
          <w:color w:val="auto"/>
          <w:sz w:val="21"/>
          <w:szCs w:val="21"/>
          <w:highlight w:val="none"/>
        </w:rPr>
        <w:t>设备一览表》（表</w:t>
      </w:r>
      <w:r>
        <w:rPr>
          <w:rFonts w:ascii="Times New Roman" w:hAnsi="Times New Roman"/>
          <w:color w:val="auto"/>
          <w:sz w:val="21"/>
          <w:szCs w:val="21"/>
          <w:highlight w:val="none"/>
        </w:rPr>
        <w:t>-22</w:t>
      </w:r>
      <w:r>
        <w:rPr>
          <w:rFonts w:hint="eastAsia" w:ascii="Times New Roman" w:hAnsi="Times New Roman"/>
          <w:color w:val="auto"/>
          <w:sz w:val="21"/>
          <w:szCs w:val="21"/>
          <w:highlight w:val="none"/>
        </w:rPr>
        <w:t>，表格编号为计价规范相应表格编号，下同）作为项目实施过程中材料和设备价格风险调整依据。</w:t>
      </w:r>
    </w:p>
    <w:p w14:paraId="20533E8E">
      <w:pPr>
        <w:pStyle w:val="16"/>
        <w:spacing w:line="360" w:lineRule="auto"/>
        <w:ind w:firstLine="420" w:firstLineChars="200"/>
        <w:rPr>
          <w:rFonts w:ascii="Times New Roman" w:hAnsi="Times New Roman"/>
          <w:color w:val="auto"/>
          <w:sz w:val="21"/>
          <w:szCs w:val="21"/>
          <w:highlight w:val="none"/>
        </w:rPr>
      </w:pPr>
      <w:r>
        <w:rPr>
          <w:rFonts w:ascii="Times New Roman" w:hAnsi="Times New Roman"/>
          <w:color w:val="auto"/>
          <w:sz w:val="21"/>
          <w:szCs w:val="21"/>
          <w:highlight w:val="none"/>
        </w:rPr>
        <w:t xml:space="preserve">1.6 </w:t>
      </w:r>
      <w:r>
        <w:rPr>
          <w:rFonts w:hint="eastAsia" w:ascii="Times New Roman" w:hAnsi="Times New Roman"/>
          <w:color w:val="auto"/>
          <w:sz w:val="21"/>
          <w:szCs w:val="21"/>
          <w:highlight w:val="none"/>
        </w:rPr>
        <w:t>本工程暂列金额（约按合同造价</w:t>
      </w:r>
      <w:r>
        <w:rPr>
          <w:rFonts w:ascii="Times New Roman" w:hAnsi="Times New Roman"/>
          <w:color w:val="auto"/>
          <w:sz w:val="21"/>
          <w:szCs w:val="21"/>
          <w:highlight w:val="none"/>
          <w:u w:val="single"/>
        </w:rPr>
        <w:t xml:space="preserve">    </w:t>
      </w:r>
      <w:r>
        <w:rPr>
          <w:rFonts w:hint="eastAsia" w:ascii="Times New Roman" w:hAnsi="Times New Roman"/>
          <w:color w:val="auto"/>
          <w:sz w:val="21"/>
          <w:szCs w:val="21"/>
          <w:highlight w:val="none"/>
          <w:u w:val="single"/>
          <w:lang w:val="en-US" w:eastAsia="zh-CN"/>
        </w:rPr>
        <w:t>/</w:t>
      </w:r>
      <w:r>
        <w:rPr>
          <w:rFonts w:ascii="Times New Roman" w:hAnsi="Times New Roman"/>
          <w:color w:val="auto"/>
          <w:sz w:val="21"/>
          <w:szCs w:val="21"/>
          <w:highlight w:val="none"/>
          <w:u w:val="single"/>
        </w:rPr>
        <w:t xml:space="preserve">    </w:t>
      </w:r>
      <w:r>
        <w:rPr>
          <w:rFonts w:ascii="Times New Roman" w:hAnsi="Times New Roman"/>
          <w:color w:val="auto"/>
          <w:sz w:val="21"/>
          <w:szCs w:val="21"/>
          <w:highlight w:val="none"/>
        </w:rPr>
        <w:t>%</w:t>
      </w:r>
      <w:r>
        <w:rPr>
          <w:rFonts w:hint="eastAsia" w:ascii="Times New Roman" w:hAnsi="Times New Roman"/>
          <w:color w:val="auto"/>
          <w:sz w:val="21"/>
          <w:szCs w:val="21"/>
          <w:highlight w:val="none"/>
        </w:rPr>
        <w:t>计算），共</w:t>
      </w:r>
      <w:r>
        <w:rPr>
          <w:rFonts w:ascii="Times New Roman" w:hAnsi="Times New Roman"/>
          <w:color w:val="auto"/>
          <w:sz w:val="21"/>
          <w:szCs w:val="21"/>
          <w:highlight w:val="none"/>
          <w:u w:val="single"/>
        </w:rPr>
        <w:t xml:space="preserve">      </w:t>
      </w:r>
      <w:r>
        <w:rPr>
          <w:rFonts w:hint="eastAsia" w:ascii="Times New Roman" w:hAnsi="Times New Roman"/>
          <w:color w:val="auto"/>
          <w:sz w:val="21"/>
          <w:szCs w:val="21"/>
          <w:highlight w:val="none"/>
          <w:u w:val="single"/>
          <w:lang w:val="en-US" w:eastAsia="zh-CN"/>
        </w:rPr>
        <w:t>/</w:t>
      </w:r>
      <w:r>
        <w:rPr>
          <w:rFonts w:ascii="Times New Roman" w:hAnsi="Times New Roman"/>
          <w:color w:val="auto"/>
          <w:sz w:val="21"/>
          <w:szCs w:val="21"/>
          <w:highlight w:val="none"/>
          <w:u w:val="single"/>
        </w:rPr>
        <w:t xml:space="preserve"> </w:t>
      </w:r>
      <w:r>
        <w:rPr>
          <w:rFonts w:hint="eastAsia" w:ascii="Times New Roman" w:hAnsi="Times New Roman"/>
          <w:color w:val="auto"/>
          <w:sz w:val="21"/>
          <w:szCs w:val="21"/>
          <w:highlight w:val="none"/>
        </w:rPr>
        <w:t>元，作为合同签订时尚未确定或者不可预见但施工中可能发生的费用。</w:t>
      </w:r>
    </w:p>
    <w:p w14:paraId="61E4F6A6">
      <w:pPr>
        <w:pStyle w:val="16"/>
        <w:spacing w:line="360" w:lineRule="auto"/>
        <w:ind w:firstLine="420" w:firstLineChars="200"/>
        <w:rPr>
          <w:rFonts w:ascii="Times New Roman" w:hAnsi="Times New Roman"/>
          <w:color w:val="auto"/>
          <w:sz w:val="21"/>
          <w:szCs w:val="21"/>
          <w:highlight w:val="none"/>
        </w:rPr>
      </w:pPr>
      <w:r>
        <w:rPr>
          <w:rFonts w:ascii="Times New Roman" w:hAnsi="Times New Roman"/>
          <w:color w:val="auto"/>
          <w:sz w:val="21"/>
          <w:szCs w:val="21"/>
          <w:highlight w:val="none"/>
        </w:rPr>
        <w:t xml:space="preserve">1.7 </w:t>
      </w:r>
      <w:r>
        <w:rPr>
          <w:rFonts w:hint="eastAsia" w:ascii="Times New Roman" w:hAnsi="Times New Roman"/>
          <w:color w:val="auto"/>
          <w:sz w:val="21"/>
          <w:szCs w:val="21"/>
          <w:highlight w:val="none"/>
        </w:rPr>
        <w:t>本工程发包人提供的材料和设备详见《发包人提供的主要材料和工程设备一览表》（表</w:t>
      </w:r>
      <w:r>
        <w:rPr>
          <w:rFonts w:ascii="Times New Roman" w:hAnsi="Times New Roman"/>
          <w:color w:val="auto"/>
          <w:sz w:val="21"/>
          <w:szCs w:val="21"/>
          <w:highlight w:val="none"/>
        </w:rPr>
        <w:t>-21</w:t>
      </w:r>
      <w:r>
        <w:rPr>
          <w:rFonts w:hint="eastAsia" w:ascii="Times New Roman" w:hAnsi="Times New Roman"/>
          <w:color w:val="auto"/>
          <w:sz w:val="21"/>
          <w:szCs w:val="21"/>
          <w:highlight w:val="none"/>
        </w:rPr>
        <w:t>）。</w:t>
      </w:r>
    </w:p>
    <w:p w14:paraId="7FD713AF">
      <w:pPr>
        <w:spacing w:line="360" w:lineRule="auto"/>
        <w:ind w:firstLine="420" w:firstLineChars="200"/>
        <w:rPr>
          <w:color w:val="auto"/>
          <w:highlight w:val="none"/>
        </w:rPr>
      </w:pPr>
      <w:r>
        <w:rPr>
          <w:color w:val="auto"/>
          <w:highlight w:val="none"/>
        </w:rPr>
        <w:t xml:space="preserve">1.8 </w:t>
      </w:r>
      <w:r>
        <w:rPr>
          <w:rFonts w:hint="eastAsia" w:cs="宋体"/>
          <w:color w:val="auto"/>
          <w:highlight w:val="none"/>
        </w:rPr>
        <w:t>本工程部分材料和设备在招标时作为暂估价计列，结算按实调整，具体内容详见《材料（工程设备）暂估单价及调整表》（表</w:t>
      </w:r>
      <w:r>
        <w:rPr>
          <w:color w:val="auto"/>
          <w:highlight w:val="none"/>
        </w:rPr>
        <w:t>12-2</w:t>
      </w:r>
      <w:r>
        <w:rPr>
          <w:rFonts w:hint="eastAsia" w:cs="宋体"/>
          <w:color w:val="auto"/>
          <w:highlight w:val="none"/>
        </w:rPr>
        <w:t>）。</w:t>
      </w:r>
    </w:p>
    <w:p w14:paraId="0530AA7C">
      <w:pPr>
        <w:spacing w:line="360" w:lineRule="auto"/>
        <w:ind w:firstLine="420" w:firstLineChars="200"/>
        <w:rPr>
          <w:color w:val="auto"/>
          <w:highlight w:val="none"/>
        </w:rPr>
      </w:pPr>
      <w:r>
        <w:rPr>
          <w:color w:val="auto"/>
          <w:highlight w:val="none"/>
        </w:rPr>
        <w:t xml:space="preserve">1.9 </w:t>
      </w:r>
      <w:r>
        <w:rPr>
          <w:rFonts w:hint="eastAsia" w:cs="宋体"/>
          <w:color w:val="auto"/>
          <w:highlight w:val="none"/>
        </w:rPr>
        <w:t>招标时暂估专业工程的价款属于暂估价，结算按实调整，具体内容详见《专业工程暂估价及结算价表》（表</w:t>
      </w:r>
      <w:r>
        <w:rPr>
          <w:color w:val="auto"/>
          <w:highlight w:val="none"/>
        </w:rPr>
        <w:t>12-3</w:t>
      </w:r>
      <w:r>
        <w:rPr>
          <w:rFonts w:hint="eastAsia" w:cs="宋体"/>
          <w:color w:val="auto"/>
          <w:highlight w:val="none"/>
        </w:rPr>
        <w:t>）。</w:t>
      </w:r>
    </w:p>
    <w:p w14:paraId="2604BCC6">
      <w:pPr>
        <w:spacing w:line="360" w:lineRule="auto"/>
        <w:ind w:firstLine="420" w:firstLineChars="200"/>
        <w:rPr>
          <w:color w:val="auto"/>
          <w:highlight w:val="none"/>
        </w:rPr>
      </w:pPr>
      <w:r>
        <w:rPr>
          <w:color w:val="auto"/>
          <w:highlight w:val="none"/>
        </w:rPr>
        <w:t xml:space="preserve">1.10 </w:t>
      </w:r>
      <w:r>
        <w:rPr>
          <w:rFonts w:hint="eastAsia" w:cs="宋体"/>
          <w:color w:val="auto"/>
          <w:highlight w:val="none"/>
        </w:rPr>
        <w:t>本工程量清单编码处标注</w:t>
      </w:r>
      <w:r>
        <w:rPr>
          <w:color w:val="auto"/>
          <w:highlight w:val="none"/>
        </w:rPr>
        <w:t>“*”</w:t>
      </w:r>
      <w:r>
        <w:rPr>
          <w:rFonts w:hint="eastAsia" w:cs="宋体"/>
          <w:color w:val="auto"/>
          <w:highlight w:val="none"/>
        </w:rPr>
        <w:t>号的清单项目作为主要清单项目，需要投标人提供</w:t>
      </w:r>
      <w:r>
        <w:rPr>
          <w:rFonts w:hint="eastAsia" w:hAnsi="宋体" w:cs="宋体"/>
          <w:color w:val="auto"/>
          <w:highlight w:val="none"/>
        </w:rPr>
        <w:t>《主要清单项目工料机分析表》（表</w:t>
      </w:r>
      <w:r>
        <w:rPr>
          <w:color w:val="auto"/>
          <w:highlight w:val="none"/>
        </w:rPr>
        <w:t>-10</w:t>
      </w:r>
      <w:r>
        <w:rPr>
          <w:rFonts w:hint="eastAsia" w:hAnsi="宋体" w:cs="宋体"/>
          <w:color w:val="auto"/>
          <w:highlight w:val="none"/>
        </w:rPr>
        <w:t>）</w:t>
      </w:r>
      <w:r>
        <w:rPr>
          <w:rFonts w:hint="eastAsia" w:cs="宋体"/>
          <w:color w:val="auto"/>
          <w:highlight w:val="none"/>
        </w:rPr>
        <w:t>。</w:t>
      </w:r>
    </w:p>
    <w:p w14:paraId="37174876">
      <w:pPr>
        <w:spacing w:line="360" w:lineRule="auto"/>
        <w:rPr>
          <w:color w:val="auto"/>
          <w:highlight w:val="none"/>
        </w:rPr>
      </w:pPr>
      <w:r>
        <w:rPr>
          <w:color w:val="auto"/>
          <w:highlight w:val="none"/>
        </w:rPr>
        <w:t xml:space="preserve">1.11 </w:t>
      </w:r>
      <w:r>
        <w:rPr>
          <w:rFonts w:hint="eastAsia" w:cs="宋体"/>
          <w:color w:val="auto"/>
          <w:highlight w:val="none"/>
        </w:rPr>
        <w:t>其它需要说明的问题：</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cs="宋体"/>
          <w:color w:val="auto"/>
          <w:highlight w:val="none"/>
        </w:rPr>
        <w:t>。</w:t>
      </w:r>
    </w:p>
    <w:p w14:paraId="6818E892">
      <w:pPr>
        <w:spacing w:line="360" w:lineRule="auto"/>
        <w:ind w:firstLine="420" w:firstLineChars="200"/>
        <w:jc w:val="left"/>
        <w:rPr>
          <w:color w:val="auto"/>
          <w:highlight w:val="none"/>
        </w:rPr>
      </w:pPr>
      <w:r>
        <w:rPr>
          <w:color w:val="auto"/>
          <w:highlight w:val="none"/>
        </w:rPr>
        <w:t xml:space="preserve">1.12 </w:t>
      </w:r>
      <w:r>
        <w:rPr>
          <w:rFonts w:hint="eastAsia" w:cs="宋体"/>
          <w:color w:val="auto"/>
          <w:highlight w:val="none"/>
        </w:rPr>
        <w:t>工程量清单在广西电子招投标系统发布，潜在投标人可登陆系统自行下载，文件后缀名为“</w:t>
      </w:r>
      <w:r>
        <w:rPr>
          <w:color w:val="auto"/>
          <w:highlight w:val="none"/>
        </w:rPr>
        <w:t>.gxzb</w:t>
      </w:r>
      <w:r>
        <w:rPr>
          <w:rFonts w:hint="eastAsia" w:cs="宋体"/>
          <w:color w:val="auto"/>
          <w:highlight w:val="none"/>
        </w:rPr>
        <w:t>”。</w:t>
      </w:r>
      <w:r>
        <w:rPr>
          <w:color w:val="auto"/>
          <w:highlight w:val="none"/>
        </w:rPr>
        <w:t xml:space="preserve"> </w:t>
      </w:r>
      <w:r>
        <w:rPr>
          <w:rFonts w:hint="eastAsia" w:cs="宋体"/>
          <w:color w:val="auto"/>
          <w:highlight w:val="none"/>
        </w:rPr>
        <w:t>一般计税法建设工程的工程量清单表格按</w:t>
      </w:r>
      <w:r>
        <w:rPr>
          <w:rFonts w:hint="eastAsia" w:hAnsi="宋体" w:cs="宋体"/>
          <w:color w:val="auto"/>
          <w:kern w:val="0"/>
          <w:highlight w:val="none"/>
        </w:rPr>
        <w:t>《关于建筑业实施营业税改征增值税后广西壮族自治区建设工程计价依据调整的通知》（桂建标〔</w:t>
      </w:r>
      <w:r>
        <w:rPr>
          <w:rFonts w:hAnsi="宋体"/>
          <w:color w:val="auto"/>
          <w:kern w:val="0"/>
          <w:highlight w:val="none"/>
        </w:rPr>
        <w:t>2016</w:t>
      </w:r>
      <w:r>
        <w:rPr>
          <w:rFonts w:hint="eastAsia" w:hAnsi="宋体" w:cs="宋体"/>
          <w:color w:val="auto"/>
          <w:kern w:val="0"/>
          <w:highlight w:val="none"/>
        </w:rPr>
        <w:t>〕</w:t>
      </w:r>
      <w:r>
        <w:rPr>
          <w:rFonts w:hAnsi="宋体"/>
          <w:color w:val="auto"/>
          <w:kern w:val="0"/>
          <w:highlight w:val="none"/>
        </w:rPr>
        <w:t>17</w:t>
      </w:r>
      <w:r>
        <w:rPr>
          <w:rFonts w:hint="eastAsia" w:hAnsi="宋体" w:cs="宋体"/>
          <w:color w:val="auto"/>
          <w:kern w:val="0"/>
          <w:highlight w:val="none"/>
        </w:rPr>
        <w:t>号）</w:t>
      </w:r>
      <w:r>
        <w:rPr>
          <w:rFonts w:hint="eastAsia" w:ascii="宋体" w:hAnsi="宋体" w:cs="宋体"/>
          <w:color w:val="auto"/>
          <w:highlight w:val="none"/>
        </w:rPr>
        <w:t>附件“增值税一般计税方法工程计价表”要求提供；简易计税法建设工程按照《计价规范》要求的</w:t>
      </w:r>
      <w:r>
        <w:rPr>
          <w:rFonts w:hint="eastAsia" w:cs="宋体"/>
          <w:color w:val="auto"/>
          <w:highlight w:val="none"/>
        </w:rPr>
        <w:t>表格提供，但规费和税费要按照《关于建筑业实施营业税改征增值税后广西壮族自治区建设工程计价依据调整的通知》（桂建标〔</w:t>
      </w:r>
      <w:r>
        <w:rPr>
          <w:color w:val="auto"/>
          <w:highlight w:val="none"/>
        </w:rPr>
        <w:t>2016</w:t>
      </w:r>
      <w:r>
        <w:rPr>
          <w:rFonts w:hint="eastAsia" w:cs="宋体"/>
          <w:color w:val="auto"/>
          <w:highlight w:val="none"/>
        </w:rPr>
        <w:t>〕</w:t>
      </w:r>
      <w:r>
        <w:rPr>
          <w:color w:val="auto"/>
          <w:highlight w:val="none"/>
        </w:rPr>
        <w:t>17</w:t>
      </w:r>
      <w:r>
        <w:rPr>
          <w:rFonts w:hint="eastAsia" w:cs="宋体"/>
          <w:color w:val="auto"/>
          <w:highlight w:val="none"/>
        </w:rPr>
        <w:t>号）</w:t>
      </w:r>
      <w:r>
        <w:rPr>
          <w:rFonts w:hint="eastAsia" w:ascii="宋体" w:hAnsi="宋体" w:cs="宋体"/>
          <w:color w:val="auto"/>
          <w:highlight w:val="none"/>
        </w:rPr>
        <w:t>要求调整，具体</w:t>
      </w:r>
      <w:r>
        <w:rPr>
          <w:rFonts w:hint="eastAsia" w:cs="宋体"/>
          <w:color w:val="auto"/>
          <w:highlight w:val="none"/>
        </w:rPr>
        <w:t>包括：</w:t>
      </w:r>
    </w:p>
    <w:p w14:paraId="382A5B7A">
      <w:pPr>
        <w:spacing w:line="360" w:lineRule="auto"/>
        <w:ind w:firstLine="630" w:firstLineChars="300"/>
        <w:jc w:val="left"/>
        <w:rPr>
          <w:color w:val="auto"/>
          <w:highlight w:val="none"/>
        </w:rPr>
      </w:pPr>
      <w:r>
        <w:rPr>
          <w:color w:val="auto"/>
          <w:highlight w:val="none"/>
        </w:rPr>
        <w:t xml:space="preserve">1.1 </w:t>
      </w:r>
      <w:r>
        <w:rPr>
          <w:rFonts w:hint="eastAsia" w:cs="宋体"/>
          <w:color w:val="auto"/>
          <w:highlight w:val="none"/>
        </w:rPr>
        <w:t>招标工程量清单（封</w:t>
      </w:r>
      <w:r>
        <w:rPr>
          <w:color w:val="auto"/>
          <w:highlight w:val="none"/>
        </w:rPr>
        <w:t>-1</w:t>
      </w:r>
      <w:r>
        <w:rPr>
          <w:rFonts w:hint="eastAsia" w:cs="宋体"/>
          <w:color w:val="auto"/>
          <w:highlight w:val="none"/>
        </w:rPr>
        <w:t>）</w:t>
      </w:r>
    </w:p>
    <w:p w14:paraId="42BC847B">
      <w:pPr>
        <w:spacing w:line="360" w:lineRule="auto"/>
        <w:ind w:firstLine="630" w:firstLineChars="300"/>
        <w:jc w:val="left"/>
        <w:rPr>
          <w:color w:val="auto"/>
          <w:highlight w:val="none"/>
        </w:rPr>
      </w:pPr>
      <w:r>
        <w:rPr>
          <w:color w:val="auto"/>
          <w:highlight w:val="none"/>
        </w:rPr>
        <w:t xml:space="preserve">1.2 </w:t>
      </w:r>
      <w:r>
        <w:rPr>
          <w:rFonts w:hint="eastAsia" w:cs="宋体"/>
          <w:color w:val="auto"/>
          <w:highlight w:val="none"/>
        </w:rPr>
        <w:t>招标工程量清单（封扉</w:t>
      </w:r>
      <w:r>
        <w:rPr>
          <w:color w:val="auto"/>
          <w:highlight w:val="none"/>
        </w:rPr>
        <w:t>-1</w:t>
      </w:r>
      <w:r>
        <w:rPr>
          <w:rFonts w:hint="eastAsia" w:cs="宋体"/>
          <w:color w:val="auto"/>
          <w:highlight w:val="none"/>
        </w:rPr>
        <w:t>）</w:t>
      </w:r>
    </w:p>
    <w:p w14:paraId="3BAD3E3F">
      <w:pPr>
        <w:spacing w:line="360" w:lineRule="auto"/>
        <w:ind w:firstLine="630" w:firstLineChars="300"/>
        <w:jc w:val="left"/>
        <w:rPr>
          <w:color w:val="auto"/>
          <w:highlight w:val="none"/>
        </w:rPr>
      </w:pPr>
      <w:r>
        <w:rPr>
          <w:color w:val="auto"/>
          <w:highlight w:val="none"/>
        </w:rPr>
        <w:t xml:space="preserve">1.3 </w:t>
      </w:r>
      <w:r>
        <w:rPr>
          <w:rFonts w:hint="eastAsia" w:cs="宋体"/>
          <w:color w:val="auto"/>
          <w:highlight w:val="none"/>
        </w:rPr>
        <w:t>总说明（表</w:t>
      </w:r>
      <w:r>
        <w:rPr>
          <w:color w:val="auto"/>
          <w:highlight w:val="none"/>
        </w:rPr>
        <w:t>-01</w:t>
      </w:r>
      <w:r>
        <w:rPr>
          <w:rFonts w:hint="eastAsia" w:cs="宋体"/>
          <w:color w:val="auto"/>
          <w:highlight w:val="none"/>
        </w:rPr>
        <w:t>）</w:t>
      </w:r>
    </w:p>
    <w:p w14:paraId="027126CE">
      <w:pPr>
        <w:spacing w:line="360" w:lineRule="auto"/>
        <w:ind w:firstLine="630" w:firstLineChars="300"/>
        <w:jc w:val="left"/>
        <w:rPr>
          <w:color w:val="auto"/>
          <w:highlight w:val="none"/>
        </w:rPr>
      </w:pPr>
      <w:r>
        <w:rPr>
          <w:color w:val="auto"/>
          <w:highlight w:val="none"/>
        </w:rPr>
        <w:t xml:space="preserve">1.4 </w:t>
      </w:r>
      <w:r>
        <w:rPr>
          <w:rFonts w:hint="eastAsia" w:cs="宋体"/>
          <w:color w:val="auto"/>
          <w:highlight w:val="none"/>
        </w:rPr>
        <w:t>建设项目投标报价汇总表（表</w:t>
      </w:r>
      <w:r>
        <w:rPr>
          <w:color w:val="auto"/>
          <w:highlight w:val="none"/>
        </w:rPr>
        <w:t>-02</w:t>
      </w:r>
      <w:r>
        <w:rPr>
          <w:rFonts w:hint="eastAsia" w:cs="宋体"/>
          <w:color w:val="auto"/>
          <w:highlight w:val="none"/>
        </w:rPr>
        <w:t>）</w:t>
      </w:r>
    </w:p>
    <w:p w14:paraId="41A228FB">
      <w:pPr>
        <w:spacing w:line="360" w:lineRule="auto"/>
        <w:ind w:firstLine="630" w:firstLineChars="300"/>
        <w:jc w:val="left"/>
        <w:rPr>
          <w:color w:val="auto"/>
          <w:highlight w:val="none"/>
        </w:rPr>
      </w:pPr>
      <w:r>
        <w:rPr>
          <w:color w:val="auto"/>
          <w:highlight w:val="none"/>
        </w:rPr>
        <w:t xml:space="preserve">1.5 </w:t>
      </w:r>
      <w:r>
        <w:rPr>
          <w:rFonts w:hint="eastAsia" w:cs="宋体"/>
          <w:color w:val="auto"/>
          <w:highlight w:val="none"/>
        </w:rPr>
        <w:t>单项工程投标报价汇总表（表</w:t>
      </w:r>
      <w:r>
        <w:rPr>
          <w:color w:val="auto"/>
          <w:highlight w:val="none"/>
        </w:rPr>
        <w:t>-03</w:t>
      </w:r>
      <w:r>
        <w:rPr>
          <w:rFonts w:hint="eastAsia" w:cs="宋体"/>
          <w:color w:val="auto"/>
          <w:highlight w:val="none"/>
        </w:rPr>
        <w:t>）</w:t>
      </w:r>
    </w:p>
    <w:p w14:paraId="5D9EC046">
      <w:pPr>
        <w:spacing w:line="360" w:lineRule="auto"/>
        <w:ind w:firstLine="630" w:firstLineChars="300"/>
        <w:jc w:val="left"/>
        <w:rPr>
          <w:color w:val="auto"/>
          <w:highlight w:val="none"/>
        </w:rPr>
      </w:pPr>
      <w:r>
        <w:rPr>
          <w:color w:val="auto"/>
          <w:highlight w:val="none"/>
        </w:rPr>
        <w:t xml:space="preserve">1.6 </w:t>
      </w:r>
      <w:r>
        <w:rPr>
          <w:rFonts w:hint="eastAsia" w:cs="宋体"/>
          <w:color w:val="auto"/>
          <w:highlight w:val="none"/>
        </w:rPr>
        <w:t>单位工程投标报价汇总表（表</w:t>
      </w:r>
      <w:r>
        <w:rPr>
          <w:color w:val="auto"/>
          <w:highlight w:val="none"/>
        </w:rPr>
        <w:t>-04</w:t>
      </w:r>
      <w:r>
        <w:rPr>
          <w:rFonts w:hint="eastAsia" w:cs="宋体"/>
          <w:color w:val="auto"/>
          <w:highlight w:val="none"/>
        </w:rPr>
        <w:t>）</w:t>
      </w:r>
    </w:p>
    <w:p w14:paraId="4C69AD3C">
      <w:pPr>
        <w:spacing w:line="360" w:lineRule="auto"/>
        <w:ind w:firstLine="630" w:firstLineChars="300"/>
        <w:jc w:val="left"/>
        <w:rPr>
          <w:color w:val="auto"/>
          <w:highlight w:val="none"/>
        </w:rPr>
      </w:pPr>
      <w:r>
        <w:rPr>
          <w:color w:val="auto"/>
          <w:highlight w:val="none"/>
        </w:rPr>
        <w:t xml:space="preserve">1.7 </w:t>
      </w:r>
      <w:r>
        <w:rPr>
          <w:rFonts w:hint="eastAsia" w:cs="宋体"/>
          <w:color w:val="auto"/>
          <w:highlight w:val="none"/>
        </w:rPr>
        <w:t>分部分项工程和单价措施项目清单与计价表（表</w:t>
      </w:r>
      <w:r>
        <w:rPr>
          <w:color w:val="auto"/>
          <w:highlight w:val="none"/>
        </w:rPr>
        <w:t>-08</w:t>
      </w:r>
      <w:r>
        <w:rPr>
          <w:rFonts w:hint="eastAsia" w:cs="宋体"/>
          <w:color w:val="auto"/>
          <w:highlight w:val="none"/>
        </w:rPr>
        <w:t>）</w:t>
      </w:r>
    </w:p>
    <w:p w14:paraId="0C0BB109">
      <w:pPr>
        <w:spacing w:line="360" w:lineRule="auto"/>
        <w:ind w:firstLine="630" w:firstLineChars="300"/>
        <w:jc w:val="left"/>
        <w:rPr>
          <w:color w:val="auto"/>
          <w:highlight w:val="none"/>
        </w:rPr>
      </w:pPr>
      <w:r>
        <w:rPr>
          <w:color w:val="auto"/>
          <w:highlight w:val="none"/>
        </w:rPr>
        <w:t xml:space="preserve">1.8 </w:t>
      </w:r>
      <w:r>
        <w:rPr>
          <w:rFonts w:hint="eastAsia" w:cs="宋体"/>
          <w:color w:val="auto"/>
          <w:highlight w:val="none"/>
        </w:rPr>
        <w:t>总价措施项目清单与计价表（表</w:t>
      </w:r>
      <w:r>
        <w:rPr>
          <w:color w:val="auto"/>
          <w:highlight w:val="none"/>
        </w:rPr>
        <w:t>-11</w:t>
      </w:r>
      <w:r>
        <w:rPr>
          <w:rFonts w:hint="eastAsia" w:cs="宋体"/>
          <w:color w:val="auto"/>
          <w:highlight w:val="none"/>
        </w:rPr>
        <w:t>）</w:t>
      </w:r>
    </w:p>
    <w:p w14:paraId="0E66E64F">
      <w:pPr>
        <w:spacing w:line="360" w:lineRule="auto"/>
        <w:ind w:firstLine="630" w:firstLineChars="300"/>
        <w:jc w:val="left"/>
        <w:rPr>
          <w:color w:val="auto"/>
          <w:highlight w:val="none"/>
        </w:rPr>
      </w:pPr>
      <w:r>
        <w:rPr>
          <w:color w:val="auto"/>
          <w:highlight w:val="none"/>
        </w:rPr>
        <w:t xml:space="preserve">1.9 </w:t>
      </w:r>
      <w:r>
        <w:rPr>
          <w:rFonts w:hint="eastAsia" w:cs="宋体"/>
          <w:color w:val="auto"/>
          <w:highlight w:val="none"/>
        </w:rPr>
        <w:t>其他项目清单与计价汇总表（表</w:t>
      </w:r>
      <w:r>
        <w:rPr>
          <w:color w:val="auto"/>
          <w:highlight w:val="none"/>
        </w:rPr>
        <w:t>-12</w:t>
      </w:r>
      <w:r>
        <w:rPr>
          <w:rFonts w:hint="eastAsia" w:cs="宋体"/>
          <w:color w:val="auto"/>
          <w:highlight w:val="none"/>
        </w:rPr>
        <w:t>）</w:t>
      </w:r>
    </w:p>
    <w:p w14:paraId="7DCA8C36">
      <w:pPr>
        <w:spacing w:line="360" w:lineRule="auto"/>
        <w:ind w:firstLine="630" w:firstLineChars="300"/>
        <w:jc w:val="left"/>
        <w:rPr>
          <w:color w:val="auto"/>
          <w:highlight w:val="none"/>
        </w:rPr>
      </w:pPr>
      <w:r>
        <w:rPr>
          <w:color w:val="auto"/>
          <w:highlight w:val="none"/>
        </w:rPr>
        <w:t xml:space="preserve">1.10 </w:t>
      </w:r>
      <w:r>
        <w:rPr>
          <w:rFonts w:hint="eastAsia" w:cs="宋体"/>
          <w:color w:val="auto"/>
          <w:highlight w:val="none"/>
        </w:rPr>
        <w:t>暂列金额明细表（表</w:t>
      </w:r>
      <w:r>
        <w:rPr>
          <w:color w:val="auto"/>
          <w:highlight w:val="none"/>
        </w:rPr>
        <w:t>12-1</w:t>
      </w:r>
      <w:r>
        <w:rPr>
          <w:rFonts w:hint="eastAsia" w:cs="宋体"/>
          <w:color w:val="auto"/>
          <w:highlight w:val="none"/>
        </w:rPr>
        <w:t>）</w:t>
      </w:r>
    </w:p>
    <w:p w14:paraId="024B48EF">
      <w:pPr>
        <w:spacing w:line="360" w:lineRule="auto"/>
        <w:ind w:firstLine="630" w:firstLineChars="300"/>
        <w:jc w:val="left"/>
        <w:rPr>
          <w:color w:val="auto"/>
          <w:highlight w:val="none"/>
        </w:rPr>
      </w:pPr>
      <w:r>
        <w:rPr>
          <w:color w:val="auto"/>
          <w:highlight w:val="none"/>
        </w:rPr>
        <w:t xml:space="preserve">1.11 </w:t>
      </w:r>
      <w:r>
        <w:rPr>
          <w:rFonts w:hint="eastAsia" w:cs="宋体"/>
          <w:color w:val="auto"/>
          <w:highlight w:val="none"/>
        </w:rPr>
        <w:t>材料（工程设备）暂估单价及调整表（表</w:t>
      </w:r>
      <w:r>
        <w:rPr>
          <w:color w:val="auto"/>
          <w:highlight w:val="none"/>
        </w:rPr>
        <w:t>12-2</w:t>
      </w:r>
      <w:r>
        <w:rPr>
          <w:rFonts w:hint="eastAsia" w:cs="宋体"/>
          <w:color w:val="auto"/>
          <w:highlight w:val="none"/>
        </w:rPr>
        <w:t>）</w:t>
      </w:r>
    </w:p>
    <w:p w14:paraId="1CB7CD6F">
      <w:pPr>
        <w:spacing w:line="360" w:lineRule="auto"/>
        <w:ind w:firstLine="630" w:firstLineChars="300"/>
        <w:jc w:val="left"/>
        <w:rPr>
          <w:color w:val="auto"/>
          <w:highlight w:val="none"/>
        </w:rPr>
      </w:pPr>
      <w:r>
        <w:rPr>
          <w:color w:val="auto"/>
          <w:highlight w:val="none"/>
        </w:rPr>
        <w:t xml:space="preserve">1.12 </w:t>
      </w:r>
      <w:r>
        <w:rPr>
          <w:rFonts w:hint="eastAsia" w:cs="宋体"/>
          <w:color w:val="auto"/>
          <w:highlight w:val="none"/>
        </w:rPr>
        <w:t>专业工程暂估价</w:t>
      </w:r>
      <w:r>
        <w:rPr>
          <w:rFonts w:hint="eastAsia"/>
          <w:color w:val="auto"/>
          <w:highlight w:val="none"/>
        </w:rPr>
        <w:t>及结算价</w:t>
      </w:r>
      <w:r>
        <w:rPr>
          <w:rFonts w:hint="eastAsia" w:cs="宋体"/>
          <w:color w:val="auto"/>
          <w:highlight w:val="none"/>
        </w:rPr>
        <w:t>表（表</w:t>
      </w:r>
      <w:r>
        <w:rPr>
          <w:color w:val="auto"/>
          <w:highlight w:val="none"/>
        </w:rPr>
        <w:t>12-3</w:t>
      </w:r>
      <w:r>
        <w:rPr>
          <w:rFonts w:hint="eastAsia" w:cs="宋体"/>
          <w:color w:val="auto"/>
          <w:highlight w:val="none"/>
        </w:rPr>
        <w:t>）</w:t>
      </w:r>
    </w:p>
    <w:p w14:paraId="623E082D">
      <w:pPr>
        <w:spacing w:line="360" w:lineRule="auto"/>
        <w:ind w:firstLine="630" w:firstLineChars="300"/>
        <w:jc w:val="left"/>
        <w:rPr>
          <w:color w:val="auto"/>
          <w:highlight w:val="none"/>
        </w:rPr>
      </w:pPr>
      <w:r>
        <w:rPr>
          <w:color w:val="auto"/>
          <w:highlight w:val="none"/>
        </w:rPr>
        <w:t xml:space="preserve">1.13 </w:t>
      </w:r>
      <w:r>
        <w:rPr>
          <w:rFonts w:hint="eastAsia" w:cs="宋体"/>
          <w:color w:val="auto"/>
          <w:highlight w:val="none"/>
        </w:rPr>
        <w:t>计日工表（表</w:t>
      </w:r>
      <w:r>
        <w:rPr>
          <w:color w:val="auto"/>
          <w:highlight w:val="none"/>
        </w:rPr>
        <w:t>12-4</w:t>
      </w:r>
      <w:r>
        <w:rPr>
          <w:rFonts w:hint="eastAsia" w:cs="宋体"/>
          <w:color w:val="auto"/>
          <w:highlight w:val="none"/>
        </w:rPr>
        <w:t>）</w:t>
      </w:r>
    </w:p>
    <w:p w14:paraId="4DBFA1AD">
      <w:pPr>
        <w:spacing w:line="360" w:lineRule="auto"/>
        <w:ind w:firstLine="630" w:firstLineChars="300"/>
        <w:jc w:val="left"/>
        <w:rPr>
          <w:color w:val="auto"/>
          <w:highlight w:val="none"/>
        </w:rPr>
      </w:pPr>
      <w:r>
        <w:rPr>
          <w:color w:val="auto"/>
          <w:highlight w:val="none"/>
        </w:rPr>
        <w:t xml:space="preserve">1.14 </w:t>
      </w:r>
      <w:r>
        <w:rPr>
          <w:rFonts w:hint="eastAsia" w:cs="宋体"/>
          <w:color w:val="auto"/>
          <w:highlight w:val="none"/>
        </w:rPr>
        <w:t>总承包服务费计价表（表</w:t>
      </w:r>
      <w:r>
        <w:rPr>
          <w:color w:val="auto"/>
          <w:highlight w:val="none"/>
        </w:rPr>
        <w:t>12-5</w:t>
      </w:r>
      <w:r>
        <w:rPr>
          <w:rFonts w:hint="eastAsia" w:cs="宋体"/>
          <w:color w:val="auto"/>
          <w:highlight w:val="none"/>
        </w:rPr>
        <w:t>）</w:t>
      </w:r>
    </w:p>
    <w:p w14:paraId="6A66BA76">
      <w:pPr>
        <w:spacing w:line="360" w:lineRule="auto"/>
        <w:ind w:firstLine="630" w:firstLineChars="300"/>
        <w:jc w:val="left"/>
        <w:rPr>
          <w:color w:val="auto"/>
          <w:highlight w:val="none"/>
        </w:rPr>
      </w:pPr>
      <w:r>
        <w:rPr>
          <w:color w:val="auto"/>
          <w:highlight w:val="none"/>
        </w:rPr>
        <w:t xml:space="preserve">1.15 </w:t>
      </w:r>
      <w:r>
        <w:rPr>
          <w:rFonts w:hint="eastAsia" w:cs="宋体"/>
          <w:color w:val="auto"/>
          <w:highlight w:val="none"/>
        </w:rPr>
        <w:t>税前项目清单与计价表（表</w:t>
      </w:r>
      <w:r>
        <w:rPr>
          <w:color w:val="auto"/>
          <w:highlight w:val="none"/>
        </w:rPr>
        <w:t>-14</w:t>
      </w:r>
      <w:r>
        <w:rPr>
          <w:rFonts w:hint="eastAsia" w:cs="宋体"/>
          <w:color w:val="auto"/>
          <w:highlight w:val="none"/>
        </w:rPr>
        <w:t>）</w:t>
      </w:r>
    </w:p>
    <w:p w14:paraId="35B6945C">
      <w:pPr>
        <w:spacing w:line="360" w:lineRule="auto"/>
        <w:ind w:firstLine="630" w:firstLineChars="300"/>
        <w:jc w:val="left"/>
        <w:rPr>
          <w:color w:val="auto"/>
          <w:highlight w:val="none"/>
        </w:rPr>
      </w:pPr>
      <w:r>
        <w:rPr>
          <w:color w:val="auto"/>
          <w:highlight w:val="none"/>
        </w:rPr>
        <w:t xml:space="preserve">1.16 </w:t>
      </w:r>
      <w:r>
        <w:rPr>
          <w:rFonts w:hint="eastAsia" w:cs="宋体"/>
          <w:color w:val="auto"/>
          <w:highlight w:val="none"/>
        </w:rPr>
        <w:t>规费、增值税计价表（表</w:t>
      </w:r>
      <w:r>
        <w:rPr>
          <w:color w:val="auto"/>
          <w:highlight w:val="none"/>
        </w:rPr>
        <w:t>-15</w:t>
      </w:r>
      <w:r>
        <w:rPr>
          <w:rFonts w:hint="eastAsia" w:cs="宋体"/>
          <w:color w:val="auto"/>
          <w:highlight w:val="none"/>
        </w:rPr>
        <w:t>）</w:t>
      </w:r>
    </w:p>
    <w:p w14:paraId="327BB8E6">
      <w:pPr>
        <w:spacing w:line="360" w:lineRule="auto"/>
        <w:ind w:firstLine="630" w:firstLineChars="300"/>
        <w:jc w:val="left"/>
        <w:rPr>
          <w:color w:val="auto"/>
          <w:highlight w:val="none"/>
        </w:rPr>
      </w:pPr>
      <w:r>
        <w:rPr>
          <w:color w:val="auto"/>
          <w:highlight w:val="none"/>
        </w:rPr>
        <w:t xml:space="preserve">1.17 </w:t>
      </w:r>
      <w:r>
        <w:rPr>
          <w:rFonts w:hint="eastAsia" w:cs="宋体"/>
          <w:color w:val="auto"/>
          <w:highlight w:val="none"/>
        </w:rPr>
        <w:t>发包人提供主要材料和工程设备一览表（表</w:t>
      </w:r>
      <w:r>
        <w:rPr>
          <w:color w:val="auto"/>
          <w:highlight w:val="none"/>
        </w:rPr>
        <w:t>-21</w:t>
      </w:r>
      <w:r>
        <w:rPr>
          <w:rFonts w:hint="eastAsia" w:cs="宋体"/>
          <w:color w:val="auto"/>
          <w:highlight w:val="none"/>
        </w:rPr>
        <w:t>）</w:t>
      </w:r>
    </w:p>
    <w:p w14:paraId="1DCD4A04">
      <w:pPr>
        <w:spacing w:line="360" w:lineRule="auto"/>
        <w:ind w:firstLine="630" w:firstLineChars="300"/>
        <w:jc w:val="left"/>
        <w:rPr>
          <w:color w:val="auto"/>
          <w:highlight w:val="none"/>
        </w:rPr>
      </w:pPr>
      <w:r>
        <w:rPr>
          <w:color w:val="auto"/>
          <w:highlight w:val="none"/>
        </w:rPr>
        <w:t xml:space="preserve">1.18 </w:t>
      </w:r>
      <w:r>
        <w:rPr>
          <w:rFonts w:hint="eastAsia" w:cs="宋体"/>
          <w:color w:val="auto"/>
          <w:highlight w:val="none"/>
          <w:lang w:eastAsia="zh-CN"/>
        </w:rPr>
        <w:t>允许调整</w:t>
      </w:r>
      <w:r>
        <w:rPr>
          <w:rFonts w:hint="eastAsia" w:cs="宋体"/>
          <w:color w:val="auto"/>
          <w:highlight w:val="none"/>
        </w:rPr>
        <w:t>主要材料和工程设备一览表（适用于造价信息差额调整法）（表</w:t>
      </w:r>
      <w:r>
        <w:rPr>
          <w:color w:val="auto"/>
          <w:highlight w:val="none"/>
        </w:rPr>
        <w:t>-22</w:t>
      </w:r>
      <w:r>
        <w:rPr>
          <w:rFonts w:hint="eastAsia" w:cs="宋体"/>
          <w:color w:val="auto"/>
          <w:highlight w:val="none"/>
        </w:rPr>
        <w:t>）</w:t>
      </w:r>
    </w:p>
    <w:p w14:paraId="6C599420">
      <w:pPr>
        <w:spacing w:line="360" w:lineRule="auto"/>
        <w:ind w:firstLine="630" w:firstLineChars="300"/>
        <w:jc w:val="left"/>
        <w:rPr>
          <w:rFonts w:hint="eastAsia" w:cs="宋体"/>
          <w:color w:val="auto"/>
          <w:highlight w:val="none"/>
        </w:rPr>
      </w:pPr>
      <w:r>
        <w:rPr>
          <w:color w:val="auto"/>
          <w:highlight w:val="none"/>
        </w:rPr>
        <w:t>1.19</w:t>
      </w:r>
      <w:r>
        <w:rPr>
          <w:rFonts w:hint="eastAsia" w:cs="宋体"/>
          <w:color w:val="auto"/>
          <w:highlight w:val="none"/>
          <w:lang w:eastAsia="zh-CN"/>
        </w:rPr>
        <w:t>允许调整</w:t>
      </w:r>
      <w:r>
        <w:rPr>
          <w:rFonts w:hint="eastAsia" w:cs="宋体"/>
          <w:color w:val="auto"/>
          <w:highlight w:val="none"/>
        </w:rPr>
        <w:t>主要材料和工程设备一览表（适用于价格指数差额调整法）（表</w:t>
      </w:r>
      <w:r>
        <w:rPr>
          <w:color w:val="auto"/>
          <w:highlight w:val="none"/>
        </w:rPr>
        <w:t>-23</w:t>
      </w:r>
      <w:r>
        <w:rPr>
          <w:rFonts w:hint="eastAsia" w:cs="宋体"/>
          <w:color w:val="auto"/>
          <w:highlight w:val="none"/>
        </w:rPr>
        <w:t>）</w:t>
      </w:r>
    </w:p>
    <w:p w14:paraId="136134FC">
      <w:pPr>
        <w:spacing w:line="360" w:lineRule="auto"/>
        <w:ind w:firstLine="630" w:firstLineChars="300"/>
        <w:jc w:val="left"/>
        <w:rPr>
          <w:rFonts w:hint="eastAsia" w:cs="宋体"/>
          <w:color w:val="auto"/>
          <w:highlight w:val="none"/>
        </w:rPr>
      </w:pPr>
      <w:r>
        <w:rPr>
          <w:rFonts w:hint="eastAsia" w:cs="宋体"/>
          <w:color w:val="auto"/>
          <w:highlight w:val="none"/>
          <w:lang w:val="en-US" w:eastAsia="zh-CN"/>
        </w:rPr>
        <w:t>1.20本工程</w:t>
      </w:r>
      <w:r>
        <w:rPr>
          <w:rFonts w:hint="default" w:cs="宋体"/>
          <w:color w:val="auto"/>
          <w:highlight w:val="none"/>
          <w:lang w:val="en" w:eastAsia="zh-CN"/>
        </w:rPr>
        <w:t>材料和工程设备</w:t>
      </w:r>
      <w:r>
        <w:rPr>
          <w:rFonts w:hint="eastAsia" w:cs="宋体"/>
          <w:color w:val="auto"/>
          <w:highlight w:val="none"/>
          <w:lang w:val="en-US" w:eastAsia="zh-CN"/>
        </w:rPr>
        <w:t>一览表（表-24）</w:t>
      </w:r>
    </w:p>
    <w:p w14:paraId="6EE1C163">
      <w:pPr>
        <w:spacing w:line="360" w:lineRule="auto"/>
        <w:ind w:firstLine="630" w:firstLineChars="300"/>
        <w:jc w:val="left"/>
        <w:rPr>
          <w:rFonts w:cs="宋体"/>
          <w:color w:val="auto"/>
          <w:highlight w:val="none"/>
        </w:rPr>
      </w:pPr>
      <w:r>
        <w:rPr>
          <w:rFonts w:hint="eastAsia" w:cs="宋体"/>
          <w:color w:val="auto"/>
          <w:highlight w:val="none"/>
        </w:rPr>
        <w:t>注：如本工程在合同中约定采用造价信息价差调整法，1.</w:t>
      </w:r>
      <w:r>
        <w:rPr>
          <w:color w:val="auto"/>
          <w:highlight w:val="none"/>
        </w:rPr>
        <w:t xml:space="preserve">18 </w:t>
      </w:r>
      <w:r>
        <w:rPr>
          <w:rFonts w:hint="default" w:cs="宋体"/>
          <w:color w:val="auto"/>
          <w:highlight w:val="none"/>
          <w:lang w:val="en" w:eastAsia="zh-CN"/>
        </w:rPr>
        <w:t>允许调整</w:t>
      </w:r>
      <w:r>
        <w:rPr>
          <w:rFonts w:hint="eastAsia" w:cs="宋体"/>
          <w:color w:val="auto"/>
          <w:highlight w:val="none"/>
        </w:rPr>
        <w:t>主要材料和工程设备一览表（适用于造价信息差额调整法）（表</w:t>
      </w:r>
      <w:r>
        <w:rPr>
          <w:color w:val="auto"/>
          <w:highlight w:val="none"/>
        </w:rPr>
        <w:t>-22</w:t>
      </w:r>
      <w:r>
        <w:rPr>
          <w:rFonts w:hint="eastAsia" w:cs="宋体"/>
          <w:color w:val="auto"/>
          <w:highlight w:val="none"/>
        </w:rPr>
        <w:t>）载明的主要材料和</w:t>
      </w:r>
      <w:r>
        <w:rPr>
          <w:rFonts w:hint="eastAsia" w:cs="宋体"/>
          <w:color w:val="auto"/>
          <w:highlight w:val="none"/>
          <w:lang w:eastAsia="zh-CN"/>
        </w:rPr>
        <w:t>工程</w:t>
      </w:r>
      <w:r>
        <w:rPr>
          <w:rFonts w:hint="eastAsia" w:cs="宋体"/>
          <w:color w:val="auto"/>
          <w:highlight w:val="none"/>
        </w:rPr>
        <w:t>设备为本工程允许调整材料和</w:t>
      </w:r>
      <w:r>
        <w:rPr>
          <w:rFonts w:hint="eastAsia" w:cs="宋体"/>
          <w:color w:val="auto"/>
          <w:highlight w:val="none"/>
          <w:lang w:eastAsia="zh-CN"/>
        </w:rPr>
        <w:t>工程</w:t>
      </w:r>
      <w:r>
        <w:rPr>
          <w:rFonts w:hint="eastAsia" w:cs="宋体"/>
          <w:color w:val="auto"/>
          <w:highlight w:val="none"/>
        </w:rPr>
        <w:t>设备，招标工程量清单必须提供该表格，并应载明允许调整材料和</w:t>
      </w:r>
      <w:r>
        <w:rPr>
          <w:rFonts w:hint="eastAsia" w:cs="宋体"/>
          <w:color w:val="auto"/>
          <w:highlight w:val="none"/>
          <w:lang w:eastAsia="zh-CN"/>
        </w:rPr>
        <w:t>工程</w:t>
      </w:r>
      <w:r>
        <w:rPr>
          <w:rFonts w:hint="eastAsia" w:cs="宋体"/>
          <w:color w:val="auto"/>
          <w:highlight w:val="none"/>
        </w:rPr>
        <w:t>设备名称型号规格、单位、风险系数、基准单价等内容，且不能提供空白表。</w:t>
      </w:r>
    </w:p>
    <w:p w14:paraId="35B2E7B2">
      <w:pPr>
        <w:spacing w:line="360" w:lineRule="auto"/>
        <w:ind w:firstLine="630" w:firstLineChars="300"/>
        <w:jc w:val="left"/>
        <w:rPr>
          <w:color w:val="auto"/>
          <w:highlight w:val="none"/>
        </w:rPr>
      </w:pPr>
      <w:r>
        <w:rPr>
          <w:rFonts w:hint="eastAsia" w:cs="宋体"/>
          <w:color w:val="auto"/>
          <w:highlight w:val="none"/>
        </w:rPr>
        <w:t>以下表格视工程实际需要选用，如该工程不发生如下表格相关项目和费用，所编制招标工程量清单则不需列入相应表格：</w:t>
      </w:r>
    </w:p>
    <w:p w14:paraId="74B0850A">
      <w:pPr>
        <w:spacing w:line="360" w:lineRule="auto"/>
        <w:ind w:firstLine="630" w:firstLineChars="300"/>
        <w:jc w:val="left"/>
        <w:rPr>
          <w:color w:val="auto"/>
          <w:highlight w:val="none"/>
        </w:rPr>
      </w:pPr>
      <w:r>
        <w:rPr>
          <w:rFonts w:hint="eastAsia" w:ascii="宋体" w:hAnsi="宋体" w:cs="宋体"/>
          <w:color w:val="auto"/>
          <w:highlight w:val="none"/>
        </w:rPr>
        <w:t>①</w:t>
      </w:r>
      <w:r>
        <w:rPr>
          <w:rFonts w:hint="eastAsia" w:cs="宋体"/>
          <w:color w:val="auto"/>
          <w:highlight w:val="none"/>
        </w:rPr>
        <w:t>建设项目投标报价汇总表（表</w:t>
      </w:r>
      <w:r>
        <w:rPr>
          <w:color w:val="auto"/>
          <w:highlight w:val="none"/>
        </w:rPr>
        <w:t>-02</w:t>
      </w:r>
      <w:r>
        <w:rPr>
          <w:rFonts w:hint="eastAsia" w:cs="宋体"/>
          <w:color w:val="auto"/>
          <w:highlight w:val="none"/>
        </w:rPr>
        <w:t>）</w:t>
      </w:r>
    </w:p>
    <w:p w14:paraId="6CC99F1E">
      <w:pPr>
        <w:spacing w:line="360" w:lineRule="auto"/>
        <w:ind w:firstLine="630" w:firstLineChars="300"/>
        <w:jc w:val="left"/>
        <w:rPr>
          <w:color w:val="auto"/>
          <w:highlight w:val="none"/>
        </w:rPr>
      </w:pPr>
      <w:r>
        <w:rPr>
          <w:rFonts w:hint="eastAsia" w:cs="宋体"/>
          <w:color w:val="auto"/>
          <w:highlight w:val="none"/>
        </w:rPr>
        <w:t>②暂列金额明细表（表</w:t>
      </w:r>
      <w:r>
        <w:rPr>
          <w:color w:val="auto"/>
          <w:highlight w:val="none"/>
        </w:rPr>
        <w:t>12-1</w:t>
      </w:r>
      <w:r>
        <w:rPr>
          <w:rFonts w:hint="eastAsia" w:cs="宋体"/>
          <w:color w:val="auto"/>
          <w:highlight w:val="none"/>
        </w:rPr>
        <w:t>）</w:t>
      </w:r>
    </w:p>
    <w:p w14:paraId="5A57485B">
      <w:pPr>
        <w:spacing w:line="360" w:lineRule="auto"/>
        <w:ind w:firstLine="630" w:firstLineChars="300"/>
        <w:jc w:val="left"/>
        <w:rPr>
          <w:color w:val="auto"/>
          <w:highlight w:val="none"/>
        </w:rPr>
      </w:pPr>
      <w:r>
        <w:rPr>
          <w:rFonts w:hint="eastAsia" w:cs="宋体"/>
          <w:color w:val="auto"/>
          <w:highlight w:val="none"/>
        </w:rPr>
        <w:t>③材料（工程设备）暂估单价及调整表（表</w:t>
      </w:r>
      <w:r>
        <w:rPr>
          <w:color w:val="auto"/>
          <w:highlight w:val="none"/>
        </w:rPr>
        <w:t>12-2</w:t>
      </w:r>
      <w:r>
        <w:rPr>
          <w:rFonts w:hint="eastAsia" w:cs="宋体"/>
          <w:color w:val="auto"/>
          <w:highlight w:val="none"/>
        </w:rPr>
        <w:t>）</w:t>
      </w:r>
    </w:p>
    <w:p w14:paraId="1489CEDC">
      <w:pPr>
        <w:spacing w:line="360" w:lineRule="auto"/>
        <w:ind w:firstLine="630" w:firstLineChars="300"/>
        <w:jc w:val="left"/>
        <w:rPr>
          <w:color w:val="auto"/>
          <w:highlight w:val="none"/>
        </w:rPr>
      </w:pPr>
      <w:r>
        <w:rPr>
          <w:rFonts w:hint="eastAsia" w:cs="宋体"/>
          <w:color w:val="auto"/>
          <w:highlight w:val="none"/>
        </w:rPr>
        <w:t>④专业工程暂估价表（表</w:t>
      </w:r>
      <w:r>
        <w:rPr>
          <w:color w:val="auto"/>
          <w:highlight w:val="none"/>
        </w:rPr>
        <w:t>12-3</w:t>
      </w:r>
      <w:r>
        <w:rPr>
          <w:rFonts w:hint="eastAsia" w:cs="宋体"/>
          <w:color w:val="auto"/>
          <w:highlight w:val="none"/>
        </w:rPr>
        <w:t>）</w:t>
      </w:r>
    </w:p>
    <w:p w14:paraId="28CE3062">
      <w:pPr>
        <w:spacing w:line="360" w:lineRule="auto"/>
        <w:ind w:firstLine="630" w:firstLineChars="300"/>
        <w:jc w:val="left"/>
        <w:rPr>
          <w:color w:val="auto"/>
          <w:highlight w:val="none"/>
        </w:rPr>
      </w:pPr>
      <w:r>
        <w:rPr>
          <w:rFonts w:hint="eastAsia" w:cs="宋体"/>
          <w:color w:val="auto"/>
          <w:highlight w:val="none"/>
        </w:rPr>
        <w:t>⑤计日工表（表</w:t>
      </w:r>
      <w:r>
        <w:rPr>
          <w:color w:val="auto"/>
          <w:highlight w:val="none"/>
        </w:rPr>
        <w:t>12-4</w:t>
      </w:r>
      <w:r>
        <w:rPr>
          <w:rFonts w:hint="eastAsia" w:cs="宋体"/>
          <w:color w:val="auto"/>
          <w:highlight w:val="none"/>
        </w:rPr>
        <w:t>）</w:t>
      </w:r>
    </w:p>
    <w:p w14:paraId="4C7E40FA">
      <w:pPr>
        <w:spacing w:line="360" w:lineRule="auto"/>
        <w:ind w:firstLine="630" w:firstLineChars="300"/>
        <w:jc w:val="left"/>
        <w:rPr>
          <w:color w:val="auto"/>
          <w:highlight w:val="none"/>
        </w:rPr>
      </w:pPr>
      <w:r>
        <w:rPr>
          <w:rFonts w:hint="eastAsia" w:cs="宋体"/>
          <w:color w:val="auto"/>
          <w:highlight w:val="none"/>
        </w:rPr>
        <w:t>⑥总承包服务费计价表（表</w:t>
      </w:r>
      <w:r>
        <w:rPr>
          <w:color w:val="auto"/>
          <w:highlight w:val="none"/>
        </w:rPr>
        <w:t>12-5</w:t>
      </w:r>
      <w:r>
        <w:rPr>
          <w:rFonts w:hint="eastAsia" w:cs="宋体"/>
          <w:color w:val="auto"/>
          <w:highlight w:val="none"/>
        </w:rPr>
        <w:t>）</w:t>
      </w:r>
    </w:p>
    <w:p w14:paraId="4A986D76">
      <w:pPr>
        <w:spacing w:line="360" w:lineRule="auto"/>
        <w:ind w:firstLine="630" w:firstLineChars="300"/>
        <w:jc w:val="left"/>
        <w:rPr>
          <w:rFonts w:cs="宋体"/>
          <w:color w:val="auto"/>
          <w:highlight w:val="none"/>
        </w:rPr>
      </w:pPr>
      <w:r>
        <w:rPr>
          <w:rFonts w:hint="eastAsia" w:cs="宋体"/>
          <w:color w:val="auto"/>
          <w:highlight w:val="none"/>
        </w:rPr>
        <w:t>⑦税前项目清单与计价表（表</w:t>
      </w:r>
      <w:r>
        <w:rPr>
          <w:color w:val="auto"/>
          <w:highlight w:val="none"/>
        </w:rPr>
        <w:t>-14</w:t>
      </w:r>
      <w:r>
        <w:rPr>
          <w:rFonts w:hint="eastAsia" w:cs="宋体"/>
          <w:color w:val="auto"/>
          <w:highlight w:val="none"/>
        </w:rPr>
        <w:t>）</w:t>
      </w:r>
    </w:p>
    <w:p w14:paraId="7478784D">
      <w:pPr>
        <w:spacing w:line="360" w:lineRule="auto"/>
        <w:ind w:firstLine="630" w:firstLineChars="300"/>
        <w:rPr>
          <w:rFonts w:hint="eastAsia"/>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 8 \* GB3</w:instrText>
      </w:r>
      <w:r>
        <w:rPr>
          <w:color w:val="auto"/>
          <w:highlight w:val="none"/>
        </w:rPr>
        <w:instrText xml:space="preserve"> </w:instrText>
      </w:r>
      <w:r>
        <w:rPr>
          <w:color w:val="auto"/>
          <w:highlight w:val="none"/>
        </w:rPr>
        <w:fldChar w:fldCharType="separate"/>
      </w:r>
      <w:r>
        <w:rPr>
          <w:rFonts w:hint="eastAsia"/>
          <w:color w:val="auto"/>
          <w:highlight w:val="none"/>
        </w:rPr>
        <w:t>⑧</w:t>
      </w:r>
      <w:r>
        <w:rPr>
          <w:color w:val="auto"/>
          <w:highlight w:val="none"/>
        </w:rPr>
        <w:fldChar w:fldCharType="end"/>
      </w:r>
      <w:r>
        <w:rPr>
          <w:color w:val="auto"/>
          <w:highlight w:val="none"/>
        </w:rPr>
        <w:t xml:space="preserve"> </w:t>
      </w:r>
      <w:r>
        <w:rPr>
          <w:rFonts w:hint="eastAsia" w:cs="宋体"/>
          <w:color w:val="auto"/>
          <w:highlight w:val="none"/>
          <w:lang w:eastAsia="zh-CN"/>
        </w:rPr>
        <w:t>允许调整</w:t>
      </w:r>
      <w:r>
        <w:rPr>
          <w:rFonts w:hint="eastAsia" w:cs="宋体"/>
          <w:color w:val="auto"/>
          <w:highlight w:val="none"/>
        </w:rPr>
        <w:t>主要材料和工程设备一览表（适用于价格指数差额调整法）（表</w:t>
      </w:r>
      <w:r>
        <w:rPr>
          <w:color w:val="auto"/>
          <w:highlight w:val="none"/>
        </w:rPr>
        <w:t>-23</w:t>
      </w:r>
      <w:r>
        <w:rPr>
          <w:rFonts w:hint="eastAsia" w:cs="宋体"/>
          <w:color w:val="auto"/>
          <w:highlight w:val="none"/>
        </w:rPr>
        <w:t>）</w:t>
      </w:r>
    </w:p>
    <w:p w14:paraId="4E093F1D">
      <w:pPr>
        <w:pStyle w:val="3"/>
        <w:rPr>
          <w:color w:val="auto"/>
          <w:highlight w:val="none"/>
        </w:rPr>
      </w:pPr>
      <w:bookmarkStart w:id="1351" w:name="_Toc347872619"/>
      <w:bookmarkStart w:id="1352" w:name="_Toc407135285"/>
      <w:bookmarkStart w:id="1353" w:name="_Toc990933621"/>
      <w:bookmarkStart w:id="1354" w:name="_Toc78449870"/>
      <w:r>
        <w:rPr>
          <w:color w:val="auto"/>
          <w:highlight w:val="none"/>
        </w:rPr>
        <w:t xml:space="preserve">2 </w:t>
      </w:r>
      <w:r>
        <w:rPr>
          <w:rFonts w:hint="eastAsia" w:cs="黑体"/>
          <w:color w:val="auto"/>
          <w:highlight w:val="none"/>
        </w:rPr>
        <w:t>招标控制价编制说明</w:t>
      </w:r>
      <w:bookmarkEnd w:id="1351"/>
      <w:bookmarkEnd w:id="1352"/>
      <w:bookmarkEnd w:id="1353"/>
      <w:bookmarkEnd w:id="1354"/>
    </w:p>
    <w:p w14:paraId="6179A3D9">
      <w:pPr>
        <w:spacing w:line="360" w:lineRule="auto"/>
        <w:ind w:firstLine="420" w:firstLineChars="200"/>
        <w:rPr>
          <w:color w:val="auto"/>
          <w:highlight w:val="none"/>
        </w:rPr>
      </w:pPr>
      <w:r>
        <w:rPr>
          <w:color w:val="auto"/>
          <w:highlight w:val="none"/>
        </w:rPr>
        <w:t xml:space="preserve">2.1 </w:t>
      </w:r>
      <w:r>
        <w:rPr>
          <w:rFonts w:hint="eastAsia" w:hAnsi="宋体" w:cs="宋体"/>
          <w:color w:val="auto"/>
          <w:highlight w:val="none"/>
        </w:rPr>
        <w:t>招标控制价编制依据：</w:t>
      </w:r>
    </w:p>
    <w:p w14:paraId="288F3FFA">
      <w:pPr>
        <w:spacing w:line="360" w:lineRule="auto"/>
        <w:ind w:firstLine="420" w:firstLineChars="200"/>
        <w:rPr>
          <w:rFonts w:hAnsi="宋体"/>
          <w:color w:val="auto"/>
          <w:highlight w:val="none"/>
        </w:rPr>
      </w:pPr>
      <w:r>
        <w:rPr>
          <w:rFonts w:hint="eastAsia" w:cs="宋体"/>
          <w:color w:val="auto"/>
          <w:highlight w:val="none"/>
        </w:rPr>
        <w:t>（</w:t>
      </w:r>
      <w:r>
        <w:rPr>
          <w:color w:val="auto"/>
          <w:highlight w:val="none"/>
        </w:rPr>
        <w:t>1</w:t>
      </w:r>
      <w:r>
        <w:rPr>
          <w:rFonts w:hint="eastAsia" w:cs="宋体"/>
          <w:color w:val="auto"/>
          <w:highlight w:val="none"/>
        </w:rPr>
        <w:t>）</w:t>
      </w:r>
      <w:r>
        <w:rPr>
          <w:rFonts w:hint="eastAsia" w:hAnsi="宋体" w:cs="宋体"/>
          <w:color w:val="auto"/>
          <w:highlight w:val="none"/>
        </w:rPr>
        <w:t>《计价规范》及《计算规范》、</w:t>
      </w:r>
      <w:r>
        <w:rPr>
          <w:rFonts w:hint="eastAsia" w:hAnsi="宋体" w:cs="宋体"/>
          <w:color w:val="auto"/>
          <w:kern w:val="0"/>
          <w:highlight w:val="none"/>
        </w:rPr>
        <w:t>《关于建筑业实施营业税改征增值税后广西壮族自治区建设工程计价依据调整的通知》（桂建标〔</w:t>
      </w:r>
      <w:r>
        <w:rPr>
          <w:rFonts w:hAnsi="宋体"/>
          <w:color w:val="auto"/>
          <w:kern w:val="0"/>
          <w:highlight w:val="none"/>
        </w:rPr>
        <w:t>2016</w:t>
      </w:r>
      <w:r>
        <w:rPr>
          <w:rFonts w:hint="eastAsia" w:hAnsi="宋体" w:cs="宋体"/>
          <w:color w:val="auto"/>
          <w:kern w:val="0"/>
          <w:highlight w:val="none"/>
        </w:rPr>
        <w:t>〕</w:t>
      </w:r>
      <w:r>
        <w:rPr>
          <w:rFonts w:hAnsi="宋体"/>
          <w:color w:val="auto"/>
          <w:kern w:val="0"/>
          <w:highlight w:val="none"/>
        </w:rPr>
        <w:t>17</w:t>
      </w:r>
      <w:r>
        <w:rPr>
          <w:rFonts w:hint="eastAsia" w:hAnsi="宋体" w:cs="宋体"/>
          <w:color w:val="auto"/>
          <w:kern w:val="0"/>
          <w:highlight w:val="none"/>
        </w:rPr>
        <w:t>号）等</w:t>
      </w:r>
      <w:r>
        <w:rPr>
          <w:rFonts w:hint="eastAsia" w:hAnsi="宋体" w:cs="宋体"/>
          <w:color w:val="auto"/>
          <w:highlight w:val="none"/>
        </w:rPr>
        <w:t>；</w:t>
      </w:r>
    </w:p>
    <w:p w14:paraId="12B45461">
      <w:pPr>
        <w:spacing w:line="360" w:lineRule="auto"/>
        <w:rPr>
          <w:color w:val="auto"/>
          <w:highlight w:val="none"/>
        </w:rPr>
      </w:pPr>
      <w:r>
        <w:rPr>
          <w:rFonts w:hint="eastAsia" w:cs="宋体"/>
          <w:color w:val="auto"/>
          <w:highlight w:val="none"/>
        </w:rPr>
        <w:t>（</w:t>
      </w:r>
      <w:r>
        <w:rPr>
          <w:color w:val="auto"/>
          <w:highlight w:val="none"/>
        </w:rPr>
        <w:t>2</w:t>
      </w:r>
      <w:r>
        <w:rPr>
          <w:rFonts w:hint="eastAsia" w:cs="宋体"/>
          <w:color w:val="auto"/>
          <w:highlight w:val="none"/>
        </w:rPr>
        <w:t>）自治区住房城乡建设行政主管部门颁发的计价定额及有关规定：</w:t>
      </w:r>
      <w:r>
        <w:rPr>
          <w:color w:val="auto"/>
          <w:highlight w:val="none"/>
          <w:u w:val="single"/>
        </w:rPr>
        <w:t xml:space="preserve">  </w:t>
      </w:r>
      <w:r>
        <w:rPr>
          <w:rFonts w:hint="eastAsia"/>
          <w:color w:val="auto"/>
          <w:highlight w:val="none"/>
          <w:u w:val="single"/>
          <w:lang w:val="en-US" w:eastAsia="zh-CN"/>
        </w:rPr>
        <w:t>详见招标工程量清单总说明</w:t>
      </w:r>
      <w:r>
        <w:rPr>
          <w:color w:val="auto"/>
          <w:highlight w:val="none"/>
          <w:u w:val="single"/>
        </w:rPr>
        <w:t xml:space="preserve">  </w:t>
      </w:r>
      <w:r>
        <w:rPr>
          <w:rFonts w:hint="eastAsia" w:cs="宋体"/>
          <w:color w:val="auto"/>
          <w:highlight w:val="none"/>
        </w:rPr>
        <w:t>。</w:t>
      </w:r>
    </w:p>
    <w:p w14:paraId="1DC8447E">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）建设工程设计文件及相关资料：</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cs="宋体"/>
          <w:color w:val="auto"/>
          <w:highlight w:val="none"/>
        </w:rPr>
        <w:t>。</w:t>
      </w:r>
      <w:r>
        <w:rPr>
          <w:color w:val="auto"/>
          <w:highlight w:val="none"/>
        </w:rPr>
        <w:t xml:space="preserve"> </w:t>
      </w:r>
    </w:p>
    <w:p w14:paraId="7CA2E010">
      <w:pPr>
        <w:spacing w:line="360" w:lineRule="auto"/>
        <w:ind w:firstLine="420" w:firstLineChars="200"/>
        <w:rPr>
          <w:color w:val="auto"/>
          <w:highlight w:val="none"/>
        </w:rPr>
      </w:pPr>
      <w:r>
        <w:rPr>
          <w:rFonts w:hint="eastAsia" w:cs="宋体"/>
          <w:color w:val="auto"/>
          <w:highlight w:val="none"/>
        </w:rPr>
        <w:t>（</w:t>
      </w:r>
      <w:r>
        <w:rPr>
          <w:color w:val="auto"/>
          <w:highlight w:val="none"/>
        </w:rPr>
        <w:t>4</w:t>
      </w:r>
      <w:r>
        <w:rPr>
          <w:rFonts w:hint="eastAsia" w:cs="宋体"/>
          <w:color w:val="auto"/>
          <w:highlight w:val="none"/>
        </w:rPr>
        <w:t>）本工程招标文件及工程量清单；</w:t>
      </w:r>
    </w:p>
    <w:p w14:paraId="7AEF3142">
      <w:pPr>
        <w:spacing w:line="360" w:lineRule="auto"/>
        <w:ind w:firstLine="420" w:firstLineChars="200"/>
        <w:rPr>
          <w:color w:val="auto"/>
          <w:highlight w:val="none"/>
        </w:rPr>
      </w:pPr>
      <w:r>
        <w:rPr>
          <w:rFonts w:hint="eastAsia" w:cs="宋体"/>
          <w:color w:val="auto"/>
          <w:highlight w:val="none"/>
        </w:rPr>
        <w:t>（</w:t>
      </w:r>
      <w:r>
        <w:rPr>
          <w:color w:val="auto"/>
          <w:highlight w:val="none"/>
        </w:rPr>
        <w:t>5</w:t>
      </w:r>
      <w:r>
        <w:rPr>
          <w:rFonts w:hint="eastAsia" w:cs="宋体"/>
          <w:color w:val="auto"/>
          <w:highlight w:val="none"/>
        </w:rPr>
        <w:t>）与建设项目相关的标准、规范、技术资料；</w:t>
      </w:r>
    </w:p>
    <w:p w14:paraId="71FB0B04">
      <w:pPr>
        <w:spacing w:line="360" w:lineRule="auto"/>
        <w:ind w:firstLine="420" w:firstLineChars="200"/>
        <w:rPr>
          <w:color w:val="auto"/>
          <w:highlight w:val="none"/>
        </w:rPr>
      </w:pPr>
      <w:r>
        <w:rPr>
          <w:rFonts w:hint="eastAsia" w:cs="宋体"/>
          <w:color w:val="auto"/>
          <w:highlight w:val="none"/>
        </w:rPr>
        <w:t>（</w:t>
      </w:r>
      <w:r>
        <w:rPr>
          <w:color w:val="auto"/>
          <w:highlight w:val="none"/>
        </w:rPr>
        <w:t>6</w:t>
      </w:r>
      <w:r>
        <w:rPr>
          <w:rFonts w:hint="eastAsia" w:cs="宋体"/>
          <w:color w:val="auto"/>
          <w:highlight w:val="none"/>
        </w:rPr>
        <w:t>）施工现场情况、工程特点及常规施工方案；</w:t>
      </w:r>
    </w:p>
    <w:p w14:paraId="50379C48">
      <w:pPr>
        <w:spacing w:line="360" w:lineRule="auto"/>
        <w:ind w:firstLine="420" w:firstLineChars="200"/>
        <w:rPr>
          <w:rFonts w:hAnsi="宋体"/>
          <w:color w:val="auto"/>
          <w:highlight w:val="none"/>
        </w:rPr>
      </w:pPr>
      <w:r>
        <w:rPr>
          <w:rFonts w:hint="eastAsia" w:cs="宋体"/>
          <w:color w:val="auto"/>
          <w:highlight w:val="none"/>
        </w:rPr>
        <w:t>（</w:t>
      </w:r>
      <w:r>
        <w:rPr>
          <w:color w:val="auto"/>
          <w:highlight w:val="none"/>
        </w:rPr>
        <w:t>7</w:t>
      </w:r>
      <w:r>
        <w:rPr>
          <w:rFonts w:hint="eastAsia" w:cs="宋体"/>
          <w:color w:val="auto"/>
          <w:highlight w:val="none"/>
        </w:rPr>
        <w:t>）材料价格信息</w:t>
      </w:r>
      <w:r>
        <w:rPr>
          <w:rFonts w:hint="eastAsia" w:hAnsi="宋体" w:cs="宋体"/>
          <w:color w:val="auto"/>
          <w:highlight w:val="none"/>
        </w:rPr>
        <w:t>：材料价格主要按照</w:t>
      </w:r>
      <w:r>
        <w:rPr>
          <w:color w:val="auto"/>
          <w:highlight w:val="none"/>
          <w:u w:val="single"/>
        </w:rPr>
        <w:t xml:space="preserve">  </w:t>
      </w:r>
      <w:r>
        <w:rPr>
          <w:rFonts w:hint="eastAsia"/>
          <w:color w:val="auto"/>
          <w:highlight w:val="none"/>
          <w:u w:val="single"/>
          <w:lang w:val="en-US" w:eastAsia="zh-CN"/>
        </w:rPr>
        <w:t>南宁</w:t>
      </w:r>
      <w:r>
        <w:rPr>
          <w:color w:val="auto"/>
          <w:highlight w:val="none"/>
          <w:u w:val="single"/>
        </w:rPr>
        <w:t xml:space="preserve">    </w:t>
      </w:r>
      <w:r>
        <w:rPr>
          <w:rFonts w:hint="eastAsia" w:cs="宋体"/>
          <w:color w:val="auto"/>
          <w:highlight w:val="none"/>
        </w:rPr>
        <w:t>市建设工程造价管理机构发布的工程造价信息</w:t>
      </w:r>
      <w:r>
        <w:rPr>
          <w:color w:val="auto"/>
          <w:highlight w:val="none"/>
          <w:u w:val="single"/>
        </w:rPr>
        <w:t xml:space="preserve">  </w:t>
      </w:r>
      <w:r>
        <w:rPr>
          <w:rFonts w:hint="eastAsia"/>
          <w:color w:val="auto"/>
          <w:highlight w:val="none"/>
          <w:u w:val="single"/>
          <w:lang w:val="en-US" w:eastAsia="zh-CN"/>
        </w:rPr>
        <w:t>2024</w:t>
      </w:r>
      <w:r>
        <w:rPr>
          <w:color w:val="auto"/>
          <w:highlight w:val="none"/>
          <w:u w:val="single"/>
        </w:rPr>
        <w:t xml:space="preserve">   </w:t>
      </w:r>
      <w:r>
        <w:rPr>
          <w:rFonts w:hint="eastAsia" w:cs="宋体"/>
          <w:color w:val="auto"/>
          <w:highlight w:val="none"/>
        </w:rPr>
        <w:t>年第</w:t>
      </w:r>
      <w:r>
        <w:rPr>
          <w:color w:val="auto"/>
          <w:highlight w:val="none"/>
          <w:u w:val="single"/>
        </w:rPr>
        <w:t xml:space="preserve"> </w:t>
      </w:r>
      <w:r>
        <w:rPr>
          <w:rFonts w:hint="eastAsia"/>
          <w:color w:val="auto"/>
          <w:highlight w:val="none"/>
          <w:u w:val="single"/>
          <w:lang w:val="en-US" w:eastAsia="zh-CN"/>
        </w:rPr>
        <w:t>6月（上半月）</w:t>
      </w:r>
      <w:r>
        <w:rPr>
          <w:color w:val="auto"/>
          <w:highlight w:val="none"/>
          <w:u w:val="single"/>
        </w:rPr>
        <w:t xml:space="preserve"> </w:t>
      </w:r>
      <w:r>
        <w:rPr>
          <w:rFonts w:hint="eastAsia" w:cs="宋体"/>
          <w:color w:val="auto"/>
          <w:highlight w:val="none"/>
        </w:rPr>
        <w:t>期，不足部分参考市场定价</w:t>
      </w:r>
      <w:r>
        <w:rPr>
          <w:rFonts w:hint="eastAsia" w:hAnsi="宋体" w:cs="宋体"/>
          <w:color w:val="auto"/>
          <w:highlight w:val="none"/>
        </w:rPr>
        <w:t>。</w:t>
      </w:r>
    </w:p>
    <w:p w14:paraId="3747B363">
      <w:pPr>
        <w:spacing w:line="360" w:lineRule="auto"/>
        <w:ind w:firstLine="420" w:firstLineChars="200"/>
        <w:rPr>
          <w:color w:val="auto"/>
          <w:highlight w:val="none"/>
        </w:rPr>
      </w:pPr>
      <w:r>
        <w:rPr>
          <w:color w:val="auto"/>
          <w:highlight w:val="none"/>
        </w:rPr>
        <w:t xml:space="preserve">2.2 </w:t>
      </w:r>
      <w:r>
        <w:rPr>
          <w:rFonts w:hint="eastAsia" w:hAnsi="宋体" w:cs="宋体"/>
          <w:color w:val="auto"/>
          <w:highlight w:val="none"/>
        </w:rPr>
        <w:t>分部分项及单价措施项目综合单价应包括招标文件中招标人要求投标人所承担的风险内容及其范围（幅度）产生的风险费用。</w:t>
      </w:r>
    </w:p>
    <w:p w14:paraId="095BBBF1">
      <w:pPr>
        <w:spacing w:line="360" w:lineRule="auto"/>
        <w:ind w:firstLine="420"/>
        <w:rPr>
          <w:color w:val="auto"/>
          <w:highlight w:val="none"/>
        </w:rPr>
      </w:pPr>
      <w:r>
        <w:rPr>
          <w:color w:val="auto"/>
          <w:highlight w:val="none"/>
        </w:rPr>
        <w:t xml:space="preserve">2.3 </w:t>
      </w:r>
      <w:r>
        <w:rPr>
          <w:rFonts w:hint="eastAsia" w:hAnsi="宋体" w:cs="宋体"/>
          <w:color w:val="auto"/>
          <w:highlight w:val="none"/>
        </w:rPr>
        <w:t>总价措施项目应根据拟定的招标文件和常规施工方案按《计价规范》和《计算规范》规定编制。</w:t>
      </w:r>
    </w:p>
    <w:p w14:paraId="69D8D532">
      <w:pPr>
        <w:spacing w:line="360" w:lineRule="auto"/>
        <w:ind w:firstLine="420" w:firstLineChars="200"/>
        <w:rPr>
          <w:color w:val="auto"/>
          <w:highlight w:val="none"/>
        </w:rPr>
      </w:pPr>
      <w:r>
        <w:rPr>
          <w:color w:val="auto"/>
          <w:highlight w:val="none"/>
        </w:rPr>
        <w:t xml:space="preserve">2.4 </w:t>
      </w:r>
      <w:r>
        <w:rPr>
          <w:rFonts w:hint="eastAsia" w:cs="宋体"/>
          <w:color w:val="auto"/>
          <w:highlight w:val="none"/>
        </w:rPr>
        <w:t>其他项目费应按下列规定报价：</w:t>
      </w:r>
    </w:p>
    <w:p w14:paraId="6DD7E813">
      <w:pPr>
        <w:spacing w:line="360" w:lineRule="auto"/>
        <w:ind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）暂列金额应按招标工程量清单中列出的金额填写；</w:t>
      </w:r>
    </w:p>
    <w:p w14:paraId="38723C0C">
      <w:pPr>
        <w:pStyle w:val="51"/>
        <w:spacing w:line="360" w:lineRule="auto"/>
        <w:ind w:firstLine="420" w:firstLineChars="200"/>
        <w:rPr>
          <w:color w:val="auto"/>
          <w:highlight w:val="none"/>
        </w:rPr>
      </w:pPr>
      <w:r>
        <w:rPr>
          <w:rFonts w:hint="eastAsia" w:cs="宋体"/>
          <w:color w:val="auto"/>
          <w:highlight w:val="none"/>
        </w:rPr>
        <w:t>（</w:t>
      </w:r>
      <w:r>
        <w:rPr>
          <w:color w:val="auto"/>
          <w:highlight w:val="none"/>
        </w:rPr>
        <w:t>2</w:t>
      </w:r>
      <w:r>
        <w:rPr>
          <w:rFonts w:hint="eastAsia" w:cs="宋体"/>
          <w:color w:val="auto"/>
          <w:highlight w:val="none"/>
        </w:rPr>
        <w:t>）材料、工程设备暂估价应按招标工程量清单中列出的单价计入综合单价；</w:t>
      </w:r>
    </w:p>
    <w:p w14:paraId="10A4904C">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）专业工程暂估价应按招标工程量清单中列出的金额填写；</w:t>
      </w:r>
    </w:p>
    <w:p w14:paraId="0EF2F664">
      <w:pPr>
        <w:spacing w:line="360" w:lineRule="auto"/>
        <w:ind w:firstLine="420" w:firstLineChars="200"/>
        <w:rPr>
          <w:color w:val="auto"/>
          <w:highlight w:val="none"/>
        </w:rPr>
      </w:pPr>
      <w:r>
        <w:rPr>
          <w:rFonts w:hint="eastAsia" w:cs="宋体"/>
          <w:color w:val="auto"/>
          <w:highlight w:val="none"/>
        </w:rPr>
        <w:t>（</w:t>
      </w:r>
      <w:r>
        <w:rPr>
          <w:color w:val="auto"/>
          <w:highlight w:val="none"/>
        </w:rPr>
        <w:t>4</w:t>
      </w:r>
      <w:r>
        <w:rPr>
          <w:rFonts w:hint="eastAsia" w:cs="宋体"/>
          <w:color w:val="auto"/>
          <w:highlight w:val="none"/>
        </w:rPr>
        <w:t>）计日工应按招标工程量清单中列出的项目和数量，根据工程特点和有关计价依据确定的综合单价计算；</w:t>
      </w:r>
    </w:p>
    <w:p w14:paraId="4E77088A">
      <w:pPr>
        <w:spacing w:line="360" w:lineRule="auto"/>
        <w:ind w:firstLine="420" w:firstLineChars="200"/>
        <w:rPr>
          <w:rFonts w:cs="宋体"/>
          <w:color w:val="auto"/>
          <w:highlight w:val="none"/>
        </w:rPr>
      </w:pPr>
      <w:r>
        <w:rPr>
          <w:rFonts w:hint="eastAsia" w:cs="宋体"/>
          <w:color w:val="auto"/>
          <w:highlight w:val="none"/>
        </w:rPr>
        <w:t>（</w:t>
      </w:r>
      <w:r>
        <w:rPr>
          <w:color w:val="auto"/>
          <w:highlight w:val="none"/>
        </w:rPr>
        <w:t>5</w:t>
      </w:r>
      <w:r>
        <w:rPr>
          <w:rFonts w:hint="eastAsia" w:cs="宋体"/>
          <w:color w:val="auto"/>
          <w:highlight w:val="none"/>
        </w:rPr>
        <w:t>）总承包服务费应根据招标工程量清单列出的内容</w:t>
      </w:r>
      <w:r>
        <w:rPr>
          <w:rFonts w:hint="eastAsia" w:hAnsi="宋体" w:cs="宋体"/>
          <w:color w:val="auto"/>
          <w:highlight w:val="none"/>
        </w:rPr>
        <w:t>和要求，按自治区住房城乡建设行政主管部门颁发的计价定额及有关规定计算</w:t>
      </w:r>
      <w:r>
        <w:rPr>
          <w:rFonts w:hint="eastAsia" w:cs="宋体"/>
          <w:color w:val="auto"/>
          <w:highlight w:val="none"/>
        </w:rPr>
        <w:t>。</w:t>
      </w:r>
    </w:p>
    <w:p w14:paraId="1B48F8EB">
      <w:pPr>
        <w:spacing w:line="360" w:lineRule="auto"/>
        <w:ind w:firstLine="420" w:firstLineChars="200"/>
        <w:rPr>
          <w:rFonts w:hint="eastAsia"/>
          <w:color w:val="auto"/>
          <w:highlight w:val="none"/>
        </w:rPr>
      </w:pPr>
      <w:r>
        <w:rPr>
          <w:rFonts w:hint="eastAsia"/>
          <w:color w:val="auto"/>
          <w:highlight w:val="none"/>
        </w:rPr>
        <w:t>（6）对建设单位创建优质工程的，鼓励在招标控制价和预算中按我区工程建设定额规定计列工程优质费，并明确工程优质费不可竞争。</w:t>
      </w:r>
    </w:p>
    <w:p w14:paraId="03120EAC">
      <w:pPr>
        <w:spacing w:line="360" w:lineRule="auto"/>
        <w:ind w:firstLine="420" w:firstLineChars="200"/>
        <w:rPr>
          <w:color w:val="auto"/>
          <w:highlight w:val="none"/>
        </w:rPr>
      </w:pPr>
      <w:r>
        <w:rPr>
          <w:color w:val="auto"/>
          <w:highlight w:val="none"/>
        </w:rPr>
        <w:t xml:space="preserve">2.5 </w:t>
      </w:r>
      <w:r>
        <w:rPr>
          <w:rFonts w:hint="eastAsia" w:cs="宋体"/>
          <w:color w:val="auto"/>
          <w:highlight w:val="none"/>
        </w:rPr>
        <w:t>规费和增值税应按规定确定，作为不可竞争费用。</w:t>
      </w:r>
    </w:p>
    <w:p w14:paraId="628907C7">
      <w:pPr>
        <w:spacing w:line="360" w:lineRule="auto"/>
        <w:ind w:firstLine="420" w:firstLineChars="200"/>
        <w:rPr>
          <w:rFonts w:hAnsi="宋体"/>
          <w:color w:val="auto"/>
          <w:highlight w:val="none"/>
        </w:rPr>
      </w:pPr>
      <w:r>
        <w:rPr>
          <w:color w:val="auto"/>
          <w:highlight w:val="none"/>
        </w:rPr>
        <w:t xml:space="preserve">2.6 </w:t>
      </w:r>
      <w:r>
        <w:rPr>
          <w:rFonts w:hint="eastAsia" w:hAnsi="宋体" w:cs="宋体"/>
          <w:color w:val="auto"/>
          <w:highlight w:val="none"/>
        </w:rPr>
        <w:t>其它需要说明的问题：</w:t>
      </w:r>
      <w:r>
        <w:rPr>
          <w:color w:val="auto"/>
          <w:highlight w:val="none"/>
          <w:u w:val="single"/>
        </w:rPr>
        <w:t xml:space="preserve">   </w:t>
      </w:r>
      <w:r>
        <w:rPr>
          <w:rFonts w:hint="eastAsia"/>
          <w:color w:val="auto"/>
          <w:highlight w:val="none"/>
          <w:u w:val="single"/>
          <w:lang w:val="en-US" w:eastAsia="zh-CN"/>
        </w:rPr>
        <w:t>详见招标工程量清单总说明</w:t>
      </w:r>
      <w:r>
        <w:rPr>
          <w:color w:val="auto"/>
          <w:highlight w:val="none"/>
          <w:u w:val="single"/>
        </w:rPr>
        <w:t xml:space="preserve">    </w:t>
      </w:r>
      <w:r>
        <w:rPr>
          <w:rFonts w:hint="eastAsia" w:hAnsi="宋体" w:cs="宋体"/>
          <w:color w:val="auto"/>
          <w:highlight w:val="none"/>
        </w:rPr>
        <w:t>。</w:t>
      </w:r>
    </w:p>
    <w:p w14:paraId="788BA119">
      <w:pPr>
        <w:pStyle w:val="3"/>
        <w:rPr>
          <w:color w:val="auto"/>
          <w:highlight w:val="none"/>
        </w:rPr>
      </w:pPr>
      <w:bookmarkStart w:id="1355" w:name="_Toc378483916"/>
      <w:bookmarkStart w:id="1356" w:name="_Toc879821176"/>
      <w:bookmarkStart w:id="1357" w:name="_Toc407135286"/>
      <w:bookmarkStart w:id="1358" w:name="_Toc78449871"/>
      <w:r>
        <w:rPr>
          <w:color w:val="auto"/>
          <w:highlight w:val="none"/>
        </w:rPr>
        <w:t xml:space="preserve">3 </w:t>
      </w:r>
      <w:r>
        <w:rPr>
          <w:rFonts w:hint="eastAsia" w:cs="黑体"/>
          <w:color w:val="auto"/>
          <w:highlight w:val="none"/>
        </w:rPr>
        <w:t>投标报价（已标价工程量清单）编制说明</w:t>
      </w:r>
      <w:bookmarkEnd w:id="1355"/>
      <w:bookmarkEnd w:id="1356"/>
      <w:bookmarkEnd w:id="1357"/>
      <w:bookmarkEnd w:id="1358"/>
    </w:p>
    <w:p w14:paraId="1033C065">
      <w:pPr>
        <w:spacing w:line="360" w:lineRule="auto"/>
        <w:ind w:firstLine="420" w:firstLineChars="200"/>
        <w:rPr>
          <w:color w:val="auto"/>
          <w:highlight w:val="none"/>
        </w:rPr>
      </w:pPr>
      <w:r>
        <w:rPr>
          <w:color w:val="auto"/>
          <w:highlight w:val="none"/>
        </w:rPr>
        <w:t xml:space="preserve">3.1 </w:t>
      </w:r>
      <w:r>
        <w:rPr>
          <w:rFonts w:hint="eastAsia" w:cs="宋体"/>
          <w:color w:val="auto"/>
          <w:highlight w:val="none"/>
        </w:rPr>
        <w:t>投标人应依据招标文件、招标工程量清单以及《计价规范》、《计算规范》自主报价，自主报价</w:t>
      </w:r>
      <w:r>
        <w:rPr>
          <w:rFonts w:hint="eastAsia" w:hAnsi="宋体" w:cs="宋体"/>
          <w:color w:val="auto"/>
          <w:highlight w:val="none"/>
        </w:rPr>
        <w:t>不得违反计价规范强制性条文规定。</w:t>
      </w:r>
      <w:r>
        <w:rPr>
          <w:rFonts w:hint="eastAsia" w:cs="宋体"/>
          <w:color w:val="auto"/>
          <w:highlight w:val="none"/>
        </w:rPr>
        <w:t>投标人不得采用总价让利或以百分比让利等形式进行报价，任何优惠（或降价、让利）均应反映在相应清单项目的综合单价中。同时，不得出现任意一项单价重大让利，</w:t>
      </w:r>
      <w:r>
        <w:rPr>
          <w:rFonts w:hint="eastAsia" w:hAnsi="宋体" w:cs="宋体"/>
          <w:color w:val="auto"/>
          <w:highlight w:val="none"/>
        </w:rPr>
        <w:t>不得以自有机械闲置、自有材料等不计成本为由</w:t>
      </w:r>
      <w:r>
        <w:rPr>
          <w:rFonts w:hint="eastAsia" w:cs="宋体"/>
          <w:color w:val="auto"/>
          <w:highlight w:val="none"/>
        </w:rPr>
        <w:t>低于工程成本报价。</w:t>
      </w:r>
    </w:p>
    <w:p w14:paraId="12353C0A">
      <w:pPr>
        <w:spacing w:line="360" w:lineRule="auto"/>
        <w:ind w:firstLine="420" w:firstLineChars="200"/>
        <w:rPr>
          <w:rFonts w:hAnsi="宋体"/>
          <w:color w:val="auto"/>
          <w:highlight w:val="none"/>
        </w:rPr>
      </w:pPr>
      <w:r>
        <w:rPr>
          <w:color w:val="auto"/>
          <w:highlight w:val="none"/>
        </w:rPr>
        <w:t xml:space="preserve">3.2 </w:t>
      </w:r>
      <w:r>
        <w:rPr>
          <w:rFonts w:hint="eastAsia" w:cs="宋体"/>
          <w:color w:val="auto"/>
          <w:highlight w:val="none"/>
        </w:rPr>
        <w:t>投标人应按招标工程量清单填报价格。项目编码、项目名称、项目特征、计量单位、工程量必须与招标工程量清单一致，</w:t>
      </w:r>
      <w:r>
        <w:rPr>
          <w:rFonts w:hint="eastAsia" w:hAnsi="宋体" w:cs="宋体"/>
          <w:color w:val="auto"/>
          <w:highlight w:val="none"/>
        </w:rPr>
        <w:t>投标人不得对招标工程量清单项目进行增减调整。</w:t>
      </w:r>
    </w:p>
    <w:p w14:paraId="2310F528">
      <w:pPr>
        <w:spacing w:line="360" w:lineRule="auto"/>
        <w:ind w:firstLine="420" w:firstLineChars="200"/>
        <w:rPr>
          <w:color w:val="auto"/>
          <w:highlight w:val="none"/>
        </w:rPr>
      </w:pPr>
      <w:r>
        <w:rPr>
          <w:color w:val="auto"/>
          <w:highlight w:val="none"/>
        </w:rPr>
        <w:t xml:space="preserve">3.3 </w:t>
      </w:r>
      <w:r>
        <w:rPr>
          <w:rFonts w:hint="eastAsia" w:cs="宋体"/>
          <w:color w:val="auto"/>
          <w:highlight w:val="none"/>
        </w:rPr>
        <w:t>综合单价中应包含招标文件中划分的应由投标人承担的风险范围及其费用。</w:t>
      </w:r>
    </w:p>
    <w:p w14:paraId="511D5170">
      <w:pPr>
        <w:spacing w:line="360" w:lineRule="auto"/>
        <w:ind w:firstLine="420" w:firstLineChars="200"/>
        <w:rPr>
          <w:rFonts w:hAnsi="宋体"/>
          <w:color w:val="auto"/>
          <w:highlight w:val="none"/>
        </w:rPr>
      </w:pPr>
      <w:r>
        <w:rPr>
          <w:color w:val="auto"/>
          <w:highlight w:val="none"/>
        </w:rPr>
        <w:t xml:space="preserve">3.4 </w:t>
      </w:r>
      <w:r>
        <w:rPr>
          <w:rFonts w:hint="eastAsia" w:hAnsi="宋体" w:cs="宋体"/>
          <w:color w:val="auto"/>
          <w:highlight w:val="none"/>
        </w:rPr>
        <w:t>分部分项工程项目和单价措施项目，应根据招标文件和招标工程量清单项目中的特征描述确定综合单价计算。如出现招标工程量清单特征描述与设计图纸不符时，投标人应以招标工程量清单的项目特征描述为准，确定投标报价的综合单价。</w:t>
      </w:r>
    </w:p>
    <w:p w14:paraId="3D3F166E">
      <w:pPr>
        <w:spacing w:line="360" w:lineRule="auto"/>
        <w:ind w:firstLine="420" w:firstLineChars="200"/>
        <w:rPr>
          <w:color w:val="auto"/>
          <w:highlight w:val="none"/>
        </w:rPr>
      </w:pPr>
      <w:r>
        <w:rPr>
          <w:color w:val="auto"/>
          <w:highlight w:val="none"/>
        </w:rPr>
        <w:t xml:space="preserve">3.5 </w:t>
      </w:r>
      <w:r>
        <w:rPr>
          <w:rFonts w:hint="eastAsia" w:hAnsi="宋体" w:cs="宋体"/>
          <w:color w:val="auto"/>
          <w:highlight w:val="none"/>
        </w:rPr>
        <w:t>总价措施项目的金额应根据招标文件及投标时拟定的施工组织设计或施工方案，按计价规范的规定自主确定。但</w:t>
      </w:r>
      <w:r>
        <w:rPr>
          <w:rFonts w:hint="eastAsia" w:cs="宋体"/>
          <w:color w:val="auto"/>
          <w:highlight w:val="none"/>
        </w:rPr>
        <w:t>安全文明施工费按国家、省级或行业建设主管部门的有关规定执行，作为不竞争费用单列。</w:t>
      </w:r>
    </w:p>
    <w:p w14:paraId="43A928A7">
      <w:pPr>
        <w:spacing w:line="360" w:lineRule="auto"/>
        <w:ind w:firstLine="420" w:firstLineChars="200"/>
        <w:rPr>
          <w:color w:val="auto"/>
          <w:highlight w:val="none"/>
        </w:rPr>
      </w:pPr>
      <w:r>
        <w:rPr>
          <w:color w:val="auto"/>
          <w:highlight w:val="none"/>
        </w:rPr>
        <w:t xml:space="preserve">3.6 </w:t>
      </w:r>
      <w:r>
        <w:rPr>
          <w:rFonts w:hint="eastAsia" w:cs="宋体"/>
          <w:color w:val="auto"/>
          <w:highlight w:val="none"/>
        </w:rPr>
        <w:t>其他项目费应按下列规定报价：</w:t>
      </w:r>
    </w:p>
    <w:p w14:paraId="6B861AE4">
      <w:pPr>
        <w:spacing w:line="360" w:lineRule="auto"/>
        <w:ind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）暂列金额应按招标工程量清单中列出的金额填写；</w:t>
      </w:r>
    </w:p>
    <w:p w14:paraId="2761410E">
      <w:pPr>
        <w:pStyle w:val="51"/>
        <w:spacing w:line="360" w:lineRule="auto"/>
        <w:ind w:firstLine="420" w:firstLineChars="200"/>
        <w:rPr>
          <w:color w:val="auto"/>
          <w:highlight w:val="none"/>
        </w:rPr>
      </w:pPr>
      <w:r>
        <w:rPr>
          <w:rFonts w:hint="eastAsia" w:cs="宋体"/>
          <w:color w:val="auto"/>
          <w:highlight w:val="none"/>
        </w:rPr>
        <w:t>（</w:t>
      </w:r>
      <w:r>
        <w:rPr>
          <w:color w:val="auto"/>
          <w:highlight w:val="none"/>
        </w:rPr>
        <w:t>2</w:t>
      </w:r>
      <w:r>
        <w:rPr>
          <w:rFonts w:hint="eastAsia" w:cs="宋体"/>
          <w:color w:val="auto"/>
          <w:highlight w:val="none"/>
        </w:rPr>
        <w:t>）材料、工程设备暂估价应按招标工程量清单中列出的单价计入综合单价；</w:t>
      </w:r>
    </w:p>
    <w:p w14:paraId="2BA5312A">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）专业工程暂估价应按招标工程量清单中列出的金额填写；</w:t>
      </w:r>
    </w:p>
    <w:p w14:paraId="1C93D372">
      <w:pPr>
        <w:spacing w:line="360" w:lineRule="auto"/>
        <w:ind w:firstLine="420" w:firstLineChars="200"/>
        <w:rPr>
          <w:color w:val="auto"/>
          <w:highlight w:val="none"/>
        </w:rPr>
      </w:pPr>
      <w:r>
        <w:rPr>
          <w:rFonts w:hint="eastAsia" w:cs="宋体"/>
          <w:color w:val="auto"/>
          <w:highlight w:val="none"/>
        </w:rPr>
        <w:t>（</w:t>
      </w:r>
      <w:r>
        <w:rPr>
          <w:color w:val="auto"/>
          <w:highlight w:val="none"/>
        </w:rPr>
        <w:t>4</w:t>
      </w:r>
      <w:r>
        <w:rPr>
          <w:rFonts w:hint="eastAsia" w:cs="宋体"/>
          <w:color w:val="auto"/>
          <w:highlight w:val="none"/>
        </w:rPr>
        <w:t>）计日工应按招标工程量清单中列出的项目和估算数量，自主确定综合单价并计算计日工总额；计日工单价均不含规费和税金；</w:t>
      </w:r>
    </w:p>
    <w:p w14:paraId="62A3E38E">
      <w:pPr>
        <w:spacing w:line="360" w:lineRule="auto"/>
        <w:ind w:firstLine="420" w:firstLineChars="200"/>
        <w:rPr>
          <w:rFonts w:cs="宋体"/>
          <w:color w:val="auto"/>
          <w:highlight w:val="none"/>
        </w:rPr>
      </w:pPr>
      <w:r>
        <w:rPr>
          <w:rFonts w:hint="eastAsia" w:cs="宋体"/>
          <w:color w:val="auto"/>
          <w:highlight w:val="none"/>
        </w:rPr>
        <w:t>（</w:t>
      </w:r>
      <w:r>
        <w:rPr>
          <w:color w:val="auto"/>
          <w:highlight w:val="none"/>
        </w:rPr>
        <w:t>5</w:t>
      </w:r>
      <w:r>
        <w:rPr>
          <w:rFonts w:hint="eastAsia" w:cs="宋体"/>
          <w:color w:val="auto"/>
          <w:highlight w:val="none"/>
        </w:rPr>
        <w:t>）总承包服务费应根据招标工程量清单中列出的内容</w:t>
      </w:r>
      <w:r>
        <w:rPr>
          <w:rFonts w:hint="eastAsia" w:hAnsi="宋体" w:cs="宋体"/>
          <w:color w:val="auto"/>
          <w:highlight w:val="none"/>
        </w:rPr>
        <w:t>和供应材料、设备情况，按照招标人提出的协调、配合与服务要求和施工现场管理需要</w:t>
      </w:r>
      <w:r>
        <w:rPr>
          <w:rFonts w:hint="eastAsia" w:cs="宋体"/>
          <w:color w:val="auto"/>
          <w:highlight w:val="none"/>
        </w:rPr>
        <w:t>自主确定。</w:t>
      </w:r>
    </w:p>
    <w:p w14:paraId="3DEA5042">
      <w:pPr>
        <w:spacing w:line="360" w:lineRule="auto"/>
        <w:ind w:firstLine="420" w:firstLineChars="200"/>
        <w:rPr>
          <w:rFonts w:hint="eastAsia"/>
          <w:color w:val="auto"/>
          <w:highlight w:val="none"/>
        </w:rPr>
      </w:pPr>
      <w:r>
        <w:rPr>
          <w:rFonts w:hint="eastAsia"/>
          <w:color w:val="auto"/>
          <w:highlight w:val="none"/>
        </w:rPr>
        <w:t>（6）对建设单位创建优质工程的，鼓励在招标控制价和预算中按我区工程建设定额规定计列工程优质费，并明确工程优质费不可竞争。</w:t>
      </w:r>
    </w:p>
    <w:p w14:paraId="4867EBEE">
      <w:pPr>
        <w:spacing w:line="360" w:lineRule="auto"/>
        <w:ind w:firstLine="420" w:firstLineChars="200"/>
        <w:rPr>
          <w:color w:val="auto"/>
          <w:highlight w:val="none"/>
        </w:rPr>
      </w:pPr>
      <w:r>
        <w:rPr>
          <w:color w:val="auto"/>
          <w:highlight w:val="none"/>
        </w:rPr>
        <w:t xml:space="preserve">3.7 </w:t>
      </w:r>
      <w:r>
        <w:rPr>
          <w:rFonts w:hint="eastAsia" w:cs="宋体"/>
          <w:color w:val="auto"/>
          <w:highlight w:val="none"/>
        </w:rPr>
        <w:t>规费和增值税应按规定确定，作为不可竞争费用。</w:t>
      </w:r>
    </w:p>
    <w:p w14:paraId="7FADE21A">
      <w:pPr>
        <w:spacing w:line="360" w:lineRule="auto"/>
        <w:ind w:firstLine="420" w:firstLineChars="200"/>
        <w:rPr>
          <w:color w:val="auto"/>
          <w:highlight w:val="none"/>
        </w:rPr>
      </w:pPr>
      <w:r>
        <w:rPr>
          <w:color w:val="auto"/>
          <w:highlight w:val="none"/>
        </w:rPr>
        <w:t xml:space="preserve">3.8 </w:t>
      </w:r>
      <w:r>
        <w:rPr>
          <w:rFonts w:hint="eastAsia" w:cs="宋体"/>
          <w:color w:val="auto"/>
          <w:highlight w:val="none"/>
        </w:rPr>
        <w:t>招标工程量清单与计价表中列明的所有需要填写的单价和合价的项目，投标人均应填写且只允许有一个报价。未填写单价和合价的项目，视为此项费用已包含在已标价工程量清单中其他项目的单价和合价之中。竣工结算时，此项目不得重新组价予以调整。</w:t>
      </w:r>
    </w:p>
    <w:p w14:paraId="52B951D8">
      <w:pPr>
        <w:spacing w:line="360" w:lineRule="auto"/>
        <w:ind w:firstLine="420" w:firstLineChars="200"/>
        <w:rPr>
          <w:color w:val="auto"/>
          <w:highlight w:val="none"/>
        </w:rPr>
      </w:pPr>
      <w:r>
        <w:rPr>
          <w:color w:val="auto"/>
          <w:highlight w:val="none"/>
        </w:rPr>
        <w:t xml:space="preserve">3.9 </w:t>
      </w:r>
      <w:r>
        <w:rPr>
          <w:rFonts w:hint="eastAsia" w:cs="宋体"/>
          <w:color w:val="auto"/>
          <w:highlight w:val="none"/>
        </w:rPr>
        <w:t>投标总价应当与分部分项工程费、措施项目费、其他项目费和规费、增值税的合计金额一致。</w:t>
      </w:r>
    </w:p>
    <w:p w14:paraId="7C7F46ED">
      <w:pPr>
        <w:spacing w:line="360" w:lineRule="auto"/>
        <w:ind w:firstLine="420" w:firstLineChars="200"/>
        <w:rPr>
          <w:color w:val="auto"/>
          <w:highlight w:val="none"/>
        </w:rPr>
      </w:pPr>
      <w:r>
        <w:rPr>
          <w:color w:val="auto"/>
          <w:highlight w:val="none"/>
        </w:rPr>
        <w:t>3.1</w:t>
      </w:r>
      <w:r>
        <w:rPr>
          <w:rFonts w:hint="eastAsia"/>
          <w:color w:val="auto"/>
          <w:highlight w:val="none"/>
        </w:rPr>
        <w:t>0</w:t>
      </w:r>
      <w:r>
        <w:rPr>
          <w:color w:val="auto"/>
          <w:highlight w:val="none"/>
        </w:rPr>
        <w:t xml:space="preserve"> </w:t>
      </w:r>
      <w:r>
        <w:rPr>
          <w:rFonts w:hint="eastAsia" w:cs="宋体"/>
          <w:color w:val="auto"/>
          <w:highlight w:val="none"/>
        </w:rPr>
        <w:t>投标人应按《</w:t>
      </w:r>
      <w:r>
        <w:rPr>
          <w:rFonts w:hint="eastAsia" w:cs="宋体"/>
          <w:color w:val="auto"/>
          <w:highlight w:val="none"/>
          <w:lang w:eastAsia="zh-CN"/>
        </w:rPr>
        <w:t>允许调整</w:t>
      </w:r>
      <w:r>
        <w:rPr>
          <w:rFonts w:hint="eastAsia" w:cs="宋体"/>
          <w:color w:val="auto"/>
          <w:highlight w:val="none"/>
        </w:rPr>
        <w:t>主要材料和</w:t>
      </w:r>
      <w:r>
        <w:rPr>
          <w:rFonts w:hint="eastAsia" w:cs="宋体"/>
          <w:color w:val="auto"/>
          <w:highlight w:val="none"/>
          <w:lang w:eastAsia="zh-CN"/>
        </w:rPr>
        <w:t>工程</w:t>
      </w:r>
      <w:r>
        <w:rPr>
          <w:rFonts w:hint="eastAsia" w:cs="宋体"/>
          <w:color w:val="auto"/>
          <w:highlight w:val="none"/>
        </w:rPr>
        <w:t>设备一览表》的内容填报，不得擅自调整材料和设备名称型号规格、单位、风险系数、基准单价。</w:t>
      </w:r>
    </w:p>
    <w:p w14:paraId="7A3A8E54">
      <w:pPr>
        <w:spacing w:line="360" w:lineRule="auto"/>
        <w:ind w:firstLine="420" w:firstLineChars="200"/>
        <w:rPr>
          <w:rFonts w:hAnsi="宋体"/>
          <w:color w:val="auto"/>
          <w:highlight w:val="none"/>
        </w:rPr>
      </w:pPr>
      <w:r>
        <w:rPr>
          <w:color w:val="auto"/>
          <w:highlight w:val="none"/>
        </w:rPr>
        <w:t>3.1</w:t>
      </w:r>
      <w:r>
        <w:rPr>
          <w:rFonts w:hint="eastAsia"/>
          <w:color w:val="auto"/>
          <w:highlight w:val="none"/>
        </w:rPr>
        <w:t>1</w:t>
      </w:r>
      <w:r>
        <w:rPr>
          <w:rFonts w:hint="eastAsia" w:hAnsi="宋体" w:cs="宋体"/>
          <w:color w:val="auto"/>
          <w:highlight w:val="none"/>
        </w:rPr>
        <w:t>投标报价</w:t>
      </w:r>
      <w:r>
        <w:rPr>
          <w:rFonts w:hint="eastAsia" w:cs="宋体"/>
          <w:color w:val="auto"/>
          <w:highlight w:val="none"/>
        </w:rPr>
        <w:t>表格按本工程工程量清单表格要求填写，并</w:t>
      </w:r>
      <w:r>
        <w:rPr>
          <w:rFonts w:hint="eastAsia" w:hAnsi="宋体" w:cs="宋体"/>
          <w:color w:val="auto"/>
          <w:highlight w:val="none"/>
        </w:rPr>
        <w:t>应按招标文件的要求，附上《工程量清单综合单价分析表》（表</w:t>
      </w:r>
      <w:r>
        <w:rPr>
          <w:color w:val="auto"/>
          <w:highlight w:val="none"/>
        </w:rPr>
        <w:t>-09</w:t>
      </w:r>
      <w:r>
        <w:rPr>
          <w:rFonts w:hint="eastAsia" w:hAnsi="宋体" w:cs="宋体"/>
          <w:color w:val="auto"/>
          <w:highlight w:val="none"/>
        </w:rPr>
        <w:t>）和《主要清单项目工料机分析表》（表</w:t>
      </w:r>
      <w:r>
        <w:rPr>
          <w:color w:val="auto"/>
          <w:highlight w:val="none"/>
        </w:rPr>
        <w:t>-10</w:t>
      </w:r>
      <w:r>
        <w:rPr>
          <w:rFonts w:hint="eastAsia" w:hAnsi="宋体" w:cs="宋体"/>
          <w:color w:val="auto"/>
          <w:highlight w:val="none"/>
        </w:rPr>
        <w:t>）。</w:t>
      </w:r>
    </w:p>
    <w:p w14:paraId="200B2A63">
      <w:pPr>
        <w:spacing w:line="360" w:lineRule="auto"/>
        <w:ind w:firstLine="420" w:firstLineChars="200"/>
        <w:rPr>
          <w:color w:val="auto"/>
          <w:highlight w:val="none"/>
          <w:u w:val="single"/>
        </w:rPr>
      </w:pPr>
      <w:r>
        <w:rPr>
          <w:rFonts w:hint="eastAsia" w:cs="宋体"/>
          <w:color w:val="auto"/>
          <w:highlight w:val="none"/>
        </w:rPr>
        <w:t>未尽事宜详见本工程招标工程量清单、招标控制价编制说明以及现行《计价规范》等有关规定执行。</w:t>
      </w:r>
    </w:p>
    <w:p w14:paraId="365566ED">
      <w:pPr>
        <w:tabs>
          <w:tab w:val="left" w:pos="3261"/>
        </w:tabs>
        <w:spacing w:line="360" w:lineRule="auto"/>
        <w:jc w:val="left"/>
        <w:rPr>
          <w:rFonts w:ascii="宋体" w:hAnsi="宋体" w:cs="宋体"/>
          <w:b/>
          <w:color w:val="auto"/>
          <w:sz w:val="44"/>
          <w:szCs w:val="44"/>
          <w:highlight w:val="none"/>
        </w:rPr>
      </w:pPr>
      <w:r>
        <w:rPr>
          <w:rFonts w:hint="eastAsia" w:ascii="Times New Roman" w:hAnsi="宋体" w:eastAsia="宋体" w:cs="宋体"/>
          <w:color w:val="auto"/>
          <w:kern w:val="0"/>
          <w:highlight w:val="none"/>
          <w:lang w:val="en" w:eastAsia="zh-CN"/>
        </w:rPr>
        <w:t>注：因</w:t>
      </w:r>
      <w:r>
        <w:rPr>
          <w:rFonts w:hint="eastAsia" w:ascii="Times New Roman" w:hAnsi="宋体" w:eastAsia="宋体" w:cs="宋体"/>
          <w:color w:val="auto"/>
          <w:kern w:val="0"/>
          <w:highlight w:val="none"/>
          <w:lang w:val="en-US" w:eastAsia="zh-CN"/>
        </w:rPr>
        <w:t>2021年《广西壮族自治区</w:t>
      </w:r>
      <w:r>
        <w:rPr>
          <w:rFonts w:hint="eastAsia" w:ascii="Times New Roman" w:hAnsi="宋体" w:eastAsia="宋体" w:cs="宋体"/>
          <w:color w:val="auto"/>
          <w:kern w:val="0"/>
          <w:highlight w:val="none"/>
          <w:lang w:val="en" w:eastAsia="zh-CN"/>
        </w:rPr>
        <w:t>园林绿化及仿古建筑工程费用定额</w:t>
      </w:r>
      <w:r>
        <w:rPr>
          <w:rFonts w:hint="eastAsia" w:ascii="Times New Roman" w:hAnsi="宋体" w:eastAsia="宋体" w:cs="宋体"/>
          <w:color w:val="auto"/>
          <w:kern w:val="0"/>
          <w:highlight w:val="none"/>
          <w:lang w:val="en-US" w:eastAsia="zh-CN"/>
        </w:rPr>
        <w:t>》采用全费用综合单价形式，故园林绿化及仿古建筑工程的工程量清单及计价</w:t>
      </w:r>
      <w:r>
        <w:rPr>
          <w:rFonts w:hint="eastAsia" w:cs="黑体"/>
          <w:color w:val="auto"/>
          <w:highlight w:val="none"/>
          <w:lang w:eastAsia="zh-CN"/>
        </w:rPr>
        <w:t>采用</w:t>
      </w:r>
      <w:r>
        <w:rPr>
          <w:rFonts w:hint="eastAsia" w:ascii="Times New Roman" w:hAnsi="宋体" w:eastAsia="宋体" w:cs="宋体"/>
          <w:color w:val="auto"/>
          <w:kern w:val="0"/>
          <w:highlight w:val="none"/>
          <w:lang w:val="en" w:eastAsia="zh-CN"/>
        </w:rPr>
        <w:t>《自治区住房和城乡建设厅关于建设工程造价改革试点项目招投标及计价规定调整的通知》（桂建标〔2021〕6号）中附件1《建设工程工程量清单计价规范（GB50500-2013）广西壮族自治区实施细则》（适用于工程造价改革试点项目）相关表格，具体以招标人另册发放的招标工程工程量清单及相关说明为准。</w:t>
      </w:r>
    </w:p>
    <w:p w14:paraId="404727ED">
      <w:pPr>
        <w:keepNext/>
        <w:keepLines/>
        <w:pageBreakBefore w:val="0"/>
        <w:widowControl w:val="0"/>
        <w:kinsoku/>
        <w:wordWrap/>
        <w:overflowPunct/>
        <w:topLinePunct w:val="0"/>
        <w:autoSpaceDE/>
        <w:autoSpaceDN/>
        <w:bidi w:val="0"/>
        <w:adjustRightInd/>
        <w:snapToGrid/>
        <w:spacing w:line="579" w:lineRule="auto"/>
        <w:jc w:val="center"/>
        <w:textAlignment w:val="auto"/>
        <w:outlineLvl w:val="9"/>
        <w:rPr>
          <w:rFonts w:hint="eastAsia" w:ascii="宋体" w:hAnsi="宋体" w:cs="宋体"/>
          <w:b w:val="0"/>
          <w:color w:val="auto"/>
          <w:highlight w:val="none"/>
        </w:rPr>
      </w:pPr>
      <w:bookmarkStart w:id="1359" w:name="_Toc22933"/>
    </w:p>
    <w:p w14:paraId="3C1F9BC1">
      <w:pPr>
        <w:keepNext/>
        <w:keepLines/>
        <w:pageBreakBefore w:val="0"/>
        <w:widowControl w:val="0"/>
        <w:kinsoku/>
        <w:wordWrap/>
        <w:overflowPunct/>
        <w:topLinePunct w:val="0"/>
        <w:autoSpaceDE/>
        <w:autoSpaceDN/>
        <w:bidi w:val="0"/>
        <w:adjustRightInd/>
        <w:snapToGrid/>
        <w:spacing w:line="579" w:lineRule="auto"/>
        <w:jc w:val="center"/>
        <w:textAlignment w:val="auto"/>
        <w:outlineLvl w:val="9"/>
        <w:rPr>
          <w:rFonts w:hint="eastAsia" w:ascii="宋体" w:hAnsi="宋体" w:cs="宋体"/>
          <w:b w:val="0"/>
          <w:color w:val="auto"/>
          <w:highlight w:val="none"/>
        </w:rPr>
      </w:pPr>
    </w:p>
    <w:p w14:paraId="417BFDD8">
      <w:pPr>
        <w:keepNext/>
        <w:keepLines/>
        <w:pageBreakBefore w:val="0"/>
        <w:widowControl w:val="0"/>
        <w:kinsoku/>
        <w:wordWrap/>
        <w:overflowPunct/>
        <w:topLinePunct w:val="0"/>
        <w:autoSpaceDE/>
        <w:autoSpaceDN/>
        <w:bidi w:val="0"/>
        <w:adjustRightInd/>
        <w:snapToGrid/>
        <w:spacing w:line="579" w:lineRule="auto"/>
        <w:jc w:val="center"/>
        <w:textAlignment w:val="auto"/>
        <w:outlineLvl w:val="9"/>
        <w:rPr>
          <w:rFonts w:hint="eastAsia" w:ascii="宋体" w:hAnsi="宋体" w:cs="宋体"/>
          <w:b w:val="0"/>
          <w:color w:val="auto"/>
          <w:highlight w:val="none"/>
        </w:rPr>
      </w:pPr>
    </w:p>
    <w:p w14:paraId="651FD02D">
      <w:pPr>
        <w:keepNext/>
        <w:keepLines/>
        <w:pageBreakBefore w:val="0"/>
        <w:widowControl w:val="0"/>
        <w:kinsoku/>
        <w:wordWrap/>
        <w:overflowPunct/>
        <w:topLinePunct w:val="0"/>
        <w:autoSpaceDE/>
        <w:autoSpaceDN/>
        <w:bidi w:val="0"/>
        <w:adjustRightInd/>
        <w:snapToGrid/>
        <w:spacing w:line="579" w:lineRule="auto"/>
        <w:jc w:val="center"/>
        <w:textAlignment w:val="auto"/>
        <w:outlineLvl w:val="9"/>
        <w:rPr>
          <w:rFonts w:hint="eastAsia" w:ascii="宋体" w:hAnsi="宋体" w:cs="宋体"/>
          <w:b w:val="0"/>
          <w:color w:val="auto"/>
          <w:highlight w:val="none"/>
        </w:rPr>
      </w:pPr>
    </w:p>
    <w:p w14:paraId="22B734A7">
      <w:pPr>
        <w:keepNext/>
        <w:keepLines/>
        <w:pageBreakBefore w:val="0"/>
        <w:widowControl w:val="0"/>
        <w:kinsoku/>
        <w:wordWrap/>
        <w:overflowPunct/>
        <w:topLinePunct w:val="0"/>
        <w:autoSpaceDE/>
        <w:autoSpaceDN/>
        <w:bidi w:val="0"/>
        <w:adjustRightInd/>
        <w:snapToGrid/>
        <w:spacing w:line="579" w:lineRule="auto"/>
        <w:jc w:val="center"/>
        <w:textAlignment w:val="auto"/>
        <w:outlineLvl w:val="9"/>
        <w:rPr>
          <w:rFonts w:hint="eastAsia" w:ascii="宋体" w:hAnsi="宋体" w:cs="宋体"/>
          <w:b w:val="0"/>
          <w:color w:val="auto"/>
          <w:highlight w:val="none"/>
        </w:rPr>
      </w:pPr>
    </w:p>
    <w:p w14:paraId="4AD129D9">
      <w:pPr>
        <w:keepNext/>
        <w:keepLines/>
        <w:pageBreakBefore w:val="0"/>
        <w:widowControl w:val="0"/>
        <w:kinsoku/>
        <w:wordWrap/>
        <w:overflowPunct/>
        <w:topLinePunct w:val="0"/>
        <w:autoSpaceDE/>
        <w:autoSpaceDN/>
        <w:bidi w:val="0"/>
        <w:adjustRightInd/>
        <w:snapToGrid/>
        <w:spacing w:line="579" w:lineRule="auto"/>
        <w:jc w:val="center"/>
        <w:textAlignment w:val="auto"/>
        <w:outlineLvl w:val="9"/>
        <w:rPr>
          <w:rFonts w:hint="eastAsia" w:ascii="宋体" w:hAnsi="宋体" w:cs="宋体"/>
          <w:b w:val="0"/>
          <w:color w:val="auto"/>
          <w:highlight w:val="none"/>
        </w:rPr>
      </w:pPr>
    </w:p>
    <w:p w14:paraId="6D9DE1A5">
      <w:pPr>
        <w:pStyle w:val="2"/>
        <w:jc w:val="center"/>
        <w:rPr>
          <w:rFonts w:ascii="宋体" w:hAnsi="宋体" w:cs="宋体"/>
          <w:color w:val="auto"/>
          <w:highlight w:val="none"/>
        </w:rPr>
      </w:pPr>
      <w:r>
        <w:rPr>
          <w:rFonts w:hint="eastAsia" w:ascii="宋体" w:hAnsi="宋体" w:cs="宋体"/>
          <w:b w:val="0"/>
          <w:color w:val="auto"/>
          <w:highlight w:val="none"/>
        </w:rPr>
        <w:t>第</w:t>
      </w:r>
      <w:r>
        <w:rPr>
          <w:rFonts w:hint="eastAsia" w:ascii="宋体" w:hAnsi="宋体" w:cs="宋体"/>
          <w:b w:val="0"/>
          <w:color w:val="auto"/>
          <w:highlight w:val="none"/>
          <w:lang w:val="en-US" w:eastAsia="zh-CN"/>
        </w:rPr>
        <w:t>八</w:t>
      </w:r>
      <w:r>
        <w:rPr>
          <w:rFonts w:hint="eastAsia" w:ascii="宋体" w:hAnsi="宋体" w:cs="宋体"/>
          <w:b w:val="0"/>
          <w:color w:val="auto"/>
          <w:highlight w:val="none"/>
        </w:rPr>
        <w:t>章 质疑、投诉材料格式</w:t>
      </w:r>
      <w:bookmarkEnd w:id="1359"/>
    </w:p>
    <w:p w14:paraId="247E7D06">
      <w:pPr>
        <w:widowControl/>
        <w:spacing w:line="576" w:lineRule="auto"/>
        <w:jc w:val="left"/>
        <w:rPr>
          <w:rFonts w:ascii="宋体" w:hAnsi="宋体" w:cs="宋体"/>
          <w:b/>
          <w:bCs/>
          <w:color w:val="auto"/>
          <w:kern w:val="44"/>
          <w:sz w:val="44"/>
          <w:szCs w:val="44"/>
          <w:highlight w:val="none"/>
        </w:rPr>
        <w:sectPr>
          <w:pgSz w:w="11910" w:h="16840"/>
          <w:pgMar w:top="1440" w:right="1083" w:bottom="1440" w:left="1083" w:header="720" w:footer="720" w:gutter="0"/>
          <w:cols w:space="0" w:num="1"/>
          <w:rtlGutter w:val="0"/>
          <w:docGrid w:linePitch="0" w:charSpace="0"/>
        </w:sectPr>
      </w:pPr>
    </w:p>
    <w:p w14:paraId="543904BF">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质疑函（格式）</w:t>
      </w:r>
    </w:p>
    <w:p w14:paraId="572F453D">
      <w:pPr>
        <w:pStyle w:val="16"/>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一、质疑供应商基本信息：</w:t>
      </w:r>
    </w:p>
    <w:p w14:paraId="26B28F63">
      <w:pPr>
        <w:pStyle w:val="16"/>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质疑供应商：</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7C1A8E49">
      <w:pPr>
        <w:pStyle w:val="16"/>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4675C364">
      <w:pPr>
        <w:pStyle w:val="16"/>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64160D3E">
      <w:pPr>
        <w:pStyle w:val="16"/>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授权代表：</w:t>
      </w:r>
      <w:r>
        <w:rPr>
          <w:rFonts w:hint="eastAsia" w:hAnsi="宋体" w:cs="宋体"/>
          <w:bCs/>
          <w:color w:val="auto"/>
          <w:sz w:val="24"/>
          <w:szCs w:val="24"/>
          <w:highlight w:val="none"/>
          <w:u w:val="single"/>
        </w:rPr>
        <w:t xml:space="preserve">                      </w:t>
      </w:r>
    </w:p>
    <w:p w14:paraId="59EFE1DE">
      <w:pPr>
        <w:pStyle w:val="16"/>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3D84706A">
      <w:pPr>
        <w:pStyle w:val="16"/>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40AA0D59">
      <w:pPr>
        <w:pStyle w:val="16"/>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二、质疑项目基本情况：</w:t>
      </w:r>
    </w:p>
    <w:p w14:paraId="103275C9">
      <w:pPr>
        <w:pStyle w:val="16"/>
        <w:spacing w:line="360" w:lineRule="auto"/>
        <w:ind w:left="25" w:leftChars="12" w:firstLine="472" w:firstLineChars="197"/>
        <w:contextualSpacing/>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项目的名称：</w:t>
      </w:r>
      <w:r>
        <w:rPr>
          <w:rFonts w:hint="eastAsia" w:hAnsi="宋体" w:cs="宋体"/>
          <w:bCs/>
          <w:color w:val="auto"/>
          <w:sz w:val="24"/>
          <w:szCs w:val="24"/>
          <w:highlight w:val="none"/>
          <w:u w:val="single"/>
        </w:rPr>
        <w:t xml:space="preserve"> </w:t>
      </w:r>
      <w:bookmarkStart w:id="1360" w:name="PO_3000001868_PM002_16"/>
      <w:r>
        <w:rPr>
          <w:rFonts w:hint="eastAsia" w:hAnsi="宋体" w:cs="宋体"/>
          <w:bCs/>
          <w:color w:val="auto"/>
          <w:sz w:val="24"/>
          <w:szCs w:val="24"/>
          <w:highlight w:val="none"/>
          <w:u w:val="single"/>
        </w:rPr>
        <w:t>[项目名称]</w:t>
      </w:r>
      <w:bookmarkEnd w:id="1360"/>
      <w:r>
        <w:rPr>
          <w:rFonts w:hint="eastAsia" w:hAnsi="宋体" w:cs="宋体"/>
          <w:bCs/>
          <w:color w:val="auto"/>
          <w:sz w:val="24"/>
          <w:szCs w:val="24"/>
          <w:highlight w:val="none"/>
          <w:u w:val="single"/>
        </w:rPr>
        <w:t xml:space="preserve"> </w:t>
      </w:r>
    </w:p>
    <w:p w14:paraId="3758D27B">
      <w:pPr>
        <w:pStyle w:val="16"/>
        <w:spacing w:line="360" w:lineRule="auto"/>
        <w:ind w:left="25" w:leftChars="12" w:firstLine="472" w:firstLineChars="197"/>
        <w:contextualSpacing/>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项目的编号：</w:t>
      </w:r>
      <w:bookmarkStart w:id="1361" w:name="PO_3000001868_PM001_13"/>
      <w:r>
        <w:rPr>
          <w:rFonts w:hint="eastAsia" w:hAnsi="宋体" w:cs="宋体"/>
          <w:bCs/>
          <w:color w:val="auto"/>
          <w:sz w:val="24"/>
          <w:szCs w:val="24"/>
          <w:highlight w:val="none"/>
          <w:u w:val="single"/>
        </w:rPr>
        <w:t>[项目编号]</w:t>
      </w:r>
      <w:bookmarkEnd w:id="1361"/>
      <w:r>
        <w:rPr>
          <w:rFonts w:hint="eastAsia" w:hAnsi="宋体" w:cs="宋体"/>
          <w:bCs/>
          <w:color w:val="auto"/>
          <w:sz w:val="24"/>
          <w:szCs w:val="24"/>
          <w:highlight w:val="none"/>
          <w:u w:val="single"/>
        </w:rPr>
        <w:t xml:space="preserve"> </w:t>
      </w:r>
    </w:p>
    <w:p w14:paraId="4CB6DDCB">
      <w:pPr>
        <w:pStyle w:val="16"/>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采购人名称：</w:t>
      </w:r>
      <w:r>
        <w:rPr>
          <w:rFonts w:hint="eastAsia" w:hAnsi="宋体" w:cs="宋体"/>
          <w:bCs/>
          <w:color w:val="auto"/>
          <w:sz w:val="24"/>
          <w:szCs w:val="24"/>
          <w:highlight w:val="none"/>
          <w:u w:val="single"/>
        </w:rPr>
        <w:t xml:space="preserve">   </w:t>
      </w:r>
      <w:bookmarkStart w:id="1362" w:name="PO_3000001868_PM026_7"/>
      <w:r>
        <w:rPr>
          <w:rFonts w:hint="eastAsia" w:hAnsi="宋体" w:cs="宋体"/>
          <w:bCs/>
          <w:color w:val="auto"/>
          <w:sz w:val="24"/>
          <w:szCs w:val="24"/>
          <w:highlight w:val="none"/>
          <w:u w:val="single"/>
        </w:rPr>
        <w:t>[采购人]</w:t>
      </w:r>
      <w:bookmarkEnd w:id="1362"/>
      <w:r>
        <w:rPr>
          <w:rFonts w:hint="eastAsia" w:hAnsi="宋体" w:cs="宋体"/>
          <w:bCs/>
          <w:color w:val="auto"/>
          <w:sz w:val="24"/>
          <w:szCs w:val="24"/>
          <w:highlight w:val="none"/>
          <w:u w:val="single"/>
        </w:rPr>
        <w:t xml:space="preserve">  </w:t>
      </w:r>
    </w:p>
    <w:p w14:paraId="1AE90520">
      <w:pPr>
        <w:pStyle w:val="16"/>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w:t>
      </w:r>
    </w:p>
    <w:p w14:paraId="736BD90F">
      <w:pPr>
        <w:pStyle w:val="16"/>
        <w:spacing w:line="360" w:lineRule="auto"/>
        <w:ind w:left="25" w:leftChars="12" w:firstLine="352" w:firstLineChars="147"/>
        <w:contextualSpacing/>
        <w:rPr>
          <w:rFonts w:hAnsi="宋体" w:cs="宋体"/>
          <w:color w:val="auto"/>
          <w:sz w:val="24"/>
          <w:szCs w:val="24"/>
          <w:highlight w:val="none"/>
        </w:rPr>
      </w:pPr>
      <w:r>
        <w:rPr>
          <w:rFonts w:hint="eastAsia" w:hAnsi="宋体" w:cs="宋体"/>
          <w:color w:val="auto"/>
          <w:sz w:val="24"/>
          <w:szCs w:val="24"/>
          <w:highlight w:val="none"/>
        </w:rPr>
        <w:t>□采购文件   采购文件获取日期：</w:t>
      </w:r>
      <w:r>
        <w:rPr>
          <w:rFonts w:hint="eastAsia" w:hAnsi="宋体" w:cs="宋体"/>
          <w:bCs/>
          <w:color w:val="auto"/>
          <w:sz w:val="24"/>
          <w:szCs w:val="24"/>
          <w:highlight w:val="none"/>
          <w:u w:val="single"/>
        </w:rPr>
        <w:t xml:space="preserve">                                   </w:t>
      </w:r>
    </w:p>
    <w:p w14:paraId="22A0E844">
      <w:pPr>
        <w:pStyle w:val="16"/>
        <w:spacing w:line="360" w:lineRule="auto"/>
        <w:ind w:left="25" w:leftChars="12" w:firstLine="352" w:firstLineChars="147"/>
        <w:contextualSpacing/>
        <w:rPr>
          <w:rFonts w:hAnsi="宋体" w:cs="宋体"/>
          <w:color w:val="auto"/>
          <w:sz w:val="24"/>
          <w:szCs w:val="24"/>
          <w:highlight w:val="none"/>
        </w:rPr>
      </w:pPr>
      <w:r>
        <w:rPr>
          <w:rFonts w:hint="eastAsia" w:hAnsi="宋体" w:cs="宋体"/>
          <w:color w:val="auto"/>
          <w:sz w:val="24"/>
          <w:szCs w:val="24"/>
          <w:highlight w:val="none"/>
        </w:rPr>
        <w:t xml:space="preserve">□采购过程   </w:t>
      </w:r>
    </w:p>
    <w:p w14:paraId="41A81C07">
      <w:pPr>
        <w:pStyle w:val="16"/>
        <w:spacing w:line="360" w:lineRule="auto"/>
        <w:ind w:left="25" w:leftChars="12" w:firstLine="352" w:firstLineChars="147"/>
        <w:contextualSpacing/>
        <w:rPr>
          <w:rFonts w:hAnsi="宋体" w:cs="宋体"/>
          <w:bCs/>
          <w:color w:val="auto"/>
          <w:sz w:val="24"/>
          <w:szCs w:val="24"/>
          <w:highlight w:val="none"/>
          <w:u w:val="single"/>
        </w:rPr>
      </w:pPr>
      <w:r>
        <w:rPr>
          <w:rFonts w:hint="eastAsia" w:hAnsi="宋体" w:cs="宋体"/>
          <w:color w:val="auto"/>
          <w:sz w:val="24"/>
          <w:szCs w:val="24"/>
          <w:highlight w:val="none"/>
        </w:rPr>
        <w:t xml:space="preserve">□成交结果   </w:t>
      </w:r>
    </w:p>
    <w:p w14:paraId="50CE5C2F">
      <w:pPr>
        <w:pStyle w:val="16"/>
        <w:spacing w:line="360" w:lineRule="auto"/>
        <w:ind w:left="25" w:leftChars="12" w:firstLine="472" w:firstLineChars="196"/>
        <w:contextualSpacing/>
        <w:rPr>
          <w:rFonts w:hAnsi="宋体" w:cs="宋体"/>
          <w:b/>
          <w:color w:val="auto"/>
          <w:sz w:val="24"/>
          <w:szCs w:val="24"/>
          <w:highlight w:val="none"/>
        </w:rPr>
      </w:pPr>
      <w:r>
        <w:rPr>
          <w:rFonts w:hint="eastAsia" w:hAnsi="宋体" w:cs="宋体"/>
          <w:b/>
          <w:color w:val="auto"/>
          <w:sz w:val="24"/>
          <w:szCs w:val="24"/>
          <w:highlight w:val="none"/>
        </w:rPr>
        <w:t>三、质疑事项具体内容</w:t>
      </w:r>
    </w:p>
    <w:p w14:paraId="2A9FEDC1">
      <w:pPr>
        <w:pStyle w:val="16"/>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质疑事项1：</w:t>
      </w:r>
      <w:r>
        <w:rPr>
          <w:rFonts w:hint="eastAsia" w:hAnsi="宋体" w:cs="宋体"/>
          <w:bCs/>
          <w:color w:val="auto"/>
          <w:sz w:val="24"/>
          <w:szCs w:val="24"/>
          <w:highlight w:val="none"/>
          <w:u w:val="single"/>
        </w:rPr>
        <w:t xml:space="preserve">                                                                    </w:t>
      </w:r>
    </w:p>
    <w:p w14:paraId="39648E99">
      <w:pPr>
        <w:pStyle w:val="16"/>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事实依据：</w:t>
      </w:r>
      <w:r>
        <w:rPr>
          <w:rFonts w:hint="eastAsia" w:hAnsi="宋体" w:cs="宋体"/>
          <w:bCs/>
          <w:color w:val="auto"/>
          <w:sz w:val="24"/>
          <w:szCs w:val="24"/>
          <w:highlight w:val="none"/>
          <w:u w:val="single"/>
        </w:rPr>
        <w:t xml:space="preserve">                                                                      </w:t>
      </w:r>
    </w:p>
    <w:p w14:paraId="5792DF08">
      <w:pPr>
        <w:pStyle w:val="16"/>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法律依据：</w:t>
      </w:r>
      <w:r>
        <w:rPr>
          <w:rFonts w:hint="eastAsia" w:hAnsi="宋体" w:cs="宋体"/>
          <w:color w:val="auto"/>
          <w:sz w:val="24"/>
          <w:szCs w:val="24"/>
          <w:highlight w:val="none"/>
          <w:u w:val="single"/>
        </w:rPr>
        <w:t xml:space="preserve">                                                        </w:t>
      </w:r>
      <w:r>
        <w:rPr>
          <w:rFonts w:hint="eastAsia" w:hAnsi="宋体" w:cs="宋体"/>
          <w:bCs/>
          <w:color w:val="auto"/>
          <w:sz w:val="24"/>
          <w:szCs w:val="24"/>
          <w:highlight w:val="none"/>
          <w:u w:val="single"/>
        </w:rPr>
        <w:t xml:space="preserve">               </w:t>
      </w:r>
    </w:p>
    <w:p w14:paraId="12EA46F3">
      <w:pPr>
        <w:pStyle w:val="16"/>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质疑事项2</w:t>
      </w:r>
    </w:p>
    <w:p w14:paraId="4DF64EDE">
      <w:pPr>
        <w:pStyle w:val="16"/>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w:t>
      </w:r>
    </w:p>
    <w:p w14:paraId="741267B1">
      <w:pPr>
        <w:pStyle w:val="16"/>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四、与质疑事项相关的质疑请求：</w:t>
      </w:r>
    </w:p>
    <w:p w14:paraId="2CC43F1B">
      <w:pPr>
        <w:pStyle w:val="16"/>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请求：</w:t>
      </w:r>
      <w:r>
        <w:rPr>
          <w:rFonts w:hint="eastAsia" w:hAnsi="宋体" w:cs="宋体"/>
          <w:bCs/>
          <w:color w:val="auto"/>
          <w:sz w:val="24"/>
          <w:szCs w:val="24"/>
          <w:highlight w:val="none"/>
          <w:u w:val="single"/>
        </w:rPr>
        <w:t xml:space="preserve">                                                                </w:t>
      </w:r>
    </w:p>
    <w:p w14:paraId="0B1B1ECA">
      <w:pPr>
        <w:pStyle w:val="16"/>
        <w:spacing w:line="360" w:lineRule="auto"/>
        <w:ind w:left="25" w:leftChars="12" w:firstLine="352" w:firstLineChars="147"/>
        <w:contextualSpacing/>
        <w:rPr>
          <w:rFonts w:hAnsi="宋体" w:cs="宋体"/>
          <w:color w:val="auto"/>
          <w:sz w:val="24"/>
          <w:szCs w:val="24"/>
          <w:highlight w:val="none"/>
        </w:rPr>
      </w:pPr>
    </w:p>
    <w:p w14:paraId="3DE0AA2C">
      <w:pPr>
        <w:pStyle w:val="16"/>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签字（签章）：                                       公章：</w:t>
      </w:r>
    </w:p>
    <w:p w14:paraId="1BAB7EC5">
      <w:pPr>
        <w:pStyle w:val="16"/>
        <w:spacing w:line="360" w:lineRule="auto"/>
        <w:ind w:left="25" w:leftChars="12" w:firstLine="352" w:firstLineChars="147"/>
        <w:contextualSpacing/>
        <w:rPr>
          <w:rFonts w:hAnsi="宋体" w:cs="宋体"/>
          <w:color w:val="auto"/>
          <w:sz w:val="24"/>
          <w:szCs w:val="24"/>
          <w:highlight w:val="none"/>
        </w:rPr>
      </w:pPr>
    </w:p>
    <w:p w14:paraId="373B2074">
      <w:pPr>
        <w:pStyle w:val="16"/>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日期：</w:t>
      </w:r>
    </w:p>
    <w:p w14:paraId="3A3895B1">
      <w:pPr>
        <w:pStyle w:val="16"/>
        <w:spacing w:line="360" w:lineRule="auto"/>
        <w:rPr>
          <w:rFonts w:hAnsi="宋体" w:cs="宋体"/>
          <w:b/>
          <w:color w:val="auto"/>
          <w:sz w:val="24"/>
          <w:szCs w:val="24"/>
          <w:highlight w:val="none"/>
        </w:rPr>
      </w:pPr>
    </w:p>
    <w:p w14:paraId="2D71665E">
      <w:pPr>
        <w:pStyle w:val="16"/>
        <w:spacing w:line="360" w:lineRule="auto"/>
        <w:rPr>
          <w:rFonts w:hAnsi="宋体" w:cs="宋体"/>
          <w:b/>
          <w:color w:val="auto"/>
          <w:sz w:val="24"/>
          <w:szCs w:val="24"/>
          <w:highlight w:val="none"/>
        </w:rPr>
      </w:pPr>
    </w:p>
    <w:p w14:paraId="0AA9E0DD">
      <w:pPr>
        <w:pStyle w:val="16"/>
        <w:spacing w:line="360" w:lineRule="auto"/>
        <w:rPr>
          <w:rFonts w:hAnsi="宋体" w:cs="宋体"/>
          <w:b/>
          <w:color w:val="auto"/>
          <w:sz w:val="24"/>
          <w:szCs w:val="24"/>
          <w:highlight w:val="none"/>
        </w:rPr>
      </w:pPr>
      <w:r>
        <w:rPr>
          <w:rFonts w:hint="eastAsia" w:hAnsi="宋体" w:cs="宋体"/>
          <w:b/>
          <w:color w:val="auto"/>
          <w:sz w:val="24"/>
          <w:szCs w:val="24"/>
          <w:highlight w:val="none"/>
        </w:rPr>
        <w:t>说明：</w:t>
      </w:r>
    </w:p>
    <w:p w14:paraId="73AEAB92">
      <w:pPr>
        <w:pStyle w:val="16"/>
        <w:spacing w:line="360" w:lineRule="auto"/>
        <w:ind w:left="25" w:leftChars="12" w:firstLine="354" w:firstLineChars="147"/>
        <w:contextualSpacing/>
        <w:rPr>
          <w:rFonts w:hAnsi="宋体" w:cs="宋体"/>
          <w:b/>
          <w:bCs/>
          <w:color w:val="auto"/>
          <w:sz w:val="24"/>
          <w:szCs w:val="24"/>
          <w:highlight w:val="none"/>
        </w:rPr>
      </w:pPr>
      <w:r>
        <w:rPr>
          <w:rFonts w:hint="eastAsia" w:hAnsi="宋体" w:cs="宋体"/>
          <w:b/>
          <w:color w:val="auto"/>
          <w:sz w:val="24"/>
          <w:szCs w:val="24"/>
          <w:highlight w:val="none"/>
        </w:rPr>
        <w:t>1.供应商提出质疑时，应提交质疑函和必要的证明材料</w:t>
      </w:r>
      <w:r>
        <w:rPr>
          <w:rFonts w:hint="eastAsia" w:hAnsi="宋体" w:cs="宋体"/>
          <w:b/>
          <w:bCs/>
          <w:color w:val="auto"/>
          <w:sz w:val="24"/>
          <w:szCs w:val="24"/>
          <w:highlight w:val="none"/>
        </w:rPr>
        <w:t>。</w:t>
      </w:r>
    </w:p>
    <w:p w14:paraId="24E795AA">
      <w:pPr>
        <w:pStyle w:val="16"/>
        <w:spacing w:line="360" w:lineRule="auto"/>
        <w:ind w:left="25" w:leftChars="12" w:firstLine="354" w:firstLineChars="147"/>
        <w:contextualSpacing/>
        <w:rPr>
          <w:rFonts w:hAnsi="宋体" w:cs="宋体"/>
          <w:b/>
          <w:color w:val="auto"/>
          <w:sz w:val="24"/>
          <w:szCs w:val="24"/>
          <w:highlight w:val="none"/>
        </w:rPr>
      </w:pPr>
      <w:r>
        <w:rPr>
          <w:rFonts w:hint="eastAsia" w:hAnsi="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88C9FE4">
      <w:pPr>
        <w:pStyle w:val="16"/>
        <w:spacing w:line="360" w:lineRule="auto"/>
        <w:ind w:left="25" w:leftChars="12" w:firstLine="354" w:firstLineChars="147"/>
        <w:contextualSpacing/>
        <w:rPr>
          <w:rFonts w:hAnsi="宋体" w:cs="宋体"/>
          <w:b/>
          <w:color w:val="auto"/>
          <w:sz w:val="24"/>
          <w:szCs w:val="24"/>
          <w:highlight w:val="none"/>
        </w:rPr>
      </w:pPr>
      <w:r>
        <w:rPr>
          <w:rFonts w:hint="eastAsia" w:hAnsi="宋体" w:cs="宋体"/>
          <w:b/>
          <w:color w:val="auto"/>
          <w:sz w:val="24"/>
          <w:szCs w:val="24"/>
          <w:highlight w:val="none"/>
        </w:rPr>
        <w:t>3.质疑函的质疑事项应具体、明确，并有必要的事实依据和法律依据。</w:t>
      </w:r>
    </w:p>
    <w:p w14:paraId="41FEA29F">
      <w:pPr>
        <w:pStyle w:val="16"/>
        <w:spacing w:line="360" w:lineRule="auto"/>
        <w:ind w:left="25" w:leftChars="12" w:firstLine="354" w:firstLineChars="147"/>
        <w:contextualSpacing/>
        <w:rPr>
          <w:rFonts w:hAnsi="宋体" w:cs="宋体"/>
          <w:b/>
          <w:color w:val="auto"/>
          <w:sz w:val="24"/>
          <w:szCs w:val="24"/>
          <w:highlight w:val="none"/>
        </w:rPr>
      </w:pPr>
      <w:r>
        <w:rPr>
          <w:rFonts w:hint="eastAsia" w:hAnsi="宋体" w:cs="宋体"/>
          <w:b/>
          <w:color w:val="auto"/>
          <w:sz w:val="24"/>
          <w:szCs w:val="24"/>
          <w:highlight w:val="none"/>
        </w:rPr>
        <w:t>4.质疑函的质疑请求应与质疑事项相关。</w:t>
      </w:r>
    </w:p>
    <w:p w14:paraId="689C3659">
      <w:pPr>
        <w:pStyle w:val="16"/>
        <w:spacing w:line="360" w:lineRule="auto"/>
        <w:ind w:left="25" w:leftChars="12" w:firstLine="354" w:firstLineChars="147"/>
        <w:contextualSpacing/>
        <w:rPr>
          <w:rFonts w:hAnsi="宋体" w:cs="宋体"/>
          <w:b/>
          <w:color w:val="auto"/>
          <w:highlight w:val="none"/>
        </w:rPr>
      </w:pPr>
      <w:r>
        <w:rPr>
          <w:rFonts w:hint="eastAsia" w:hAnsi="宋体" w:cs="宋体"/>
          <w:b/>
          <w:color w:val="auto"/>
          <w:sz w:val="24"/>
          <w:szCs w:val="24"/>
          <w:highlight w:val="none"/>
        </w:rPr>
        <w:t>5.质疑供应商为法人或者其他组织的，质疑函应由法定代表人、主要负责人，或者其授权代表签字或者盖章，并加盖公章。</w:t>
      </w:r>
    </w:p>
    <w:p w14:paraId="1FFA5F7A">
      <w:pPr>
        <w:pStyle w:val="16"/>
        <w:snapToGrid w:val="0"/>
        <w:rPr>
          <w:rFonts w:hAnsi="宋体" w:cs="宋体"/>
          <w:b/>
          <w:color w:val="auto"/>
          <w:sz w:val="24"/>
          <w:szCs w:val="24"/>
          <w:highlight w:val="none"/>
        </w:rPr>
      </w:pPr>
    </w:p>
    <w:p w14:paraId="521CE6B6">
      <w:pPr>
        <w:spacing w:line="460" w:lineRule="exact"/>
        <w:jc w:val="center"/>
        <w:rPr>
          <w:rFonts w:ascii="宋体" w:hAnsi="宋体" w:cs="宋体"/>
          <w:color w:val="auto"/>
          <w:sz w:val="44"/>
          <w:highlight w:val="none"/>
        </w:rPr>
      </w:pPr>
      <w:r>
        <w:rPr>
          <w:rFonts w:hint="eastAsia" w:ascii="宋体" w:hAnsi="宋体" w:cs="宋体"/>
          <w:color w:val="auto"/>
          <w:sz w:val="44"/>
          <w:highlight w:val="none"/>
        </w:rPr>
        <w:br w:type="page"/>
      </w:r>
    </w:p>
    <w:p w14:paraId="784833F0">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投诉书（格式）</w:t>
      </w:r>
    </w:p>
    <w:p w14:paraId="581112D5">
      <w:pPr>
        <w:pStyle w:val="16"/>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一、投诉相关主体基本情况：</w:t>
      </w:r>
    </w:p>
    <w:p w14:paraId="3776ABCB">
      <w:pPr>
        <w:pStyle w:val="16"/>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供应商：</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6C481E58">
      <w:pPr>
        <w:pStyle w:val="16"/>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47431568">
      <w:pPr>
        <w:pStyle w:val="16"/>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法定代表人/主要负责人：</w:t>
      </w:r>
      <w:r>
        <w:rPr>
          <w:rFonts w:hint="eastAsia" w:hAnsi="宋体" w:cs="宋体"/>
          <w:bCs/>
          <w:color w:val="auto"/>
          <w:sz w:val="24"/>
          <w:szCs w:val="24"/>
          <w:highlight w:val="none"/>
          <w:u w:val="single"/>
        </w:rPr>
        <w:t xml:space="preserve">                                                         </w:t>
      </w:r>
    </w:p>
    <w:p w14:paraId="313DEF1D">
      <w:pPr>
        <w:pStyle w:val="16"/>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6D09DF70">
      <w:pPr>
        <w:pStyle w:val="16"/>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授权代表：</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7008AD83">
      <w:pPr>
        <w:pStyle w:val="16"/>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p>
    <w:p w14:paraId="345FD807">
      <w:pPr>
        <w:pStyle w:val="16"/>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3DD1CAE1">
      <w:pPr>
        <w:pStyle w:val="16"/>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被投诉人1：</w:t>
      </w:r>
    </w:p>
    <w:p w14:paraId="2F4891BB">
      <w:pPr>
        <w:pStyle w:val="16"/>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p>
    <w:p w14:paraId="7634CF58">
      <w:pPr>
        <w:pStyle w:val="16"/>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4539FAFE">
      <w:pPr>
        <w:pStyle w:val="16"/>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46B422E3">
      <w:pPr>
        <w:pStyle w:val="16"/>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被投诉人2：</w:t>
      </w:r>
    </w:p>
    <w:p w14:paraId="16E0AF7A">
      <w:pPr>
        <w:pStyle w:val="16"/>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w:t>
      </w:r>
    </w:p>
    <w:p w14:paraId="0BE82A98">
      <w:pPr>
        <w:pStyle w:val="16"/>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相关供应商：</w:t>
      </w:r>
      <w:r>
        <w:rPr>
          <w:rFonts w:hint="eastAsia" w:hAnsi="宋体" w:cs="宋体"/>
          <w:bCs/>
          <w:color w:val="auto"/>
          <w:sz w:val="24"/>
          <w:szCs w:val="24"/>
          <w:highlight w:val="none"/>
          <w:u w:val="single"/>
        </w:rPr>
        <w:t xml:space="preserve">                                                                       </w:t>
      </w:r>
    </w:p>
    <w:p w14:paraId="597A80F8">
      <w:pPr>
        <w:pStyle w:val="16"/>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p>
    <w:p w14:paraId="375B32AE">
      <w:pPr>
        <w:pStyle w:val="16"/>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29C6FC8A">
      <w:pPr>
        <w:pStyle w:val="16"/>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二、投诉项目基本情况：</w:t>
      </w:r>
    </w:p>
    <w:p w14:paraId="3DE73441">
      <w:pPr>
        <w:pStyle w:val="16"/>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项目的名称：</w:t>
      </w:r>
      <w:r>
        <w:rPr>
          <w:rFonts w:hint="eastAsia" w:hAnsi="宋体" w:cs="宋体"/>
          <w:bCs/>
          <w:color w:val="auto"/>
          <w:sz w:val="24"/>
          <w:szCs w:val="24"/>
          <w:highlight w:val="none"/>
          <w:u w:val="single"/>
        </w:rPr>
        <w:t xml:space="preserve">  </w:t>
      </w:r>
      <w:bookmarkStart w:id="1363" w:name="PO_3000001868_PM002_17"/>
      <w:r>
        <w:rPr>
          <w:rFonts w:hint="eastAsia" w:hAnsi="宋体" w:cs="宋体"/>
          <w:bCs/>
          <w:color w:val="auto"/>
          <w:sz w:val="24"/>
          <w:szCs w:val="24"/>
          <w:highlight w:val="none"/>
          <w:u w:val="single"/>
        </w:rPr>
        <w:t>[项目名称]</w:t>
      </w:r>
      <w:bookmarkEnd w:id="1363"/>
      <w:r>
        <w:rPr>
          <w:rFonts w:hint="eastAsia" w:hAnsi="宋体" w:cs="宋体"/>
          <w:bCs/>
          <w:color w:val="auto"/>
          <w:sz w:val="24"/>
          <w:szCs w:val="24"/>
          <w:highlight w:val="none"/>
          <w:u w:val="single"/>
        </w:rPr>
        <w:t xml:space="preserve">    </w:t>
      </w:r>
    </w:p>
    <w:p w14:paraId="05476E34">
      <w:pPr>
        <w:pStyle w:val="16"/>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项目的编号：</w:t>
      </w:r>
      <w:r>
        <w:rPr>
          <w:rFonts w:hint="eastAsia" w:hAnsi="宋体" w:cs="宋体"/>
          <w:bCs/>
          <w:color w:val="auto"/>
          <w:sz w:val="24"/>
          <w:szCs w:val="24"/>
          <w:highlight w:val="none"/>
          <w:u w:val="single"/>
        </w:rPr>
        <w:t xml:space="preserve">  </w:t>
      </w:r>
      <w:bookmarkStart w:id="1364" w:name="PO_3000001868_PM001_14"/>
      <w:r>
        <w:rPr>
          <w:rFonts w:hint="eastAsia" w:hAnsi="宋体" w:cs="宋体"/>
          <w:bCs/>
          <w:color w:val="auto"/>
          <w:sz w:val="24"/>
          <w:szCs w:val="24"/>
          <w:highlight w:val="none"/>
          <w:u w:val="single"/>
        </w:rPr>
        <w:t>[项目编号]</w:t>
      </w:r>
      <w:bookmarkEnd w:id="1364"/>
      <w:r>
        <w:rPr>
          <w:rFonts w:hint="eastAsia" w:hAnsi="宋体" w:cs="宋体"/>
          <w:bCs/>
          <w:color w:val="auto"/>
          <w:sz w:val="24"/>
          <w:szCs w:val="24"/>
          <w:highlight w:val="none"/>
          <w:u w:val="single"/>
        </w:rPr>
        <w:t xml:space="preserve">    </w:t>
      </w:r>
    </w:p>
    <w:p w14:paraId="43EB9AB0">
      <w:pPr>
        <w:pStyle w:val="16"/>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采购人名称：</w:t>
      </w:r>
      <w:r>
        <w:rPr>
          <w:rFonts w:hint="eastAsia" w:hAnsi="宋体" w:cs="宋体"/>
          <w:bCs/>
          <w:color w:val="auto"/>
          <w:sz w:val="24"/>
          <w:szCs w:val="24"/>
          <w:highlight w:val="none"/>
          <w:u w:val="single"/>
        </w:rPr>
        <w:t xml:space="preserve"> </w:t>
      </w:r>
      <w:bookmarkStart w:id="1365" w:name="PO_3000001868_PM026_8"/>
      <w:r>
        <w:rPr>
          <w:rFonts w:hint="eastAsia" w:hAnsi="宋体" w:cs="宋体"/>
          <w:bCs/>
          <w:color w:val="auto"/>
          <w:sz w:val="24"/>
          <w:szCs w:val="24"/>
          <w:highlight w:val="none"/>
          <w:u w:val="single"/>
        </w:rPr>
        <w:t>[采购人]</w:t>
      </w:r>
      <w:bookmarkEnd w:id="1365"/>
      <w:r>
        <w:rPr>
          <w:rFonts w:hint="eastAsia" w:hAnsi="宋体" w:cs="宋体"/>
          <w:bCs/>
          <w:color w:val="auto"/>
          <w:sz w:val="24"/>
          <w:szCs w:val="24"/>
          <w:highlight w:val="none"/>
          <w:u w:val="single"/>
        </w:rPr>
        <w:t xml:space="preserve">                </w:t>
      </w:r>
    </w:p>
    <w:p w14:paraId="4C3B483A">
      <w:pPr>
        <w:pStyle w:val="16"/>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代理机构名称：</w:t>
      </w:r>
      <w:r>
        <w:rPr>
          <w:rFonts w:hint="eastAsia" w:hAnsi="宋体" w:cs="宋体"/>
          <w:bCs/>
          <w:color w:val="auto"/>
          <w:sz w:val="24"/>
          <w:szCs w:val="24"/>
          <w:highlight w:val="none"/>
          <w:u w:val="single"/>
        </w:rPr>
        <w:t xml:space="preserve"> </w:t>
      </w:r>
      <w:bookmarkStart w:id="1366" w:name="PO_3000001868_PM031_5"/>
      <w:r>
        <w:rPr>
          <w:rFonts w:hint="eastAsia" w:hAnsi="宋体" w:cs="宋体"/>
          <w:bCs/>
          <w:color w:val="auto"/>
          <w:sz w:val="24"/>
          <w:szCs w:val="24"/>
          <w:highlight w:val="none"/>
          <w:u w:val="single"/>
        </w:rPr>
        <w:t>[采购组织机构]</w:t>
      </w:r>
      <w:bookmarkEnd w:id="1366"/>
      <w:r>
        <w:rPr>
          <w:rFonts w:hint="eastAsia" w:hAnsi="宋体" w:cs="宋体"/>
          <w:bCs/>
          <w:color w:val="auto"/>
          <w:sz w:val="24"/>
          <w:szCs w:val="24"/>
          <w:highlight w:val="none"/>
          <w:u w:val="single"/>
        </w:rPr>
        <w:t xml:space="preserve">                </w:t>
      </w:r>
    </w:p>
    <w:p w14:paraId="7BC8E72A">
      <w:pPr>
        <w:pStyle w:val="16"/>
        <w:spacing w:line="360" w:lineRule="auto"/>
        <w:ind w:left="25" w:leftChars="12" w:firstLine="472" w:firstLineChars="197"/>
        <w:rPr>
          <w:rFonts w:hAnsi="宋体" w:cs="宋体"/>
          <w:bCs/>
          <w:color w:val="auto"/>
          <w:sz w:val="24"/>
          <w:szCs w:val="24"/>
          <w:highlight w:val="none"/>
          <w:u w:val="single"/>
        </w:rPr>
      </w:pPr>
      <w:r>
        <w:rPr>
          <w:rFonts w:hint="eastAsia" w:hAnsi="宋体" w:cs="宋体"/>
          <w:bCs/>
          <w:color w:val="auto"/>
          <w:sz w:val="24"/>
          <w:szCs w:val="24"/>
          <w:highlight w:val="none"/>
        </w:rPr>
        <w:t>招标文件公告：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r>
        <w:rPr>
          <w:rFonts w:hint="eastAsia" w:hAnsi="宋体" w:cs="宋体"/>
          <w:bCs/>
          <w:color w:val="auto"/>
          <w:sz w:val="24"/>
          <w:szCs w:val="24"/>
          <w:highlight w:val="none"/>
          <w:u w:val="single"/>
        </w:rPr>
        <w:t xml:space="preserve">                                                       </w:t>
      </w:r>
    </w:p>
    <w:p w14:paraId="6273B298">
      <w:pPr>
        <w:pStyle w:val="16"/>
        <w:spacing w:line="360" w:lineRule="auto"/>
        <w:ind w:left="25" w:leftChars="12" w:firstLine="472" w:firstLineChars="197"/>
        <w:rPr>
          <w:rFonts w:hAnsi="宋体" w:cs="宋体"/>
          <w:b/>
          <w:color w:val="auto"/>
          <w:sz w:val="24"/>
          <w:szCs w:val="24"/>
          <w:highlight w:val="none"/>
        </w:rPr>
      </w:pPr>
      <w:r>
        <w:rPr>
          <w:rFonts w:hint="eastAsia" w:hAnsi="宋体" w:cs="宋体"/>
          <w:bCs/>
          <w:color w:val="auto"/>
          <w:sz w:val="24"/>
          <w:szCs w:val="24"/>
          <w:highlight w:val="none"/>
        </w:rPr>
        <w:t>采购结果公告：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r>
        <w:rPr>
          <w:rFonts w:hint="eastAsia" w:hAnsi="宋体" w:cs="宋体"/>
          <w:bCs/>
          <w:color w:val="auto"/>
          <w:sz w:val="24"/>
          <w:szCs w:val="24"/>
          <w:highlight w:val="none"/>
          <w:u w:val="single"/>
        </w:rPr>
        <w:t xml:space="preserve">                                                       </w:t>
      </w:r>
    </w:p>
    <w:p w14:paraId="07998A85">
      <w:pPr>
        <w:pStyle w:val="16"/>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三、质疑基本情况</w:t>
      </w:r>
    </w:p>
    <w:p w14:paraId="70F719A5">
      <w:pPr>
        <w:pStyle w:val="1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投诉人于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日，向</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提出质疑，质疑事项为：</w:t>
      </w:r>
    </w:p>
    <w:p w14:paraId="1E66D0C8">
      <w:pPr>
        <w:pStyle w:val="16"/>
        <w:spacing w:line="360" w:lineRule="auto"/>
        <w:ind w:firstLine="241"/>
        <w:rPr>
          <w:rFonts w:hAnsi="宋体" w:cs="宋体"/>
          <w:bCs/>
          <w:color w:val="auto"/>
          <w:sz w:val="24"/>
          <w:szCs w:val="24"/>
          <w:highlight w:val="none"/>
          <w:u w:val="single"/>
        </w:rPr>
      </w:pP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687B9782">
      <w:pPr>
        <w:pStyle w:val="16"/>
        <w:spacing w:line="360" w:lineRule="auto"/>
        <w:ind w:firstLine="241"/>
        <w:rPr>
          <w:rFonts w:hAnsi="宋体" w:cs="宋体"/>
          <w:bCs/>
          <w:color w:val="auto"/>
          <w:sz w:val="24"/>
          <w:szCs w:val="24"/>
          <w:highlight w:val="none"/>
          <w:u w:val="singl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p>
    <w:p w14:paraId="46805819">
      <w:pPr>
        <w:pStyle w:val="16"/>
        <w:spacing w:line="360" w:lineRule="auto"/>
        <w:ind w:firstLine="480" w:firstLineChars="200"/>
        <w:rPr>
          <w:rFonts w:hAnsi="宋体" w:cs="宋体"/>
          <w:color w:val="auto"/>
          <w:sz w:val="24"/>
          <w:szCs w:val="24"/>
          <w:highlight w:val="none"/>
        </w:rPr>
      </w:pPr>
      <w:r>
        <w:rPr>
          <w:rFonts w:hint="eastAsia" w:hAnsi="宋体" w:cs="宋体"/>
          <w:bCs/>
          <w:color w:val="auto"/>
          <w:sz w:val="24"/>
          <w:szCs w:val="24"/>
          <w:highlight w:val="none"/>
          <w:u w:val="single"/>
        </w:rPr>
        <w:t>采购人/代理机构</w:t>
      </w:r>
      <w:r>
        <w:rPr>
          <w:rFonts w:hint="eastAsia" w:hAnsi="宋体" w:cs="宋体"/>
          <w:bCs/>
          <w:color w:val="auto"/>
          <w:sz w:val="24"/>
          <w:szCs w:val="24"/>
          <w:highlight w:val="none"/>
        </w:rPr>
        <w:t>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w:t>
      </w:r>
      <w:r>
        <w:rPr>
          <w:rFonts w:hint="eastAsia" w:hAnsi="宋体" w:cs="宋体"/>
          <w:bCs/>
          <w:color w:val="auto"/>
          <w:sz w:val="24"/>
          <w:szCs w:val="24"/>
          <w:highlight w:val="none"/>
        </w:rPr>
        <w:t xml:space="preserve">就质疑事项作出了答复/没有在法定期限内作出答复。                                                                                             </w:t>
      </w:r>
    </w:p>
    <w:p w14:paraId="36638C9D">
      <w:pPr>
        <w:pStyle w:val="16"/>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四、投诉事项具体内容</w:t>
      </w:r>
    </w:p>
    <w:p w14:paraId="2632FCFB">
      <w:pPr>
        <w:pStyle w:val="16"/>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投诉事项1：</w:t>
      </w:r>
      <w:r>
        <w:rPr>
          <w:rFonts w:hint="eastAsia" w:hAnsi="宋体" w:cs="宋体"/>
          <w:bCs/>
          <w:color w:val="auto"/>
          <w:sz w:val="24"/>
          <w:szCs w:val="24"/>
          <w:highlight w:val="none"/>
          <w:u w:val="single"/>
        </w:rPr>
        <w:t xml:space="preserve">                                                                           </w:t>
      </w:r>
    </w:p>
    <w:p w14:paraId="21E08F56">
      <w:pPr>
        <w:pStyle w:val="16"/>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事实依据：</w:t>
      </w: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60056743">
      <w:pPr>
        <w:pStyle w:val="16"/>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u w:val="single"/>
        </w:rPr>
        <w:t xml:space="preserve">                                                                                        </w:t>
      </w:r>
    </w:p>
    <w:p w14:paraId="4B8158EF">
      <w:pPr>
        <w:pStyle w:val="16"/>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法律依据：</w:t>
      </w: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4E859119">
      <w:pPr>
        <w:pStyle w:val="16"/>
        <w:spacing w:line="360" w:lineRule="auto"/>
        <w:ind w:left="25" w:leftChars="12" w:firstLine="352" w:firstLineChars="147"/>
        <w:rPr>
          <w:rFonts w:hAnsi="宋体" w:cs="宋体"/>
          <w:bCs/>
          <w:color w:val="auto"/>
          <w:sz w:val="24"/>
          <w:szCs w:val="24"/>
          <w:highlight w:val="none"/>
          <w:u w:val="singl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p>
    <w:p w14:paraId="650387E8">
      <w:pPr>
        <w:pStyle w:val="16"/>
        <w:spacing w:line="360" w:lineRule="auto"/>
        <w:ind w:left="25" w:leftChars="12" w:firstLine="472" w:firstLineChars="197"/>
        <w:rPr>
          <w:rFonts w:hAnsi="宋体" w:cs="宋体"/>
          <w:bCs/>
          <w:color w:val="auto"/>
          <w:sz w:val="24"/>
          <w:szCs w:val="24"/>
          <w:highlight w:val="none"/>
        </w:rPr>
      </w:pPr>
      <w:r>
        <w:rPr>
          <w:rFonts w:hint="eastAsia" w:hAnsi="宋体" w:cs="宋体"/>
          <w:color w:val="auto"/>
          <w:sz w:val="24"/>
          <w:szCs w:val="24"/>
          <w:highlight w:val="none"/>
        </w:rPr>
        <w:t xml:space="preserve">投诉事项2  </w:t>
      </w:r>
      <w:r>
        <w:rPr>
          <w:rFonts w:hint="eastAsia" w:hAnsi="宋体" w:cs="宋体"/>
          <w:bCs/>
          <w:color w:val="auto"/>
          <w:sz w:val="24"/>
          <w:szCs w:val="24"/>
          <w:highlight w:val="none"/>
        </w:rPr>
        <w:t xml:space="preserve">   </w:t>
      </w:r>
    </w:p>
    <w:p w14:paraId="7F9CDFF5">
      <w:pPr>
        <w:pStyle w:val="16"/>
        <w:spacing w:line="360" w:lineRule="auto"/>
        <w:ind w:left="25" w:leftChars="12" w:firstLine="472" w:firstLineChars="197"/>
        <w:rPr>
          <w:rFonts w:hAnsi="宋体" w:cs="宋体"/>
          <w:bCs/>
          <w:color w:val="auto"/>
          <w:sz w:val="24"/>
          <w:szCs w:val="24"/>
          <w:highlight w:val="none"/>
        </w:rPr>
      </w:pPr>
      <w:r>
        <w:rPr>
          <w:rFonts w:hint="eastAsia" w:hAnsi="宋体" w:cs="宋体"/>
          <w:bCs/>
          <w:color w:val="auto"/>
          <w:sz w:val="24"/>
          <w:szCs w:val="24"/>
          <w:highlight w:val="none"/>
        </w:rPr>
        <w:t>……</w:t>
      </w:r>
    </w:p>
    <w:p w14:paraId="2660373C">
      <w:pPr>
        <w:pStyle w:val="16"/>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五、与投诉事项相关的投诉请求：</w:t>
      </w:r>
    </w:p>
    <w:p w14:paraId="296F95B3">
      <w:pPr>
        <w:pStyle w:val="16"/>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请求：</w:t>
      </w:r>
      <w:r>
        <w:rPr>
          <w:rFonts w:hint="eastAsia" w:hAnsi="宋体" w:cs="宋体"/>
          <w:bCs/>
          <w:color w:val="auto"/>
          <w:sz w:val="24"/>
          <w:szCs w:val="24"/>
          <w:highlight w:val="none"/>
          <w:u w:val="single"/>
        </w:rPr>
        <w:t xml:space="preserve">                                                                                 </w:t>
      </w:r>
    </w:p>
    <w:p w14:paraId="316608A4">
      <w:pPr>
        <w:pStyle w:val="16"/>
        <w:spacing w:line="360" w:lineRule="auto"/>
        <w:ind w:left="25" w:leftChars="12" w:firstLine="352" w:firstLineChars="147"/>
        <w:rPr>
          <w:rFonts w:hAnsi="宋体" w:cs="宋体"/>
          <w:color w:val="auto"/>
          <w:sz w:val="24"/>
          <w:szCs w:val="24"/>
          <w:highlight w:val="none"/>
        </w:rPr>
      </w:pPr>
    </w:p>
    <w:p w14:paraId="64FD9065">
      <w:pPr>
        <w:pStyle w:val="16"/>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签字（签章）：                                       公章：</w:t>
      </w:r>
    </w:p>
    <w:p w14:paraId="3BF71944">
      <w:pPr>
        <w:pStyle w:val="16"/>
        <w:spacing w:line="360" w:lineRule="auto"/>
        <w:ind w:left="25" w:leftChars="12" w:firstLine="352" w:firstLineChars="147"/>
        <w:rPr>
          <w:rFonts w:hAnsi="宋体" w:cs="宋体"/>
          <w:color w:val="auto"/>
          <w:sz w:val="24"/>
          <w:szCs w:val="24"/>
          <w:highlight w:val="none"/>
        </w:rPr>
      </w:pPr>
    </w:p>
    <w:p w14:paraId="50A24344">
      <w:pPr>
        <w:pStyle w:val="16"/>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日期：</w:t>
      </w:r>
    </w:p>
    <w:p w14:paraId="65F82E83">
      <w:pPr>
        <w:pStyle w:val="16"/>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 xml:space="preserve">                                                                               </w:t>
      </w:r>
    </w:p>
    <w:p w14:paraId="1D3CFE57">
      <w:pPr>
        <w:pStyle w:val="16"/>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说明：</w:t>
      </w:r>
    </w:p>
    <w:p w14:paraId="09EFDC4B">
      <w:pPr>
        <w:pStyle w:val="16"/>
        <w:spacing w:line="360" w:lineRule="auto"/>
        <w:ind w:left="25" w:leftChars="12" w:firstLine="354" w:firstLineChars="147"/>
        <w:rPr>
          <w:rFonts w:hAnsi="宋体" w:cs="宋体"/>
          <w:b/>
          <w:bCs/>
          <w:color w:val="auto"/>
          <w:sz w:val="24"/>
          <w:szCs w:val="24"/>
          <w:highlight w:val="none"/>
        </w:rPr>
      </w:pPr>
      <w:r>
        <w:rPr>
          <w:rFonts w:hint="eastAsia" w:hAnsi="宋体" w:cs="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cs="宋体"/>
          <w:b/>
          <w:bCs/>
          <w:color w:val="auto"/>
          <w:sz w:val="24"/>
          <w:szCs w:val="24"/>
          <w:highlight w:val="none"/>
        </w:rPr>
        <w:t>。</w:t>
      </w:r>
    </w:p>
    <w:p w14:paraId="5C31BB8E">
      <w:pPr>
        <w:pStyle w:val="16"/>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7440AFC6">
      <w:pPr>
        <w:pStyle w:val="16"/>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3.投诉书应简要列明质疑事项，质疑函、质疑答复等作为附件材料提供。</w:t>
      </w:r>
    </w:p>
    <w:p w14:paraId="1A322329">
      <w:pPr>
        <w:pStyle w:val="16"/>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4.投诉书的投诉事项应具体、明确，并有必要的事实依据和法律依据。</w:t>
      </w:r>
    </w:p>
    <w:p w14:paraId="79495F0B">
      <w:pPr>
        <w:pStyle w:val="16"/>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5.投诉书的投诉请求应与投诉事项相关。</w:t>
      </w:r>
    </w:p>
    <w:p w14:paraId="77D36043">
      <w:pPr>
        <w:pStyle w:val="16"/>
        <w:spacing w:line="360" w:lineRule="auto"/>
        <w:ind w:left="25" w:leftChars="12" w:firstLine="354" w:firstLineChars="147"/>
        <w:rPr>
          <w:rFonts w:hAnsi="宋体" w:cs="宋体"/>
          <w:b/>
          <w:color w:val="auto"/>
          <w:highlight w:val="none"/>
        </w:rPr>
      </w:pPr>
      <w:r>
        <w:rPr>
          <w:rFonts w:hint="eastAsia" w:hAnsi="宋体" w:cs="宋体"/>
          <w:b/>
          <w:color w:val="auto"/>
          <w:sz w:val="24"/>
          <w:szCs w:val="24"/>
          <w:highlight w:val="none"/>
        </w:rPr>
        <w:t>6.投诉人为法人或者其他组织的，投诉书应由法定代表人、主要负责人，或者其授权代表签字或者盖章，并加盖公章。</w:t>
      </w:r>
    </w:p>
    <w:p w14:paraId="77EE37B7">
      <w:pPr>
        <w:rPr>
          <w:rFonts w:ascii="宋体" w:hAnsi="宋体" w:cs="宋体"/>
          <w:color w:val="auto"/>
          <w:highlight w:val="none"/>
        </w:rPr>
      </w:pPr>
    </w:p>
    <w:sectPr>
      <w:footerReference r:id="rId9" w:type="first"/>
      <w:footerReference r:id="rId8" w:type="default"/>
      <w:pgSz w:w="11910" w:h="16840"/>
      <w:pgMar w:top="1440" w:right="1083" w:bottom="1440" w:left="1083" w:header="720" w:footer="720"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NimbusSans-Regular">
    <w:altName w:val="Segoe Print"/>
    <w:panose1 w:val="00000000000000000000"/>
    <w:charset w:val="00"/>
    <w:family w:val="auto"/>
    <w:pitch w:val="default"/>
    <w:sig w:usb0="00000000" w:usb1="00000000" w:usb2="00000000" w:usb3="00000000" w:csb0="00040001" w:csb1="00000000"/>
  </w:font>
  <w:font w:name="MingLiU_HKSCS">
    <w:altName w:val="PMingLiU-ExtB"/>
    <w:panose1 w:val="02020500000000000000"/>
    <w:charset w:val="88"/>
    <w:family w:val="roman"/>
    <w:pitch w:val="default"/>
    <w:sig w:usb0="00000000" w:usb1="00000000" w:usb2="00000016" w:usb3="00000000" w:csb0="00100001" w:csb1="00000000"/>
  </w:font>
  <w:font w:name="Wingdings 2">
    <w:altName w:val="Wingdings"/>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Cambria Math">
    <w:panose1 w:val="02040503050406030204"/>
    <w:charset w:val="00"/>
    <w:family w:val="roman"/>
    <w:pitch w:val="default"/>
    <w:sig w:usb0="E00006FF" w:usb1="420024FF" w:usb2="02000000" w:usb3="00000000" w:csb0="2000019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8B800">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CDCB3C">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8CDCB3C">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A9C52">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C5FA35">
                          <w:pPr>
                            <w:pStyle w:val="18"/>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3FC5FA35">
                    <w:pPr>
                      <w:pStyle w:val="18"/>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28D8B">
    <w:pPr>
      <w:pStyle w:val="12"/>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4D9EC9">
                          <w:pPr>
                            <w:pStyle w:val="18"/>
                          </w:pPr>
                          <w:r>
                            <w:fldChar w:fldCharType="begin"/>
                          </w:r>
                          <w:r>
                            <w:instrText xml:space="preserve"> PAGE  \* MERGEFORMAT </w:instrText>
                          </w:r>
                          <w:r>
                            <w:fldChar w:fldCharType="separate"/>
                          </w:r>
                          <w:r>
                            <w:t>90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374D9EC9">
                    <w:pPr>
                      <w:pStyle w:val="18"/>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8E8FF">
    <w:pPr>
      <w:pStyle w:val="12"/>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7E3E32">
                          <w:pPr>
                            <w:pStyle w:val="18"/>
                          </w:pPr>
                          <w:r>
                            <w:fldChar w:fldCharType="begin"/>
                          </w:r>
                          <w:r>
                            <w:instrText xml:space="preserve"> PAGE  \* MERGEFORMAT </w:instrText>
                          </w:r>
                          <w:r>
                            <w:fldChar w:fldCharType="separate"/>
                          </w:r>
                          <w:r>
                            <w:t>93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5F7E3E32">
                    <w:pPr>
                      <w:pStyle w:val="18"/>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EA728">
    <w:pPr>
      <w:pStyle w:val="1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F91E57">
                          <w:pPr>
                            <w:pStyle w:val="18"/>
                            <w:jc w:val="center"/>
                          </w:pPr>
                          <w:r>
                            <w:fldChar w:fldCharType="begin"/>
                          </w:r>
                          <w:r>
                            <w:instrText xml:space="preserve"> PAGE  \* MERGEFORMAT </w:instrText>
                          </w:r>
                          <w:r>
                            <w:fldChar w:fldCharType="separate"/>
                          </w:r>
                          <w:r>
                            <w:t>84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2EF91E57">
                    <w:pPr>
                      <w:pStyle w:val="18"/>
                      <w:jc w:val="center"/>
                    </w:pPr>
                    <w:r>
                      <w:fldChar w:fldCharType="begin"/>
                    </w:r>
                    <w:r>
                      <w:instrText xml:space="preserve"> PAGE  \* MERGEFORMAT </w:instrText>
                    </w:r>
                    <w:r>
                      <w:fldChar w:fldCharType="separate"/>
                    </w:r>
                    <w:r>
                      <w:t>84</w:t>
                    </w:r>
                    <w:r>
                      <w:fldChar w:fldCharType="end"/>
                    </w:r>
                  </w:p>
                </w:txbxContent>
              </v:textbox>
            </v:shape>
          </w:pict>
        </mc:Fallback>
      </mc:AlternateContent>
    </w:r>
  </w:p>
  <w:p w14:paraId="0C07D655">
    <w:pPr>
      <w:pStyle w:val="1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4DDE7">
    <w:pPr>
      <w:pStyle w:val="1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A9B8A5">
                          <w:pPr>
                            <w:pStyle w:val="18"/>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1A9B8A5">
                    <w:pPr>
                      <w:pStyle w:val="18"/>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797CA">
    <w:pPr>
      <w:pStyle w:val="19"/>
      <w:rPr>
        <w:rFonts w:hint="eastAsia"/>
      </w:rPr>
    </w:pPr>
  </w:p>
  <w:p w14:paraId="66F63625">
    <w:pPr>
      <w:pStyle w:val="19"/>
      <w:rPr>
        <w:rFonts w:hint="eastAsia"/>
      </w:rPr>
    </w:pPr>
  </w:p>
  <w:p w14:paraId="0302B5E1">
    <w:pPr>
      <w:pStyle w:val="19"/>
    </w:pPr>
    <w:r>
      <w:rPr>
        <w:rFonts w:hint="eastAsia"/>
      </w:rPr>
      <w:t>南宁市政府采购竞争性磋商采购文件（项目编号：</w:t>
    </w:r>
    <w:r>
      <w:rPr>
        <w:rFonts w:hint="eastAsia"/>
        <w:lang w:val="en-US" w:eastAsia="zh-CN"/>
      </w:rPr>
      <w:t xml:space="preserve"> NNZC2024-C2-030291-GXHM</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1359FE"/>
    <w:multiLevelType w:val="singleLevel"/>
    <w:tmpl w:val="881359FE"/>
    <w:lvl w:ilvl="0" w:tentative="0">
      <w:start w:val="3"/>
      <w:numFmt w:val="decimal"/>
      <w:suff w:val="nothing"/>
      <w:lvlText w:val="%1、"/>
      <w:lvlJc w:val="left"/>
    </w:lvl>
  </w:abstractNum>
  <w:abstractNum w:abstractNumId="1">
    <w:nsid w:val="EFE0B5A3"/>
    <w:multiLevelType w:val="singleLevel"/>
    <w:tmpl w:val="EFE0B5A3"/>
    <w:lvl w:ilvl="0" w:tentative="0">
      <w:start w:val="2"/>
      <w:numFmt w:val="decimal"/>
      <w:lvlText w:val="%1)"/>
      <w:lvlJc w:val="left"/>
      <w:pPr>
        <w:tabs>
          <w:tab w:val="left" w:pos="312"/>
        </w:tabs>
        <w:ind w:left="0" w:firstLine="0"/>
      </w:pPr>
    </w:lvl>
  </w:abstractNum>
  <w:abstractNum w:abstractNumId="2">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25B124CF"/>
    <w:multiLevelType w:val="multilevel"/>
    <w:tmpl w:val="25B124CF"/>
    <w:lvl w:ilvl="0" w:tentative="0">
      <w:start w:val="1"/>
      <w:numFmt w:val="decimal"/>
      <w:lvlText w:val="（%1）"/>
      <w:lvlJc w:val="left"/>
      <w:pPr>
        <w:tabs>
          <w:tab w:val="left" w:pos="720"/>
        </w:tabs>
        <w:ind w:left="720" w:hanging="720"/>
      </w:pPr>
      <w:rPr>
        <w:rFonts w:ascii="宋体" w:hAnsi="宋体" w:eastAsia="宋体"/>
        <w:w w:val="100"/>
        <w:sz w:val="21"/>
        <w:szCs w:val="21"/>
        <w:u w:val="none"/>
      </w:rPr>
    </w:lvl>
    <w:lvl w:ilvl="1" w:tentative="0">
      <w:start w:val="1"/>
      <w:numFmt w:val="lowerLetter"/>
      <w:lvlText w:val="%2)"/>
      <w:lvlJc w:val="left"/>
      <w:pPr>
        <w:tabs>
          <w:tab w:val="left" w:pos="840"/>
        </w:tabs>
        <w:ind w:left="840" w:hanging="420"/>
      </w:pPr>
      <w:rPr>
        <w:rFonts w:ascii="宋体" w:hAnsi="宋体" w:eastAsia="宋体"/>
        <w:w w:val="100"/>
        <w:sz w:val="20"/>
        <w:szCs w:val="20"/>
      </w:rPr>
    </w:lvl>
    <w:lvl w:ilvl="2" w:tentative="0">
      <w:start w:val="1"/>
      <w:numFmt w:val="lowerRoman"/>
      <w:lvlText w:val="%3."/>
      <w:lvlJc w:val="right"/>
      <w:pPr>
        <w:tabs>
          <w:tab w:val="left" w:pos="1260"/>
        </w:tabs>
        <w:ind w:left="1260" w:hanging="420"/>
      </w:pPr>
      <w:rPr>
        <w:rFonts w:ascii="宋体" w:hAnsi="宋体" w:eastAsia="宋体"/>
        <w:w w:val="100"/>
        <w:sz w:val="20"/>
        <w:szCs w:val="20"/>
      </w:rPr>
    </w:lvl>
    <w:lvl w:ilvl="3" w:tentative="0">
      <w:start w:val="1"/>
      <w:numFmt w:val="decimal"/>
      <w:lvlText w:val="%4."/>
      <w:lvlJc w:val="left"/>
      <w:pPr>
        <w:tabs>
          <w:tab w:val="left" w:pos="1680"/>
        </w:tabs>
        <w:ind w:left="1680" w:hanging="420"/>
      </w:pPr>
      <w:rPr>
        <w:rFonts w:ascii="宋体" w:hAnsi="宋体" w:eastAsia="宋体"/>
        <w:w w:val="100"/>
        <w:sz w:val="20"/>
        <w:szCs w:val="20"/>
      </w:rPr>
    </w:lvl>
    <w:lvl w:ilvl="4" w:tentative="0">
      <w:start w:val="1"/>
      <w:numFmt w:val="lowerLetter"/>
      <w:lvlText w:val="%5)"/>
      <w:lvlJc w:val="left"/>
      <w:pPr>
        <w:tabs>
          <w:tab w:val="left" w:pos="2100"/>
        </w:tabs>
        <w:ind w:left="2100" w:hanging="420"/>
      </w:pPr>
      <w:rPr>
        <w:rFonts w:ascii="宋体" w:hAnsi="宋体" w:eastAsia="宋体"/>
        <w:w w:val="100"/>
        <w:sz w:val="20"/>
        <w:szCs w:val="20"/>
      </w:rPr>
    </w:lvl>
    <w:lvl w:ilvl="5" w:tentative="0">
      <w:start w:val="1"/>
      <w:numFmt w:val="lowerRoman"/>
      <w:lvlText w:val="%6."/>
      <w:lvlJc w:val="right"/>
      <w:pPr>
        <w:tabs>
          <w:tab w:val="left" w:pos="2520"/>
        </w:tabs>
        <w:ind w:left="2520" w:hanging="420"/>
      </w:pPr>
      <w:rPr>
        <w:rFonts w:ascii="宋体" w:hAnsi="宋体" w:eastAsia="宋体"/>
        <w:w w:val="100"/>
        <w:sz w:val="20"/>
        <w:szCs w:val="20"/>
      </w:rPr>
    </w:lvl>
    <w:lvl w:ilvl="6" w:tentative="0">
      <w:start w:val="1"/>
      <w:numFmt w:val="decimal"/>
      <w:lvlText w:val="%7."/>
      <w:lvlJc w:val="left"/>
      <w:pPr>
        <w:tabs>
          <w:tab w:val="left" w:pos="2940"/>
        </w:tabs>
        <w:ind w:left="2940" w:hanging="420"/>
      </w:pPr>
      <w:rPr>
        <w:rFonts w:ascii="宋体" w:hAnsi="宋体" w:eastAsia="宋体"/>
        <w:w w:val="100"/>
        <w:sz w:val="20"/>
        <w:szCs w:val="20"/>
      </w:rPr>
    </w:lvl>
    <w:lvl w:ilvl="7" w:tentative="0">
      <w:start w:val="1"/>
      <w:numFmt w:val="lowerLetter"/>
      <w:lvlText w:val="%8)"/>
      <w:lvlJc w:val="left"/>
      <w:pPr>
        <w:tabs>
          <w:tab w:val="left" w:pos="3360"/>
        </w:tabs>
        <w:ind w:left="3360" w:hanging="420"/>
      </w:pPr>
      <w:rPr>
        <w:rFonts w:ascii="宋体" w:hAnsi="宋体" w:eastAsia="宋体"/>
        <w:w w:val="100"/>
        <w:sz w:val="20"/>
        <w:szCs w:val="20"/>
      </w:rPr>
    </w:lvl>
    <w:lvl w:ilvl="8" w:tentative="0">
      <w:start w:val="1"/>
      <w:numFmt w:val="lowerRoman"/>
      <w:lvlText w:val="%9."/>
      <w:lvlJc w:val="right"/>
      <w:pPr>
        <w:tabs>
          <w:tab w:val="left" w:pos="3780"/>
        </w:tabs>
        <w:ind w:left="3780" w:hanging="420"/>
      </w:pPr>
      <w:rPr>
        <w:rFonts w:ascii="宋体" w:hAnsi="宋体" w:eastAsia="宋体"/>
        <w:w w:val="100"/>
        <w:sz w:val="20"/>
        <w:szCs w:val="20"/>
      </w:rPr>
    </w:lvl>
  </w:abstractNum>
  <w:abstractNum w:abstractNumId="4">
    <w:nsid w:val="508D7A92"/>
    <w:multiLevelType w:val="singleLevel"/>
    <w:tmpl w:val="508D7A92"/>
    <w:lvl w:ilvl="0" w:tentative="0">
      <w:start w:val="1"/>
      <w:numFmt w:val="decimal"/>
      <w:suff w:val="nothing"/>
      <w:lvlText w:val="（%1）"/>
      <w:lvlJc w:val="left"/>
    </w:lvl>
  </w:abstractNum>
  <w:abstractNum w:abstractNumId="5">
    <w:nsid w:val="5498E193"/>
    <w:multiLevelType w:val="singleLevel"/>
    <w:tmpl w:val="5498E193"/>
    <w:lvl w:ilvl="0" w:tentative="0">
      <w:start w:val="11"/>
      <w:numFmt w:val="decimal"/>
      <w:suff w:val="space"/>
      <w:lvlText w:val="%1."/>
      <w:lvlJc w:val="left"/>
    </w:lvl>
  </w:abstractNum>
  <w:abstractNum w:abstractNumId="6">
    <w:nsid w:val="72668605"/>
    <w:multiLevelType w:val="singleLevel"/>
    <w:tmpl w:val="72668605"/>
    <w:lvl w:ilvl="0" w:tentative="0">
      <w:start w:val="1"/>
      <w:numFmt w:val="decimal"/>
      <w:pStyle w:val="8"/>
      <w:lvlText w:val="%1."/>
      <w:lvlJc w:val="left"/>
      <w:pPr>
        <w:tabs>
          <w:tab w:val="left" w:pos="360"/>
        </w:tabs>
        <w:ind w:left="360" w:hanging="360"/>
      </w:pPr>
    </w:lvl>
  </w:abstractNum>
  <w:num w:numId="1">
    <w:abstractNumId w:val="6"/>
  </w:num>
  <w:num w:numId="2">
    <w:abstractNumId w:val="0"/>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1MGY0MTZhNzRiZjhmNWIwNjBhN2QyNGI5MmIwMWQifQ=="/>
  </w:docVars>
  <w:rsids>
    <w:rsidRoot w:val="72590521"/>
    <w:rsid w:val="000510B6"/>
    <w:rsid w:val="0014006B"/>
    <w:rsid w:val="0015420E"/>
    <w:rsid w:val="001E77F1"/>
    <w:rsid w:val="002738D5"/>
    <w:rsid w:val="003E0F2D"/>
    <w:rsid w:val="00444F54"/>
    <w:rsid w:val="00733D07"/>
    <w:rsid w:val="00733FD2"/>
    <w:rsid w:val="00773247"/>
    <w:rsid w:val="00854C70"/>
    <w:rsid w:val="00896A26"/>
    <w:rsid w:val="00B477E1"/>
    <w:rsid w:val="00E02320"/>
    <w:rsid w:val="00E076C4"/>
    <w:rsid w:val="019D115B"/>
    <w:rsid w:val="01A544B3"/>
    <w:rsid w:val="01E12EDC"/>
    <w:rsid w:val="03FB241F"/>
    <w:rsid w:val="03FD3328"/>
    <w:rsid w:val="05F4078D"/>
    <w:rsid w:val="06632E5C"/>
    <w:rsid w:val="06A66D03"/>
    <w:rsid w:val="07CA4C73"/>
    <w:rsid w:val="08783670"/>
    <w:rsid w:val="089D5EE4"/>
    <w:rsid w:val="09024057"/>
    <w:rsid w:val="099427CD"/>
    <w:rsid w:val="0A665276"/>
    <w:rsid w:val="0B333C33"/>
    <w:rsid w:val="0C973ECB"/>
    <w:rsid w:val="0CFB6D87"/>
    <w:rsid w:val="0DC05864"/>
    <w:rsid w:val="11162CD7"/>
    <w:rsid w:val="112D117D"/>
    <w:rsid w:val="12010A9C"/>
    <w:rsid w:val="14B542EB"/>
    <w:rsid w:val="14C26AC9"/>
    <w:rsid w:val="14C65C60"/>
    <w:rsid w:val="16C2757B"/>
    <w:rsid w:val="17402B04"/>
    <w:rsid w:val="175A6A33"/>
    <w:rsid w:val="18083A36"/>
    <w:rsid w:val="1811456D"/>
    <w:rsid w:val="18A701A3"/>
    <w:rsid w:val="1C403018"/>
    <w:rsid w:val="1C9571A6"/>
    <w:rsid w:val="1DAD75B8"/>
    <w:rsid w:val="1DBE4FFB"/>
    <w:rsid w:val="1DC37378"/>
    <w:rsid w:val="1E1F4DBD"/>
    <w:rsid w:val="1ECA3BCB"/>
    <w:rsid w:val="1F1A4A57"/>
    <w:rsid w:val="1F250D12"/>
    <w:rsid w:val="1F771D62"/>
    <w:rsid w:val="22B569E9"/>
    <w:rsid w:val="23CF3DE7"/>
    <w:rsid w:val="23E838BA"/>
    <w:rsid w:val="24C02C1C"/>
    <w:rsid w:val="25BB5095"/>
    <w:rsid w:val="260F3DDE"/>
    <w:rsid w:val="28FB7EBD"/>
    <w:rsid w:val="29D71B05"/>
    <w:rsid w:val="2B7C4938"/>
    <w:rsid w:val="2D316615"/>
    <w:rsid w:val="2D686211"/>
    <w:rsid w:val="2DBD6FB0"/>
    <w:rsid w:val="2DEA0AEC"/>
    <w:rsid w:val="2E2B600A"/>
    <w:rsid w:val="2E923309"/>
    <w:rsid w:val="305D226E"/>
    <w:rsid w:val="3179279B"/>
    <w:rsid w:val="31946B55"/>
    <w:rsid w:val="333D3C9C"/>
    <w:rsid w:val="340547BA"/>
    <w:rsid w:val="344846D9"/>
    <w:rsid w:val="346B4DFC"/>
    <w:rsid w:val="350D3D50"/>
    <w:rsid w:val="35AA4124"/>
    <w:rsid w:val="35D20DE2"/>
    <w:rsid w:val="35D3093F"/>
    <w:rsid w:val="35EE160F"/>
    <w:rsid w:val="379A790F"/>
    <w:rsid w:val="38757231"/>
    <w:rsid w:val="38F82B3F"/>
    <w:rsid w:val="39333B77"/>
    <w:rsid w:val="395028AA"/>
    <w:rsid w:val="3A7D30CD"/>
    <w:rsid w:val="3AB313C1"/>
    <w:rsid w:val="3B4C7172"/>
    <w:rsid w:val="3B5303DF"/>
    <w:rsid w:val="3BB04C7B"/>
    <w:rsid w:val="3C853451"/>
    <w:rsid w:val="3CE65E70"/>
    <w:rsid w:val="3D3D401B"/>
    <w:rsid w:val="3F0A4723"/>
    <w:rsid w:val="3FD20B5E"/>
    <w:rsid w:val="40653F4E"/>
    <w:rsid w:val="40E903F0"/>
    <w:rsid w:val="41310CE3"/>
    <w:rsid w:val="41D2177E"/>
    <w:rsid w:val="42024A2E"/>
    <w:rsid w:val="4257012F"/>
    <w:rsid w:val="436D5ED7"/>
    <w:rsid w:val="440A3726"/>
    <w:rsid w:val="4515414C"/>
    <w:rsid w:val="4614088C"/>
    <w:rsid w:val="468D173A"/>
    <w:rsid w:val="47036501"/>
    <w:rsid w:val="470C7D34"/>
    <w:rsid w:val="473D0DA5"/>
    <w:rsid w:val="47BC71E9"/>
    <w:rsid w:val="487041FF"/>
    <w:rsid w:val="488643E5"/>
    <w:rsid w:val="48E91EBC"/>
    <w:rsid w:val="493A429A"/>
    <w:rsid w:val="493F3E72"/>
    <w:rsid w:val="49CA7BE0"/>
    <w:rsid w:val="49E66D09"/>
    <w:rsid w:val="4B1530DD"/>
    <w:rsid w:val="4B20773F"/>
    <w:rsid w:val="4B931AB6"/>
    <w:rsid w:val="4BC94A2F"/>
    <w:rsid w:val="4C925E54"/>
    <w:rsid w:val="4CE0771A"/>
    <w:rsid w:val="4D2B1E2E"/>
    <w:rsid w:val="4DB513F5"/>
    <w:rsid w:val="4DBA440F"/>
    <w:rsid w:val="4E6A1991"/>
    <w:rsid w:val="4E6F6C65"/>
    <w:rsid w:val="4F1231D3"/>
    <w:rsid w:val="4FD55530"/>
    <w:rsid w:val="50D420F0"/>
    <w:rsid w:val="519F45AD"/>
    <w:rsid w:val="51D2495D"/>
    <w:rsid w:val="52DC05C5"/>
    <w:rsid w:val="52E10AC1"/>
    <w:rsid w:val="52E8557B"/>
    <w:rsid w:val="552E2EE2"/>
    <w:rsid w:val="566E6C91"/>
    <w:rsid w:val="57600F2A"/>
    <w:rsid w:val="5829145C"/>
    <w:rsid w:val="582A3264"/>
    <w:rsid w:val="5855720E"/>
    <w:rsid w:val="588305CC"/>
    <w:rsid w:val="58E40592"/>
    <w:rsid w:val="58F27B6E"/>
    <w:rsid w:val="58F86F27"/>
    <w:rsid w:val="5B3C46B5"/>
    <w:rsid w:val="5BD258D7"/>
    <w:rsid w:val="5BD56655"/>
    <w:rsid w:val="5BF46C97"/>
    <w:rsid w:val="5C5B1863"/>
    <w:rsid w:val="5C9F2DED"/>
    <w:rsid w:val="5EDC1325"/>
    <w:rsid w:val="5F0771FC"/>
    <w:rsid w:val="5F5E109E"/>
    <w:rsid w:val="60492303"/>
    <w:rsid w:val="61B01959"/>
    <w:rsid w:val="634F3056"/>
    <w:rsid w:val="63D86F45"/>
    <w:rsid w:val="64073002"/>
    <w:rsid w:val="64485466"/>
    <w:rsid w:val="65031981"/>
    <w:rsid w:val="654D349C"/>
    <w:rsid w:val="65C10C15"/>
    <w:rsid w:val="672229B1"/>
    <w:rsid w:val="68481CB4"/>
    <w:rsid w:val="684D788C"/>
    <w:rsid w:val="69643755"/>
    <w:rsid w:val="69E76134"/>
    <w:rsid w:val="6A835EC6"/>
    <w:rsid w:val="6B8B6F3F"/>
    <w:rsid w:val="6CE1732F"/>
    <w:rsid w:val="6EE73126"/>
    <w:rsid w:val="6F8B7171"/>
    <w:rsid w:val="72590521"/>
    <w:rsid w:val="737F2F3A"/>
    <w:rsid w:val="73C92407"/>
    <w:rsid w:val="740F250F"/>
    <w:rsid w:val="75930F1E"/>
    <w:rsid w:val="770E2578"/>
    <w:rsid w:val="77F74806"/>
    <w:rsid w:val="78215339"/>
    <w:rsid w:val="78234C5E"/>
    <w:rsid w:val="788D26EB"/>
    <w:rsid w:val="7A266516"/>
    <w:rsid w:val="7A503014"/>
    <w:rsid w:val="7BDE7E75"/>
    <w:rsid w:val="7C464F3C"/>
    <w:rsid w:val="7CDE6A6E"/>
    <w:rsid w:val="7D3C187C"/>
    <w:rsid w:val="7E114B6A"/>
    <w:rsid w:val="7E6D4A02"/>
    <w:rsid w:val="7ED740F4"/>
    <w:rsid w:val="7F701003"/>
    <w:rsid w:val="7F8D3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45"/>
    <w:autoRedefine/>
    <w:qFormat/>
    <w:uiPriority w:val="9"/>
    <w:pPr>
      <w:keepNext/>
      <w:keepLines/>
      <w:spacing w:before="260" w:after="260" w:line="416" w:lineRule="auto"/>
      <w:outlineLvl w:val="2"/>
    </w:pPr>
    <w:rPr>
      <w:b/>
      <w:bCs/>
      <w:sz w:val="32"/>
      <w:szCs w:val="32"/>
    </w:rPr>
  </w:style>
  <w:style w:type="paragraph" w:styleId="5">
    <w:name w:val="heading 4"/>
    <w:basedOn w:val="1"/>
    <w:next w:val="1"/>
    <w:link w:val="46"/>
    <w:autoRedefine/>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6">
    <w:name w:val="heading 7"/>
    <w:basedOn w:val="1"/>
    <w:next w:val="1"/>
    <w:qFormat/>
    <w:uiPriority w:val="1"/>
    <w:pPr>
      <w:spacing w:before="47"/>
      <w:jc w:val="center"/>
      <w:outlineLvl w:val="6"/>
    </w:pPr>
    <w:rPr>
      <w:rFonts w:ascii="宋体" w:hAnsi="宋体" w:eastAsia="宋体" w:cs="宋体"/>
      <w:sz w:val="30"/>
      <w:szCs w:val="30"/>
      <w:lang w:val="zh-CN" w:eastAsia="zh-CN" w:bidi="zh-CN"/>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7">
    <w:name w:val="index 8"/>
    <w:basedOn w:val="1"/>
    <w:next w:val="1"/>
    <w:autoRedefine/>
    <w:qFormat/>
    <w:uiPriority w:val="99"/>
    <w:pPr>
      <w:ind w:left="1400" w:leftChars="1400"/>
    </w:pPr>
  </w:style>
  <w:style w:type="paragraph" w:styleId="8">
    <w:name w:val="List Number"/>
    <w:basedOn w:val="1"/>
    <w:autoRedefine/>
    <w:qFormat/>
    <w:uiPriority w:val="0"/>
    <w:pPr>
      <w:numPr>
        <w:ilvl w:val="0"/>
        <w:numId w:val="1"/>
      </w:numPr>
    </w:pPr>
  </w:style>
  <w:style w:type="paragraph" w:styleId="9">
    <w:name w:val="Normal Indent"/>
    <w:basedOn w:val="1"/>
    <w:autoRedefine/>
    <w:qFormat/>
    <w:uiPriority w:val="99"/>
    <w:pPr>
      <w:ind w:firstLine="420"/>
    </w:pPr>
    <w:rPr>
      <w:szCs w:val="20"/>
    </w:rPr>
  </w:style>
  <w:style w:type="paragraph" w:styleId="10">
    <w:name w:val="annotation text"/>
    <w:basedOn w:val="1"/>
    <w:autoRedefine/>
    <w:qFormat/>
    <w:uiPriority w:val="0"/>
    <w:pPr>
      <w:jc w:val="left"/>
    </w:pPr>
  </w:style>
  <w:style w:type="paragraph" w:styleId="11">
    <w:name w:val="Body Text 3"/>
    <w:basedOn w:val="1"/>
    <w:autoRedefine/>
    <w:unhideWhenUsed/>
    <w:qFormat/>
    <w:uiPriority w:val="99"/>
    <w:pPr>
      <w:spacing w:after="120"/>
    </w:pPr>
    <w:rPr>
      <w:sz w:val="16"/>
      <w:szCs w:val="16"/>
    </w:rPr>
  </w:style>
  <w:style w:type="paragraph" w:styleId="12">
    <w:name w:val="Body Text"/>
    <w:basedOn w:val="1"/>
    <w:autoRedefine/>
    <w:unhideWhenUsed/>
    <w:qFormat/>
    <w:uiPriority w:val="0"/>
    <w:pPr>
      <w:spacing w:after="120"/>
    </w:pPr>
  </w:style>
  <w:style w:type="paragraph" w:styleId="13">
    <w:name w:val="Body Text Indent"/>
    <w:basedOn w:val="1"/>
    <w:autoRedefine/>
    <w:qFormat/>
    <w:uiPriority w:val="0"/>
    <w:pPr>
      <w:ind w:firstLine="830" w:firstLineChars="352"/>
    </w:pPr>
    <w:rPr>
      <w:rFonts w:ascii="仿宋_GB2312" w:eastAsia="仿宋_GB2312"/>
      <w:kern w:val="0"/>
      <w:sz w:val="32"/>
      <w:szCs w:val="20"/>
    </w:rPr>
  </w:style>
  <w:style w:type="paragraph" w:styleId="14">
    <w:name w:val="List 2"/>
    <w:basedOn w:val="1"/>
    <w:autoRedefine/>
    <w:unhideWhenUsed/>
    <w:qFormat/>
    <w:uiPriority w:val="99"/>
    <w:pPr>
      <w:ind w:left="100" w:leftChars="200" w:hanging="200" w:hangingChars="200"/>
      <w:contextualSpacing/>
    </w:pPr>
  </w:style>
  <w:style w:type="paragraph" w:styleId="15">
    <w:name w:val="toc 3"/>
    <w:basedOn w:val="1"/>
    <w:next w:val="1"/>
    <w:autoRedefine/>
    <w:unhideWhenUsed/>
    <w:qFormat/>
    <w:uiPriority w:val="39"/>
    <w:pPr>
      <w:ind w:left="840" w:leftChars="400"/>
    </w:pPr>
  </w:style>
  <w:style w:type="paragraph" w:styleId="16">
    <w:name w:val="Plain Text"/>
    <w:basedOn w:val="1"/>
    <w:next w:val="1"/>
    <w:autoRedefine/>
    <w:qFormat/>
    <w:uiPriority w:val="0"/>
    <w:rPr>
      <w:rFonts w:ascii="宋体" w:hAnsi="Courier New"/>
      <w:kern w:val="0"/>
      <w:sz w:val="20"/>
      <w:szCs w:val="21"/>
    </w:rPr>
  </w:style>
  <w:style w:type="paragraph" w:styleId="17">
    <w:name w:val="Balloon Text"/>
    <w:basedOn w:val="1"/>
    <w:link w:val="40"/>
    <w:autoRedefine/>
    <w:qFormat/>
    <w:uiPriority w:val="0"/>
    <w:rPr>
      <w:sz w:val="18"/>
      <w:szCs w:val="18"/>
    </w:rPr>
  </w:style>
  <w:style w:type="paragraph" w:styleId="18">
    <w:name w:val="footer"/>
    <w:basedOn w:val="1"/>
    <w:autoRedefine/>
    <w:unhideWhenUsed/>
    <w:qFormat/>
    <w:uiPriority w:val="99"/>
    <w:pPr>
      <w:tabs>
        <w:tab w:val="center" w:pos="4153"/>
        <w:tab w:val="right" w:pos="8306"/>
      </w:tabs>
      <w:snapToGrid w:val="0"/>
      <w:jc w:val="left"/>
    </w:pPr>
    <w:rPr>
      <w:kern w:val="0"/>
      <w:sz w:val="18"/>
      <w:szCs w:val="18"/>
    </w:rPr>
  </w:style>
  <w:style w:type="paragraph" w:styleId="19">
    <w:name w:val="header"/>
    <w:basedOn w:val="1"/>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autoRedefine/>
    <w:unhideWhenUsed/>
    <w:qFormat/>
    <w:uiPriority w:val="39"/>
  </w:style>
  <w:style w:type="paragraph" w:styleId="21">
    <w:name w:val="List"/>
    <w:basedOn w:val="1"/>
    <w:autoRedefine/>
    <w:unhideWhenUsed/>
    <w:qFormat/>
    <w:uiPriority w:val="99"/>
    <w:pPr>
      <w:ind w:left="200" w:hanging="200" w:hangingChars="200"/>
      <w:contextualSpacing/>
    </w:pPr>
  </w:style>
  <w:style w:type="paragraph" w:styleId="22">
    <w:name w:val="toc 2"/>
    <w:basedOn w:val="1"/>
    <w:next w:val="1"/>
    <w:autoRedefine/>
    <w:unhideWhenUsed/>
    <w:qFormat/>
    <w:uiPriority w:val="39"/>
    <w:pPr>
      <w:tabs>
        <w:tab w:val="right" w:leader="dot" w:pos="8296"/>
      </w:tabs>
      <w:ind w:left="420" w:leftChars="200"/>
    </w:pPr>
  </w:style>
  <w:style w:type="paragraph" w:styleId="23">
    <w:name w:val="Normal (Web)"/>
    <w:basedOn w:val="1"/>
    <w:autoRedefine/>
    <w:qFormat/>
    <w:uiPriority w:val="0"/>
    <w:pPr>
      <w:spacing w:before="100" w:beforeAutospacing="1" w:after="100" w:afterAutospacing="1"/>
      <w:jc w:val="left"/>
    </w:pPr>
    <w:rPr>
      <w:kern w:val="0"/>
      <w:sz w:val="24"/>
    </w:rPr>
  </w:style>
  <w:style w:type="paragraph" w:styleId="24">
    <w:name w:val="Body Text First Indent 2"/>
    <w:basedOn w:val="13"/>
    <w:autoRedefine/>
    <w:unhideWhenUsed/>
    <w:qFormat/>
    <w:uiPriority w:val="99"/>
    <w:pPr>
      <w:ind w:firstLine="420" w:firstLineChars="200"/>
    </w:pPr>
  </w:style>
  <w:style w:type="table" w:styleId="26">
    <w:name w:val="Table Grid"/>
    <w:basedOn w:val="2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Hyperlink"/>
    <w:autoRedefine/>
    <w:unhideWhenUsed/>
    <w:qFormat/>
    <w:uiPriority w:val="99"/>
    <w:rPr>
      <w:color w:val="0000FF"/>
      <w:u w:val="single"/>
    </w:rPr>
  </w:style>
  <w:style w:type="character" w:styleId="29">
    <w:name w:val="annotation reference"/>
    <w:basedOn w:val="27"/>
    <w:autoRedefine/>
    <w:qFormat/>
    <w:uiPriority w:val="99"/>
    <w:rPr>
      <w:sz w:val="21"/>
      <w:szCs w:val="21"/>
    </w:rPr>
  </w:style>
  <w:style w:type="paragraph" w:customStyle="1" w:styleId="30">
    <w:name w:val="Title1"/>
    <w:basedOn w:val="1"/>
    <w:next w:val="1"/>
    <w:autoRedefine/>
    <w:qFormat/>
    <w:uiPriority w:val="0"/>
    <w:pPr>
      <w:jc w:val="center"/>
      <w:outlineLvl w:val="0"/>
    </w:pPr>
    <w:rPr>
      <w:rFonts w:ascii="Calibri Light" w:hAnsi="Calibri Light" w:eastAsia="Arial Unicode MS"/>
      <w:b/>
    </w:rPr>
  </w:style>
  <w:style w:type="paragraph" w:customStyle="1" w:styleId="31">
    <w:name w:val="表格文字115"/>
    <w:basedOn w:val="1"/>
    <w:autoRedefine/>
    <w:qFormat/>
    <w:uiPriority w:val="0"/>
    <w:pPr>
      <w:spacing w:before="25" w:after="25"/>
      <w:jc w:val="left"/>
    </w:pPr>
    <w:rPr>
      <w:bCs/>
      <w:spacing w:val="10"/>
      <w:kern w:val="0"/>
      <w:sz w:val="24"/>
    </w:rPr>
  </w:style>
  <w:style w:type="paragraph" w:customStyle="1" w:styleId="32">
    <w:name w:val="正文-公1"/>
    <w:basedOn w:val="1"/>
    <w:autoRedefine/>
    <w:qFormat/>
    <w:uiPriority w:val="0"/>
    <w:pPr>
      <w:ind w:firstLine="200" w:firstLineChars="200"/>
      <w:jc w:val="left"/>
    </w:pPr>
    <w:rPr>
      <w:rFonts w:eastAsia="仿宋_GB2312"/>
    </w:rPr>
  </w:style>
  <w:style w:type="paragraph" w:customStyle="1" w:styleId="33">
    <w:name w:val="Default"/>
    <w:autoRedefine/>
    <w:qFormat/>
    <w:uiPriority w:val="99"/>
    <w:pPr>
      <w:widowControl w:val="0"/>
      <w:autoSpaceDE w:val="0"/>
      <w:autoSpaceDN w:val="0"/>
      <w:adjustRightInd w:val="0"/>
    </w:pPr>
    <w:rPr>
      <w:rFonts w:ascii="方正小标宋简体" w:hAnsi="Calibri" w:eastAsia="方正小标宋简体" w:cs="方正小标宋简体"/>
      <w:color w:val="000000"/>
      <w:sz w:val="24"/>
      <w:szCs w:val="24"/>
      <w:lang w:val="en-US" w:eastAsia="zh-CN" w:bidi="ar-SA"/>
    </w:rPr>
  </w:style>
  <w:style w:type="paragraph" w:customStyle="1" w:styleId="34">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35">
    <w:name w:val="样式5"/>
    <w:basedOn w:val="1"/>
    <w:autoRedefine/>
    <w:qFormat/>
    <w:uiPriority w:val="99"/>
    <w:pPr>
      <w:adjustRightInd w:val="0"/>
      <w:spacing w:line="440" w:lineRule="exact"/>
      <w:ind w:left="2" w:firstLine="480" w:firstLineChars="200"/>
    </w:pPr>
    <w:rPr>
      <w:rFonts w:ascii="仿宋_GB2312" w:hAnsi="仿宋" w:eastAsia="仿宋_GB2312"/>
      <w:sz w:val="24"/>
    </w:rPr>
  </w:style>
  <w:style w:type="paragraph" w:customStyle="1" w:styleId="36">
    <w:name w:val="正文缩进1"/>
    <w:basedOn w:val="1"/>
    <w:next w:val="13"/>
    <w:autoRedefine/>
    <w:qFormat/>
    <w:uiPriority w:val="99"/>
    <w:pPr>
      <w:autoSpaceDE w:val="0"/>
      <w:autoSpaceDN w:val="0"/>
      <w:adjustRightInd w:val="0"/>
      <w:snapToGrid w:val="0"/>
      <w:spacing w:after="120" w:line="360" w:lineRule="auto"/>
      <w:ind w:left="420" w:leftChars="200" w:firstLine="480" w:firstLineChars="200"/>
    </w:pPr>
    <w:rPr>
      <w:sz w:val="24"/>
      <w:szCs w:val="21"/>
    </w:rPr>
  </w:style>
  <w:style w:type="paragraph" w:customStyle="1" w:styleId="37">
    <w:name w:val="Table Paragraph"/>
    <w:basedOn w:val="1"/>
    <w:autoRedefine/>
    <w:qFormat/>
    <w:uiPriority w:val="1"/>
    <w:pPr>
      <w:jc w:val="left"/>
    </w:pPr>
    <w:rPr>
      <w:rFonts w:ascii="Calibri" w:hAnsi="Calibri"/>
      <w:kern w:val="0"/>
      <w:sz w:val="22"/>
      <w:szCs w:val="22"/>
      <w:lang w:eastAsia="en-US"/>
    </w:rPr>
  </w:style>
  <w:style w:type="character" w:customStyle="1" w:styleId="38">
    <w:name w:val="font91"/>
    <w:basedOn w:val="27"/>
    <w:autoRedefine/>
    <w:qFormat/>
    <w:uiPriority w:val="0"/>
    <w:rPr>
      <w:rFonts w:hint="eastAsia" w:ascii="黑体" w:hAnsi="宋体" w:eastAsia="黑体" w:cs="黑体"/>
      <w:color w:val="000000"/>
      <w:sz w:val="21"/>
      <w:szCs w:val="21"/>
      <w:u w:val="none"/>
    </w:rPr>
  </w:style>
  <w:style w:type="character" w:customStyle="1" w:styleId="39">
    <w:name w:val="font61"/>
    <w:basedOn w:val="27"/>
    <w:autoRedefine/>
    <w:qFormat/>
    <w:uiPriority w:val="0"/>
    <w:rPr>
      <w:rFonts w:hint="default" w:ascii="Times New Roman" w:hAnsi="Times New Roman" w:cs="Times New Roman"/>
      <w:color w:val="000000"/>
      <w:sz w:val="21"/>
      <w:szCs w:val="21"/>
      <w:u w:val="none"/>
      <w:vertAlign w:val="superscript"/>
    </w:rPr>
  </w:style>
  <w:style w:type="character" w:customStyle="1" w:styleId="40">
    <w:name w:val="批注框文本 字符"/>
    <w:basedOn w:val="27"/>
    <w:link w:val="17"/>
    <w:autoRedefine/>
    <w:qFormat/>
    <w:uiPriority w:val="0"/>
    <w:rPr>
      <w:kern w:val="2"/>
      <w:sz w:val="18"/>
      <w:szCs w:val="18"/>
    </w:rPr>
  </w:style>
  <w:style w:type="paragraph" w:customStyle="1" w:styleId="41">
    <w:name w:val="Normal_1"/>
    <w:autoRedefine/>
    <w:qFormat/>
    <w:uiPriority w:val="0"/>
    <w:rPr>
      <w:rFonts w:ascii="Times New Roman" w:hAnsi="Times New Roman" w:eastAsia="Times New Roman" w:cs="Times New Roman"/>
      <w:sz w:val="24"/>
      <w:szCs w:val="24"/>
      <w:lang w:bidi="ar-SA"/>
    </w:rPr>
  </w:style>
  <w:style w:type="paragraph" w:customStyle="1" w:styleId="42">
    <w:name w:val="Body text|1"/>
    <w:basedOn w:val="1"/>
    <w:autoRedefine/>
    <w:qFormat/>
    <w:uiPriority w:val="0"/>
    <w:pPr>
      <w:spacing w:line="360" w:lineRule="auto"/>
      <w:ind w:firstLine="400"/>
    </w:pPr>
    <w:rPr>
      <w:rFonts w:ascii="宋体" w:hAnsi="宋体" w:eastAsia="宋体" w:cs="宋体"/>
      <w:color w:val="auto"/>
      <w:szCs w:val="20"/>
      <w:lang w:val="zh-CN" w:eastAsia="zh-CN" w:bidi="zh-CN"/>
    </w:rPr>
  </w:style>
  <w:style w:type="paragraph" w:customStyle="1" w:styleId="43">
    <w:name w:val="Body text|2"/>
    <w:basedOn w:val="1"/>
    <w:autoRedefine/>
    <w:qFormat/>
    <w:uiPriority w:val="0"/>
    <w:pPr>
      <w:spacing w:after="30"/>
      <w:ind w:firstLine="420"/>
    </w:pPr>
    <w:rPr>
      <w:rFonts w:eastAsia="宋体"/>
      <w:color w:val="auto"/>
      <w:szCs w:val="20"/>
      <w:lang w:bidi="ar-SA"/>
    </w:rPr>
  </w:style>
  <w:style w:type="paragraph" w:customStyle="1" w:styleId="44">
    <w:name w:val="Other|1"/>
    <w:basedOn w:val="1"/>
    <w:autoRedefine/>
    <w:qFormat/>
    <w:uiPriority w:val="0"/>
    <w:pPr>
      <w:spacing w:line="360" w:lineRule="auto"/>
      <w:ind w:firstLine="400"/>
    </w:pPr>
    <w:rPr>
      <w:rFonts w:ascii="宋体" w:hAnsi="宋体" w:eastAsia="宋体" w:cs="宋体"/>
      <w:color w:val="auto"/>
      <w:sz w:val="20"/>
      <w:szCs w:val="20"/>
      <w:lang w:val="zh-CN" w:eastAsia="zh-CN" w:bidi="zh-CN"/>
    </w:rPr>
  </w:style>
  <w:style w:type="character" w:customStyle="1" w:styleId="45">
    <w:name w:val="标题 3 Char"/>
    <w:link w:val="4"/>
    <w:autoRedefine/>
    <w:qFormat/>
    <w:uiPriority w:val="0"/>
    <w:rPr>
      <w:b/>
      <w:bCs/>
      <w:sz w:val="32"/>
      <w:szCs w:val="32"/>
    </w:rPr>
  </w:style>
  <w:style w:type="character" w:customStyle="1" w:styleId="46">
    <w:name w:val="标题 4 Char"/>
    <w:link w:val="5"/>
    <w:autoRedefine/>
    <w:qFormat/>
    <w:uiPriority w:val="9"/>
    <w:rPr>
      <w:rFonts w:ascii="Arial" w:eastAsia="黑体"/>
      <w:kern w:val="0"/>
      <w:sz w:val="28"/>
      <w:szCs w:val="20"/>
    </w:rPr>
  </w:style>
  <w:style w:type="paragraph" w:customStyle="1" w:styleId="47">
    <w:name w:val="正文_2"/>
    <w:autoRedefine/>
    <w:qFormat/>
    <w:uiPriority w:val="0"/>
    <w:pPr>
      <w:widowControl w:val="0"/>
    </w:pPr>
    <w:rPr>
      <w:rFonts w:ascii="Times New Roman" w:hAnsi="Times New Roman" w:eastAsia="Times New Roman" w:cs="Times New Roman"/>
      <w:color w:val="000000"/>
      <w:sz w:val="24"/>
      <w:szCs w:val="24"/>
      <w:lang w:val="en-US" w:eastAsia="en-US" w:bidi="en-US"/>
    </w:rPr>
  </w:style>
  <w:style w:type="character" w:customStyle="1" w:styleId="48">
    <w:name w:val="fontstyle01"/>
    <w:basedOn w:val="27"/>
    <w:qFormat/>
    <w:uiPriority w:val="0"/>
    <w:rPr>
      <w:rFonts w:ascii="仿宋" w:hAnsi="仿宋" w:eastAsia="仿宋" w:cs="仿宋"/>
      <w:color w:val="000000"/>
      <w:sz w:val="32"/>
      <w:szCs w:val="32"/>
    </w:rPr>
  </w:style>
  <w:style w:type="character" w:customStyle="1" w:styleId="49">
    <w:name w:val="fontstyle21"/>
    <w:basedOn w:val="27"/>
    <w:autoRedefine/>
    <w:qFormat/>
    <w:uiPriority w:val="0"/>
    <w:rPr>
      <w:rFonts w:ascii="NimbusSans-Regular" w:hAnsi="NimbusSans-Regular" w:eastAsia="NimbusSans-Regular" w:cs="NimbusSans-Regular"/>
      <w:color w:val="000000"/>
      <w:sz w:val="24"/>
      <w:szCs w:val="24"/>
    </w:rPr>
  </w:style>
  <w:style w:type="paragraph" w:customStyle="1" w:styleId="50">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无间隔1"/>
    <w:qFormat/>
    <w:uiPriority w:val="99"/>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129</Pages>
  <Words>85785</Words>
  <Characters>90135</Characters>
  <Lines>6178</Lines>
  <Paragraphs>2622</Paragraphs>
  <TotalTime>1</TotalTime>
  <ScaleCrop>false</ScaleCrop>
  <LinksUpToDate>false</LinksUpToDate>
  <CharactersWithSpaces>98000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2023-06-13T09:54:00Z</dcterms:created>
  <dc:creator>Max</dc:creator>
  <cp:lastModifiedBy>Max</cp:lastModifiedBy>
  <cp:lastPrinted>2024-09-23T07:32:00Z</cp:lastPrinted>
  <dcterms:modified xsi:type="dcterms:W3CDTF">2024-09-30T02:13:35Z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56232A12AF40482EB982114CD6707807_13</vt:lpwstr>
  </property>
</Properties>
</file>