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7AA97">
      <w:pPr>
        <w:ind w:firstLine="1440"/>
        <w:rPr>
          <w:rFonts w:ascii="方正小标宋简体" w:hAnsi="宋体" w:eastAsia="方正小标宋简体"/>
          <w:color w:val="auto"/>
          <w:sz w:val="72"/>
          <w:szCs w:val="72"/>
          <w:highlight w:val="none"/>
        </w:rPr>
      </w:pPr>
    </w:p>
    <w:p w14:paraId="04C24A2E">
      <w:pPr>
        <w:ind w:firstLine="0" w:firstLineChars="0"/>
        <w:jc w:val="center"/>
        <w:rPr>
          <w:rFonts w:ascii="方正小标宋简体" w:eastAsia="方正小标宋简体"/>
          <w:b/>
          <w:bCs/>
          <w:color w:val="auto"/>
          <w:sz w:val="52"/>
          <w:szCs w:val="52"/>
          <w:highlight w:val="none"/>
        </w:rPr>
      </w:pPr>
      <w:r>
        <w:rPr>
          <w:rFonts w:hint="eastAsia" w:ascii="方正小标宋简体" w:eastAsia="方正小标宋简体"/>
          <w:b/>
          <w:bCs/>
          <w:color w:val="auto"/>
          <w:sz w:val="52"/>
          <w:szCs w:val="52"/>
          <w:highlight w:val="none"/>
        </w:rPr>
        <w:t>云之龙咨询集团有限公司</w:t>
      </w:r>
    </w:p>
    <w:p w14:paraId="2C85A570">
      <w:pPr>
        <w:ind w:firstLine="0" w:firstLineChars="0"/>
        <w:jc w:val="center"/>
        <w:rPr>
          <w:rFonts w:hint="eastAsia" w:ascii="方正小标宋简体" w:eastAsia="方正小标宋简体"/>
          <w:b/>
          <w:bCs/>
          <w:color w:val="auto"/>
          <w:sz w:val="48"/>
          <w:szCs w:val="48"/>
          <w:highlight w:val="none"/>
        </w:rPr>
      </w:pPr>
    </w:p>
    <w:p w14:paraId="3C4C7CCA">
      <w:pPr>
        <w:ind w:firstLine="0" w:firstLineChars="0"/>
        <w:jc w:val="center"/>
        <w:rPr>
          <w:rFonts w:hint="eastAsia" w:ascii="方正小标宋简体" w:eastAsia="方正小标宋简体"/>
          <w:b/>
          <w:bCs/>
          <w:color w:val="auto"/>
          <w:sz w:val="48"/>
          <w:szCs w:val="48"/>
          <w:highlight w:val="none"/>
          <w:lang w:eastAsia="zh-CN"/>
        </w:rPr>
      </w:pPr>
    </w:p>
    <w:p w14:paraId="37E7ADB9">
      <w:pPr>
        <w:pStyle w:val="19"/>
        <w:snapToGrid w:val="0"/>
        <w:spacing w:line="360" w:lineRule="auto"/>
        <w:ind w:firstLine="0" w:firstLineChars="0"/>
        <w:jc w:val="left"/>
        <w:rPr>
          <w:rFonts w:hint="eastAsia" w:ascii="华文新魏" w:eastAsia="华文新魏"/>
          <w:color w:val="auto"/>
          <w:sz w:val="120"/>
          <w:szCs w:val="120"/>
          <w:highlight w:val="none"/>
        </w:rPr>
      </w:pPr>
      <w:r>
        <w:rPr>
          <w:rFonts w:hint="eastAsia" w:ascii="华文新魏" w:eastAsia="华文新魏"/>
          <w:color w:val="auto"/>
          <w:sz w:val="120"/>
          <w:szCs w:val="120"/>
          <w:highlight w:val="none"/>
        </w:rPr>
        <w:t>竞争性</w:t>
      </w:r>
      <w:r>
        <w:rPr>
          <w:rFonts w:hint="eastAsia" w:ascii="华文新魏" w:eastAsia="华文新魏"/>
          <w:color w:val="auto"/>
          <w:sz w:val="120"/>
          <w:szCs w:val="120"/>
          <w:highlight w:val="none"/>
          <w:lang w:eastAsia="zh-CN"/>
        </w:rPr>
        <w:t>谈判</w:t>
      </w:r>
      <w:r>
        <w:rPr>
          <w:rFonts w:hint="eastAsia" w:ascii="华文新魏" w:eastAsia="华文新魏"/>
          <w:color w:val="auto"/>
          <w:sz w:val="120"/>
          <w:szCs w:val="120"/>
          <w:highlight w:val="none"/>
        </w:rPr>
        <w:t>文件</w:t>
      </w:r>
    </w:p>
    <w:p w14:paraId="2D3EE44E">
      <w:pPr>
        <w:snapToGrid w:val="0"/>
        <w:spacing w:before="120" w:beforeLines="50"/>
        <w:jc w:val="center"/>
        <w:rPr>
          <w:rFonts w:hint="eastAsia" w:ascii="仿宋_GB2312" w:hAnsi="宋体"/>
          <w:bCs/>
          <w:sz w:val="48"/>
          <w:szCs w:val="48"/>
          <w:highlight w:val="none"/>
        </w:rPr>
      </w:pPr>
      <w:r>
        <w:rPr>
          <w:rFonts w:hint="eastAsia" w:ascii="仿宋_GB2312" w:hAnsi="宋体"/>
          <w:bCs/>
          <w:sz w:val="48"/>
          <w:szCs w:val="48"/>
          <w:highlight w:val="none"/>
        </w:rPr>
        <w:t>（全流程电子化采购）</w:t>
      </w:r>
    </w:p>
    <w:p w14:paraId="637FD259">
      <w:pPr>
        <w:pStyle w:val="19"/>
        <w:snapToGrid w:val="0"/>
        <w:spacing w:line="360" w:lineRule="auto"/>
        <w:ind w:firstLine="1132" w:firstLineChars="376"/>
        <w:jc w:val="left"/>
        <w:rPr>
          <w:rFonts w:ascii="仿宋_GB2312" w:hAnsi="宋体" w:eastAsia="仿宋_GB2312"/>
          <w:b/>
          <w:bCs/>
          <w:color w:val="auto"/>
          <w:sz w:val="30"/>
          <w:szCs w:val="30"/>
          <w:highlight w:val="none"/>
        </w:rPr>
      </w:pPr>
    </w:p>
    <w:p w14:paraId="57F25279">
      <w:pPr>
        <w:pStyle w:val="19"/>
        <w:snapToGrid w:val="0"/>
        <w:spacing w:line="360" w:lineRule="auto"/>
        <w:ind w:firstLine="1132" w:firstLineChars="376"/>
        <w:jc w:val="left"/>
        <w:rPr>
          <w:rFonts w:ascii="仿宋_GB2312" w:hAnsi="宋体" w:eastAsia="仿宋_GB2312"/>
          <w:b/>
          <w:bCs/>
          <w:color w:val="auto"/>
          <w:sz w:val="30"/>
          <w:szCs w:val="30"/>
          <w:highlight w:val="none"/>
        </w:rPr>
      </w:pPr>
    </w:p>
    <w:p w14:paraId="4628FC9B">
      <w:pPr>
        <w:snapToGrid w:val="0"/>
        <w:ind w:firstLine="1205" w:firstLineChars="4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：视力</w:t>
      </w:r>
      <w:r>
        <w:rPr>
          <w:rFonts w:hint="eastAsia" w:ascii="仿宋" w:hAnsi="仿宋" w:eastAsia="仿宋" w:cs="仿宋"/>
          <w:b/>
          <w:bCs/>
          <w:color w:val="auto"/>
          <w:sz w:val="30"/>
          <w:szCs w:val="30"/>
          <w:highlight w:val="none"/>
          <w:lang w:eastAsia="zh-CN"/>
        </w:rPr>
        <w:t>筛选</w:t>
      </w:r>
      <w:r>
        <w:rPr>
          <w:rFonts w:hint="eastAsia" w:ascii="仿宋" w:hAnsi="仿宋" w:eastAsia="仿宋" w:cs="仿宋"/>
          <w:b/>
          <w:bCs/>
          <w:color w:val="auto"/>
          <w:sz w:val="30"/>
          <w:szCs w:val="30"/>
          <w:highlight w:val="none"/>
        </w:rPr>
        <w:t>仪及心脏电生理刺激仪</w:t>
      </w:r>
    </w:p>
    <w:p w14:paraId="58CE71D5">
      <w:pPr>
        <w:snapToGrid w:val="0"/>
        <w:ind w:firstLine="2711" w:firstLineChars="9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等设备一批采购</w:t>
      </w:r>
    </w:p>
    <w:p w14:paraId="270AF5AE">
      <w:pPr>
        <w:snapToGrid w:val="0"/>
        <w:ind w:firstLine="1145" w:firstLineChars="400"/>
        <w:rPr>
          <w:rFonts w:hint="eastAsia" w:ascii="仿宋" w:hAnsi="仿宋" w:eastAsia="仿宋" w:cs="仿宋"/>
          <w:color w:val="auto"/>
          <w:sz w:val="30"/>
          <w:szCs w:val="30"/>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bCs/>
          <w:color w:val="auto"/>
          <w:w w:val="95"/>
          <w:kern w:val="0"/>
          <w:sz w:val="30"/>
          <w:szCs w:val="30"/>
          <w:highlight w:val="none"/>
          <w:lang w:val="zh-CN" w:eastAsia="zh-CN" w:bidi="ar-SA"/>
        </w:rPr>
        <w:t>GXZC2024-J1-006194-YZLZ</w:t>
      </w:r>
    </w:p>
    <w:p w14:paraId="6D7A9D68">
      <w:pPr>
        <w:pStyle w:val="19"/>
        <w:snapToGrid w:val="0"/>
        <w:spacing w:line="360" w:lineRule="auto"/>
        <w:ind w:firstLine="1145" w:firstLineChars="400"/>
        <w:jc w:val="left"/>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bCs/>
          <w:color w:val="auto"/>
          <w:w w:val="95"/>
          <w:sz w:val="30"/>
          <w:szCs w:val="30"/>
          <w:highlight w:val="none"/>
          <w:lang w:eastAsia="zh-CN"/>
        </w:rPr>
        <w:t>广西科技大学第一附属医院</w:t>
      </w:r>
    </w:p>
    <w:p w14:paraId="631E5F30">
      <w:pPr>
        <w:pStyle w:val="19"/>
        <w:snapToGrid w:val="0"/>
        <w:spacing w:line="360" w:lineRule="auto"/>
        <w:ind w:firstLine="1145" w:firstLineChars="400"/>
        <w:jc w:val="left"/>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采购代理机构：云之龙咨询集团有限公司</w:t>
      </w:r>
    </w:p>
    <w:p w14:paraId="5FE3953F">
      <w:pPr>
        <w:pStyle w:val="19"/>
        <w:snapToGrid w:val="0"/>
        <w:spacing w:line="360" w:lineRule="auto"/>
        <w:ind w:firstLine="1125" w:firstLineChars="393"/>
        <w:rPr>
          <w:rFonts w:ascii="仿宋_GB2312" w:hAnsi="宋体" w:eastAsia="仿宋_GB2312"/>
          <w:b/>
          <w:bCs/>
          <w:color w:val="auto"/>
          <w:w w:val="95"/>
          <w:sz w:val="30"/>
          <w:szCs w:val="30"/>
          <w:highlight w:val="none"/>
        </w:rPr>
      </w:pPr>
    </w:p>
    <w:p w14:paraId="522F3631">
      <w:pPr>
        <w:pStyle w:val="19"/>
        <w:snapToGrid w:val="0"/>
        <w:spacing w:line="360" w:lineRule="auto"/>
        <w:ind w:firstLine="1125" w:firstLineChars="393"/>
        <w:rPr>
          <w:rFonts w:ascii="仿宋_GB2312" w:hAnsi="宋体" w:eastAsia="仿宋_GB2312"/>
          <w:b/>
          <w:bCs/>
          <w:color w:val="auto"/>
          <w:w w:val="95"/>
          <w:sz w:val="30"/>
          <w:szCs w:val="30"/>
          <w:highlight w:val="none"/>
        </w:rPr>
      </w:pPr>
    </w:p>
    <w:p w14:paraId="1CA09197">
      <w:pPr>
        <w:pStyle w:val="19"/>
        <w:snapToGrid w:val="0"/>
        <w:spacing w:line="360" w:lineRule="auto"/>
        <w:ind w:firstLine="0" w:firstLineChars="0"/>
        <w:jc w:val="center"/>
        <w:rPr>
          <w:rFonts w:hint="eastAsia" w:ascii="仿宋_GB2312" w:hAnsi="宋体" w:eastAsia="仿宋_GB2312"/>
          <w:b/>
          <w:bCs/>
          <w:color w:val="auto"/>
          <w:w w:val="95"/>
          <w:sz w:val="30"/>
          <w:szCs w:val="30"/>
          <w:highlight w:val="none"/>
          <w:lang w:eastAsia="zh-CN"/>
        </w:rPr>
      </w:pPr>
      <w:r>
        <w:rPr>
          <w:rFonts w:ascii="仿宋_GB2312" w:hAnsi="宋体" w:eastAsia="仿宋_GB2312"/>
          <w:b/>
          <w:bCs/>
          <w:color w:val="auto"/>
          <w:w w:val="95"/>
          <w:sz w:val="30"/>
          <w:szCs w:val="30"/>
          <w:highlight w:val="none"/>
        </w:rPr>
        <w:t>2024年</w:t>
      </w:r>
      <w:r>
        <w:rPr>
          <w:rFonts w:hint="eastAsia" w:ascii="仿宋_GB2312" w:hAnsi="宋体" w:eastAsia="仿宋_GB2312"/>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lang w:eastAsia="zh-CN"/>
        </w:rPr>
        <w:t>月</w:t>
      </w:r>
    </w:p>
    <w:p w14:paraId="361FD05A">
      <w:pPr>
        <w:pStyle w:val="19"/>
        <w:snapToGrid w:val="0"/>
        <w:spacing w:line="360" w:lineRule="auto"/>
        <w:ind w:firstLine="0" w:firstLineChars="0"/>
        <w:jc w:val="center"/>
        <w:rPr>
          <w:rFonts w:hint="eastAsia" w:ascii="仿宋_GB2312" w:hAnsi="宋体" w:eastAsia="仿宋_GB2312"/>
          <w:b/>
          <w:bCs/>
          <w:color w:val="auto"/>
          <w:w w:val="95"/>
          <w:sz w:val="30"/>
          <w:szCs w:val="30"/>
          <w:highlight w:val="none"/>
          <w:lang w:eastAsia="zh-CN"/>
        </w:rPr>
        <w:sectPr>
          <w:headerReference r:id="rId5" w:type="default"/>
          <w:footerReference r:id="rId6" w:type="default"/>
          <w:pgSz w:w="11906" w:h="16838"/>
          <w:pgMar w:top="1701" w:right="1701" w:bottom="1701" w:left="1701" w:header="851" w:footer="992" w:gutter="0"/>
          <w:cols w:space="425" w:num="1"/>
          <w:docGrid w:type="lines" w:linePitch="312" w:charSpace="0"/>
        </w:sectPr>
      </w:pPr>
    </w:p>
    <w:p w14:paraId="58B0251F">
      <w:pPr>
        <w:pStyle w:val="19"/>
        <w:snapToGrid w:val="0"/>
        <w:spacing w:line="360" w:lineRule="auto"/>
        <w:ind w:firstLine="0" w:firstLineChars="0"/>
        <w:jc w:val="center"/>
        <w:rPr>
          <w:rFonts w:hint="eastAsia" w:ascii="仿宋_GB2312" w:hAnsi="宋体" w:eastAsia="仿宋_GB2312"/>
          <w:b/>
          <w:bCs/>
          <w:color w:val="auto"/>
          <w:w w:val="95"/>
          <w:sz w:val="30"/>
          <w:szCs w:val="30"/>
          <w:highlight w:val="none"/>
          <w:lang w:eastAsia="zh-CN"/>
        </w:rPr>
        <w:sectPr>
          <w:pgSz w:w="11906" w:h="16838"/>
          <w:pgMar w:top="1701" w:right="1701" w:bottom="1701" w:left="1701" w:header="851" w:footer="992" w:gutter="0"/>
          <w:cols w:space="425" w:num="1"/>
          <w:docGrid w:type="lines" w:linePitch="312" w:charSpace="0"/>
        </w:sectPr>
      </w:pPr>
    </w:p>
    <w:sdt>
      <w:sdtPr>
        <w:rPr>
          <w:rFonts w:asciiTheme="minorEastAsia" w:hAnsiTheme="minorHAnsi" w:eastAsiaTheme="minorEastAsia" w:cstheme="minorBidi"/>
          <w:color w:val="auto"/>
          <w:kern w:val="2"/>
          <w:sz w:val="21"/>
          <w:szCs w:val="21"/>
          <w:highlight w:val="none"/>
          <w:lang w:val="zh-CN"/>
        </w:rPr>
        <w:id w:val="493773562"/>
      </w:sdtPr>
      <w:sdtEndPr>
        <w:rPr>
          <w:rFonts w:asciiTheme="minorEastAsia" w:hAnsiTheme="minorHAnsi" w:eastAsiaTheme="minorEastAsia" w:cstheme="minorBidi"/>
          <w:color w:val="auto"/>
          <w:kern w:val="2"/>
          <w:sz w:val="21"/>
          <w:szCs w:val="21"/>
          <w:highlight w:val="none"/>
          <w:lang w:val="zh-CN"/>
        </w:rPr>
      </w:sdtEndPr>
      <w:sdtContent>
        <w:p w14:paraId="5F89E685">
          <w:pPr>
            <w:pStyle w:val="54"/>
            <w:spacing w:before="0" w:line="360" w:lineRule="auto"/>
            <w:jc w:val="center"/>
            <w:rPr>
              <w:b/>
              <w:bCs/>
              <w:color w:val="auto"/>
              <w:sz w:val="44"/>
              <w:szCs w:val="44"/>
              <w:highlight w:val="none"/>
            </w:rPr>
          </w:pPr>
          <w:r>
            <w:rPr>
              <w:b/>
              <w:bCs/>
              <w:color w:val="auto"/>
              <w:sz w:val="44"/>
              <w:szCs w:val="44"/>
              <w:highlight w:val="none"/>
              <w:lang w:val="zh-CN"/>
            </w:rPr>
            <w:t>目</w:t>
          </w:r>
          <w:r>
            <w:rPr>
              <w:rFonts w:hint="eastAsia"/>
              <w:b/>
              <w:bCs/>
              <w:color w:val="auto"/>
              <w:sz w:val="44"/>
              <w:szCs w:val="44"/>
              <w:highlight w:val="none"/>
              <w:lang w:val="zh-CN"/>
            </w:rPr>
            <w:t xml:space="preserve"> </w:t>
          </w:r>
          <w:r>
            <w:rPr>
              <w:b/>
              <w:bCs/>
              <w:color w:val="auto"/>
              <w:sz w:val="44"/>
              <w:szCs w:val="44"/>
              <w:highlight w:val="none"/>
              <w:lang w:val="zh-CN"/>
            </w:rPr>
            <w:t xml:space="preserve"> 录</w:t>
          </w:r>
        </w:p>
        <w:p w14:paraId="7383527C">
          <w:pPr>
            <w:pStyle w:val="23"/>
            <w:spacing w:line="480" w:lineRule="auto"/>
            <w:rPr>
              <w:rFonts w:asciiTheme="minorHAnsi"/>
              <w:b/>
              <w:bCs/>
              <w:color w:val="auto"/>
              <w:sz w:val="24"/>
              <w:szCs w:val="24"/>
              <w:highlight w:val="none"/>
            </w:rPr>
          </w:pPr>
          <w:r>
            <w:rPr>
              <w:rFonts w:ascii="宋体" w:hAnsi="宋体" w:eastAsia="宋体"/>
              <w:b/>
              <w:bCs/>
              <w:color w:val="auto"/>
              <w:sz w:val="24"/>
              <w:szCs w:val="24"/>
              <w:highlight w:val="none"/>
            </w:rPr>
            <w:fldChar w:fldCharType="begin"/>
          </w:r>
          <w:r>
            <w:rPr>
              <w:rFonts w:ascii="宋体" w:hAnsi="宋体" w:eastAsia="宋体"/>
              <w:b/>
              <w:bCs/>
              <w:color w:val="auto"/>
              <w:sz w:val="24"/>
              <w:szCs w:val="24"/>
              <w:highlight w:val="none"/>
            </w:rPr>
            <w:instrText xml:space="preserve"> TOC \o "1-1" \h \z \u </w:instrText>
          </w:r>
          <w:r>
            <w:rPr>
              <w:rFonts w:ascii="宋体" w:hAnsi="宋体" w:eastAsia="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"_Toc76480565" </w:instrText>
          </w:r>
          <w:r>
            <w:rPr>
              <w:color w:val="auto"/>
              <w:highlight w:val="none"/>
            </w:rPr>
            <w:fldChar w:fldCharType="separate"/>
          </w:r>
          <w:r>
            <w:rPr>
              <w:rStyle w:val="35"/>
              <w:b/>
              <w:bCs/>
              <w:color w:val="auto"/>
              <w:sz w:val="24"/>
              <w:szCs w:val="24"/>
              <w:highlight w:val="none"/>
            </w:rPr>
            <w:t>第一章 竞争性</w:t>
          </w:r>
          <w:r>
            <w:rPr>
              <w:rStyle w:val="35"/>
              <w:rFonts w:hint="eastAsia"/>
              <w:b/>
              <w:bCs/>
              <w:color w:val="auto"/>
              <w:sz w:val="24"/>
              <w:szCs w:val="24"/>
              <w:highlight w:val="none"/>
              <w:lang w:eastAsia="zh-CN"/>
            </w:rPr>
            <w:t>谈判</w:t>
          </w:r>
          <w:r>
            <w:rPr>
              <w:rStyle w:val="35"/>
              <w:b/>
              <w:bCs/>
              <w:color w:val="auto"/>
              <w:sz w:val="24"/>
              <w:szCs w:val="24"/>
              <w:highlight w:val="none"/>
            </w:rPr>
            <w:t>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_Toc76480565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b/>
              <w:bCs/>
              <w:color w:val="auto"/>
              <w:sz w:val="24"/>
              <w:szCs w:val="24"/>
              <w:highlight w:val="none"/>
            </w:rPr>
            <w:fldChar w:fldCharType="end"/>
          </w:r>
        </w:p>
        <w:p w14:paraId="325A582D">
          <w:pPr>
            <w:pStyle w:val="23"/>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"_Toc76480566" </w:instrText>
          </w:r>
          <w:r>
            <w:rPr>
              <w:color w:val="auto"/>
              <w:highlight w:val="none"/>
            </w:rPr>
            <w:fldChar w:fldCharType="separate"/>
          </w:r>
          <w:r>
            <w:rPr>
              <w:rStyle w:val="35"/>
              <w:b/>
              <w:bCs/>
              <w:color w:val="auto"/>
              <w:sz w:val="24"/>
              <w:szCs w:val="24"/>
              <w:highlight w:val="none"/>
            </w:rPr>
            <w:t>第二章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_Toc76480566 \h </w:instrText>
          </w:r>
          <w:r>
            <w:rPr>
              <w:b/>
              <w:bCs/>
              <w:color w:val="auto"/>
              <w:sz w:val="24"/>
              <w:szCs w:val="24"/>
              <w:highlight w:val="none"/>
            </w:rPr>
            <w:fldChar w:fldCharType="separate"/>
          </w:r>
          <w:r>
            <w:rPr>
              <w:b/>
              <w:bCs/>
              <w:color w:val="auto"/>
              <w:sz w:val="24"/>
              <w:szCs w:val="24"/>
              <w:highlight w:val="none"/>
            </w:rPr>
            <w:t>5</w:t>
          </w:r>
          <w:r>
            <w:rPr>
              <w:b/>
              <w:bCs/>
              <w:color w:val="auto"/>
              <w:sz w:val="24"/>
              <w:szCs w:val="24"/>
              <w:highlight w:val="none"/>
            </w:rPr>
            <w:fldChar w:fldCharType="end"/>
          </w:r>
          <w:r>
            <w:rPr>
              <w:b/>
              <w:bCs/>
              <w:color w:val="auto"/>
              <w:sz w:val="24"/>
              <w:szCs w:val="24"/>
              <w:highlight w:val="none"/>
            </w:rPr>
            <w:fldChar w:fldCharType="end"/>
          </w:r>
        </w:p>
        <w:p w14:paraId="547A4EBE">
          <w:pPr>
            <w:pStyle w:val="23"/>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"_Toc76480567" </w:instrText>
          </w:r>
          <w:r>
            <w:rPr>
              <w:color w:val="auto"/>
              <w:highlight w:val="none"/>
            </w:rPr>
            <w:fldChar w:fldCharType="separate"/>
          </w:r>
          <w:r>
            <w:rPr>
              <w:rStyle w:val="35"/>
              <w:b/>
              <w:bCs/>
              <w:color w:val="auto"/>
              <w:sz w:val="24"/>
              <w:szCs w:val="24"/>
              <w:highlight w:val="none"/>
            </w:rPr>
            <w:t>第三章 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_Toc76480567 \h </w:instrText>
          </w:r>
          <w:r>
            <w:rPr>
              <w:b/>
              <w:bCs/>
              <w:color w:val="auto"/>
              <w:sz w:val="24"/>
              <w:szCs w:val="24"/>
              <w:highlight w:val="none"/>
            </w:rPr>
            <w:fldChar w:fldCharType="separate"/>
          </w:r>
          <w:r>
            <w:rPr>
              <w:b/>
              <w:bCs/>
              <w:color w:val="auto"/>
              <w:sz w:val="24"/>
              <w:szCs w:val="24"/>
              <w:highlight w:val="none"/>
            </w:rPr>
            <w:t>25</w:t>
          </w:r>
          <w:r>
            <w:rPr>
              <w:b/>
              <w:bCs/>
              <w:color w:val="auto"/>
              <w:sz w:val="24"/>
              <w:szCs w:val="24"/>
              <w:highlight w:val="none"/>
            </w:rPr>
            <w:fldChar w:fldCharType="end"/>
          </w:r>
          <w:r>
            <w:rPr>
              <w:b/>
              <w:bCs/>
              <w:color w:val="auto"/>
              <w:sz w:val="24"/>
              <w:szCs w:val="24"/>
              <w:highlight w:val="none"/>
            </w:rPr>
            <w:fldChar w:fldCharType="end"/>
          </w:r>
        </w:p>
        <w:p w14:paraId="1462AA59">
          <w:pPr>
            <w:pStyle w:val="23"/>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"_Toc76480568" </w:instrText>
          </w:r>
          <w:r>
            <w:rPr>
              <w:color w:val="auto"/>
              <w:highlight w:val="none"/>
            </w:rPr>
            <w:fldChar w:fldCharType="separate"/>
          </w:r>
          <w:r>
            <w:rPr>
              <w:rStyle w:val="35"/>
              <w:b/>
              <w:bCs/>
              <w:color w:val="auto"/>
              <w:sz w:val="24"/>
              <w:szCs w:val="24"/>
              <w:highlight w:val="none"/>
            </w:rPr>
            <w:t>第四章 评审程序、评审方法和评审标准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_Toc76480568 \h </w:instrText>
          </w:r>
          <w:r>
            <w:rPr>
              <w:b/>
              <w:bCs/>
              <w:color w:val="auto"/>
              <w:sz w:val="24"/>
              <w:szCs w:val="24"/>
              <w:highlight w:val="none"/>
            </w:rPr>
            <w:fldChar w:fldCharType="separate"/>
          </w:r>
          <w:r>
            <w:rPr>
              <w:b/>
              <w:bCs/>
              <w:color w:val="auto"/>
              <w:sz w:val="24"/>
              <w:szCs w:val="24"/>
              <w:highlight w:val="none"/>
            </w:rPr>
            <w:t>56</w:t>
          </w:r>
          <w:r>
            <w:rPr>
              <w:b/>
              <w:bCs/>
              <w:color w:val="auto"/>
              <w:sz w:val="24"/>
              <w:szCs w:val="24"/>
              <w:highlight w:val="none"/>
            </w:rPr>
            <w:fldChar w:fldCharType="end"/>
          </w:r>
          <w:r>
            <w:rPr>
              <w:b/>
              <w:bCs/>
              <w:color w:val="auto"/>
              <w:sz w:val="24"/>
              <w:szCs w:val="24"/>
              <w:highlight w:val="none"/>
            </w:rPr>
            <w:fldChar w:fldCharType="end"/>
          </w:r>
        </w:p>
        <w:p w14:paraId="39EB5264">
          <w:pPr>
            <w:pStyle w:val="23"/>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"_Toc76480569" </w:instrText>
          </w:r>
          <w:r>
            <w:rPr>
              <w:color w:val="auto"/>
              <w:highlight w:val="none"/>
            </w:rPr>
            <w:fldChar w:fldCharType="separate"/>
          </w:r>
          <w:r>
            <w:rPr>
              <w:rStyle w:val="35"/>
              <w:b/>
              <w:bCs/>
              <w:color w:val="auto"/>
              <w:sz w:val="24"/>
              <w:szCs w:val="24"/>
              <w:highlight w:val="none"/>
            </w:rPr>
            <w:t>第五章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_Toc76480569 \h </w:instrText>
          </w:r>
          <w:r>
            <w:rPr>
              <w:b/>
              <w:bCs/>
              <w:color w:val="auto"/>
              <w:sz w:val="24"/>
              <w:szCs w:val="24"/>
              <w:highlight w:val="none"/>
            </w:rPr>
            <w:fldChar w:fldCharType="separate"/>
          </w:r>
          <w:r>
            <w:rPr>
              <w:b/>
              <w:bCs/>
              <w:color w:val="auto"/>
              <w:sz w:val="24"/>
              <w:szCs w:val="24"/>
              <w:highlight w:val="none"/>
            </w:rPr>
            <w:t>62</w:t>
          </w:r>
          <w:r>
            <w:rPr>
              <w:b/>
              <w:bCs/>
              <w:color w:val="auto"/>
              <w:sz w:val="24"/>
              <w:szCs w:val="24"/>
              <w:highlight w:val="none"/>
            </w:rPr>
            <w:fldChar w:fldCharType="end"/>
          </w:r>
          <w:r>
            <w:rPr>
              <w:b/>
              <w:bCs/>
              <w:color w:val="auto"/>
              <w:sz w:val="24"/>
              <w:szCs w:val="24"/>
              <w:highlight w:val="none"/>
            </w:rPr>
            <w:fldChar w:fldCharType="end"/>
          </w:r>
        </w:p>
        <w:p w14:paraId="65A15A4F">
          <w:pPr>
            <w:pStyle w:val="23"/>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"_Toc76480570" </w:instrText>
          </w:r>
          <w:r>
            <w:rPr>
              <w:color w:val="auto"/>
              <w:highlight w:val="none"/>
            </w:rPr>
            <w:fldChar w:fldCharType="separate"/>
          </w:r>
          <w:r>
            <w:rPr>
              <w:rStyle w:val="35"/>
              <w:b/>
              <w:bCs/>
              <w:color w:val="auto"/>
              <w:sz w:val="24"/>
              <w:szCs w:val="24"/>
              <w:highlight w:val="none"/>
            </w:rPr>
            <w:t>第六章 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_Toc76480570 \h </w:instrText>
          </w:r>
          <w:r>
            <w:rPr>
              <w:b/>
              <w:bCs/>
              <w:color w:val="auto"/>
              <w:sz w:val="24"/>
              <w:szCs w:val="24"/>
              <w:highlight w:val="none"/>
            </w:rPr>
            <w:fldChar w:fldCharType="separate"/>
          </w:r>
          <w:r>
            <w:rPr>
              <w:b/>
              <w:bCs/>
              <w:color w:val="auto"/>
              <w:sz w:val="24"/>
              <w:szCs w:val="24"/>
              <w:highlight w:val="none"/>
            </w:rPr>
            <w:t>89</w:t>
          </w:r>
          <w:r>
            <w:rPr>
              <w:b/>
              <w:bCs/>
              <w:color w:val="auto"/>
              <w:sz w:val="24"/>
              <w:szCs w:val="24"/>
              <w:highlight w:val="none"/>
            </w:rPr>
            <w:fldChar w:fldCharType="end"/>
          </w:r>
          <w:r>
            <w:rPr>
              <w:b/>
              <w:bCs/>
              <w:color w:val="auto"/>
              <w:sz w:val="24"/>
              <w:szCs w:val="24"/>
              <w:highlight w:val="none"/>
            </w:rPr>
            <w:fldChar w:fldCharType="end"/>
          </w:r>
        </w:p>
        <w:p w14:paraId="6CE97FE1">
          <w:pPr>
            <w:tabs>
              <w:tab w:val="left" w:pos="5279"/>
            </w:tabs>
            <w:spacing w:line="480" w:lineRule="auto"/>
            <w:rPr>
              <w:rFonts w:asciiTheme="minorEastAsia" w:hAnsiTheme="minorHAnsi" w:eastAsiaTheme="minorEastAsia" w:cstheme="minorBidi"/>
              <w:color w:val="auto"/>
              <w:kern w:val="2"/>
              <w:sz w:val="21"/>
              <w:szCs w:val="21"/>
              <w:highlight w:val="none"/>
              <w:lang w:val="zh-CN"/>
            </w:rPr>
          </w:pPr>
          <w:r>
            <w:rPr>
              <w:rFonts w:ascii="宋体" w:hAnsi="宋体" w:eastAsia="宋体"/>
              <w:b/>
              <w:bCs/>
              <w:color w:val="auto"/>
              <w:sz w:val="24"/>
              <w:szCs w:val="24"/>
              <w:highlight w:val="none"/>
            </w:rPr>
            <w:fldChar w:fldCharType="end"/>
          </w:r>
        </w:p>
      </w:sdtContent>
    </w:sdt>
    <w:p w14:paraId="33849D3B">
      <w:pPr>
        <w:bidi w:val="0"/>
        <w:rPr>
          <w:rFonts w:hint="eastAsia" w:asciiTheme="minorEastAsia" w:hAnsiTheme="minorHAnsi" w:eastAsiaTheme="minorEastAsia" w:cstheme="minorBidi"/>
          <w:color w:val="auto"/>
          <w:kern w:val="2"/>
          <w:sz w:val="21"/>
          <w:szCs w:val="21"/>
          <w:highlight w:val="none"/>
          <w:lang w:val="en-US" w:eastAsia="zh-CN" w:bidi="ar-SA"/>
        </w:rPr>
      </w:pPr>
    </w:p>
    <w:p w14:paraId="38CF8ECB">
      <w:pPr>
        <w:tabs>
          <w:tab w:val="left" w:pos="7337"/>
        </w:tabs>
        <w:bidi w:val="0"/>
        <w:rPr>
          <w:rFonts w:hint="eastAsia"/>
          <w:color w:val="auto"/>
          <w:highlight w:val="none"/>
          <w:lang w:val="en-US" w:eastAsia="zh-CN"/>
        </w:rPr>
      </w:pPr>
      <w:r>
        <w:rPr>
          <w:rFonts w:hint="eastAsia"/>
          <w:color w:val="auto"/>
          <w:highlight w:val="none"/>
          <w:lang w:val="en-US" w:eastAsia="zh-CN"/>
        </w:rPr>
        <w:tab/>
      </w:r>
    </w:p>
    <w:p w14:paraId="311353ED">
      <w:pPr>
        <w:bidi w:val="0"/>
        <w:rPr>
          <w:rFonts w:hint="eastAsia"/>
          <w:color w:val="auto"/>
          <w:highlight w:val="none"/>
          <w:lang w:val="en-US" w:eastAsia="zh-CN"/>
        </w:rPr>
      </w:pPr>
    </w:p>
    <w:p w14:paraId="0C373672">
      <w:pPr>
        <w:tabs>
          <w:tab w:val="left" w:pos="7091"/>
        </w:tabs>
        <w:bidi w:val="0"/>
        <w:jc w:val="left"/>
        <w:rPr>
          <w:rFonts w:hint="eastAsia"/>
          <w:color w:val="auto"/>
          <w:highlight w:val="none"/>
          <w:lang w:val="en-US" w:eastAsia="zh-CN"/>
        </w:rPr>
        <w:sectPr>
          <w:pgSz w:w="11906" w:h="16838"/>
          <w:pgMar w:top="1701" w:right="1701" w:bottom="1701" w:left="1701" w:header="851" w:footer="992" w:gutter="0"/>
          <w:cols w:space="425" w:num="1"/>
          <w:docGrid w:type="lines" w:linePitch="312" w:charSpace="0"/>
        </w:sectPr>
      </w:pPr>
      <w:r>
        <w:rPr>
          <w:rFonts w:hint="eastAsia"/>
          <w:color w:val="auto"/>
          <w:highlight w:val="none"/>
          <w:lang w:val="en-US" w:eastAsia="zh-CN"/>
        </w:rPr>
        <w:tab/>
      </w:r>
    </w:p>
    <w:p w14:paraId="026CA35F">
      <w:pPr>
        <w:pStyle w:val="44"/>
        <w:rPr>
          <w:color w:val="auto"/>
          <w:highlight w:val="none"/>
        </w:rPr>
      </w:pPr>
      <w:bookmarkStart w:id="0" w:name="_Toc76480565"/>
      <w:r>
        <w:rPr>
          <w:rFonts w:hint="eastAsia"/>
          <w:color w:val="auto"/>
          <w:highlight w:val="none"/>
        </w:rPr>
        <w:t>第一章</w:t>
      </w:r>
      <w:bookmarkStart w:id="1" w:name="_Toc28359001"/>
      <w:bookmarkStart w:id="2" w:name="_Toc35393789"/>
      <w:r>
        <w:rPr>
          <w:rFonts w:hint="eastAsia"/>
          <w:color w:val="auto"/>
          <w:highlight w:val="none"/>
        </w:rPr>
        <w:t xml:space="preserve"> </w:t>
      </w:r>
      <w:bookmarkEnd w:id="1"/>
      <w:bookmarkEnd w:id="2"/>
      <w:r>
        <w:rPr>
          <w:rFonts w:hint="eastAsia"/>
          <w:color w:val="auto"/>
          <w:highlight w:val="none"/>
        </w:rPr>
        <w:t>竞争性</w:t>
      </w:r>
      <w:r>
        <w:rPr>
          <w:rFonts w:hint="eastAsia"/>
          <w:color w:val="auto"/>
          <w:highlight w:val="none"/>
          <w:lang w:eastAsia="zh-CN"/>
        </w:rPr>
        <w:t>谈判</w:t>
      </w:r>
      <w:r>
        <w:rPr>
          <w:rFonts w:hint="eastAsia"/>
          <w:color w:val="auto"/>
          <w:highlight w:val="none"/>
        </w:rPr>
        <w:t>公告</w:t>
      </w:r>
      <w:bookmarkEnd w:id="0"/>
    </w:p>
    <w:p w14:paraId="20DD7A67">
      <w:pPr>
        <w:pBdr>
          <w:top w:val="single" w:color="auto" w:sz="4" w:space="1"/>
          <w:left w:val="single" w:color="auto" w:sz="4" w:space="4"/>
          <w:bottom w:val="single" w:color="auto" w:sz="4" w:space="1"/>
          <w:right w:val="single" w:color="auto" w:sz="4" w:space="4"/>
        </w:pBdr>
        <w:rPr>
          <w:rFonts w:ascii="宋体" w:hAnsi="宋体"/>
          <w:color w:val="auto"/>
          <w:highlight w:val="none"/>
        </w:rPr>
      </w:pPr>
      <w:r>
        <w:rPr>
          <w:rFonts w:hint="eastAsia" w:ascii="宋体" w:hAnsi="宋体"/>
          <w:color w:val="auto"/>
          <w:highlight w:val="none"/>
        </w:rPr>
        <w:t>项目概况</w:t>
      </w:r>
    </w:p>
    <w:p w14:paraId="585C5679">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ind w:firstLine="420"/>
        <w:textAlignment w:val="auto"/>
        <w:rPr>
          <w:rFonts w:ascii="宋体" w:hAnsi="宋体"/>
          <w:color w:val="auto"/>
          <w:highlight w:val="none"/>
          <w:u w:val="none"/>
        </w:rPr>
      </w:pPr>
      <w:r>
        <w:rPr>
          <w:rFonts w:hint="eastAsia" w:ascii="宋体" w:hAnsi="宋体"/>
          <w:color w:val="auto"/>
          <w:highlight w:val="none"/>
          <w:u w:val="single"/>
          <w:lang w:eastAsia="zh-CN"/>
        </w:rPr>
        <w:t>视力筛选仪及心脏电生理刺激仪等设备一批采购</w:t>
      </w:r>
      <w:r>
        <w:rPr>
          <w:rFonts w:hint="eastAsia" w:ascii="宋体" w:hAnsi="宋体"/>
          <w:color w:val="auto"/>
          <w:highlight w:val="none"/>
          <w:u w:val="none"/>
        </w:rPr>
        <w:t>项目的潜在供应商应在“广西政府采购云”平台（https://www.gcy.zfcg.gxzf.gov.cn/）获取采购文件，并于</w:t>
      </w:r>
      <w:r>
        <w:rPr>
          <w:rFonts w:hint="eastAsia" w:ascii="宋体" w:hAnsi="宋体"/>
          <w:color w:val="auto"/>
          <w:highlight w:val="none"/>
          <w:u w:val="single"/>
        </w:rPr>
        <w:t>2024年</w:t>
      </w:r>
      <w:r>
        <w:rPr>
          <w:rFonts w:hint="eastAsia" w:ascii="宋体" w:hAnsi="宋体"/>
          <w:color w:val="auto"/>
          <w:highlight w:val="none"/>
          <w:u w:val="single"/>
          <w:lang w:val="en-US" w:eastAsia="zh-CN"/>
        </w:rPr>
        <w:t>12</w:t>
      </w:r>
      <w:r>
        <w:rPr>
          <w:rFonts w:hint="eastAsia" w:ascii="宋体" w:hAnsi="宋体"/>
          <w:color w:val="auto"/>
          <w:highlight w:val="none"/>
          <w:u w:val="single"/>
          <w:lang w:eastAsia="zh-CN"/>
        </w:rPr>
        <w:t>月</w:t>
      </w:r>
      <w:r>
        <w:rPr>
          <w:rFonts w:hint="eastAsia" w:ascii="宋体" w:hAnsi="宋体"/>
          <w:color w:val="auto"/>
          <w:highlight w:val="none"/>
          <w:u w:val="single"/>
          <w:lang w:val="en-US" w:eastAsia="zh-CN"/>
        </w:rPr>
        <w:t>4</w:t>
      </w:r>
      <w:r>
        <w:rPr>
          <w:rFonts w:hint="eastAsia" w:ascii="宋体" w:hAnsi="宋体"/>
          <w:color w:val="auto"/>
          <w:highlight w:val="none"/>
          <w:u w:val="single"/>
        </w:rPr>
        <w:t>日</w:t>
      </w:r>
      <w:r>
        <w:rPr>
          <w:rFonts w:hint="eastAsia" w:ascii="宋体" w:hAnsi="宋体"/>
          <w:color w:val="auto"/>
          <w:highlight w:val="none"/>
          <w:u w:val="single"/>
          <w:lang w:val="en-US" w:eastAsia="zh-CN"/>
        </w:rPr>
        <w:t>9</w:t>
      </w:r>
      <w:r>
        <w:rPr>
          <w:rFonts w:hint="eastAsia" w:ascii="宋体" w:hAnsi="宋体"/>
          <w:color w:val="auto"/>
          <w:highlight w:val="none"/>
          <w:u w:val="single"/>
        </w:rPr>
        <w:t>:</w:t>
      </w:r>
      <w:r>
        <w:rPr>
          <w:rFonts w:hint="eastAsia" w:ascii="宋体" w:hAnsi="宋体"/>
          <w:color w:val="auto"/>
          <w:highlight w:val="none"/>
          <w:u w:val="single"/>
          <w:lang w:val="en-US" w:eastAsia="zh-CN"/>
        </w:rPr>
        <w:t>3</w:t>
      </w:r>
      <w:r>
        <w:rPr>
          <w:rFonts w:hint="eastAsia" w:ascii="宋体" w:hAnsi="宋体"/>
          <w:color w:val="auto"/>
          <w:highlight w:val="none"/>
          <w:u w:val="single"/>
        </w:rPr>
        <w:t>0</w:t>
      </w:r>
      <w:r>
        <w:rPr>
          <w:rFonts w:hint="eastAsia" w:ascii="宋体" w:hAnsi="宋体"/>
          <w:color w:val="auto"/>
          <w:highlight w:val="none"/>
          <w:u w:val="none"/>
        </w:rPr>
        <w:t>（北京时间）前提交响应文件。</w:t>
      </w:r>
    </w:p>
    <w:p w14:paraId="3C6F3DF9">
      <w:pPr>
        <w:pStyle w:val="50"/>
        <w:rPr>
          <w:bCs/>
          <w:color w:val="auto"/>
          <w:highlight w:val="none"/>
        </w:rPr>
      </w:pPr>
      <w:bookmarkStart w:id="3" w:name="_Toc72767522"/>
      <w:bookmarkStart w:id="4" w:name="_Toc44405601"/>
      <w:r>
        <w:rPr>
          <w:rFonts w:hint="eastAsia"/>
          <w:bCs/>
          <w:color w:val="auto"/>
          <w:highlight w:val="none"/>
        </w:rPr>
        <w:t>一、项目基本情况</w:t>
      </w:r>
      <w:bookmarkEnd w:id="3"/>
      <w:bookmarkEnd w:id="4"/>
    </w:p>
    <w:p w14:paraId="5C2C2D6B">
      <w:pPr>
        <w:ind w:firstLine="420"/>
        <w:rPr>
          <w:rFonts w:hint="eastAsia" w:eastAsiaTheme="minorEastAsia"/>
          <w:color w:val="auto"/>
          <w:highlight w:val="none"/>
          <w:lang w:eastAsia="zh-CN"/>
        </w:rPr>
      </w:pPr>
      <w:r>
        <w:rPr>
          <w:rFonts w:hint="eastAsia"/>
          <w:color w:val="auto"/>
          <w:highlight w:val="none"/>
        </w:rPr>
        <w:t>项目编号：</w:t>
      </w:r>
      <w:r>
        <w:rPr>
          <w:rFonts w:hint="eastAsia"/>
          <w:color w:val="auto"/>
          <w:highlight w:val="none"/>
          <w:lang w:eastAsia="zh-CN"/>
        </w:rPr>
        <w:t>GXZC2024-J1-006194-YZLZ</w:t>
      </w:r>
    </w:p>
    <w:p w14:paraId="686F7DAE">
      <w:pPr>
        <w:ind w:firstLine="420"/>
        <w:rPr>
          <w:rFonts w:hint="eastAsia" w:eastAsiaTheme="minorEastAsia"/>
          <w:color w:val="auto"/>
          <w:highlight w:val="none"/>
          <w:lang w:eastAsia="zh-CN"/>
        </w:rPr>
      </w:pPr>
      <w:r>
        <w:rPr>
          <w:rFonts w:hint="eastAsia"/>
          <w:color w:val="auto"/>
          <w:highlight w:val="none"/>
        </w:rPr>
        <w:t>项目名称：</w:t>
      </w:r>
      <w:r>
        <w:rPr>
          <w:rFonts w:hint="eastAsia"/>
          <w:color w:val="auto"/>
          <w:highlight w:val="none"/>
          <w:lang w:eastAsia="zh-CN"/>
        </w:rPr>
        <w:t>视力筛选仪及心脏电生理刺激仪等设备一批采购</w:t>
      </w:r>
    </w:p>
    <w:p w14:paraId="6CA0FB4D">
      <w:pPr>
        <w:ind w:firstLine="420"/>
        <w:rPr>
          <w:rFonts w:hint="eastAsia" w:eastAsiaTheme="minorEastAsia"/>
          <w:color w:val="auto"/>
          <w:highlight w:val="none"/>
          <w:lang w:eastAsia="zh-CN"/>
        </w:rPr>
      </w:pPr>
      <w:r>
        <w:rPr>
          <w:rFonts w:hint="eastAsia"/>
          <w:color w:val="auto"/>
          <w:highlight w:val="none"/>
        </w:rPr>
        <w:t>采购方式：竞争性</w:t>
      </w:r>
      <w:r>
        <w:rPr>
          <w:rFonts w:hint="eastAsia"/>
          <w:color w:val="auto"/>
          <w:highlight w:val="none"/>
          <w:lang w:eastAsia="zh-CN"/>
        </w:rPr>
        <w:t>谈判</w:t>
      </w:r>
    </w:p>
    <w:p w14:paraId="6D5FFD9B">
      <w:pPr>
        <w:ind w:firstLine="420"/>
        <w:rPr>
          <w:rFonts w:hint="default" w:eastAsiaTheme="minorEastAsia"/>
          <w:color w:val="auto"/>
          <w:highlight w:val="none"/>
          <w:lang w:val="en-US" w:eastAsia="zh-CN"/>
        </w:rPr>
      </w:pPr>
      <w:r>
        <w:rPr>
          <w:rFonts w:hint="eastAsia"/>
          <w:color w:val="auto"/>
          <w:highlight w:val="none"/>
        </w:rPr>
        <w:t>预算总金额（元）：</w:t>
      </w:r>
      <w:r>
        <w:rPr>
          <w:rFonts w:hint="eastAsia" w:hAnsi="宋体"/>
          <w:szCs w:val="21"/>
          <w:highlight w:val="none"/>
          <w:lang w:val="en-US" w:eastAsia="zh-CN"/>
        </w:rPr>
        <w:t>1012400</w:t>
      </w:r>
    </w:p>
    <w:p w14:paraId="0166A01F">
      <w:pPr>
        <w:ind w:firstLine="420"/>
        <w:rPr>
          <w:color w:val="auto"/>
          <w:highlight w:val="none"/>
        </w:rPr>
      </w:pPr>
      <w:r>
        <w:rPr>
          <w:rFonts w:hint="eastAsia"/>
          <w:color w:val="auto"/>
          <w:highlight w:val="none"/>
        </w:rPr>
        <w:t>采购需求：</w:t>
      </w:r>
    </w:p>
    <w:p w14:paraId="384A7F5C">
      <w:pPr>
        <w:ind w:firstLine="420"/>
        <w:rPr>
          <w:rFonts w:hAnsi="宋体"/>
          <w:color w:val="auto"/>
          <w:highlight w:val="none"/>
        </w:rPr>
      </w:pPr>
    </w:p>
    <w:p w14:paraId="2BF133D9">
      <w:pPr>
        <w:ind w:firstLine="0" w:firstLineChars="0"/>
        <w:jc w:val="both"/>
        <w:rPr>
          <w:rFonts w:hint="eastAsia"/>
          <w:color w:val="auto"/>
          <w:highlight w:val="none"/>
        </w:rPr>
      </w:pPr>
      <w:r>
        <w:rPr>
          <w:rFonts w:hint="eastAsia"/>
          <w:color w:val="auto"/>
          <w:highlight w:val="none"/>
        </w:rPr>
        <w:t xml:space="preserve">标项名称: </w:t>
      </w:r>
      <w:r>
        <w:rPr>
          <w:rFonts w:hint="eastAsia"/>
          <w:color w:val="auto"/>
          <w:highlight w:val="none"/>
          <w:lang w:eastAsia="zh-CN"/>
        </w:rPr>
        <w:t>视力筛选仪及心脏电生理刺激仪等设备一批采购</w:t>
      </w:r>
    </w:p>
    <w:p w14:paraId="1153B99D">
      <w:pPr>
        <w:ind w:firstLine="0" w:firstLineChars="0"/>
        <w:rPr>
          <w:rFonts w:hint="eastAsia"/>
          <w:color w:val="auto"/>
          <w:highlight w:val="none"/>
        </w:rPr>
      </w:pPr>
      <w:r>
        <w:rPr>
          <w:rFonts w:hint="eastAsia"/>
          <w:color w:val="auto"/>
          <w:highlight w:val="none"/>
        </w:rPr>
        <w:t>数量:1</w:t>
      </w:r>
    </w:p>
    <w:p w14:paraId="333626DB">
      <w:pPr>
        <w:ind w:firstLine="0" w:firstLineChars="0"/>
        <w:rPr>
          <w:rFonts w:hint="eastAsia"/>
          <w:color w:val="auto"/>
          <w:highlight w:val="none"/>
        </w:rPr>
      </w:pPr>
      <w:r>
        <w:rPr>
          <w:rFonts w:hint="eastAsia"/>
          <w:color w:val="auto"/>
          <w:highlight w:val="none"/>
        </w:rPr>
        <w:t>预算金额（元）</w:t>
      </w:r>
      <w:r>
        <w:rPr>
          <w:rFonts w:hint="eastAsia"/>
          <w:color w:val="auto"/>
          <w:highlight w:val="none"/>
          <w:lang w:eastAsia="zh-CN"/>
        </w:rPr>
        <w:t>：</w:t>
      </w:r>
      <w:r>
        <w:rPr>
          <w:rFonts w:hint="eastAsia" w:hAnsi="宋体"/>
          <w:szCs w:val="21"/>
          <w:highlight w:val="none"/>
          <w:lang w:val="en-US" w:eastAsia="zh-CN"/>
        </w:rPr>
        <w:t>1012400</w:t>
      </w:r>
    </w:p>
    <w:p w14:paraId="1528DDEE">
      <w:pPr>
        <w:ind w:firstLine="0" w:firstLineChars="0"/>
        <w:rPr>
          <w:rFonts w:hint="eastAsia"/>
          <w:color w:val="auto"/>
          <w:highlight w:val="none"/>
        </w:rPr>
      </w:pPr>
      <w:r>
        <w:rPr>
          <w:rFonts w:hint="eastAsia"/>
          <w:color w:val="auto"/>
          <w:highlight w:val="none"/>
        </w:rPr>
        <w:t>简要规格描述或项目基本概况介绍、用途：</w:t>
      </w:r>
      <w:r>
        <w:rPr>
          <w:rFonts w:hint="eastAsia" w:hAnsi="宋体"/>
          <w:szCs w:val="21"/>
          <w:highlight w:val="none"/>
        </w:rPr>
        <w:t>采购</w:t>
      </w:r>
      <w:r>
        <w:rPr>
          <w:rFonts w:hint="eastAsia" w:hAnsi="宋体"/>
          <w:szCs w:val="21"/>
          <w:highlight w:val="none"/>
          <w:lang w:eastAsia="zh-CN"/>
        </w:rPr>
        <w:t>视力筛选仪及心脏电生理刺激仪等设备一批</w:t>
      </w:r>
      <w:r>
        <w:rPr>
          <w:rFonts w:hint="eastAsia" w:hAnsi="宋体"/>
          <w:szCs w:val="21"/>
          <w:highlight w:val="none"/>
        </w:rPr>
        <w:t>，具体内容详见</w:t>
      </w:r>
      <w:r>
        <w:rPr>
          <w:rFonts w:hint="eastAsia" w:hAnsi="宋体"/>
          <w:szCs w:val="21"/>
          <w:highlight w:val="none"/>
          <w:lang w:val="en-US" w:eastAsia="zh-CN"/>
        </w:rPr>
        <w:t>采购需求</w:t>
      </w:r>
      <w:r>
        <w:rPr>
          <w:rFonts w:hint="eastAsia" w:hAnsi="宋体"/>
          <w:szCs w:val="21"/>
          <w:highlight w:val="none"/>
        </w:rPr>
        <w:t>。</w:t>
      </w:r>
    </w:p>
    <w:p w14:paraId="74B4BC9F">
      <w:pPr>
        <w:ind w:firstLine="0" w:firstLineChars="0"/>
        <w:rPr>
          <w:rFonts w:hint="eastAsia"/>
          <w:color w:val="auto"/>
          <w:highlight w:val="none"/>
        </w:rPr>
      </w:pPr>
      <w:r>
        <w:rPr>
          <w:rFonts w:hint="eastAsia"/>
          <w:color w:val="auto"/>
          <w:highlight w:val="none"/>
        </w:rPr>
        <w:t>最高限价（如有）：</w:t>
      </w:r>
      <w:r>
        <w:rPr>
          <w:rFonts w:hint="eastAsia" w:hAnsi="宋体"/>
          <w:szCs w:val="21"/>
          <w:highlight w:val="none"/>
          <w:lang w:val="en-US" w:eastAsia="zh-CN"/>
        </w:rPr>
        <w:t>1012400</w:t>
      </w:r>
    </w:p>
    <w:p w14:paraId="50DD1A42">
      <w:pPr>
        <w:ind w:firstLine="0" w:firstLineChars="0"/>
        <w:rPr>
          <w:rFonts w:hint="eastAsia" w:ascii="宋体" w:hAnsi="宋体" w:eastAsia="宋体" w:cs="宋体"/>
          <w:kern w:val="2"/>
          <w:sz w:val="21"/>
          <w:szCs w:val="21"/>
          <w:highlight w:val="none"/>
          <w:lang w:val="en-US" w:eastAsia="zh-CN" w:bidi="ar"/>
        </w:rPr>
      </w:pPr>
      <w:r>
        <w:rPr>
          <w:rFonts w:hint="eastAsia"/>
          <w:color w:val="auto"/>
          <w:highlight w:val="none"/>
        </w:rPr>
        <w:t>合同履约期限：</w:t>
      </w:r>
      <w:r>
        <w:rPr>
          <w:rFonts w:hint="eastAsia" w:ascii="宋体" w:hAnsi="宋体" w:eastAsia="宋体" w:cs="宋体"/>
          <w:kern w:val="2"/>
          <w:sz w:val="21"/>
          <w:szCs w:val="21"/>
          <w:highlight w:val="none"/>
          <w:lang w:val="en-US" w:eastAsia="zh-CN" w:bidi="ar"/>
        </w:rPr>
        <w:t>自合同签订之日起30日内安装调试完毕并验收合格。</w:t>
      </w:r>
    </w:p>
    <w:p w14:paraId="4B38FFDA">
      <w:pPr>
        <w:ind w:firstLine="0" w:firstLineChars="0"/>
        <w:rPr>
          <w:rFonts w:hint="eastAsia"/>
          <w:color w:val="auto"/>
          <w:highlight w:val="none"/>
        </w:rPr>
      </w:pPr>
      <w:r>
        <w:rPr>
          <w:rFonts w:hint="eastAsia"/>
          <w:color w:val="auto"/>
          <w:highlight w:val="none"/>
        </w:rPr>
        <w:t>本项目（否）接受联合体</w:t>
      </w:r>
      <w:r>
        <w:rPr>
          <w:rFonts w:hint="eastAsia"/>
          <w:color w:val="auto"/>
          <w:highlight w:val="none"/>
          <w:lang w:eastAsia="zh-CN"/>
        </w:rPr>
        <w:t>竞</w:t>
      </w:r>
      <w:r>
        <w:rPr>
          <w:rFonts w:hint="eastAsia"/>
          <w:color w:val="auto"/>
          <w:highlight w:val="none"/>
        </w:rPr>
        <w:t>标</w:t>
      </w:r>
    </w:p>
    <w:p w14:paraId="186CDCC7">
      <w:pPr>
        <w:ind w:firstLine="0" w:firstLineChars="0"/>
        <w:rPr>
          <w:rFonts w:hint="eastAsia"/>
          <w:color w:val="auto"/>
          <w:highlight w:val="none"/>
        </w:rPr>
      </w:pPr>
      <w:r>
        <w:rPr>
          <w:rFonts w:hint="eastAsia"/>
          <w:color w:val="auto"/>
          <w:highlight w:val="none"/>
        </w:rPr>
        <w:t>备注：/</w:t>
      </w:r>
    </w:p>
    <w:p w14:paraId="6B1E24D0">
      <w:pPr>
        <w:ind w:firstLine="0" w:firstLineChars="0"/>
        <w:rPr>
          <w:rFonts w:hint="eastAsia"/>
          <w:color w:val="auto"/>
          <w:highlight w:val="none"/>
        </w:rPr>
      </w:pPr>
    </w:p>
    <w:p w14:paraId="2ABC252D">
      <w:pPr>
        <w:pStyle w:val="50"/>
        <w:rPr>
          <w:color w:val="auto"/>
          <w:highlight w:val="none"/>
        </w:rPr>
      </w:pPr>
      <w:r>
        <w:rPr>
          <w:rFonts w:hint="eastAsia"/>
          <w:color w:val="auto"/>
          <w:highlight w:val="none"/>
        </w:rPr>
        <w:t>二、申请人的资格要求</w:t>
      </w:r>
    </w:p>
    <w:p w14:paraId="08C12ACF">
      <w:pPr>
        <w:ind w:firstLine="420"/>
        <w:rPr>
          <w:color w:val="auto"/>
          <w:highlight w:val="none"/>
        </w:rPr>
      </w:pPr>
      <w:r>
        <w:rPr>
          <w:rFonts w:hint="eastAsia"/>
          <w:color w:val="auto"/>
          <w:highlight w:val="none"/>
        </w:rPr>
        <w:t>1.满足《中华人民共和国政府采购法》第二十二条规定；</w:t>
      </w:r>
    </w:p>
    <w:p w14:paraId="0F01EFDC">
      <w:pPr>
        <w:ind w:firstLine="420"/>
        <w:rPr>
          <w:rFonts w:hint="eastAsia"/>
          <w:color w:val="auto"/>
          <w:highlight w:val="none"/>
          <w:lang w:val="en-US" w:eastAsia="zh-CN"/>
        </w:rPr>
      </w:pPr>
      <w:r>
        <w:rPr>
          <w:rFonts w:hint="eastAsia"/>
          <w:color w:val="auto"/>
          <w:highlight w:val="none"/>
        </w:rPr>
        <w:t>2.落实政府采购政策需满足的资格要求：</w:t>
      </w:r>
      <w:bookmarkStart w:id="5" w:name="_Hlk92895923"/>
      <w:r>
        <w:rPr>
          <w:rFonts w:hint="eastAsia"/>
          <w:color w:val="auto"/>
          <w:highlight w:val="none"/>
          <w:lang w:val="en-US" w:eastAsia="zh-CN"/>
        </w:rPr>
        <w:t>无。</w:t>
      </w:r>
    </w:p>
    <w:bookmarkEnd w:id="5"/>
    <w:p w14:paraId="3DE006DA">
      <w:pPr>
        <w:numPr>
          <w:ilvl w:val="0"/>
          <w:numId w:val="0"/>
        </w:numPr>
        <w:ind w:firstLine="420" w:firstLineChars="200"/>
        <w:rPr>
          <w:rFonts w:hint="default" w:hAnsi="宋体" w:eastAsiaTheme="minorEastAsia"/>
          <w:color w:val="auto"/>
          <w:szCs w:val="21"/>
          <w:highlight w:val="none"/>
          <w:lang w:val="en-US" w:eastAsia="zh-CN"/>
        </w:rPr>
      </w:pPr>
      <w:r>
        <w:rPr>
          <w:rFonts w:hint="eastAsia" w:hAnsi="宋体" w:asciiTheme="minorEastAsia" w:eastAsiaTheme="minorEastAsia" w:cstheme="minorBidi"/>
          <w:color w:val="auto"/>
          <w:kern w:val="2"/>
          <w:sz w:val="21"/>
          <w:szCs w:val="21"/>
          <w:highlight w:val="none"/>
          <w:lang w:val="en-US" w:eastAsia="zh-CN" w:bidi="ar-SA"/>
        </w:rPr>
        <w:t>3.</w:t>
      </w:r>
      <w:r>
        <w:rPr>
          <w:rFonts w:hint="eastAsia"/>
          <w:color w:val="auto"/>
          <w:highlight w:val="none"/>
        </w:rPr>
        <w:t>本项目的特定资格要求：</w:t>
      </w:r>
      <w:r>
        <w:rPr>
          <w:rFonts w:hint="eastAsia"/>
          <w:color w:val="auto"/>
          <w:highlight w:val="none"/>
          <w:lang w:val="en-US" w:eastAsia="zh-CN"/>
        </w:rPr>
        <w:t>分标1：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14:paraId="7CFDFAB7">
      <w:pPr>
        <w:pStyle w:val="50"/>
        <w:rPr>
          <w:color w:val="auto"/>
          <w:highlight w:val="none"/>
        </w:rPr>
      </w:pPr>
      <w:r>
        <w:rPr>
          <w:rFonts w:hint="eastAsia"/>
          <w:color w:val="auto"/>
          <w:highlight w:val="none"/>
        </w:rPr>
        <w:t>三、获取采购文件</w:t>
      </w:r>
    </w:p>
    <w:p w14:paraId="0D100DF0">
      <w:pPr>
        <w:ind w:firstLine="420"/>
        <w:rPr>
          <w:color w:val="auto"/>
          <w:highlight w:val="none"/>
        </w:rPr>
      </w:pPr>
      <w:r>
        <w:rPr>
          <w:rFonts w:hint="eastAsia"/>
          <w:color w:val="auto"/>
          <w:highlight w:val="none"/>
        </w:rPr>
        <w:t>时间：2024年</w:t>
      </w:r>
      <w:r>
        <w:rPr>
          <w:rFonts w:hint="eastAsia"/>
          <w:color w:val="auto"/>
          <w:highlight w:val="none"/>
          <w:lang w:val="en-US" w:eastAsia="zh-CN"/>
        </w:rPr>
        <w:t>11</w:t>
      </w:r>
      <w:r>
        <w:rPr>
          <w:rFonts w:hint="eastAsia"/>
          <w:color w:val="auto"/>
          <w:highlight w:val="none"/>
          <w:lang w:eastAsia="zh-CN"/>
        </w:rPr>
        <w:t>月</w:t>
      </w:r>
      <w:r>
        <w:rPr>
          <w:rFonts w:hint="eastAsia"/>
          <w:color w:val="auto"/>
          <w:highlight w:val="none"/>
          <w:lang w:val="en-US" w:eastAsia="zh-CN"/>
        </w:rPr>
        <w:t>28</w:t>
      </w:r>
      <w:r>
        <w:rPr>
          <w:rFonts w:hint="eastAsia"/>
          <w:color w:val="auto"/>
          <w:highlight w:val="none"/>
        </w:rPr>
        <w:t>日至202</w:t>
      </w:r>
      <w:r>
        <w:rPr>
          <w:color w:val="auto"/>
          <w:highlight w:val="none"/>
        </w:rPr>
        <w:t>4</w:t>
      </w:r>
      <w:r>
        <w:rPr>
          <w:rFonts w:hint="eastAsia"/>
          <w:color w:val="auto"/>
          <w:highlight w:val="none"/>
        </w:rPr>
        <w:t>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3</w:t>
      </w:r>
      <w:r>
        <w:rPr>
          <w:rFonts w:hint="eastAsia"/>
          <w:color w:val="auto"/>
          <w:highlight w:val="none"/>
        </w:rPr>
        <w:t>日，每天上午0</w:t>
      </w:r>
      <w:r>
        <w:rPr>
          <w:color w:val="auto"/>
          <w:highlight w:val="none"/>
        </w:rPr>
        <w:t>0</w:t>
      </w:r>
      <w:r>
        <w:rPr>
          <w:rFonts w:hint="eastAsia"/>
          <w:color w:val="auto"/>
          <w:highlight w:val="none"/>
        </w:rPr>
        <w:t>:00至12:00，下午12:00至</w:t>
      </w:r>
      <w:r>
        <w:rPr>
          <w:color w:val="auto"/>
          <w:highlight w:val="none"/>
        </w:rPr>
        <w:t>23</w:t>
      </w:r>
      <w:r>
        <w:rPr>
          <w:rFonts w:hint="eastAsia"/>
          <w:color w:val="auto"/>
          <w:highlight w:val="none"/>
        </w:rPr>
        <w:t>:</w:t>
      </w:r>
      <w:r>
        <w:rPr>
          <w:color w:val="auto"/>
          <w:highlight w:val="none"/>
        </w:rPr>
        <w:t>59</w:t>
      </w:r>
      <w:r>
        <w:rPr>
          <w:rFonts w:hint="eastAsia"/>
          <w:color w:val="auto"/>
          <w:highlight w:val="none"/>
        </w:rPr>
        <w:t>（北京时间，法定节假日除外）</w:t>
      </w:r>
    </w:p>
    <w:p w14:paraId="6DF28475">
      <w:pPr>
        <w:ind w:firstLine="420"/>
        <w:rPr>
          <w:rFonts w:hAnsi="宋体" w:cs="宋体"/>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14:paraId="1D945485">
      <w:pPr>
        <w:ind w:firstLine="420"/>
        <w:rPr>
          <w:rFonts w:hAnsi="宋体" w:cs="宋体"/>
          <w:color w:val="auto"/>
          <w:highlight w:val="none"/>
        </w:rPr>
      </w:pPr>
      <w:r>
        <w:rPr>
          <w:rFonts w:hint="eastAsia" w:hAnsi="宋体" w:cs="宋体"/>
          <w:color w:val="auto"/>
          <w:highlight w:val="none"/>
        </w:rPr>
        <w:t>方式：</w:t>
      </w:r>
      <w:r>
        <w:rPr>
          <w:rFonts w:hint="eastAsia" w:ascii="宋体" w:hAnsi="宋体" w:cs="宋体"/>
          <w:bCs/>
          <w:color w:val="auto"/>
          <w:kern w:val="0"/>
          <w:highlight w:val="none"/>
        </w:rPr>
        <w:t>网上下载。本项目不提供纸质文件，潜在供应商需使用账号登录或者使用CA登录“广西政府采购云”平台（https://www.gcy.zfcg.gxzf.gov.cn/）-进入“项目采购”应用，在获取采购文件菜单中选择项目，获取竞争性</w:t>
      </w:r>
      <w:r>
        <w:rPr>
          <w:rFonts w:hint="eastAsia" w:ascii="宋体" w:hAnsi="宋体" w:cs="宋体"/>
          <w:bCs/>
          <w:color w:val="auto"/>
          <w:kern w:val="0"/>
          <w:highlight w:val="none"/>
          <w:lang w:eastAsia="zh-CN"/>
        </w:rPr>
        <w:t>谈判</w:t>
      </w:r>
      <w:r>
        <w:rPr>
          <w:rFonts w:hint="eastAsia" w:ascii="宋体" w:hAnsi="宋体" w:cs="宋体"/>
          <w:bCs/>
          <w:color w:val="auto"/>
          <w:kern w:val="0"/>
          <w:highlight w:val="none"/>
        </w:rPr>
        <w:t>文件</w:t>
      </w:r>
      <w:r>
        <w:rPr>
          <w:rFonts w:hint="eastAsia" w:hAnsi="宋体" w:cs="宋体"/>
          <w:bCs/>
          <w:color w:val="auto"/>
          <w:kern w:val="0"/>
          <w:highlight w:val="none"/>
        </w:rPr>
        <w:t>（或在“广西政府采购云电子投标客户端-获取采购文件”跳转到广西政府采购云系统获取）</w:t>
      </w:r>
      <w:r>
        <w:rPr>
          <w:rFonts w:hint="eastAsia" w:ascii="宋体" w:hAnsi="宋体" w:cs="宋体"/>
          <w:bCs/>
          <w:color w:val="auto"/>
          <w:kern w:val="0"/>
          <w:highlight w:val="none"/>
        </w:rPr>
        <w:t>。</w:t>
      </w:r>
      <w:r>
        <w:rPr>
          <w:rFonts w:hint="eastAsia" w:ascii="宋体" w:hAnsi="宋体"/>
          <w:color w:val="auto"/>
          <w:highlight w:val="none"/>
        </w:rPr>
        <w:t>电子</w:t>
      </w:r>
      <w:r>
        <w:rPr>
          <w:rFonts w:hint="eastAsia"/>
          <w:color w:val="auto"/>
          <w:highlight w:val="none"/>
        </w:rPr>
        <w:t>响应文件</w:t>
      </w:r>
      <w:r>
        <w:rPr>
          <w:rFonts w:hint="eastAsia" w:ascii="宋体" w:hAnsi="宋体"/>
          <w:color w:val="auto"/>
          <w:highlight w:val="none"/>
        </w:rPr>
        <w:t>制作需要基于“广西政府采购云”平台获取的</w:t>
      </w:r>
      <w:r>
        <w:rPr>
          <w:rFonts w:hint="eastAsia" w:ascii="宋体" w:hAnsi="宋体"/>
          <w:color w:val="auto"/>
          <w:highlight w:val="none"/>
          <w:lang w:eastAsia="zh-CN"/>
        </w:rPr>
        <w:t>谈判</w:t>
      </w:r>
      <w:r>
        <w:rPr>
          <w:rFonts w:hint="eastAsia" w:ascii="宋体" w:hAnsi="宋体"/>
          <w:color w:val="auto"/>
          <w:highlight w:val="none"/>
        </w:rPr>
        <w:t>文件编制，</w:t>
      </w:r>
      <w:r>
        <w:rPr>
          <w:rFonts w:hint="eastAsia" w:ascii="宋体" w:hAnsi="宋体" w:cs="宋体"/>
          <w:bCs/>
          <w:color w:val="auto"/>
          <w:kern w:val="0"/>
          <w:highlight w:val="none"/>
        </w:rPr>
        <w:t>通过其他方式获取</w:t>
      </w:r>
      <w:r>
        <w:rPr>
          <w:rFonts w:hint="eastAsia" w:ascii="宋体" w:hAnsi="宋体" w:cs="宋体"/>
          <w:bCs/>
          <w:color w:val="auto"/>
          <w:kern w:val="0"/>
          <w:highlight w:val="none"/>
          <w:lang w:eastAsia="zh-CN"/>
        </w:rPr>
        <w:t>谈判</w:t>
      </w:r>
      <w:r>
        <w:rPr>
          <w:rFonts w:hint="eastAsia" w:ascii="宋体" w:hAnsi="宋体" w:cs="宋体"/>
          <w:bCs/>
          <w:color w:val="auto"/>
          <w:kern w:val="0"/>
          <w:highlight w:val="none"/>
        </w:rPr>
        <w:t>文件的，将有可能导致供应商无法在“广西政府采购云”平台编制及上传响应文件。</w:t>
      </w:r>
    </w:p>
    <w:p w14:paraId="3BD6FBB9">
      <w:pPr>
        <w:ind w:firstLine="420"/>
        <w:rPr>
          <w:rFonts w:hint="eastAsia" w:eastAsiaTheme="minorEastAsia"/>
          <w:color w:val="auto"/>
          <w:highlight w:val="none"/>
          <w:lang w:eastAsia="zh-CN"/>
        </w:rPr>
      </w:pPr>
      <w:r>
        <w:rPr>
          <w:rFonts w:hint="eastAsia"/>
          <w:color w:val="auto"/>
          <w:highlight w:val="none"/>
        </w:rPr>
        <w:t>售价（元）：0</w:t>
      </w:r>
    </w:p>
    <w:p w14:paraId="3AE22E7F">
      <w:pPr>
        <w:pStyle w:val="50"/>
        <w:rPr>
          <w:color w:val="auto"/>
          <w:highlight w:val="none"/>
        </w:rPr>
      </w:pPr>
      <w:r>
        <w:rPr>
          <w:rFonts w:hint="eastAsia"/>
          <w:color w:val="auto"/>
          <w:highlight w:val="none"/>
        </w:rPr>
        <w:t>四、响应文件提交</w:t>
      </w:r>
    </w:p>
    <w:p w14:paraId="56424E6B">
      <w:pPr>
        <w:ind w:firstLine="420"/>
        <w:rPr>
          <w:color w:val="auto"/>
          <w:highlight w:val="none"/>
        </w:rPr>
      </w:pPr>
      <w:r>
        <w:rPr>
          <w:rFonts w:hint="eastAsia"/>
          <w:color w:val="auto"/>
          <w:highlight w:val="none"/>
        </w:rPr>
        <w:t>截止时间：2024年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14:paraId="5C390B4B">
      <w:pPr>
        <w:ind w:firstLine="420"/>
        <w:rPr>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14:paraId="530CCF68">
      <w:pPr>
        <w:pStyle w:val="50"/>
        <w:rPr>
          <w:color w:val="auto"/>
          <w:highlight w:val="none"/>
        </w:rPr>
      </w:pPr>
      <w:r>
        <w:rPr>
          <w:rFonts w:hint="eastAsia"/>
          <w:color w:val="auto"/>
          <w:highlight w:val="none"/>
        </w:rPr>
        <w:t>五、响应文件开启</w:t>
      </w:r>
    </w:p>
    <w:p w14:paraId="1AB3E610">
      <w:pPr>
        <w:ind w:firstLine="420"/>
        <w:rPr>
          <w:color w:val="auto"/>
          <w:highlight w:val="none"/>
        </w:rPr>
      </w:pPr>
      <w:r>
        <w:rPr>
          <w:rFonts w:hint="eastAsia"/>
          <w:color w:val="auto"/>
          <w:highlight w:val="none"/>
        </w:rPr>
        <w:t>开启时间：2024年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14:paraId="4345089B">
      <w:pPr>
        <w:ind w:firstLine="420"/>
        <w:rPr>
          <w:color w:val="auto"/>
          <w:highlight w:val="none"/>
        </w:rPr>
      </w:pPr>
      <w:r>
        <w:rPr>
          <w:rFonts w:hint="eastAsia"/>
          <w:color w:val="auto"/>
          <w:highlight w:val="none"/>
        </w:rPr>
        <w:t>地点：</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14:paraId="298AAA0F">
      <w:pPr>
        <w:pStyle w:val="50"/>
        <w:rPr>
          <w:color w:val="auto"/>
          <w:highlight w:val="none"/>
        </w:rPr>
      </w:pPr>
      <w:r>
        <w:rPr>
          <w:rFonts w:hint="eastAsia"/>
          <w:color w:val="auto"/>
          <w:highlight w:val="none"/>
        </w:rPr>
        <w:t>六、公告期限</w:t>
      </w:r>
    </w:p>
    <w:p w14:paraId="7C2A6897">
      <w:pPr>
        <w:ind w:firstLine="420"/>
        <w:rPr>
          <w:color w:val="auto"/>
          <w:highlight w:val="none"/>
        </w:rPr>
      </w:pPr>
      <w:r>
        <w:rPr>
          <w:rFonts w:hint="eastAsia"/>
          <w:color w:val="auto"/>
          <w:highlight w:val="none"/>
        </w:rPr>
        <w:t>自本公告发布之日起</w:t>
      </w:r>
      <w:r>
        <w:rPr>
          <w:rFonts w:hint="eastAsia"/>
          <w:color w:val="auto"/>
          <w:highlight w:val="none"/>
          <w:lang w:val="en-US" w:eastAsia="zh-CN"/>
        </w:rPr>
        <w:t>3</w:t>
      </w:r>
      <w:r>
        <w:rPr>
          <w:rFonts w:hint="eastAsia"/>
          <w:color w:val="auto"/>
          <w:highlight w:val="none"/>
        </w:rPr>
        <w:t>个工作日。</w:t>
      </w:r>
    </w:p>
    <w:p w14:paraId="05F345D3">
      <w:pPr>
        <w:pStyle w:val="50"/>
        <w:rPr>
          <w:color w:val="auto"/>
          <w:highlight w:val="none"/>
        </w:rPr>
      </w:pPr>
      <w:r>
        <w:rPr>
          <w:rFonts w:hint="eastAsia"/>
          <w:color w:val="auto"/>
          <w:highlight w:val="none"/>
        </w:rPr>
        <w:t>七、其他补充事宜</w:t>
      </w:r>
    </w:p>
    <w:p w14:paraId="18732638">
      <w:pPr>
        <w:ind w:firstLine="420"/>
        <w:rPr>
          <w:rFonts w:hint="eastAsia" w:ascii="宋体" w:hAnsi="Times New Roman" w:eastAsia="宋体" w:cs="Times New Roman"/>
          <w:color w:val="auto"/>
          <w:szCs w:val="24"/>
          <w:highlight w:val="none"/>
          <w:u w:val="none"/>
          <w:lang w:eastAsia="zh-CN"/>
        </w:rPr>
      </w:pPr>
      <w:r>
        <w:rPr>
          <w:rFonts w:hint="eastAsia" w:ascii="宋体" w:hAnsi="Calibri" w:eastAsia="宋体" w:cs="Times New Roman"/>
          <w:color w:val="auto"/>
          <w:highlight w:val="none"/>
        </w:rPr>
        <w:t>1.</w:t>
      </w:r>
      <w:r>
        <w:rPr>
          <w:rFonts w:hint="eastAsia" w:ascii="宋体" w:hAnsi="Calibri" w:eastAsia="宋体" w:cs="Times New Roman"/>
          <w:color w:val="auto"/>
          <w:highlight w:val="none"/>
          <w:lang w:eastAsia="zh-CN"/>
        </w:rPr>
        <w:t>响应保证金</w:t>
      </w:r>
      <w:r>
        <w:rPr>
          <w:rFonts w:hint="eastAsia" w:ascii="宋体" w:hAnsi="Calibri" w:eastAsia="宋体" w:cs="Times New Roman"/>
          <w:color w:val="auto"/>
          <w:highlight w:val="none"/>
        </w:rPr>
        <w:t>：</w:t>
      </w:r>
      <w:r>
        <w:rPr>
          <w:rFonts w:hint="eastAsia" w:ascii="宋体" w:hAnsi="Times New Roman" w:eastAsia="宋体" w:cs="Times New Roman"/>
          <w:color w:val="auto"/>
          <w:szCs w:val="24"/>
          <w:highlight w:val="none"/>
        </w:rPr>
        <w:t>人民币</w:t>
      </w:r>
      <w:r>
        <w:rPr>
          <w:rFonts w:hint="eastAsia" w:ascii="宋体" w:hAnsi="Times New Roman" w:eastAsia="宋体" w:cs="Times New Roman"/>
          <w:color w:val="auto"/>
          <w:szCs w:val="24"/>
          <w:highlight w:val="none"/>
          <w:u w:val="single"/>
          <w:lang w:eastAsia="zh-CN"/>
        </w:rPr>
        <w:t>壹万元整（¥1</w:t>
      </w:r>
      <w:r>
        <w:rPr>
          <w:rFonts w:hint="eastAsia" w:ascii="宋体" w:hAnsi="Times New Roman" w:eastAsia="宋体" w:cs="Times New Roman"/>
          <w:color w:val="auto"/>
          <w:szCs w:val="24"/>
          <w:highlight w:val="none"/>
          <w:u w:val="single"/>
          <w:lang w:val="en-US" w:eastAsia="zh-CN"/>
        </w:rPr>
        <w:t>0</w:t>
      </w:r>
      <w:r>
        <w:rPr>
          <w:rFonts w:hint="eastAsia" w:ascii="宋体" w:hAnsi="Times New Roman" w:eastAsia="宋体" w:cs="Times New Roman"/>
          <w:color w:val="auto"/>
          <w:szCs w:val="24"/>
          <w:highlight w:val="none"/>
          <w:u w:val="single"/>
          <w:lang w:eastAsia="zh-CN"/>
        </w:rPr>
        <w:t>000.00）</w:t>
      </w:r>
      <w:r>
        <w:rPr>
          <w:rFonts w:hint="eastAsia" w:ascii="宋体" w:hAnsi="Times New Roman" w:eastAsia="宋体" w:cs="Times New Roman"/>
          <w:color w:val="auto"/>
          <w:szCs w:val="24"/>
          <w:highlight w:val="none"/>
          <w:u w:val="none"/>
          <w:lang w:eastAsia="zh-CN"/>
        </w:rPr>
        <w:t>。</w:t>
      </w:r>
    </w:p>
    <w:p w14:paraId="0BA2D89D">
      <w:pPr>
        <w:ind w:firstLine="420"/>
        <w:rPr>
          <w:rFonts w:ascii="宋体" w:hAnsi="Times New Roman" w:eastAsia="宋体" w:cs="Times New Roman"/>
          <w:b/>
          <w:bCs/>
          <w:color w:val="auto"/>
          <w:highlight w:val="none"/>
        </w:rPr>
      </w:pPr>
      <w:r>
        <w:rPr>
          <w:rFonts w:hint="eastAsia" w:ascii="宋体" w:hAnsi="Calibri" w:eastAsia="宋体" w:cs="Times New Roman"/>
          <w:color w:val="auto"/>
          <w:highlight w:val="none"/>
          <w:lang w:eastAsia="zh-CN"/>
        </w:rPr>
        <w:t>响应保证金</w:t>
      </w:r>
      <w:r>
        <w:rPr>
          <w:rFonts w:hint="eastAsia" w:ascii="宋体" w:hAnsi="Calibri" w:eastAsia="宋体" w:cs="Times New Roman"/>
          <w:color w:val="auto"/>
          <w:highlight w:val="none"/>
        </w:rPr>
        <w:t>的交纳方式：银行转账、支票、汇票、本票或者银行、保险机构出具的保函、保险，禁止采用现钞方式。采用银行转账方式的，在响应文件提交截止时间前交至指定账户并且到账（开户银行：</w:t>
      </w:r>
      <w:r>
        <w:rPr>
          <w:rFonts w:hint="eastAsia" w:ascii="宋体" w:hAnsi="Calibri" w:eastAsia="宋体" w:cs="Times New Roman"/>
          <w:color w:val="auto"/>
          <w:highlight w:val="none"/>
          <w:u w:val="single"/>
        </w:rPr>
        <w:t>中信银行南宁东葛支行</w:t>
      </w:r>
      <w:r>
        <w:rPr>
          <w:rFonts w:hint="eastAsia" w:ascii="宋体" w:hAnsi="Calibri" w:eastAsia="宋体" w:cs="Times New Roman"/>
          <w:color w:val="auto"/>
          <w:highlight w:val="none"/>
        </w:rPr>
        <w:t>，开户名称：</w:t>
      </w:r>
      <w:r>
        <w:rPr>
          <w:rFonts w:hint="eastAsia" w:ascii="宋体" w:hAnsi="Calibri" w:eastAsia="宋体" w:cs="Times New Roman"/>
          <w:color w:val="auto"/>
          <w:highlight w:val="none"/>
          <w:u w:val="single"/>
        </w:rPr>
        <w:t>云之龙咨询集团有限公司柳州分公司</w:t>
      </w:r>
      <w:r>
        <w:rPr>
          <w:rFonts w:hint="eastAsia" w:ascii="宋体" w:hAnsi="Calibri" w:eastAsia="宋体" w:cs="Times New Roman"/>
          <w:color w:val="auto"/>
          <w:highlight w:val="none"/>
        </w:rPr>
        <w:t>，银行账号：</w:t>
      </w:r>
      <w:r>
        <w:rPr>
          <w:rFonts w:hint="eastAsia" w:ascii="宋体" w:hAnsi="Calibri" w:eastAsia="宋体" w:cs="Times New Roman"/>
          <w:color w:val="auto"/>
          <w:highlight w:val="none"/>
          <w:u w:val="single"/>
        </w:rPr>
        <w:t>8113 0010 1450 0074 537</w:t>
      </w:r>
      <w:r>
        <w:rPr>
          <w:rFonts w:hint="eastAsia" w:ascii="宋体" w:hAnsi="Calibri" w:eastAsia="宋体" w:cs="Times New Roman"/>
          <w:color w:val="auto"/>
          <w:highlight w:val="none"/>
        </w:rPr>
        <w:t>）；</w:t>
      </w:r>
      <w:r>
        <w:rPr>
          <w:rFonts w:hint="eastAsia" w:ascii="宋体" w:hAnsi="Times New Roman" w:eastAsia="宋体" w:cs="Times New Roman"/>
          <w:color w:val="auto"/>
          <w:highlight w:val="none"/>
        </w:rPr>
        <w:t>采用支票、汇票、本票或者保函、保险等方式的，在响应文件提交截止时间前，供应商应当递交单独密封的支票、汇票、本票或者保函、保险原件（采用电子保函、保险方式交纳</w:t>
      </w:r>
      <w:r>
        <w:rPr>
          <w:rFonts w:hint="eastAsia" w:ascii="宋体" w:hAnsi="Times New Roman" w:eastAsia="宋体" w:cs="Times New Roman"/>
          <w:color w:val="auto"/>
          <w:highlight w:val="none"/>
          <w:lang w:eastAsia="zh-CN"/>
        </w:rPr>
        <w:t>响应保证金</w:t>
      </w:r>
      <w:r>
        <w:rPr>
          <w:rFonts w:hint="eastAsia" w:ascii="宋体" w:hAnsi="Times New Roman" w:eastAsia="宋体" w:cs="Times New Roman"/>
          <w:color w:val="auto"/>
          <w:highlight w:val="none"/>
        </w:rPr>
        <w:t>的，无需递交原件）。</w:t>
      </w:r>
      <w:r>
        <w:rPr>
          <w:rFonts w:hint="eastAsia" w:ascii="宋体" w:hAnsi="Times New Roman" w:eastAsia="宋体" w:cs="Times New Roman"/>
          <w:b/>
          <w:bCs/>
          <w:color w:val="auto"/>
          <w:highlight w:val="none"/>
        </w:rPr>
        <w:t>否则视为无效</w:t>
      </w:r>
      <w:r>
        <w:rPr>
          <w:rFonts w:hint="eastAsia" w:ascii="宋体" w:hAnsi="Times New Roman" w:eastAsia="宋体" w:cs="Times New Roman"/>
          <w:b/>
          <w:bCs/>
          <w:color w:val="auto"/>
          <w:highlight w:val="none"/>
          <w:lang w:eastAsia="zh-CN"/>
        </w:rPr>
        <w:t>响应保证金</w:t>
      </w:r>
      <w:r>
        <w:rPr>
          <w:rFonts w:hint="eastAsia" w:ascii="宋体" w:hAnsi="Times New Roman" w:eastAsia="宋体" w:cs="Times New Roman"/>
          <w:b/>
          <w:bCs/>
          <w:color w:val="auto"/>
          <w:highlight w:val="none"/>
        </w:rPr>
        <w:t>。</w:t>
      </w:r>
    </w:p>
    <w:p w14:paraId="2A5208F8">
      <w:pPr>
        <w:ind w:firstLine="420"/>
        <w:rPr>
          <w:color w:val="auto"/>
          <w:highlight w:val="none"/>
        </w:rPr>
      </w:pPr>
      <w:r>
        <w:rPr>
          <w:rFonts w:hint="eastAsia"/>
          <w:color w:val="auto"/>
          <w:highlight w:val="none"/>
        </w:rPr>
        <w:t>2.网上查询地址</w:t>
      </w:r>
    </w:p>
    <w:p w14:paraId="236A78D5">
      <w:pPr>
        <w:ind w:firstLine="420"/>
        <w:rPr>
          <w:rFonts w:hint="eastAsia" w:eastAsiaTheme="minorEastAsia"/>
          <w:color w:val="auto"/>
          <w:highlight w:val="none"/>
          <w:lang w:eastAsia="zh-CN"/>
        </w:rPr>
      </w:pPr>
      <w:r>
        <w:rPr>
          <w:rFonts w:hint="eastAsia"/>
          <w:color w:val="auto"/>
          <w:highlight w:val="none"/>
        </w:rPr>
        <w:t>中国政府采购网（http://www.ccgp.gov.cn）、广西壮族自治区政府采购网（http://zfcg.gxzf.gov.cn）</w:t>
      </w:r>
      <w:r>
        <w:rPr>
          <w:rFonts w:hint="eastAsia"/>
          <w:color w:val="auto"/>
          <w:highlight w:val="none"/>
          <w:lang w:eastAsia="zh-CN"/>
        </w:rPr>
        <w:t>。</w:t>
      </w:r>
    </w:p>
    <w:p w14:paraId="062A2A23">
      <w:pPr>
        <w:ind w:firstLine="420"/>
        <w:rPr>
          <w:color w:val="auto"/>
          <w:highlight w:val="none"/>
        </w:rPr>
      </w:pPr>
      <w:r>
        <w:rPr>
          <w:rFonts w:hint="eastAsia"/>
          <w:color w:val="auto"/>
          <w:highlight w:val="none"/>
        </w:rPr>
        <w:t>3.本项目需要落实的政府采购政策</w:t>
      </w:r>
    </w:p>
    <w:p w14:paraId="1A688260">
      <w:pPr>
        <w:ind w:firstLine="420"/>
        <w:rPr>
          <w:color w:val="auto"/>
          <w:highlight w:val="none"/>
        </w:rPr>
      </w:pPr>
      <w:r>
        <w:rPr>
          <w:rFonts w:hint="eastAsia"/>
          <w:color w:val="auto"/>
          <w:highlight w:val="none"/>
        </w:rPr>
        <w:t>（1）政府采购促进中小企业发展。</w:t>
      </w:r>
    </w:p>
    <w:p w14:paraId="59D3C7EE">
      <w:pPr>
        <w:ind w:firstLine="420"/>
        <w:rPr>
          <w:color w:val="auto"/>
          <w:highlight w:val="none"/>
        </w:rPr>
      </w:pPr>
      <w:r>
        <w:rPr>
          <w:rFonts w:hint="eastAsia"/>
          <w:color w:val="auto"/>
          <w:highlight w:val="none"/>
        </w:rPr>
        <w:t>（2）政府采购支持采用本国产品的政策。</w:t>
      </w:r>
    </w:p>
    <w:p w14:paraId="3241771D">
      <w:pPr>
        <w:ind w:firstLine="420"/>
        <w:rPr>
          <w:color w:val="auto"/>
          <w:highlight w:val="none"/>
        </w:rPr>
      </w:pPr>
      <w:r>
        <w:rPr>
          <w:rFonts w:hint="eastAsia"/>
          <w:color w:val="auto"/>
          <w:highlight w:val="none"/>
        </w:rPr>
        <w:t>（3）强制采购节能产品；优先采购节能产品、环境标志产品。</w:t>
      </w:r>
    </w:p>
    <w:p w14:paraId="38BB293C">
      <w:pPr>
        <w:ind w:firstLine="420"/>
        <w:rPr>
          <w:color w:val="auto"/>
          <w:highlight w:val="none"/>
        </w:rPr>
      </w:pPr>
      <w:r>
        <w:rPr>
          <w:rFonts w:hint="eastAsia"/>
          <w:color w:val="auto"/>
          <w:highlight w:val="none"/>
        </w:rPr>
        <w:t>（4）政府采购促进残疾人就业政策。</w:t>
      </w:r>
    </w:p>
    <w:p w14:paraId="27BA3379">
      <w:pPr>
        <w:ind w:firstLine="420"/>
        <w:rPr>
          <w:color w:val="auto"/>
          <w:highlight w:val="none"/>
        </w:rPr>
      </w:pPr>
      <w:r>
        <w:rPr>
          <w:rFonts w:hint="eastAsia"/>
          <w:color w:val="auto"/>
          <w:highlight w:val="none"/>
        </w:rPr>
        <w:t>（5）政府采购支持监狱企业发展。</w:t>
      </w:r>
    </w:p>
    <w:p w14:paraId="46B6285A">
      <w:pPr>
        <w:ind w:firstLine="420"/>
        <w:rPr>
          <w:rFonts w:ascii="宋体" w:hAnsi="宋体" w:eastAsia="宋体" w:cs="Times New Roman"/>
          <w:color w:val="auto"/>
          <w:highlight w:val="none"/>
        </w:rPr>
      </w:pPr>
      <w:bookmarkStart w:id="6" w:name="_Hlk76374920"/>
      <w:r>
        <w:rPr>
          <w:rFonts w:hint="eastAsia" w:ascii="宋体" w:hAnsi="宋体" w:eastAsia="宋体" w:cs="宋体"/>
          <w:color w:val="auto"/>
          <w:kern w:val="0"/>
          <w:highlight w:val="none"/>
        </w:rPr>
        <w:t>4.供应商</w:t>
      </w:r>
      <w:r>
        <w:rPr>
          <w:rFonts w:hint="eastAsia" w:ascii="宋体" w:hAnsi="宋体" w:eastAsia="宋体" w:cs="Times New Roman"/>
          <w:color w:val="auto"/>
          <w:highlight w:val="none"/>
        </w:rPr>
        <w:t>竞标注意事项</w:t>
      </w:r>
    </w:p>
    <w:p w14:paraId="78ACF7BE">
      <w:pPr>
        <w:pageBreakBefore w:val="0"/>
        <w:kinsoku/>
        <w:wordWrap/>
        <w:overflowPunct/>
        <w:topLinePunct w:val="0"/>
        <w:autoSpaceDE/>
        <w:autoSpaceDN/>
        <w:bidi w:val="0"/>
        <w:adjustRightInd/>
        <w:spacing w:line="336" w:lineRule="auto"/>
        <w:ind w:firstLine="420"/>
        <w:textAlignment w:val="auto"/>
        <w:rPr>
          <w:rFonts w:ascii="宋体" w:hAnsi="宋体" w:eastAsia="宋体" w:cs="Times New Roman"/>
          <w:color w:val="auto"/>
          <w:highlight w:val="none"/>
        </w:rPr>
      </w:pPr>
      <w:r>
        <w:rPr>
          <w:rFonts w:hint="eastAsia" w:ascii="宋体" w:hAnsi="宋体" w:eastAsia="宋体" w:cs="Times New Roman"/>
          <w:color w:val="auto"/>
          <w:highlight w:val="none"/>
        </w:rPr>
        <w:t>（1）本项目为全流程电子化采购项目，通过“广西政府采购云”平台</w:t>
      </w:r>
      <w:r>
        <w:rPr>
          <w:rFonts w:hint="eastAsia" w:hAnsi="宋体" w:cs="宋体"/>
          <w:color w:val="auto"/>
          <w:highlight w:val="none"/>
        </w:rPr>
        <w:t>（https://www.gcy.zfcg.gxzf.gov.cn/）</w:t>
      </w:r>
      <w:r>
        <w:rPr>
          <w:rFonts w:hint="eastAsia" w:ascii="宋体" w:hAnsi="宋体" w:eastAsia="宋体" w:cs="Times New Roman"/>
          <w:color w:val="auto"/>
          <w:highlight w:val="none"/>
        </w:rPr>
        <w:t>实行在线电子竞标，供应商应先安装“广西政府采购云投标客户端”（请自行前往“广西政府采购云”平台进行下载），并按照本项目竞争性</w:t>
      </w:r>
      <w:r>
        <w:rPr>
          <w:rFonts w:hint="eastAsia" w:ascii="宋体" w:hAnsi="宋体" w:eastAsia="宋体" w:cs="Times New Roman"/>
          <w:color w:val="auto"/>
          <w:highlight w:val="none"/>
          <w:lang w:eastAsia="zh-CN"/>
        </w:rPr>
        <w:t>谈判</w:t>
      </w:r>
      <w:r>
        <w:rPr>
          <w:rFonts w:hint="eastAsia" w:ascii="宋体" w:hAnsi="宋体" w:eastAsia="宋体" w:cs="Times New Roman"/>
          <w:color w:val="auto"/>
          <w:highlight w:val="none"/>
        </w:rPr>
        <w:t>文件和“广西政府采购云”平台的要求编制、加密后在提交响应文件截止时间前通过网络上传至 “广西政府采购云”平台（加密的电子响应文件是指</w:t>
      </w:r>
      <w:r>
        <w:rPr>
          <w:rFonts w:hint="eastAsia" w:ascii="Times New Roman" w:hAnsi="Times New Roman" w:eastAsia="宋体" w:cs="Times New Roman"/>
          <w:color w:val="auto"/>
          <w:szCs w:val="24"/>
          <w:highlight w:val="none"/>
        </w:rPr>
        <w:t>后缀名为“jm</w:t>
      </w:r>
      <w:r>
        <w:rPr>
          <w:rFonts w:ascii="Times New Roman" w:hAnsi="Times New Roman" w:eastAsia="宋体" w:cs="Times New Roman"/>
          <w:color w:val="auto"/>
          <w:szCs w:val="24"/>
          <w:highlight w:val="none"/>
        </w:rPr>
        <w:t>bs</w:t>
      </w:r>
      <w:r>
        <w:rPr>
          <w:rFonts w:hint="eastAsia" w:ascii="Times New Roman" w:hAnsi="Times New Roman" w:eastAsia="宋体" w:cs="Times New Roman"/>
          <w:color w:val="auto"/>
          <w:szCs w:val="24"/>
          <w:highlight w:val="none"/>
        </w:rPr>
        <w:t>”的文件</w:t>
      </w:r>
      <w:r>
        <w:rPr>
          <w:rFonts w:hint="eastAsia" w:ascii="宋体" w:hAnsi="宋体" w:eastAsia="宋体" w:cs="Times New Roman"/>
          <w:color w:val="auto"/>
          <w:highlight w:val="none"/>
        </w:rPr>
        <w:t>），</w:t>
      </w:r>
      <w:r>
        <w:rPr>
          <w:rFonts w:hint="eastAsia" w:ascii="宋体" w:hAnsi="宋体" w:eastAsia="宋体" w:cs="Times New Roman"/>
          <w:b/>
          <w:color w:val="auto"/>
          <w:highlight w:val="none"/>
        </w:rPr>
        <w:t>供应商在“广西政府采购云”平台提交电子响应文件时，请填写参加远程采购活动经办人联系方式。</w:t>
      </w:r>
      <w:r>
        <w:rPr>
          <w:rFonts w:hint="eastAsia" w:ascii="宋体" w:hAnsi="宋体" w:eastAsia="宋体" w:cs="Times New Roman"/>
          <w:color w:val="auto"/>
          <w:highlight w:val="none"/>
        </w:rPr>
        <w:t>供应商登录“广西政府采购云”平台，依次进入“服务中心-项目采购-操作流程-电子招投标-</w:t>
      </w:r>
      <w:r>
        <w:rPr>
          <w:rFonts w:hint="eastAsia" w:ascii="Times New Roman" w:hAnsi="Times New Roman" w:eastAsia="宋体" w:cs="Times New Roman"/>
          <w:color w:val="auto"/>
          <w:szCs w:val="24"/>
          <w:highlight w:val="none"/>
        </w:rPr>
        <w:t>政府采购项目电子交易管理操作指南</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供应商</w:t>
      </w:r>
      <w:r>
        <w:rPr>
          <w:rFonts w:hint="eastAsia" w:ascii="宋体" w:hAnsi="宋体" w:eastAsia="宋体" w:cs="Times New Roman"/>
          <w:color w:val="auto"/>
          <w:highlight w:val="none"/>
        </w:rPr>
        <w:t>”查看电子竞标具体操作流程。</w:t>
      </w:r>
    </w:p>
    <w:p w14:paraId="76DE50E4">
      <w:pPr>
        <w:pageBreakBefore w:val="0"/>
        <w:kinsoku/>
        <w:wordWrap/>
        <w:overflowPunct/>
        <w:topLinePunct w:val="0"/>
        <w:autoSpaceDE/>
        <w:autoSpaceDN/>
        <w:bidi w:val="0"/>
        <w:adjustRightInd/>
        <w:spacing w:line="336" w:lineRule="auto"/>
        <w:ind w:firstLine="420"/>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highlight w:val="none"/>
        </w:rPr>
        <w:t>“广西政府采购云”平台，</w:t>
      </w:r>
      <w:r>
        <w:rPr>
          <w:rFonts w:hint="eastAsia" w:ascii="宋体" w:hAnsi="宋体" w:eastAsia="宋体" w:cs="Times New Roman"/>
          <w:color w:val="auto"/>
          <w:highlight w:val="none"/>
        </w:rPr>
        <w:t>依次进入“服务中心-入驻与配置”中查看CA数字证书办理操作流程。</w:t>
      </w:r>
      <w:r>
        <w:rPr>
          <w:rFonts w:hint="eastAsia" w:ascii="宋体" w:hAnsi="宋体" w:eastAsia="宋体" w:cs="宋体"/>
          <w:bCs/>
          <w:color w:val="auto"/>
          <w:kern w:val="0"/>
          <w:highlight w:val="none"/>
        </w:rPr>
        <w:t>如在操作过程中遇到问题或者需要技术支持，请致电广西政府采购云客服热线：</w:t>
      </w:r>
      <w:r>
        <w:rPr>
          <w:rFonts w:hAnsi="宋体" w:cs="宋体"/>
          <w:bCs/>
          <w:color w:val="auto"/>
          <w:kern w:val="0"/>
          <w:highlight w:val="none"/>
        </w:rPr>
        <w:t>95763</w:t>
      </w:r>
      <w:r>
        <w:rPr>
          <w:rFonts w:hint="eastAsia" w:ascii="宋体" w:hAnsi="宋体" w:eastAsia="宋体" w:cs="Times New Roman"/>
          <w:color w:val="auto"/>
          <w:highlight w:val="none"/>
        </w:rPr>
        <w:t>）。</w:t>
      </w:r>
    </w:p>
    <w:p w14:paraId="51DC0931">
      <w:pPr>
        <w:pageBreakBefore w:val="0"/>
        <w:widowControl w:val="0"/>
        <w:kinsoku/>
        <w:wordWrap/>
        <w:overflowPunct/>
        <w:topLinePunct w:val="0"/>
        <w:autoSpaceDE/>
        <w:autoSpaceDN/>
        <w:bidi w:val="0"/>
        <w:adjustRightInd/>
        <w:snapToGrid w:val="0"/>
        <w:spacing w:line="336" w:lineRule="auto"/>
        <w:ind w:firstLine="420"/>
        <w:jc w:val="both"/>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B67E719">
      <w:pPr>
        <w:pageBreakBefore w:val="0"/>
        <w:kinsoku/>
        <w:wordWrap/>
        <w:overflowPunct/>
        <w:topLinePunct w:val="0"/>
        <w:autoSpaceDE/>
        <w:autoSpaceDN/>
        <w:bidi w:val="0"/>
        <w:adjustRightInd/>
        <w:spacing w:line="336" w:lineRule="auto"/>
        <w:ind w:firstLine="420"/>
        <w:textAlignment w:val="auto"/>
        <w:rPr>
          <w:rFonts w:ascii="宋体" w:hAnsi="宋体" w:eastAsia="宋体" w:cs="Times New Roman"/>
          <w:bCs/>
          <w:color w:val="auto"/>
          <w:highlight w:val="none"/>
        </w:rPr>
      </w:pPr>
      <w:r>
        <w:rPr>
          <w:rFonts w:hint="eastAsia" w:ascii="宋体" w:hAnsi="宋体" w:eastAsia="宋体" w:cs="Times New Roman"/>
          <w:color w:val="auto"/>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581F6D0">
      <w:pPr>
        <w:pageBreakBefore w:val="0"/>
        <w:widowControl w:val="0"/>
        <w:kinsoku/>
        <w:wordWrap/>
        <w:overflowPunct/>
        <w:topLinePunct w:val="0"/>
        <w:autoSpaceDE/>
        <w:autoSpaceDN/>
        <w:bidi w:val="0"/>
        <w:adjustRightInd/>
        <w:spacing w:line="336" w:lineRule="auto"/>
        <w:ind w:firstLine="420"/>
        <w:jc w:val="both"/>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（4）供应商需要在具备有摄像头及语音功能且互联网网络状况良好的电脑登录“广西政府采购云”平台远程开标大厅参与本次</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，否则后果自负。</w:t>
      </w:r>
    </w:p>
    <w:p w14:paraId="60ABEDB5">
      <w:pPr>
        <w:pageBreakBefore w:val="0"/>
        <w:widowControl w:val="0"/>
        <w:kinsoku/>
        <w:wordWrap/>
        <w:overflowPunct/>
        <w:topLinePunct w:val="0"/>
        <w:autoSpaceDE/>
        <w:autoSpaceDN/>
        <w:bidi w:val="0"/>
        <w:adjustRightInd/>
        <w:spacing w:line="336" w:lineRule="auto"/>
        <w:ind w:firstLine="420"/>
        <w:jc w:val="both"/>
        <w:textAlignment w:val="auto"/>
        <w:rPr>
          <w:rFonts w:ascii="宋体" w:hAnsi="宋体" w:eastAsia="宋体" w:cs="Times New Roman"/>
          <w:color w:val="auto"/>
          <w:highlight w:val="none"/>
          <w:u w:val="single"/>
        </w:rPr>
      </w:pPr>
      <w:r>
        <w:rPr>
          <w:rFonts w:hint="eastAsia" w:hAnsi="宋体"/>
          <w:bCs/>
          <w:color w:val="auto"/>
          <w:highlight w:val="none"/>
        </w:rPr>
        <w:t>（5）</w:t>
      </w:r>
      <w:r>
        <w:rPr>
          <w:rFonts w:hAnsi="宋体"/>
          <w:bCs/>
          <w:color w:val="auto"/>
          <w:highlight w:val="none"/>
        </w:rPr>
        <w:t>电子标项目不要求参与</w:t>
      </w:r>
      <w:r>
        <w:rPr>
          <w:rFonts w:hint="eastAsia" w:hAnsi="宋体"/>
          <w:bCs/>
          <w:color w:val="auto"/>
          <w:highlight w:val="none"/>
        </w:rPr>
        <w:t>竞标</w:t>
      </w:r>
      <w:r>
        <w:rPr>
          <w:rFonts w:hAnsi="宋体"/>
          <w:bCs/>
          <w:color w:val="auto"/>
          <w:highlight w:val="none"/>
        </w:rPr>
        <w:t>的</w:t>
      </w:r>
      <w:r>
        <w:rPr>
          <w:rFonts w:hint="eastAsia" w:hAnsi="宋体"/>
          <w:bCs/>
          <w:color w:val="auto"/>
          <w:highlight w:val="none"/>
        </w:rPr>
        <w:t>供应商</w:t>
      </w:r>
      <w:r>
        <w:rPr>
          <w:rFonts w:hAnsi="宋体"/>
          <w:bCs/>
          <w:color w:val="auto"/>
          <w:highlight w:val="none"/>
        </w:rPr>
        <w:t>到达现场，但</w:t>
      </w:r>
      <w:r>
        <w:rPr>
          <w:rFonts w:hint="eastAsia" w:hAnsi="宋体"/>
          <w:bCs/>
          <w:color w:val="auto"/>
          <w:highlight w:val="none"/>
        </w:rPr>
        <w:t>供应商</w:t>
      </w:r>
      <w:r>
        <w:rPr>
          <w:rFonts w:hAnsi="宋体"/>
          <w:bCs/>
          <w:color w:val="auto"/>
          <w:highlight w:val="none"/>
        </w:rPr>
        <w:t>应派法定代表人或委托代理人准时在线出席电子开评标会议，随时关注开评标进度，如在开评标过程中有电子询标，应在规定的时间内对电子询标函进行澄清回复。</w:t>
      </w:r>
    </w:p>
    <w:bookmarkEnd w:id="6"/>
    <w:p w14:paraId="06134D7D">
      <w:pPr>
        <w:pStyle w:val="50"/>
        <w:pageBreakBefore w:val="0"/>
        <w:kinsoku/>
        <w:wordWrap/>
        <w:overflowPunct/>
        <w:topLinePunct w:val="0"/>
        <w:autoSpaceDE/>
        <w:autoSpaceDN/>
        <w:bidi w:val="0"/>
        <w:adjustRightInd/>
        <w:spacing w:line="336" w:lineRule="auto"/>
        <w:textAlignment w:val="auto"/>
        <w:rPr>
          <w:color w:val="auto"/>
          <w:highlight w:val="none"/>
        </w:rPr>
      </w:pPr>
      <w:r>
        <w:rPr>
          <w:rFonts w:hint="eastAsia"/>
          <w:color w:val="auto"/>
          <w:highlight w:val="none"/>
        </w:rPr>
        <w:t>八、凡对本次采购提出询问，请按以下方式联系</w:t>
      </w:r>
    </w:p>
    <w:p w14:paraId="46CB4808">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Calibri" w:eastAsia="宋体" w:cs="Times New Roman"/>
          <w:color w:val="auto"/>
          <w:highlight w:val="none"/>
        </w:rPr>
      </w:pPr>
      <w:r>
        <w:rPr>
          <w:rFonts w:hint="eastAsia" w:ascii="宋体" w:hAnsi="Calibri" w:eastAsia="宋体" w:cs="Times New Roman"/>
          <w:color w:val="auto"/>
          <w:highlight w:val="none"/>
        </w:rPr>
        <w:t>1.采购人信息</w:t>
      </w:r>
    </w:p>
    <w:p w14:paraId="3B774A9F">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Calibri" w:cs="Times New Roman" w:eastAsiaTheme="minorEastAsia"/>
          <w:color w:val="auto"/>
          <w:highlight w:val="none"/>
          <w:lang w:val="en-US" w:eastAsia="zh-CN"/>
        </w:rPr>
      </w:pPr>
      <w:r>
        <w:rPr>
          <w:rFonts w:hint="eastAsia" w:ascii="宋体" w:hAnsi="Calibri" w:eastAsia="宋体" w:cs="Times New Roman"/>
          <w:color w:val="auto"/>
          <w:highlight w:val="none"/>
        </w:rPr>
        <w:t>名    称：</w:t>
      </w:r>
      <w:r>
        <w:rPr>
          <w:rFonts w:hint="eastAsia" w:hAnsi="宋体"/>
          <w:szCs w:val="21"/>
          <w:highlight w:val="none"/>
        </w:rPr>
        <w:t>广西科技大学第一附属医院</w:t>
      </w:r>
      <w:r>
        <w:rPr>
          <w:rFonts w:hint="eastAsia" w:hAnsi="宋体"/>
          <w:szCs w:val="21"/>
          <w:highlight w:val="none"/>
          <w:lang w:val="en-US" w:eastAsia="zh-CN"/>
        </w:rPr>
        <w:tab/>
      </w:r>
    </w:p>
    <w:p w14:paraId="35F1C6A1">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Calibri" w:eastAsia="宋体" w:cs="Times New Roman"/>
          <w:color w:val="auto"/>
          <w:highlight w:val="none"/>
        </w:rPr>
      </w:pPr>
      <w:r>
        <w:rPr>
          <w:rFonts w:hint="eastAsia" w:ascii="宋体" w:hAnsi="Calibri" w:eastAsia="宋体" w:cs="Times New Roman"/>
          <w:color w:val="auto"/>
          <w:highlight w:val="none"/>
        </w:rPr>
        <w:t>地    址：</w:t>
      </w:r>
      <w:r>
        <w:rPr>
          <w:rFonts w:hint="eastAsia" w:hAnsi="宋体"/>
          <w:szCs w:val="21"/>
          <w:highlight w:val="none"/>
        </w:rPr>
        <w:t>柳州市跃进路124号</w:t>
      </w:r>
    </w:p>
    <w:p w14:paraId="7D5C75B9">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Calibri" w:cs="Times New Roman" w:eastAsiaTheme="minorEastAsia"/>
          <w:color w:val="auto"/>
          <w:highlight w:val="none"/>
          <w:lang w:val="en-US" w:eastAsia="zh-CN"/>
        </w:rPr>
      </w:pPr>
      <w:r>
        <w:rPr>
          <w:rFonts w:hint="eastAsia" w:ascii="宋体" w:hAnsi="Calibri" w:eastAsia="宋体" w:cs="Times New Roman"/>
          <w:color w:val="auto"/>
          <w:highlight w:val="none"/>
        </w:rPr>
        <w:t>项目联系人：</w:t>
      </w:r>
      <w:r>
        <w:rPr>
          <w:rFonts w:hint="eastAsia" w:hAnsi="宋体"/>
          <w:szCs w:val="21"/>
          <w:highlight w:val="none"/>
        </w:rPr>
        <w:t>唐</w:t>
      </w:r>
      <w:r>
        <w:rPr>
          <w:rFonts w:hint="eastAsia" w:hAnsi="宋体"/>
          <w:szCs w:val="21"/>
          <w:highlight w:val="none"/>
          <w:lang w:eastAsia="zh-CN"/>
        </w:rPr>
        <w:t>艺荣</w:t>
      </w:r>
    </w:p>
    <w:p w14:paraId="62574D3E">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color w:val="auto"/>
          <w:highlight w:val="none"/>
        </w:rPr>
      </w:pPr>
      <w:r>
        <w:rPr>
          <w:rFonts w:hint="eastAsia" w:ascii="宋体" w:hAnsi="Calibri" w:eastAsia="宋体" w:cs="Times New Roman"/>
          <w:color w:val="auto"/>
          <w:highlight w:val="none"/>
        </w:rPr>
        <w:t>项目联系方式：</w:t>
      </w:r>
      <w:r>
        <w:rPr>
          <w:rFonts w:hint="eastAsia" w:hAnsi="宋体"/>
          <w:szCs w:val="21"/>
          <w:highlight w:val="none"/>
        </w:rPr>
        <w:t>0772-</w:t>
      </w:r>
      <w:r>
        <w:rPr>
          <w:rFonts w:hAnsi="宋体"/>
          <w:szCs w:val="21"/>
          <w:highlight w:val="none"/>
        </w:rPr>
        <w:t>2699225</w:t>
      </w:r>
    </w:p>
    <w:p w14:paraId="2F7E3B07">
      <w:pPr>
        <w:keepNext w:val="0"/>
        <w:keepLines w:val="0"/>
        <w:pageBreakBefore w:val="0"/>
        <w:widowControl/>
        <w:kinsoku/>
        <w:wordWrap/>
        <w:overflowPunct/>
        <w:topLinePunct w:val="0"/>
        <w:autoSpaceDE/>
        <w:autoSpaceDN/>
        <w:bidi w:val="0"/>
        <w:adjustRightInd/>
        <w:snapToGrid/>
        <w:spacing w:line="360" w:lineRule="auto"/>
        <w:ind w:firstLine="420"/>
        <w:textAlignment w:val="auto"/>
        <w:rPr>
          <w:color w:val="auto"/>
          <w:highlight w:val="none"/>
        </w:rPr>
      </w:pPr>
      <w:r>
        <w:rPr>
          <w:rFonts w:hint="eastAsia"/>
          <w:color w:val="auto"/>
          <w:highlight w:val="none"/>
        </w:rPr>
        <w:t>2.采购代理机构信息</w:t>
      </w:r>
    </w:p>
    <w:p w14:paraId="206DE291">
      <w:pPr>
        <w:keepNext w:val="0"/>
        <w:keepLines w:val="0"/>
        <w:pageBreakBefore w:val="0"/>
        <w:widowControl/>
        <w:kinsoku/>
        <w:wordWrap/>
        <w:overflowPunct/>
        <w:topLinePunct w:val="0"/>
        <w:autoSpaceDE/>
        <w:autoSpaceDN/>
        <w:bidi w:val="0"/>
        <w:adjustRightInd/>
        <w:snapToGrid/>
        <w:spacing w:line="360" w:lineRule="auto"/>
        <w:ind w:firstLine="420"/>
        <w:textAlignment w:val="auto"/>
        <w:rPr>
          <w:color w:val="auto"/>
          <w:highlight w:val="none"/>
        </w:rPr>
      </w:pPr>
      <w:r>
        <w:rPr>
          <w:rFonts w:hint="eastAsia"/>
          <w:color w:val="auto"/>
          <w:highlight w:val="none"/>
        </w:rPr>
        <w:t>名    称：云之龙咨询集团有限公司</w:t>
      </w:r>
    </w:p>
    <w:p w14:paraId="7B331331">
      <w:pPr>
        <w:keepNext w:val="0"/>
        <w:keepLines w:val="0"/>
        <w:pageBreakBefore w:val="0"/>
        <w:widowControl/>
        <w:kinsoku/>
        <w:wordWrap/>
        <w:overflowPunct/>
        <w:topLinePunct w:val="0"/>
        <w:autoSpaceDE/>
        <w:autoSpaceDN/>
        <w:bidi w:val="0"/>
        <w:adjustRightInd/>
        <w:snapToGrid/>
        <w:spacing w:line="360" w:lineRule="auto"/>
        <w:ind w:firstLine="420"/>
        <w:textAlignment w:val="auto"/>
        <w:rPr>
          <w:color w:val="auto"/>
          <w:highlight w:val="none"/>
        </w:rPr>
      </w:pPr>
      <w:r>
        <w:rPr>
          <w:rFonts w:hint="eastAsia"/>
          <w:color w:val="auto"/>
          <w:highlight w:val="none"/>
        </w:rPr>
        <w:t>地　　址：柳州市滨江东路16号三区二层211-218室</w:t>
      </w:r>
    </w:p>
    <w:p w14:paraId="2F76717A">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default" w:eastAsiaTheme="minorEastAsia"/>
          <w:color w:val="auto"/>
          <w:highlight w:val="none"/>
          <w:lang w:val="en-US" w:eastAsia="zh-CN"/>
        </w:rPr>
      </w:pPr>
      <w:r>
        <w:rPr>
          <w:rFonts w:hint="eastAsia"/>
          <w:color w:val="auto"/>
          <w:highlight w:val="none"/>
        </w:rPr>
        <w:t>项目联系人：</w:t>
      </w:r>
      <w:r>
        <w:rPr>
          <w:rFonts w:hint="eastAsia"/>
          <w:color w:val="auto"/>
          <w:highlight w:val="none"/>
          <w:lang w:val="en-US" w:eastAsia="zh-CN"/>
        </w:rPr>
        <w:t>韦力、田京灵</w:t>
      </w:r>
    </w:p>
    <w:p w14:paraId="705B6686">
      <w:pPr>
        <w:keepNext w:val="0"/>
        <w:keepLines w:val="0"/>
        <w:pageBreakBefore w:val="0"/>
        <w:widowControl/>
        <w:kinsoku/>
        <w:wordWrap/>
        <w:overflowPunct/>
        <w:topLinePunct w:val="0"/>
        <w:autoSpaceDE/>
        <w:autoSpaceDN/>
        <w:bidi w:val="0"/>
        <w:adjustRightInd/>
        <w:snapToGrid/>
        <w:spacing w:line="360" w:lineRule="auto"/>
        <w:ind w:firstLine="420"/>
        <w:textAlignment w:val="auto"/>
        <w:rPr>
          <w:color w:val="auto"/>
          <w:highlight w:val="none"/>
        </w:rPr>
      </w:pPr>
      <w:r>
        <w:rPr>
          <w:rFonts w:hint="eastAsia"/>
          <w:color w:val="auto"/>
          <w:highlight w:val="none"/>
        </w:rPr>
        <w:t>项目联系方式：0772-3310669、3310109</w:t>
      </w:r>
      <w:r>
        <w:rPr>
          <w:color w:val="auto"/>
          <w:highlight w:val="none"/>
        </w:rPr>
        <w:br w:type="page"/>
      </w:r>
    </w:p>
    <w:p w14:paraId="4D204936">
      <w:pPr>
        <w:pStyle w:val="44"/>
        <w:rPr>
          <w:color w:val="auto"/>
          <w:highlight w:val="none"/>
        </w:rPr>
      </w:pPr>
      <w:bookmarkStart w:id="7" w:name="_Toc76480566"/>
      <w:r>
        <w:rPr>
          <w:rFonts w:hint="eastAsia"/>
          <w:color w:val="auto"/>
          <w:highlight w:val="none"/>
        </w:rPr>
        <w:t>第二章 供应商须知</w:t>
      </w:r>
      <w:bookmarkEnd w:id="7"/>
    </w:p>
    <w:p w14:paraId="1EF98F76">
      <w:pPr>
        <w:pStyle w:val="58"/>
        <w:rPr>
          <w:color w:val="auto"/>
          <w:highlight w:val="none"/>
        </w:rPr>
      </w:pPr>
      <w:r>
        <w:rPr>
          <w:rFonts w:hint="eastAsia"/>
          <w:color w:val="auto"/>
          <w:highlight w:val="none"/>
        </w:rPr>
        <w:t>供应商须知前附表</w:t>
      </w:r>
    </w:p>
    <w:tbl>
      <w:tblPr>
        <w:tblStyle w:val="31"/>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7539"/>
      </w:tblGrid>
      <w:tr w14:paraId="0B8C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tcPr>
          <w:p w14:paraId="148DDBB8">
            <w:pPr>
              <w:ind w:firstLine="0" w:firstLineChars="0"/>
              <w:jc w:val="center"/>
              <w:rPr>
                <w:b/>
                <w:bCs/>
                <w:color w:val="auto"/>
                <w:highlight w:val="none"/>
              </w:rPr>
            </w:pPr>
            <w:r>
              <w:rPr>
                <w:rFonts w:hint="eastAsia"/>
                <w:b/>
                <w:bCs/>
                <w:color w:val="auto"/>
                <w:highlight w:val="none"/>
              </w:rPr>
              <w:t>条款号</w:t>
            </w:r>
          </w:p>
        </w:tc>
        <w:tc>
          <w:tcPr>
            <w:tcW w:w="7539" w:type="dxa"/>
          </w:tcPr>
          <w:p w14:paraId="6B4BF00D">
            <w:pPr>
              <w:ind w:firstLine="0" w:firstLineChars="0"/>
              <w:jc w:val="center"/>
              <w:rPr>
                <w:b/>
                <w:bCs/>
                <w:color w:val="auto"/>
                <w:highlight w:val="none"/>
              </w:rPr>
            </w:pPr>
            <w:r>
              <w:rPr>
                <w:rFonts w:hint="eastAsia"/>
                <w:b/>
                <w:bCs/>
                <w:color w:val="auto"/>
                <w:highlight w:val="none"/>
              </w:rPr>
              <w:t>内    容</w:t>
            </w:r>
          </w:p>
        </w:tc>
      </w:tr>
      <w:tr w14:paraId="77DF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6E426BD2">
            <w:pPr>
              <w:ind w:firstLine="0" w:firstLineChars="0"/>
              <w:jc w:val="center"/>
              <w:rPr>
                <w:color w:val="auto"/>
                <w:highlight w:val="none"/>
              </w:rPr>
            </w:pPr>
            <w:r>
              <w:rPr>
                <w:rFonts w:hint="eastAsia"/>
                <w:color w:val="auto"/>
                <w:highlight w:val="none"/>
              </w:rPr>
              <w:t>3</w:t>
            </w:r>
          </w:p>
        </w:tc>
        <w:tc>
          <w:tcPr>
            <w:tcW w:w="7539" w:type="dxa"/>
            <w:vAlign w:val="center"/>
          </w:tcPr>
          <w:p w14:paraId="7E55CDB3">
            <w:pPr>
              <w:ind w:firstLine="0" w:firstLineChars="0"/>
              <w:rPr>
                <w:rFonts w:cs="Times New Roman"/>
                <w:color w:val="auto"/>
                <w:highlight w:val="none"/>
              </w:rPr>
            </w:pPr>
            <w:r>
              <w:rPr>
                <w:rFonts w:hint="eastAsia"/>
                <w:bCs/>
                <w:color w:val="auto"/>
                <w:highlight w:val="none"/>
              </w:rPr>
              <w:t>1.供应商的资格条件</w:t>
            </w:r>
            <w:r>
              <w:rPr>
                <w:rFonts w:hint="eastAsia"/>
                <w:color w:val="auto"/>
                <w:highlight w:val="none"/>
              </w:rPr>
              <w:t>：详见竞争性</w:t>
            </w:r>
            <w:r>
              <w:rPr>
                <w:rFonts w:hint="eastAsia"/>
                <w:color w:val="auto"/>
                <w:highlight w:val="none"/>
                <w:lang w:eastAsia="zh-CN"/>
              </w:rPr>
              <w:t>谈判</w:t>
            </w:r>
            <w:r>
              <w:rPr>
                <w:rFonts w:hint="eastAsia"/>
                <w:color w:val="auto"/>
                <w:highlight w:val="none"/>
              </w:rPr>
              <w:t>公告</w:t>
            </w:r>
          </w:p>
          <w:p w14:paraId="3CFB92A9">
            <w:pPr>
              <w:ind w:firstLine="0" w:firstLineChars="0"/>
              <w:rPr>
                <w:color w:val="auto"/>
                <w:highlight w:val="none"/>
              </w:rPr>
            </w:pPr>
            <w:r>
              <w:rPr>
                <w:rFonts w:hint="eastAsia"/>
                <w:color w:val="auto"/>
                <w:highlight w:val="none"/>
              </w:rPr>
              <w:t>2.</w:t>
            </w:r>
            <w:r>
              <w:rPr>
                <w:rFonts w:hint="eastAsia"/>
                <w:bCs/>
                <w:color w:val="auto"/>
                <w:highlight w:val="none"/>
              </w:rPr>
              <w:t>供应商</w:t>
            </w:r>
            <w:r>
              <w:rPr>
                <w:rFonts w:hint="eastAsia"/>
                <w:color w:val="auto"/>
                <w:highlight w:val="none"/>
              </w:rPr>
              <w:t>出现下列情形之一的，不得参加政府采购活动：</w:t>
            </w:r>
          </w:p>
          <w:p w14:paraId="385D3B3F">
            <w:pPr>
              <w:ind w:firstLine="420"/>
              <w:rPr>
                <w:color w:val="auto"/>
                <w:highlight w:val="none"/>
              </w:rPr>
            </w:pPr>
            <w:r>
              <w:rPr>
                <w:rFonts w:hint="eastAsia"/>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AB29D6C">
            <w:pPr>
              <w:ind w:firstLine="420"/>
              <w:rPr>
                <w:color w:val="auto"/>
                <w:highlight w:val="none"/>
              </w:rPr>
            </w:pPr>
            <w:r>
              <w:rPr>
                <w:rFonts w:hint="eastAsia"/>
                <w:color w:val="auto"/>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0A64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FB0ABEA">
            <w:pPr>
              <w:ind w:firstLine="0" w:firstLineChars="0"/>
              <w:jc w:val="center"/>
              <w:rPr>
                <w:color w:val="auto"/>
                <w:highlight w:val="none"/>
              </w:rPr>
            </w:pPr>
            <w:r>
              <w:rPr>
                <w:rFonts w:hint="eastAsia"/>
                <w:color w:val="auto"/>
                <w:highlight w:val="none"/>
              </w:rPr>
              <w:t>5.1</w:t>
            </w:r>
          </w:p>
        </w:tc>
        <w:tc>
          <w:tcPr>
            <w:tcW w:w="7539" w:type="dxa"/>
            <w:vAlign w:val="center"/>
          </w:tcPr>
          <w:p w14:paraId="67DC2BD6">
            <w:pPr>
              <w:ind w:firstLine="0" w:firstLineChars="0"/>
              <w:rPr>
                <w:color w:val="auto"/>
                <w:highlight w:val="none"/>
              </w:rPr>
            </w:pPr>
            <w:r>
              <w:rPr>
                <w:rFonts w:hint="eastAsia"/>
                <w:color w:val="auto"/>
                <w:highlight w:val="none"/>
              </w:rPr>
              <w:t>是否接受联合体竞标：详见竞争性</w:t>
            </w:r>
            <w:r>
              <w:rPr>
                <w:rFonts w:hint="eastAsia"/>
                <w:color w:val="auto"/>
                <w:highlight w:val="none"/>
                <w:lang w:eastAsia="zh-CN"/>
              </w:rPr>
              <w:t>谈判</w:t>
            </w:r>
            <w:r>
              <w:rPr>
                <w:rFonts w:hint="eastAsia"/>
                <w:color w:val="auto"/>
                <w:highlight w:val="none"/>
              </w:rPr>
              <w:t>公告</w:t>
            </w:r>
          </w:p>
        </w:tc>
      </w:tr>
      <w:tr w14:paraId="4D3D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2FDB619">
            <w:pPr>
              <w:ind w:firstLine="0" w:firstLineChars="0"/>
              <w:jc w:val="center"/>
              <w:rPr>
                <w:color w:val="auto"/>
                <w:highlight w:val="none"/>
              </w:rPr>
            </w:pPr>
            <w:r>
              <w:rPr>
                <w:rFonts w:hint="eastAsia"/>
                <w:color w:val="auto"/>
                <w:highlight w:val="none"/>
              </w:rPr>
              <w:t>5</w:t>
            </w:r>
            <w:r>
              <w:rPr>
                <w:color w:val="auto"/>
                <w:highlight w:val="none"/>
              </w:rPr>
              <w:t>.2</w:t>
            </w:r>
          </w:p>
        </w:tc>
        <w:tc>
          <w:tcPr>
            <w:tcW w:w="7539" w:type="dxa"/>
            <w:vAlign w:val="center"/>
          </w:tcPr>
          <w:p w14:paraId="42B390C9">
            <w:pPr>
              <w:ind w:firstLine="0" w:firstLineChars="0"/>
              <w:rPr>
                <w:rFonts w:cs="Times New Roman"/>
                <w:color w:val="auto"/>
                <w:highlight w:val="none"/>
              </w:rPr>
            </w:pPr>
            <w:r>
              <w:rPr>
                <w:rFonts w:hint="eastAsia" w:cs="Times New Roman"/>
                <w:color w:val="auto"/>
                <w:highlight w:val="none"/>
              </w:rPr>
              <w:t>如接受联合体竞标，联合体竞标要求如下：</w:t>
            </w:r>
          </w:p>
          <w:p w14:paraId="66AEC22B">
            <w:pPr>
              <w:ind w:firstLine="0" w:firstLineChars="0"/>
              <w:rPr>
                <w:rFonts w:ascii="宋体" w:hAnsi="宋体" w:cs="宋体"/>
                <w:color w:val="auto"/>
                <w:highlight w:val="none"/>
              </w:rPr>
            </w:pPr>
            <w:r>
              <w:rPr>
                <w:rFonts w:hint="eastAsia" w:ascii="宋体" w:hAnsi="宋体" w:cs="宋体"/>
                <w:color w:val="auto"/>
                <w:highlight w:val="none"/>
              </w:rPr>
              <w:t>1.两个以上供应商可以组成一个竞标联合体，以一个供应商的身份共同参加竞标。联合体竞标的，须提供《联合体竞标协议书》（格式后附）。</w:t>
            </w:r>
          </w:p>
          <w:p w14:paraId="30985BFF">
            <w:pPr>
              <w:ind w:firstLine="0" w:firstLineChars="0"/>
              <w:rPr>
                <w:rFonts w:ascii="宋体" w:hAnsi="宋体" w:cs="宋体"/>
                <w:color w:val="auto"/>
                <w:highlight w:val="none"/>
              </w:rPr>
            </w:pPr>
            <w:r>
              <w:rPr>
                <w:rFonts w:hint="eastAsia" w:ascii="宋体" w:hAnsi="宋体" w:cs="宋体"/>
                <w:color w:val="auto"/>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w:t>
            </w:r>
            <w:r>
              <w:rPr>
                <w:rFonts w:hint="eastAsia" w:ascii="宋体" w:hAnsi="宋体" w:cs="宋体"/>
                <w:color w:val="auto"/>
                <w:highlight w:val="none"/>
                <w:lang w:eastAsia="zh-CN"/>
              </w:rPr>
              <w:t>谈判</w:t>
            </w:r>
            <w:r>
              <w:rPr>
                <w:rFonts w:hint="eastAsia" w:ascii="宋体" w:hAnsi="宋体" w:cs="宋体"/>
                <w:color w:val="auto"/>
                <w:highlight w:val="none"/>
              </w:rPr>
              <w:t>文件规定的特定条件。</w:t>
            </w:r>
          </w:p>
          <w:p w14:paraId="04AB795B">
            <w:pPr>
              <w:ind w:firstLine="0" w:firstLineChars="0"/>
              <w:rPr>
                <w:rFonts w:ascii="宋体" w:hAnsi="宋体" w:cs="宋体"/>
                <w:color w:val="auto"/>
                <w:highlight w:val="none"/>
              </w:rPr>
            </w:pPr>
            <w:r>
              <w:rPr>
                <w:rFonts w:hint="eastAsia" w:ascii="宋体" w:hAnsi="宋体" w:cs="宋体"/>
                <w:color w:val="auto"/>
                <w:highlight w:val="none"/>
              </w:rPr>
              <w:t>3.联合体各方之间必须签订联合竞标协议，协议书必须明确主体方（或者牵头方）并明确约定联合体各方承担的工作和相应的责任（</w:t>
            </w:r>
            <w:r>
              <w:rPr>
                <w:rFonts w:hint="eastAsia" w:ascii="宋体" w:hAnsi="宋体" w:cs="宋体"/>
                <w:b/>
                <w:bCs/>
                <w:color w:val="auto"/>
                <w:highlight w:val="none"/>
              </w:rPr>
              <w:t>各方承担责任与义务的分工必须符合采购需求，否则，联合体竞标无效</w:t>
            </w:r>
            <w:r>
              <w:rPr>
                <w:rFonts w:hint="eastAsia" w:ascii="宋体" w:hAnsi="宋体" w:cs="宋体"/>
                <w:color w:val="auto"/>
                <w:highlight w:val="none"/>
              </w:rPr>
              <w:t>），并将联合竞标协议放入响应文件。联合体各方必须共同与采购人签订采购合同，就采购合同约定的事项对采购人承担连带责任。</w:t>
            </w:r>
          </w:p>
          <w:p w14:paraId="74F75F51">
            <w:pPr>
              <w:ind w:firstLine="0" w:firstLineChars="0"/>
              <w:rPr>
                <w:rFonts w:ascii="宋体" w:hAnsi="宋体" w:cs="宋体"/>
                <w:color w:val="auto"/>
                <w:highlight w:val="none"/>
              </w:rPr>
            </w:pPr>
            <w:r>
              <w:rPr>
                <w:rFonts w:hint="eastAsia" w:ascii="宋体" w:hAnsi="宋体" w:cs="宋体"/>
                <w:color w:val="auto"/>
                <w:highlight w:val="none"/>
              </w:rPr>
              <w:t>4.以联合体形式参加政府采购活动的，联合体各方不得再单独参加或者与其他供应商另外组成联合体参加同一合同项下的政府采购活动。</w:t>
            </w:r>
          </w:p>
          <w:p w14:paraId="07EC080A">
            <w:pPr>
              <w:ind w:firstLine="0" w:firstLineChars="0"/>
              <w:rPr>
                <w:rFonts w:ascii="宋体" w:hAnsi="宋体" w:cs="宋体"/>
                <w:color w:val="auto"/>
                <w:highlight w:val="none"/>
              </w:rPr>
            </w:pPr>
            <w:r>
              <w:rPr>
                <w:rFonts w:hint="eastAsia" w:ascii="宋体" w:hAnsi="宋体" w:cs="宋体"/>
                <w:color w:val="auto"/>
                <w:highlight w:val="none"/>
              </w:rPr>
              <w:t>5.联合体中有同类资质的供应商按照联合体分工承担相同工作的，应当按照资质等级较低的供应商确定资质等级。</w:t>
            </w:r>
          </w:p>
          <w:p w14:paraId="639A4CD3">
            <w:pPr>
              <w:ind w:firstLine="0" w:firstLineChars="0"/>
              <w:rPr>
                <w:rFonts w:ascii="宋体" w:hAnsi="宋体" w:cs="宋体"/>
                <w:color w:val="auto"/>
                <w:highlight w:val="none"/>
              </w:rPr>
            </w:pPr>
            <w:r>
              <w:rPr>
                <w:rFonts w:hint="eastAsia" w:ascii="宋体" w:hAnsi="宋体" w:cs="宋体"/>
                <w:color w:val="auto"/>
                <w:highlight w:val="none"/>
              </w:rPr>
              <w:t>6.联合体竞标业绩、履约能力按照联合体各方中较高的一方认定并计算（</w:t>
            </w:r>
            <w:r>
              <w:rPr>
                <w:rFonts w:hint="eastAsia" w:ascii="宋体" w:hAnsi="宋体" w:cs="宋体"/>
                <w:color w:val="auto"/>
                <w:highlight w:val="none"/>
                <w:lang w:eastAsia="zh-CN"/>
              </w:rPr>
              <w:t>谈判</w:t>
            </w:r>
            <w:r>
              <w:rPr>
                <w:rFonts w:hint="eastAsia" w:ascii="宋体" w:hAnsi="宋体" w:cs="宋体"/>
                <w:color w:val="auto"/>
                <w:highlight w:val="none"/>
              </w:rPr>
              <w:t>文件另有规定的除外）。</w:t>
            </w:r>
          </w:p>
          <w:p w14:paraId="3701B66D">
            <w:pPr>
              <w:ind w:firstLine="0" w:firstLineChars="0"/>
              <w:rPr>
                <w:rFonts w:ascii="宋体" w:hAnsi="宋体" w:cs="宋体"/>
                <w:color w:val="auto"/>
                <w:highlight w:val="none"/>
              </w:rPr>
            </w:pPr>
            <w:r>
              <w:rPr>
                <w:rFonts w:hint="eastAsia" w:ascii="宋体" w:hAnsi="宋体" w:cs="宋体"/>
                <w:color w:val="auto"/>
                <w:highlight w:val="none"/>
              </w:rPr>
              <w:t>7.供应商为联合体的，可以由联合体中的一方或者多方共同交纳</w:t>
            </w:r>
            <w:r>
              <w:rPr>
                <w:rFonts w:hint="eastAsia" w:ascii="宋体" w:hAnsi="宋体" w:cs="宋体"/>
                <w:color w:val="auto"/>
                <w:highlight w:val="none"/>
                <w:lang w:eastAsia="zh-CN"/>
              </w:rPr>
              <w:t>响应保证金</w:t>
            </w:r>
            <w:r>
              <w:rPr>
                <w:rFonts w:hint="eastAsia" w:ascii="宋体" w:hAnsi="宋体" w:cs="宋体"/>
                <w:color w:val="auto"/>
                <w:highlight w:val="none"/>
              </w:rPr>
              <w:t>，其交纳的保证金对联合体各方均具有约束力。</w:t>
            </w:r>
          </w:p>
          <w:p w14:paraId="381DFF8B">
            <w:pPr>
              <w:ind w:firstLine="0" w:firstLineChars="0"/>
              <w:rPr>
                <w:rFonts w:ascii="宋体" w:hAnsi="宋体" w:cs="宋体"/>
                <w:color w:val="auto"/>
                <w:highlight w:val="none"/>
              </w:rPr>
            </w:pPr>
            <w:r>
              <w:rPr>
                <w:rFonts w:hint="eastAsia" w:ascii="宋体" w:hAnsi="宋体" w:cs="宋体"/>
                <w:color w:val="auto"/>
                <w:highlight w:val="none"/>
              </w:rPr>
              <w:t>8.联合体各方均应按照</w:t>
            </w:r>
            <w:r>
              <w:rPr>
                <w:rFonts w:hint="eastAsia" w:ascii="宋体" w:hAnsi="宋体" w:cs="宋体"/>
                <w:color w:val="auto"/>
                <w:highlight w:val="none"/>
                <w:lang w:eastAsia="zh-CN"/>
              </w:rPr>
              <w:t>谈判</w:t>
            </w:r>
            <w:r>
              <w:rPr>
                <w:rFonts w:hint="eastAsia" w:ascii="宋体" w:hAnsi="宋体" w:cs="宋体"/>
                <w:color w:val="auto"/>
                <w:highlight w:val="none"/>
              </w:rPr>
              <w:t>文件的规定提交资格证明文件。</w:t>
            </w:r>
          </w:p>
        </w:tc>
      </w:tr>
      <w:tr w14:paraId="4FF1E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3C38B4E">
            <w:pPr>
              <w:ind w:firstLine="0" w:firstLineChars="0"/>
              <w:jc w:val="center"/>
              <w:rPr>
                <w:color w:val="auto"/>
                <w:highlight w:val="none"/>
              </w:rPr>
            </w:pPr>
            <w:r>
              <w:rPr>
                <w:rFonts w:hint="eastAsia"/>
                <w:color w:val="auto"/>
                <w:highlight w:val="none"/>
              </w:rPr>
              <w:t>6.</w:t>
            </w:r>
            <w:r>
              <w:rPr>
                <w:color w:val="auto"/>
                <w:highlight w:val="none"/>
              </w:rPr>
              <w:t>2</w:t>
            </w:r>
          </w:p>
        </w:tc>
        <w:tc>
          <w:tcPr>
            <w:tcW w:w="7539" w:type="dxa"/>
            <w:vAlign w:val="center"/>
          </w:tcPr>
          <w:p w14:paraId="30E4CF13">
            <w:pPr>
              <w:ind w:firstLine="0" w:firstLineChars="0"/>
              <w:rPr>
                <w:b/>
                <w:bCs/>
                <w:color w:val="auto"/>
                <w:highlight w:val="none"/>
              </w:rPr>
            </w:pPr>
            <w:r>
              <w:rPr>
                <w:b/>
                <w:bCs/>
                <w:color w:val="auto"/>
                <w:highlight w:val="none"/>
              </w:rPr>
              <w:fldChar w:fldCharType="begin"/>
            </w:r>
            <w:r>
              <w:rPr>
                <w:b/>
                <w:bCs/>
                <w:color w:val="auto"/>
                <w:highlight w:val="none"/>
              </w:rPr>
              <w:instrText xml:space="preserve"> </w:instrText>
            </w:r>
            <w:r>
              <w:rPr>
                <w:rFonts w:hint="eastAsia"/>
                <w:b/>
                <w:bCs/>
                <w:color w:val="auto"/>
                <w:highlight w:val="none"/>
              </w:rPr>
              <w:instrText xml:space="preserve">eq \o\ac(□,√)</w:instrText>
            </w:r>
            <w:r>
              <w:rPr>
                <w:b/>
                <w:bCs/>
                <w:color w:val="auto"/>
                <w:highlight w:val="none"/>
              </w:rPr>
              <w:fldChar w:fldCharType="end"/>
            </w:r>
            <w:r>
              <w:rPr>
                <w:rFonts w:hint="eastAsia"/>
                <w:b/>
                <w:bCs/>
                <w:color w:val="auto"/>
                <w:highlight w:val="none"/>
              </w:rPr>
              <w:t>不允许分包</w:t>
            </w:r>
          </w:p>
          <w:p w14:paraId="0EC97A18">
            <w:pPr>
              <w:ind w:firstLine="0" w:firstLineChars="0"/>
              <w:rPr>
                <w:color w:val="auto"/>
                <w:highlight w:val="none"/>
              </w:rPr>
            </w:pPr>
            <w:r>
              <w:rPr>
                <w:rFonts w:hint="eastAsia"/>
                <w:color w:val="auto"/>
                <w:highlight w:val="none"/>
              </w:rPr>
              <w:t>□允许分包</w:t>
            </w:r>
          </w:p>
          <w:p w14:paraId="461110C1">
            <w:pPr>
              <w:ind w:firstLine="420"/>
              <w:rPr>
                <w:color w:val="auto"/>
                <w:highlight w:val="none"/>
              </w:rPr>
            </w:pPr>
            <w:r>
              <w:rPr>
                <w:rFonts w:hint="eastAsia"/>
                <w:color w:val="auto"/>
                <w:highlight w:val="none"/>
              </w:rPr>
              <w:t>分包内容：</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69A0D5BD">
            <w:pPr>
              <w:ind w:firstLine="420"/>
              <w:rPr>
                <w:color w:val="auto"/>
                <w:highlight w:val="none"/>
              </w:rPr>
            </w:pPr>
            <w:r>
              <w:rPr>
                <w:rFonts w:hint="eastAsia"/>
                <w:color w:val="auto"/>
                <w:highlight w:val="none"/>
              </w:rPr>
              <w:t>分包金额或者比例：</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tc>
      </w:tr>
      <w:tr w14:paraId="2E45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3EB9811">
            <w:pPr>
              <w:ind w:firstLine="0" w:firstLineChars="0"/>
              <w:jc w:val="center"/>
              <w:rPr>
                <w:rFonts w:hint="default" w:eastAsiaTheme="minorEastAsia"/>
                <w:color w:val="auto"/>
                <w:highlight w:val="none"/>
                <w:lang w:val="en-US" w:eastAsia="zh-CN"/>
              </w:rPr>
            </w:pPr>
            <w:r>
              <w:rPr>
                <w:rFonts w:hint="eastAsia"/>
                <w:color w:val="auto"/>
                <w:highlight w:val="none"/>
                <w:lang w:val="en-US" w:eastAsia="zh-CN"/>
              </w:rPr>
              <w:t>7.1</w:t>
            </w:r>
          </w:p>
        </w:tc>
        <w:tc>
          <w:tcPr>
            <w:tcW w:w="7539" w:type="dxa"/>
            <w:vAlign w:val="center"/>
          </w:tcPr>
          <w:p w14:paraId="442EDE81">
            <w:pPr>
              <w:autoSpaceDE w:val="0"/>
              <w:autoSpaceDN w:val="0"/>
              <w:snapToGrid w:val="0"/>
              <w:jc w:val="both"/>
              <w:textAlignment w:val="bottom"/>
              <w:rPr>
                <w:rFonts w:hint="eastAsia"/>
                <w:highlight w:val="none"/>
              </w:rPr>
            </w:pPr>
            <w:r>
              <w:rPr>
                <w:rFonts w:hint="eastAsia"/>
                <w:highlight w:val="none"/>
              </w:rPr>
              <w:t>提供相同品牌产品（非单一产品采购项目的，指核心产品）的不同供应商最后报价相同时，按照下列方式确定一个供应商获得成交人推荐资格：</w:t>
            </w:r>
          </w:p>
          <w:p w14:paraId="36B9CEAA">
            <w:pPr>
              <w:autoSpaceDE w:val="0"/>
              <w:autoSpaceDN w:val="0"/>
              <w:snapToGrid w:val="0"/>
              <w:jc w:val="both"/>
              <w:textAlignment w:val="bottom"/>
              <w:rPr>
                <w:rFonts w:hint="eastAsia"/>
                <w:highlight w:val="none"/>
              </w:rPr>
            </w:pPr>
            <w:r>
              <w:rPr>
                <w:highlight w:val="none"/>
              </w:rPr>
              <w:fldChar w:fldCharType="begin"/>
            </w:r>
            <w:r>
              <w:rPr>
                <w:highlight w:val="none"/>
              </w:rPr>
              <w:instrText xml:space="preserve"> </w:instrText>
            </w:r>
            <w:r>
              <w:rPr>
                <w:rFonts w:hint="eastAsia"/>
                <w:highlight w:val="none"/>
              </w:rPr>
              <w:instrText xml:space="preserve">eq \o\ac(□)</w:instrText>
            </w:r>
            <w:r>
              <w:rPr>
                <w:highlight w:val="none"/>
              </w:rPr>
              <w:fldChar w:fldCharType="end"/>
            </w:r>
            <w:r>
              <w:rPr>
                <w:rFonts w:hint="eastAsia"/>
                <w:highlight w:val="none"/>
              </w:rPr>
              <w:t>随机抽取；</w:t>
            </w:r>
          </w:p>
          <w:p w14:paraId="45B9BD97">
            <w:pPr>
              <w:ind w:firstLine="420"/>
              <w:rPr>
                <w:rFonts w:hint="eastAsia"/>
                <w:color w:val="auto"/>
                <w:highlight w:val="none"/>
              </w:rPr>
            </w:pPr>
            <w:r>
              <w:rPr>
                <w:b/>
                <w:bCs/>
                <w:highlight w:val="none"/>
              </w:rPr>
              <w:fldChar w:fldCharType="begin"/>
            </w:r>
            <w:r>
              <w:rPr>
                <w:b/>
                <w:bCs/>
                <w:highlight w:val="none"/>
              </w:rPr>
              <w:instrText xml:space="preserve"> </w:instrText>
            </w:r>
            <w:r>
              <w:rPr>
                <w:rFonts w:hint="eastAsia"/>
                <w:b/>
                <w:bCs/>
                <w:highlight w:val="none"/>
              </w:rPr>
              <w:instrText xml:space="preserve">eq \o\ac(□</w:instrText>
            </w:r>
            <w:r>
              <w:rPr>
                <w:rFonts w:hint="eastAsia"/>
                <w:b/>
                <w:bCs/>
                <w:highlight w:val="none"/>
                <w:lang w:eastAsia="zh-CN"/>
              </w:rPr>
              <w:instrText xml:space="preserve">,</w:instrText>
            </w:r>
            <w:r>
              <w:rPr>
                <w:rFonts w:hint="eastAsia"/>
                <w:b/>
                <w:bCs/>
                <w:position w:val="2"/>
                <w:sz w:val="13"/>
                <w:highlight w:val="none"/>
                <w:lang w:eastAsia="zh-CN"/>
              </w:rPr>
              <w:instrText xml:space="preserve">√</w:instrText>
            </w:r>
            <w:r>
              <w:rPr>
                <w:rFonts w:hint="eastAsia"/>
                <w:b/>
                <w:bCs/>
                <w:highlight w:val="none"/>
              </w:rPr>
              <w:instrText xml:space="preserve">)</w:instrText>
            </w:r>
            <w:r>
              <w:rPr>
                <w:b/>
                <w:bCs/>
                <w:highlight w:val="none"/>
              </w:rPr>
              <w:fldChar w:fldCharType="end"/>
            </w:r>
            <w:r>
              <w:rPr>
                <w:rFonts w:hint="eastAsia" w:ascii="宋体"/>
                <w:b/>
                <w:szCs w:val="24"/>
                <w:highlight w:val="none"/>
              </w:rPr>
              <w:t>提供相同品牌产品的不同供应商参加同一合同项下竞标的，以其中通过资格审查、符合性审查、谈判且最后报价最低的参加报价评审。</w:t>
            </w:r>
          </w:p>
        </w:tc>
      </w:tr>
      <w:tr w14:paraId="34A1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A06EC2A">
            <w:pPr>
              <w:ind w:firstLine="0" w:firstLineChars="0"/>
              <w:jc w:val="center"/>
              <w:rPr>
                <w:color w:val="auto"/>
                <w:highlight w:val="none"/>
              </w:rPr>
            </w:pPr>
            <w:r>
              <w:rPr>
                <w:rFonts w:hint="eastAsia"/>
                <w:color w:val="auto"/>
                <w:highlight w:val="none"/>
              </w:rPr>
              <w:t>12.1.</w:t>
            </w:r>
            <w:r>
              <w:rPr>
                <w:color w:val="auto"/>
                <w:highlight w:val="none"/>
              </w:rPr>
              <w:t>1</w:t>
            </w:r>
          </w:p>
        </w:tc>
        <w:tc>
          <w:tcPr>
            <w:tcW w:w="7539" w:type="dxa"/>
            <w:vAlign w:val="center"/>
          </w:tcPr>
          <w:p w14:paraId="3F6FF306">
            <w:pPr>
              <w:ind w:firstLine="0" w:firstLineChars="0"/>
              <w:rPr>
                <w:b/>
                <w:bCs/>
                <w:color w:val="auto"/>
                <w:highlight w:val="none"/>
              </w:rPr>
            </w:pPr>
            <w:r>
              <w:rPr>
                <w:rFonts w:hint="eastAsia"/>
                <w:b/>
                <w:bCs/>
                <w:color w:val="auto"/>
                <w:highlight w:val="none"/>
              </w:rPr>
              <w:t>资格证明文件</w:t>
            </w:r>
          </w:p>
          <w:p w14:paraId="116E3A01">
            <w:pPr>
              <w:pStyle w:val="56"/>
              <w:rPr>
                <w:rFonts w:cs="Times New Roman"/>
                <w:color w:val="auto"/>
                <w:highlight w:val="none"/>
              </w:rPr>
            </w:pPr>
            <w:r>
              <w:rPr>
                <w:rFonts w:hint="eastAsia"/>
                <w:color w:val="auto"/>
                <w:highlight w:val="none"/>
              </w:rPr>
              <w:t>供应商为法人或者其他组织的提供其营业执照等证明文件（如营业执照或者事业单位法人证书或者执业许可证或者登记证书等），供应商为自然人的提供其身份证复印件；（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r>
              <w:rPr>
                <w:rFonts w:hint="eastAsia"/>
                <w:color w:val="auto"/>
                <w:highlight w:val="none"/>
              </w:rPr>
              <w:t>）</w:t>
            </w:r>
          </w:p>
          <w:p w14:paraId="1FB9CFC8">
            <w:pPr>
              <w:numPr>
                <w:ilvl w:val="0"/>
                <w:numId w:val="1"/>
              </w:numPr>
              <w:snapToGrid w:val="0"/>
              <w:ind w:left="0" w:firstLine="420"/>
              <w:rPr>
                <w:rFonts w:hAnsi="宋体"/>
                <w:color w:val="auto"/>
                <w:highlight w:val="none"/>
              </w:rPr>
            </w:pPr>
            <w:r>
              <w:rPr>
                <w:color w:val="auto"/>
                <w:highlight w:val="none"/>
              </w:rPr>
              <w:t>供应商依法缴纳税收的相关材料（供应商202</w:t>
            </w:r>
            <w:r>
              <w:rPr>
                <w:rFonts w:hint="eastAsia"/>
                <w:color w:val="auto"/>
                <w:highlight w:val="none"/>
              </w:rPr>
              <w:t>4</w:t>
            </w:r>
            <w:r>
              <w:rPr>
                <w:color w:val="auto"/>
                <w:highlight w:val="none"/>
              </w:rPr>
              <w:t>年</w:t>
            </w:r>
            <w:r>
              <w:rPr>
                <w:rFonts w:hint="eastAsia"/>
                <w:color w:val="auto"/>
                <w:highlight w:val="none"/>
              </w:rPr>
              <w:t>1</w:t>
            </w:r>
            <w:r>
              <w:rPr>
                <w:color w:val="auto"/>
                <w:highlight w:val="none"/>
              </w:rPr>
              <w:t>月至今任意一个月的依法缴纳税收的凭据复印件；依法免税的供应商，必须提供相应文件证明其依法免税。新成立不足一个月的供应商不需提供）；</w:t>
            </w:r>
            <w:r>
              <w:rPr>
                <w:rFonts w:hint="eastAsia" w:hAnsi="宋体"/>
                <w:color w:val="auto"/>
                <w:highlight w:val="none"/>
              </w:rPr>
              <w:t>（</w:t>
            </w:r>
            <w:r>
              <w:rPr>
                <w:rFonts w:hint="eastAsia" w:hAnsi="宋体"/>
                <w:b/>
                <w:color w:val="auto"/>
                <w:highlight w:val="none"/>
              </w:rPr>
              <w:t>必须提供，否则响应文件按无效响应处理</w:t>
            </w:r>
            <w:r>
              <w:rPr>
                <w:rFonts w:hint="eastAsia" w:hAnsi="宋体"/>
                <w:color w:val="auto"/>
                <w:highlight w:val="none"/>
              </w:rPr>
              <w:t>）</w:t>
            </w:r>
          </w:p>
          <w:p w14:paraId="5AEDDA9E">
            <w:pPr>
              <w:numPr>
                <w:ilvl w:val="0"/>
                <w:numId w:val="1"/>
              </w:numPr>
              <w:snapToGrid w:val="0"/>
              <w:ind w:left="0" w:firstLine="420"/>
              <w:rPr>
                <w:rFonts w:hAnsi="宋体"/>
                <w:color w:val="auto"/>
                <w:highlight w:val="none"/>
              </w:rPr>
            </w:pPr>
            <w:r>
              <w:rPr>
                <w:color w:val="auto"/>
                <w:highlight w:val="none"/>
              </w:rPr>
              <w:t>供应商依法缴纳社会保障资金的相关材料[供应商202</w:t>
            </w:r>
            <w:r>
              <w:rPr>
                <w:rFonts w:hint="eastAsia"/>
                <w:color w:val="auto"/>
                <w:highlight w:val="none"/>
              </w:rPr>
              <w:t>4</w:t>
            </w:r>
            <w:r>
              <w:rPr>
                <w:color w:val="auto"/>
                <w:highlight w:val="none"/>
              </w:rPr>
              <w:t>年</w:t>
            </w:r>
            <w:r>
              <w:rPr>
                <w:rFonts w:hint="eastAsia"/>
                <w:color w:val="auto"/>
                <w:highlight w:val="none"/>
              </w:rPr>
              <w:t>1</w:t>
            </w:r>
            <w:r>
              <w:rPr>
                <w:color w:val="auto"/>
                <w:highlight w:val="none"/>
              </w:rPr>
              <w:t>月至今任意一个月的依法缴纳社会保障资金的缴费凭证（专用收据或社会保险缴纳清单）复印件；依法不需要缴纳社会保障资金的供应商，必须提供相应文件证明不需要缴纳社会保障资金。新成立不足一个月的供应商不需提供]；</w:t>
            </w:r>
            <w:r>
              <w:rPr>
                <w:rFonts w:hint="eastAsia" w:hAnsi="宋体"/>
                <w:color w:val="auto"/>
                <w:highlight w:val="none"/>
              </w:rPr>
              <w:t>（</w:t>
            </w:r>
            <w:r>
              <w:rPr>
                <w:rFonts w:hint="eastAsia" w:hAnsi="宋体"/>
                <w:b/>
                <w:color w:val="auto"/>
                <w:highlight w:val="none"/>
              </w:rPr>
              <w:t>必须提供，否则响应文件按无效响应处理</w:t>
            </w:r>
            <w:r>
              <w:rPr>
                <w:rFonts w:hint="eastAsia" w:hAnsi="宋体"/>
                <w:color w:val="auto"/>
                <w:highlight w:val="none"/>
              </w:rPr>
              <w:t>）</w:t>
            </w:r>
          </w:p>
          <w:p w14:paraId="547868B8">
            <w:pPr>
              <w:pStyle w:val="56"/>
              <w:rPr>
                <w:color w:val="auto"/>
                <w:highlight w:val="none"/>
              </w:rPr>
            </w:pPr>
            <w:r>
              <w:rPr>
                <w:rFonts w:hint="eastAsia" w:hAnsi="宋体" w:cs="宋体"/>
                <w:color w:val="auto"/>
                <w:highlight w:val="none"/>
              </w:rPr>
              <w:t>供应商</w:t>
            </w:r>
            <w:r>
              <w:rPr>
                <w:rFonts w:hint="eastAsia"/>
                <w:color w:val="auto"/>
                <w:highlight w:val="none"/>
              </w:rPr>
              <w:t>财务状况报告（2023年度财务报表复印件或者银行出具的资信证明；供应商属于成立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highlight w:val="none"/>
              </w:rPr>
              <w:t>法人或其他组织</w:t>
            </w:r>
            <w:r>
              <w:rPr>
                <w:color w:val="auto"/>
                <w:highlight w:val="none"/>
              </w:rPr>
              <w:t>，需提供成立</w:t>
            </w:r>
            <w:r>
              <w:rPr>
                <w:rFonts w:hint="eastAsia"/>
                <w:color w:val="auto"/>
                <w:highlight w:val="none"/>
              </w:rPr>
              <w:t>之日起至响应文件递交截止时间前</w:t>
            </w:r>
            <w:r>
              <w:rPr>
                <w:color w:val="auto"/>
                <w:highlight w:val="none"/>
              </w:rPr>
              <w:t>的月报表</w:t>
            </w:r>
            <w:r>
              <w:rPr>
                <w:rFonts w:hint="eastAsia"/>
                <w:color w:val="auto"/>
                <w:highlight w:val="none"/>
              </w:rPr>
              <w:t>或银行出具的资信证明；资信证明应在有效期内，未注明有效期的，银行出具时间至响应文件递交截止时间不超过一年）</w:t>
            </w:r>
            <w:r>
              <w:rPr>
                <w:rFonts w:hint="eastAsia" w:hAnsi="宋体"/>
                <w:color w:val="auto"/>
                <w:highlight w:val="none"/>
              </w:rPr>
              <w:t>；（</w:t>
            </w:r>
            <w:r>
              <w:rPr>
                <w:rFonts w:hint="eastAsia" w:hAnsi="宋体"/>
                <w:b/>
                <w:color w:val="auto"/>
                <w:highlight w:val="none"/>
              </w:rPr>
              <w:t>除自然人外必须提供，否则响应文件按无效响应处理</w:t>
            </w:r>
            <w:r>
              <w:rPr>
                <w:rFonts w:hint="eastAsia" w:hAnsi="宋体"/>
                <w:color w:val="auto"/>
                <w:highlight w:val="none"/>
              </w:rPr>
              <w:t>）</w:t>
            </w:r>
          </w:p>
          <w:p w14:paraId="6EFEC6FF">
            <w:pPr>
              <w:pStyle w:val="56"/>
              <w:rPr>
                <w:color w:val="auto"/>
                <w:highlight w:val="none"/>
              </w:rPr>
            </w:pPr>
            <w:r>
              <w:rPr>
                <w:rFonts w:hint="eastAsia"/>
                <w:color w:val="auto"/>
                <w:highlight w:val="none"/>
              </w:rPr>
              <w:t>供应商直接控股股东</w:t>
            </w:r>
            <w:r>
              <w:rPr>
                <w:color w:val="auto"/>
                <w:highlight w:val="none"/>
              </w:rPr>
              <w:t>信息表</w:t>
            </w:r>
            <w:r>
              <w:rPr>
                <w:rFonts w:hint="eastAsia"/>
                <w:color w:val="auto"/>
                <w:highlight w:val="none"/>
              </w:rPr>
              <w:t>（格式后附）；（</w:t>
            </w:r>
            <w:r>
              <w:rPr>
                <w:rFonts w:hint="eastAsia"/>
                <w:b/>
                <w:bCs/>
                <w:color w:val="auto"/>
                <w:highlight w:val="none"/>
              </w:rPr>
              <w:t>必须提供，否则响应文件按无效响应处理</w:t>
            </w:r>
            <w:r>
              <w:rPr>
                <w:rFonts w:hint="eastAsia"/>
                <w:color w:val="auto"/>
                <w:highlight w:val="none"/>
              </w:rPr>
              <w:t>）</w:t>
            </w:r>
          </w:p>
          <w:p w14:paraId="227E9169">
            <w:pPr>
              <w:pStyle w:val="56"/>
              <w:rPr>
                <w:color w:val="auto"/>
                <w:highlight w:val="none"/>
              </w:rPr>
            </w:pPr>
            <w:r>
              <w:rPr>
                <w:rFonts w:hint="eastAsia"/>
                <w:color w:val="auto"/>
                <w:highlight w:val="none"/>
              </w:rPr>
              <w:t>供应商直接管理关系信息表（格式后附）；（</w:t>
            </w:r>
            <w:r>
              <w:rPr>
                <w:rFonts w:hint="eastAsia"/>
                <w:b/>
                <w:bCs/>
                <w:color w:val="auto"/>
                <w:highlight w:val="none"/>
              </w:rPr>
              <w:t>必须提供，否则响应文件按无效响应处理</w:t>
            </w:r>
            <w:r>
              <w:rPr>
                <w:rFonts w:hint="eastAsia"/>
                <w:color w:val="auto"/>
                <w:highlight w:val="none"/>
              </w:rPr>
              <w:t>）</w:t>
            </w:r>
          </w:p>
          <w:p w14:paraId="74B09E94">
            <w:pPr>
              <w:pStyle w:val="56"/>
              <w:rPr>
                <w:color w:val="auto"/>
                <w:highlight w:val="none"/>
              </w:rPr>
            </w:pPr>
            <w:r>
              <w:rPr>
                <w:rFonts w:hint="eastAsia"/>
                <w:color w:val="auto"/>
                <w:highlight w:val="none"/>
              </w:rPr>
              <w:t>竞标声明（格式后附）；（</w:t>
            </w:r>
            <w:r>
              <w:rPr>
                <w:rFonts w:hint="eastAsia"/>
                <w:b/>
                <w:bCs/>
                <w:color w:val="auto"/>
                <w:highlight w:val="none"/>
              </w:rPr>
              <w:t>必须提供，否则响应文件按无效响应处理</w:t>
            </w:r>
            <w:r>
              <w:rPr>
                <w:rFonts w:hint="eastAsia"/>
                <w:color w:val="auto"/>
                <w:highlight w:val="none"/>
              </w:rPr>
              <w:t>）</w:t>
            </w:r>
          </w:p>
          <w:p w14:paraId="13D77955">
            <w:pPr>
              <w:pStyle w:val="56"/>
              <w:numPr>
                <w:ilvl w:val="0"/>
                <w:numId w:val="1"/>
              </w:numPr>
              <w:ind w:left="0" w:firstLine="420"/>
              <w:rPr>
                <w:highlight w:val="none"/>
              </w:rPr>
            </w:pPr>
            <w:r>
              <w:rPr>
                <w:highlight w:val="none"/>
              </w:rPr>
              <w:t>（1）</w:t>
            </w:r>
            <w:r>
              <w:rPr>
                <w:rFonts w:hint="eastAsia"/>
                <w:highlight w:val="none"/>
              </w:rPr>
              <w:t>项目</w:t>
            </w:r>
            <w:r>
              <w:rPr>
                <w:highlight w:val="none"/>
              </w:rPr>
              <w:t>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w:t>
            </w:r>
            <w:r>
              <w:rPr>
                <w:rFonts w:hint="eastAsia"/>
                <w:highlight w:val="none"/>
              </w:rPr>
              <w:t>竞标</w:t>
            </w:r>
            <w:r>
              <w:rPr>
                <w:highlight w:val="none"/>
              </w:rPr>
              <w:t>对应产品的名称和规格型号，格式自拟）。</w:t>
            </w:r>
            <w:r>
              <w:rPr>
                <w:highlight w:val="none"/>
              </w:rPr>
              <w:br w:type="textWrapping"/>
            </w:r>
            <w:r>
              <w:rPr>
                <w:rFonts w:hint="eastAsia"/>
                <w:highlight w:val="none"/>
              </w:rPr>
              <w:t xml:space="preserve">    </w:t>
            </w:r>
            <w:r>
              <w:rPr>
                <w:highlight w:val="none"/>
              </w:rPr>
              <w:t>（2）</w:t>
            </w:r>
            <w:r>
              <w:rPr>
                <w:rFonts w:hint="eastAsia"/>
                <w:highlight w:val="none"/>
              </w:rPr>
              <w:t>项目</w:t>
            </w:r>
            <w:r>
              <w:rPr>
                <w:highlight w:val="none"/>
              </w:rPr>
              <w:t>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w:t>
            </w:r>
            <w:r>
              <w:rPr>
                <w:rFonts w:hint="eastAsia"/>
                <w:highlight w:val="none"/>
              </w:rPr>
              <w:t>竞标</w:t>
            </w:r>
            <w:r>
              <w:rPr>
                <w:highlight w:val="none"/>
              </w:rPr>
              <w:t>对应产品的名称和规格型号，格式自拟）。</w:t>
            </w:r>
            <w:r>
              <w:rPr>
                <w:highlight w:val="none"/>
              </w:rPr>
              <w:br w:type="textWrapping"/>
            </w:r>
            <w:r>
              <w:rPr>
                <w:highlight w:val="none"/>
              </w:rPr>
              <w:t xml:space="preserve">    （3）</w:t>
            </w:r>
            <w:r>
              <w:rPr>
                <w:rFonts w:hint="eastAsia"/>
                <w:highlight w:val="none"/>
              </w:rPr>
              <w:t>项目</w:t>
            </w:r>
            <w:r>
              <w:rPr>
                <w:highlight w:val="none"/>
              </w:rPr>
              <w:t>有第二类和第三类医疗器械的，应按上述（1）（2）要求提供</w:t>
            </w:r>
            <w:r>
              <w:rPr>
                <w:rFonts w:hint="eastAsia"/>
                <w:highlight w:val="none"/>
              </w:rPr>
              <w:t>。</w:t>
            </w:r>
            <w:r>
              <w:rPr>
                <w:rFonts w:hint="eastAsia" w:hAnsi="宋体"/>
                <w:highlight w:val="none"/>
              </w:rPr>
              <w:t>（</w:t>
            </w:r>
            <w:r>
              <w:rPr>
                <w:rFonts w:hint="eastAsia" w:hAnsi="宋体"/>
                <w:b/>
                <w:highlight w:val="none"/>
              </w:rPr>
              <w:t>必须提供，否则按无效</w:t>
            </w:r>
            <w:r>
              <w:rPr>
                <w:rFonts w:hint="eastAsia"/>
                <w:b/>
                <w:bCs/>
                <w:highlight w:val="none"/>
              </w:rPr>
              <w:t>响应处理</w:t>
            </w:r>
            <w:r>
              <w:rPr>
                <w:rFonts w:hint="eastAsia" w:hAnsi="宋体"/>
                <w:highlight w:val="none"/>
              </w:rPr>
              <w:t>）</w:t>
            </w:r>
          </w:p>
          <w:p w14:paraId="0017B3DC">
            <w:pPr>
              <w:pStyle w:val="56"/>
              <w:rPr>
                <w:b/>
                <w:bCs/>
                <w:color w:val="auto"/>
                <w:highlight w:val="none"/>
              </w:rPr>
            </w:pPr>
            <w:r>
              <w:rPr>
                <w:rFonts w:hint="eastAsia"/>
                <w:color w:val="auto"/>
                <w:highlight w:val="none"/>
              </w:rPr>
              <w:t>联合体竞标协议书（格式后附）；</w:t>
            </w:r>
            <w:r>
              <w:rPr>
                <w:rFonts w:hint="eastAsia"/>
                <w:b/>
                <w:bCs/>
                <w:color w:val="auto"/>
                <w:highlight w:val="none"/>
              </w:rPr>
              <w:t>（联合体竞标时必须提供，否则响应文件按无效响应处理）</w:t>
            </w:r>
          </w:p>
          <w:p w14:paraId="6E4CC434">
            <w:pPr>
              <w:pStyle w:val="56"/>
              <w:rPr>
                <w:color w:val="auto"/>
                <w:highlight w:val="none"/>
              </w:rPr>
            </w:pPr>
            <w:r>
              <w:rPr>
                <w:rFonts w:hint="eastAsia"/>
                <w:color w:val="auto"/>
                <w:highlight w:val="none"/>
              </w:rPr>
              <w:t>除</w:t>
            </w:r>
            <w:r>
              <w:rPr>
                <w:rFonts w:hint="eastAsia"/>
                <w:color w:val="auto"/>
                <w:highlight w:val="none"/>
                <w:lang w:eastAsia="zh-CN"/>
              </w:rPr>
              <w:t>谈判</w:t>
            </w:r>
            <w:r>
              <w:rPr>
                <w:rFonts w:hint="eastAsia"/>
                <w:color w:val="auto"/>
                <w:highlight w:val="none"/>
              </w:rPr>
              <w:t>文件规定必须提供以外，供应商认为需要提供的其他证明材料。</w:t>
            </w:r>
          </w:p>
          <w:p w14:paraId="1FAC08E1">
            <w:pPr>
              <w:ind w:firstLine="0" w:firstLineChars="0"/>
              <w:rPr>
                <w:rFonts w:hint="eastAsia"/>
                <w:b/>
                <w:bCs/>
                <w:color w:val="auto"/>
                <w:highlight w:val="none"/>
              </w:rPr>
            </w:pPr>
            <w:r>
              <w:rPr>
                <w:rFonts w:hint="eastAsia"/>
                <w:b/>
                <w:bCs/>
                <w:color w:val="auto"/>
                <w:highlight w:val="none"/>
              </w:rPr>
              <w:t>注：</w:t>
            </w:r>
          </w:p>
          <w:p w14:paraId="647B8BBA">
            <w:pPr>
              <w:ind w:firstLine="422" w:firstLineChars="200"/>
              <w:rPr>
                <w:b/>
                <w:bCs/>
                <w:color w:val="auto"/>
                <w:highlight w:val="none"/>
              </w:rPr>
            </w:pPr>
            <w:r>
              <w:rPr>
                <w:rFonts w:hint="eastAsia"/>
                <w:b/>
                <w:bCs/>
                <w:color w:val="auto"/>
                <w:highlight w:val="none"/>
              </w:rPr>
              <w:t>1.</w:t>
            </w:r>
            <w:r>
              <w:rPr>
                <w:rFonts w:hint="eastAsia" w:ascii="宋体" w:hAnsi="宋体" w:cs="宋体"/>
                <w:b/>
                <w:color w:val="auto"/>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highlight w:val="none"/>
              </w:rPr>
              <w:t>，否则响应文件按无效处理。</w:t>
            </w:r>
          </w:p>
          <w:p w14:paraId="0EEB6252">
            <w:pPr>
              <w:ind w:firstLine="422"/>
              <w:rPr>
                <w:rFonts w:ascii="宋体" w:hAnsi="宋体"/>
                <w:b/>
                <w:bCs/>
                <w:color w:val="auto"/>
                <w:highlight w:val="none"/>
              </w:rPr>
            </w:pPr>
            <w:r>
              <w:rPr>
                <w:b/>
                <w:bCs/>
                <w:color w:val="auto"/>
                <w:highlight w:val="none"/>
              </w:rPr>
              <w:t>2</w:t>
            </w:r>
            <w:r>
              <w:rPr>
                <w:rFonts w:hint="eastAsia"/>
                <w:b/>
                <w:bCs/>
                <w:color w:val="auto"/>
                <w:highlight w:val="none"/>
              </w:rPr>
              <w:t>.</w:t>
            </w:r>
            <w:r>
              <w:rPr>
                <w:rFonts w:hint="eastAsia" w:ascii="宋体" w:hAnsi="宋体" w:cs="宋体"/>
                <w:b/>
                <w:color w:val="auto"/>
                <w:highlight w:val="none"/>
              </w:rPr>
              <w:t>联合体竞标时，第1-8项资格证明文件联合体各方均必须分别提供，</w:t>
            </w:r>
            <w:r>
              <w:rPr>
                <w:rFonts w:hint="eastAsia"/>
                <w:b/>
                <w:color w:val="auto"/>
                <w:highlight w:val="none"/>
              </w:rPr>
              <w:t>并由</w:t>
            </w:r>
            <w:r>
              <w:rPr>
                <w:rFonts w:hint="eastAsia" w:ascii="宋体" w:hAnsi="宋体" w:cs="宋体"/>
                <w:b/>
                <w:color w:val="auto"/>
                <w:highlight w:val="none"/>
              </w:rPr>
              <w:t>联合体</w:t>
            </w:r>
            <w:r>
              <w:rPr>
                <w:rFonts w:hint="eastAsia"/>
                <w:b/>
                <w:color w:val="auto"/>
                <w:highlight w:val="none"/>
              </w:rPr>
              <w:t>牵头人加盖电子签章</w:t>
            </w:r>
            <w:r>
              <w:rPr>
                <w:rFonts w:hint="eastAsia" w:ascii="宋体" w:hAnsi="宋体" w:cs="宋体"/>
                <w:b/>
                <w:color w:val="auto"/>
                <w:highlight w:val="none"/>
              </w:rPr>
              <w:t>，</w:t>
            </w:r>
            <w:r>
              <w:rPr>
                <w:rFonts w:hint="eastAsia"/>
                <w:b/>
                <w:color w:val="auto"/>
                <w:highlight w:val="none"/>
              </w:rPr>
              <w:t>规定签字</w:t>
            </w:r>
            <w:r>
              <w:rPr>
                <w:rFonts w:hint="eastAsia" w:ascii="宋体" w:hAnsi="宋体" w:cs="宋体"/>
                <w:b/>
                <w:color w:val="auto"/>
                <w:highlight w:val="none"/>
              </w:rPr>
              <w:t>处签字</w:t>
            </w:r>
            <w:r>
              <w:rPr>
                <w:rFonts w:hint="eastAsia" w:ascii="宋体" w:hAnsi="宋体"/>
                <w:b/>
                <w:bCs/>
                <w:color w:val="auto"/>
                <w:highlight w:val="none"/>
              </w:rPr>
              <w:t>（或者电子签名）</w:t>
            </w:r>
            <w:r>
              <w:rPr>
                <w:rFonts w:hint="eastAsia" w:ascii="宋体" w:hAnsi="宋体" w:cs="宋体"/>
                <w:b/>
                <w:color w:val="auto"/>
                <w:highlight w:val="none"/>
              </w:rPr>
              <w:t>，否则响应文件按无效处理。</w:t>
            </w:r>
          </w:p>
        </w:tc>
      </w:tr>
      <w:tr w14:paraId="53A3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C78095B">
            <w:pPr>
              <w:ind w:firstLine="0" w:firstLineChars="0"/>
              <w:jc w:val="center"/>
              <w:rPr>
                <w:color w:val="auto"/>
                <w:highlight w:val="none"/>
              </w:rPr>
            </w:pPr>
            <w:r>
              <w:rPr>
                <w:rFonts w:hint="eastAsia" w:ascii="宋体" w:hAnsi="宋体" w:cs="宋体"/>
                <w:color w:val="auto"/>
                <w:highlight w:val="none"/>
              </w:rPr>
              <w:t>12.1.2</w:t>
            </w:r>
          </w:p>
        </w:tc>
        <w:tc>
          <w:tcPr>
            <w:tcW w:w="7539" w:type="dxa"/>
            <w:vAlign w:val="center"/>
          </w:tcPr>
          <w:p w14:paraId="6989B6A9">
            <w:pPr>
              <w:ind w:firstLine="0" w:firstLineChars="0"/>
              <w:rPr>
                <w:b/>
                <w:bCs/>
                <w:color w:val="auto"/>
                <w:highlight w:val="none"/>
              </w:rPr>
            </w:pPr>
            <w:r>
              <w:rPr>
                <w:rFonts w:hint="eastAsia"/>
                <w:b/>
                <w:bCs/>
                <w:color w:val="auto"/>
                <w:highlight w:val="none"/>
              </w:rPr>
              <w:t>报价文件</w:t>
            </w:r>
          </w:p>
          <w:p w14:paraId="13C03F65">
            <w:pPr>
              <w:pStyle w:val="56"/>
              <w:numPr>
                <w:ilvl w:val="0"/>
                <w:numId w:val="3"/>
              </w:numPr>
              <w:ind w:firstLineChars="0"/>
              <w:rPr>
                <w:color w:val="auto"/>
                <w:highlight w:val="none"/>
              </w:rPr>
            </w:pPr>
            <w:r>
              <w:rPr>
                <w:rFonts w:hint="eastAsia"/>
                <w:color w:val="auto"/>
                <w:highlight w:val="none"/>
              </w:rPr>
              <w:t>竞标报价表（格式后附）；（</w:t>
            </w:r>
            <w:r>
              <w:rPr>
                <w:rFonts w:hint="eastAsia"/>
                <w:b/>
                <w:bCs/>
                <w:color w:val="auto"/>
                <w:highlight w:val="none"/>
              </w:rPr>
              <w:t>必须提供，否则响应文件按无效处理</w:t>
            </w:r>
            <w:r>
              <w:rPr>
                <w:rFonts w:hint="eastAsia"/>
                <w:color w:val="auto"/>
                <w:highlight w:val="none"/>
              </w:rPr>
              <w:t>）</w:t>
            </w:r>
          </w:p>
          <w:p w14:paraId="68F6C669">
            <w:pPr>
              <w:pStyle w:val="56"/>
              <w:numPr>
                <w:ilvl w:val="0"/>
                <w:numId w:val="3"/>
              </w:numPr>
              <w:ind w:firstLineChars="0"/>
              <w:rPr>
                <w:rFonts w:ascii="宋体" w:hAnsi="宋体" w:cs="宋体"/>
                <w:color w:val="auto"/>
                <w:highlight w:val="none"/>
              </w:rPr>
            </w:pPr>
            <w:r>
              <w:rPr>
                <w:rFonts w:hint="eastAsia"/>
                <w:color w:val="auto"/>
                <w:highlight w:val="none"/>
              </w:rPr>
              <w:t>供应商认为需要提供的其他有关资料。</w:t>
            </w:r>
          </w:p>
        </w:tc>
      </w:tr>
      <w:tr w14:paraId="5840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 w:type="dxa"/>
            <w:vAlign w:val="center"/>
          </w:tcPr>
          <w:p w14:paraId="46F998D3">
            <w:pPr>
              <w:ind w:firstLine="0" w:firstLineChars="0"/>
              <w:jc w:val="center"/>
              <w:rPr>
                <w:color w:val="auto"/>
                <w:highlight w:val="none"/>
              </w:rPr>
            </w:pPr>
            <w:r>
              <w:rPr>
                <w:rFonts w:hint="eastAsia"/>
                <w:color w:val="auto"/>
                <w:highlight w:val="none"/>
              </w:rPr>
              <w:t>12.</w:t>
            </w:r>
            <w:r>
              <w:rPr>
                <w:color w:val="auto"/>
                <w:highlight w:val="none"/>
              </w:rPr>
              <w:t>1</w:t>
            </w:r>
            <w:r>
              <w:rPr>
                <w:rFonts w:hint="eastAsia"/>
                <w:color w:val="auto"/>
                <w:highlight w:val="none"/>
              </w:rPr>
              <w:t>.</w:t>
            </w:r>
            <w:r>
              <w:rPr>
                <w:color w:val="auto"/>
                <w:highlight w:val="none"/>
              </w:rPr>
              <w:t>3</w:t>
            </w:r>
          </w:p>
        </w:tc>
        <w:tc>
          <w:tcPr>
            <w:tcW w:w="7539" w:type="dxa"/>
            <w:vAlign w:val="center"/>
          </w:tcPr>
          <w:p w14:paraId="49F94149">
            <w:pPr>
              <w:ind w:firstLine="0" w:firstLineChars="0"/>
              <w:rPr>
                <w:b/>
                <w:color w:val="auto"/>
                <w:highlight w:val="none"/>
              </w:rPr>
            </w:pPr>
            <w:r>
              <w:rPr>
                <w:rFonts w:hint="eastAsia"/>
                <w:b/>
                <w:color w:val="auto"/>
                <w:highlight w:val="none"/>
              </w:rPr>
              <w:t>商务技术文件</w:t>
            </w:r>
          </w:p>
          <w:p w14:paraId="6D9B698F">
            <w:pPr>
              <w:pStyle w:val="56"/>
              <w:numPr>
                <w:ilvl w:val="0"/>
                <w:numId w:val="4"/>
              </w:numPr>
              <w:ind w:left="0" w:leftChars="0" w:firstLine="420" w:firstLineChars="0"/>
              <w:rPr>
                <w:color w:val="auto"/>
                <w:highlight w:val="none"/>
              </w:rPr>
            </w:pPr>
            <w:r>
              <w:rPr>
                <w:rFonts w:hint="eastAsia"/>
                <w:color w:val="auto"/>
                <w:highlight w:val="none"/>
              </w:rPr>
              <w:t>无串通竞标行为的承诺函（格式后附）；（</w:t>
            </w:r>
            <w:r>
              <w:rPr>
                <w:rFonts w:hint="eastAsia"/>
                <w:b/>
                <w:bCs/>
                <w:color w:val="auto"/>
                <w:highlight w:val="none"/>
              </w:rPr>
              <w:t>必须提供，否则响应文件按无效响应处理</w:t>
            </w:r>
            <w:r>
              <w:rPr>
                <w:rFonts w:hint="eastAsia"/>
                <w:color w:val="auto"/>
                <w:highlight w:val="none"/>
              </w:rPr>
              <w:t>）</w:t>
            </w:r>
          </w:p>
          <w:p w14:paraId="3C10DA59">
            <w:pPr>
              <w:pStyle w:val="56"/>
              <w:numPr>
                <w:ilvl w:val="0"/>
                <w:numId w:val="4"/>
              </w:numPr>
              <w:ind w:left="0" w:leftChars="0" w:firstLine="420" w:firstLineChars="0"/>
              <w:rPr>
                <w:color w:val="auto"/>
                <w:highlight w:val="none"/>
              </w:rPr>
            </w:pPr>
            <w:r>
              <w:rPr>
                <w:rFonts w:hint="eastAsia"/>
                <w:color w:val="auto"/>
                <w:highlight w:val="none"/>
              </w:rPr>
              <w:t>法定代表人身份证明书及法定代表人有效身份证正反面复印件（格式后附）；（</w:t>
            </w:r>
            <w:r>
              <w:rPr>
                <w:rFonts w:hint="eastAsia"/>
                <w:b/>
                <w:bCs/>
                <w:color w:val="auto"/>
                <w:highlight w:val="none"/>
              </w:rPr>
              <w:t>除自然人竞标外必须提供，否则响应文件按无效响应处理</w:t>
            </w:r>
            <w:r>
              <w:rPr>
                <w:rFonts w:hint="eastAsia"/>
                <w:color w:val="auto"/>
                <w:highlight w:val="none"/>
              </w:rPr>
              <w:t>）</w:t>
            </w:r>
          </w:p>
          <w:p w14:paraId="764076C1">
            <w:pPr>
              <w:pStyle w:val="56"/>
              <w:numPr>
                <w:ilvl w:val="0"/>
                <w:numId w:val="4"/>
              </w:numPr>
              <w:ind w:left="0" w:leftChars="0" w:firstLine="420" w:firstLineChars="0"/>
              <w:rPr>
                <w:color w:val="auto"/>
                <w:highlight w:val="none"/>
              </w:rPr>
            </w:pPr>
            <w:r>
              <w:rPr>
                <w:rFonts w:hint="eastAsia"/>
                <w:color w:val="auto"/>
                <w:highlight w:val="none"/>
              </w:rPr>
              <w:t>授权委托书及委托代理人有效身份证正反面复印件（格式后附）；（</w:t>
            </w:r>
            <w:r>
              <w:rPr>
                <w:rFonts w:hint="eastAsia"/>
                <w:b/>
                <w:bCs/>
                <w:color w:val="auto"/>
                <w:highlight w:val="none"/>
              </w:rPr>
              <w:t>委托时必须提供，否则响应文件按无效响应处理</w:t>
            </w:r>
            <w:r>
              <w:rPr>
                <w:rFonts w:hint="eastAsia"/>
                <w:color w:val="auto"/>
                <w:highlight w:val="none"/>
              </w:rPr>
              <w:t>）</w:t>
            </w:r>
          </w:p>
          <w:p w14:paraId="6C150262">
            <w:pPr>
              <w:pStyle w:val="56"/>
              <w:numPr>
                <w:ilvl w:val="0"/>
                <w:numId w:val="4"/>
              </w:numPr>
              <w:ind w:left="0" w:leftChars="0" w:firstLine="420" w:firstLineChars="0"/>
              <w:rPr>
                <w:color w:val="auto"/>
                <w:highlight w:val="none"/>
              </w:rPr>
            </w:pPr>
            <w:r>
              <w:rPr>
                <w:rFonts w:hint="eastAsia"/>
                <w:color w:val="auto"/>
                <w:highlight w:val="none"/>
                <w:lang w:eastAsia="zh-CN"/>
              </w:rPr>
              <w:t>响应保证金</w:t>
            </w:r>
            <w:r>
              <w:rPr>
                <w:rFonts w:hint="eastAsia"/>
                <w:color w:val="auto"/>
                <w:highlight w:val="none"/>
              </w:rPr>
              <w:t>提交凭证；（</w:t>
            </w:r>
            <w:r>
              <w:rPr>
                <w:rFonts w:hint="eastAsia"/>
                <w:b/>
                <w:color w:val="auto"/>
                <w:highlight w:val="none"/>
              </w:rPr>
              <w:t>如要求提交</w:t>
            </w:r>
            <w:r>
              <w:rPr>
                <w:rFonts w:hint="eastAsia"/>
                <w:b/>
                <w:color w:val="auto"/>
                <w:highlight w:val="none"/>
                <w:lang w:eastAsia="zh-CN"/>
              </w:rPr>
              <w:t>响应保证金</w:t>
            </w:r>
            <w:r>
              <w:rPr>
                <w:rFonts w:hint="eastAsia"/>
                <w:b/>
                <w:color w:val="auto"/>
                <w:highlight w:val="none"/>
              </w:rPr>
              <w:t>的则必须提供</w:t>
            </w:r>
            <w:r>
              <w:rPr>
                <w:rFonts w:hint="eastAsia" w:hAnsi="宋体" w:cs="宋体"/>
                <w:b/>
                <w:color w:val="auto"/>
                <w:highlight w:val="none"/>
              </w:rPr>
              <w:t>，否则响应文件按无效响应处理</w:t>
            </w:r>
            <w:r>
              <w:rPr>
                <w:rFonts w:hint="eastAsia"/>
                <w:color w:val="auto"/>
                <w:highlight w:val="none"/>
              </w:rPr>
              <w:t>）</w:t>
            </w:r>
          </w:p>
          <w:p w14:paraId="35A59DE8">
            <w:pPr>
              <w:pStyle w:val="56"/>
              <w:numPr>
                <w:ilvl w:val="0"/>
                <w:numId w:val="4"/>
              </w:numPr>
              <w:ind w:left="0" w:leftChars="0" w:firstLine="420" w:firstLineChars="0"/>
              <w:rPr>
                <w:color w:val="auto"/>
                <w:highlight w:val="none"/>
              </w:rPr>
            </w:pPr>
            <w:r>
              <w:rPr>
                <w:rFonts w:hint="eastAsia"/>
                <w:color w:val="auto"/>
                <w:highlight w:val="none"/>
              </w:rPr>
              <w:t>商务要求偏离表（格式后附）；（</w:t>
            </w:r>
            <w:r>
              <w:rPr>
                <w:rFonts w:hint="eastAsia"/>
                <w:b/>
                <w:bCs/>
                <w:color w:val="auto"/>
                <w:highlight w:val="none"/>
              </w:rPr>
              <w:t>必须提供，否则响应文件按无效响应处理</w:t>
            </w:r>
            <w:r>
              <w:rPr>
                <w:rFonts w:hint="eastAsia"/>
                <w:color w:val="auto"/>
                <w:highlight w:val="none"/>
              </w:rPr>
              <w:t>）</w:t>
            </w:r>
          </w:p>
          <w:p w14:paraId="21851DD1">
            <w:pPr>
              <w:pStyle w:val="56"/>
              <w:numPr>
                <w:ilvl w:val="0"/>
                <w:numId w:val="4"/>
              </w:numPr>
              <w:ind w:left="0" w:leftChars="0" w:firstLine="420" w:firstLineChars="0"/>
              <w:rPr>
                <w:color w:val="auto"/>
                <w:highlight w:val="none"/>
              </w:rPr>
            </w:pPr>
            <w:r>
              <w:rPr>
                <w:rFonts w:hint="eastAsia"/>
                <w:color w:val="auto"/>
                <w:highlight w:val="none"/>
              </w:rPr>
              <w:t>技术要求偏离表（格式后附）；（</w:t>
            </w:r>
            <w:r>
              <w:rPr>
                <w:rFonts w:hint="eastAsia"/>
                <w:b/>
                <w:bCs/>
                <w:color w:val="auto"/>
                <w:highlight w:val="none"/>
              </w:rPr>
              <w:t>必须提供，否则响应文件按无效响应处理</w:t>
            </w:r>
            <w:r>
              <w:rPr>
                <w:rFonts w:hint="eastAsia"/>
                <w:color w:val="auto"/>
                <w:highlight w:val="none"/>
              </w:rPr>
              <w:t>）</w:t>
            </w:r>
          </w:p>
          <w:p w14:paraId="0FF92C4D">
            <w:pPr>
              <w:pStyle w:val="56"/>
              <w:numPr>
                <w:ilvl w:val="0"/>
                <w:numId w:val="4"/>
              </w:numPr>
              <w:ind w:left="0" w:leftChars="0" w:firstLine="420" w:firstLineChars="0"/>
              <w:rPr>
                <w:color w:val="auto"/>
                <w:highlight w:val="none"/>
              </w:rPr>
            </w:pPr>
            <w:r>
              <w:rPr>
                <w:rFonts w:hint="eastAsia"/>
                <w:color w:val="auto"/>
                <w:highlight w:val="none"/>
                <w:lang w:eastAsia="zh-CN"/>
              </w:rPr>
              <w:t>售后服务</w:t>
            </w:r>
            <w:r>
              <w:rPr>
                <w:rFonts w:hint="eastAsia"/>
                <w:color w:val="auto"/>
                <w:highlight w:val="none"/>
                <w:lang w:val="en-US" w:eastAsia="zh-CN"/>
              </w:rPr>
              <w:t>方案</w:t>
            </w:r>
            <w:r>
              <w:rPr>
                <w:rFonts w:hint="eastAsia"/>
                <w:color w:val="auto"/>
                <w:highlight w:val="none"/>
              </w:rPr>
              <w:t>（格式自拟）；（</w:t>
            </w:r>
            <w:r>
              <w:rPr>
                <w:rFonts w:hint="eastAsia"/>
                <w:b/>
                <w:bCs/>
                <w:color w:val="auto"/>
                <w:highlight w:val="none"/>
              </w:rPr>
              <w:t>必须提供，否则响应文件按无效响应处理</w:t>
            </w:r>
            <w:r>
              <w:rPr>
                <w:rFonts w:hint="eastAsia"/>
                <w:color w:val="auto"/>
                <w:highlight w:val="none"/>
              </w:rPr>
              <w:t>）</w:t>
            </w:r>
          </w:p>
          <w:p w14:paraId="543F1EB7">
            <w:pPr>
              <w:pStyle w:val="56"/>
              <w:numPr>
                <w:ilvl w:val="0"/>
                <w:numId w:val="4"/>
              </w:numPr>
              <w:ind w:left="0" w:leftChars="0" w:firstLine="420" w:firstLineChars="0"/>
              <w:rPr>
                <w:color w:val="auto"/>
                <w:highlight w:val="none"/>
              </w:rPr>
            </w:pPr>
            <w:r>
              <w:rPr>
                <w:rFonts w:hint="eastAsia" w:hAnsi="宋体" w:cs="宋体"/>
                <w:highlight w:val="none"/>
              </w:rPr>
              <w:t>设备配置清单（格式后附）</w:t>
            </w:r>
            <w:r>
              <w:rPr>
                <w:rFonts w:hint="eastAsia"/>
                <w:highlight w:val="none"/>
              </w:rPr>
              <w:t>；（</w:t>
            </w:r>
            <w:r>
              <w:rPr>
                <w:rFonts w:hint="eastAsia"/>
                <w:b/>
                <w:bCs/>
                <w:highlight w:val="none"/>
              </w:rPr>
              <w:t>必须提供，否则响应文件按无效响应处理</w:t>
            </w:r>
            <w:r>
              <w:rPr>
                <w:rFonts w:hint="eastAsia"/>
                <w:color w:val="auto"/>
                <w:highlight w:val="none"/>
              </w:rPr>
              <w:t>）</w:t>
            </w:r>
          </w:p>
          <w:p w14:paraId="63525640">
            <w:pPr>
              <w:pStyle w:val="56"/>
              <w:numPr>
                <w:ilvl w:val="0"/>
                <w:numId w:val="4"/>
              </w:numPr>
              <w:ind w:left="0" w:leftChars="0" w:firstLine="420" w:firstLineChars="0"/>
              <w:rPr>
                <w:color w:val="auto"/>
                <w:highlight w:val="none"/>
              </w:rPr>
            </w:pPr>
            <w:r>
              <w:rPr>
                <w:rFonts w:hint="eastAsia" w:hAnsi="宋体"/>
                <w:highlight w:val="none"/>
              </w:rPr>
              <w:t>专用耗材报价</w:t>
            </w:r>
            <w:r>
              <w:rPr>
                <w:rFonts w:hAnsi="宋体"/>
                <w:highlight w:val="none"/>
              </w:rPr>
              <w:t>表</w:t>
            </w:r>
            <w:r>
              <w:rPr>
                <w:rFonts w:hint="eastAsia"/>
                <w:highlight w:val="none"/>
              </w:rPr>
              <w:t>（格式后附）；（</w:t>
            </w:r>
            <w:r>
              <w:rPr>
                <w:rFonts w:hint="eastAsia"/>
                <w:b/>
                <w:bCs/>
                <w:highlight w:val="none"/>
              </w:rPr>
              <w:t>必须提供，否则响应文件按无效响应处理</w:t>
            </w:r>
            <w:r>
              <w:rPr>
                <w:rFonts w:hint="eastAsia"/>
                <w:highlight w:val="none"/>
              </w:rPr>
              <w:t>）</w:t>
            </w:r>
          </w:p>
          <w:p w14:paraId="399EAAE2">
            <w:pPr>
              <w:pStyle w:val="56"/>
              <w:numPr>
                <w:ilvl w:val="0"/>
                <w:numId w:val="4"/>
              </w:numPr>
              <w:ind w:left="0" w:leftChars="0" w:firstLine="420" w:firstLineChars="0"/>
              <w:rPr>
                <w:color w:val="auto"/>
                <w:highlight w:val="none"/>
              </w:rPr>
            </w:pPr>
            <w:r>
              <w:rPr>
                <w:rFonts w:hint="eastAsia" w:hAnsi="宋体"/>
                <w:highlight w:val="none"/>
              </w:rPr>
              <w:t>专用耗材竞标报价</w:t>
            </w:r>
            <w:r>
              <w:rPr>
                <w:rFonts w:hAnsi="宋体"/>
                <w:highlight w:val="none"/>
              </w:rPr>
              <w:t>承诺函</w:t>
            </w:r>
            <w:r>
              <w:rPr>
                <w:rFonts w:hint="eastAsia"/>
                <w:highlight w:val="none"/>
              </w:rPr>
              <w:t>（格式自拟）；（</w:t>
            </w:r>
            <w:r>
              <w:rPr>
                <w:rFonts w:hint="eastAsia"/>
                <w:b/>
                <w:bCs/>
                <w:highlight w:val="none"/>
              </w:rPr>
              <w:t>必须提供，否则响应文件按无效响应处理</w:t>
            </w:r>
            <w:r>
              <w:rPr>
                <w:rFonts w:hint="eastAsia"/>
                <w:highlight w:val="none"/>
              </w:rPr>
              <w:t>）</w:t>
            </w:r>
          </w:p>
          <w:p w14:paraId="7C813994">
            <w:pPr>
              <w:pStyle w:val="56"/>
              <w:numPr>
                <w:ilvl w:val="0"/>
                <w:numId w:val="4"/>
              </w:numPr>
              <w:ind w:left="0" w:leftChars="0" w:firstLine="420" w:firstLineChars="0"/>
              <w:rPr>
                <w:color w:val="auto"/>
                <w:highlight w:val="none"/>
              </w:rPr>
            </w:pPr>
            <w:r>
              <w:rPr>
                <w:rFonts w:hint="eastAsia"/>
                <w:color w:val="auto"/>
                <w:highlight w:val="none"/>
              </w:rPr>
              <w:t>对应采购需求的技术要求、商务要求提供的其他文件资料（格式自拟）；</w:t>
            </w:r>
          </w:p>
          <w:p w14:paraId="423D8FD5">
            <w:pPr>
              <w:pStyle w:val="56"/>
              <w:numPr>
                <w:ilvl w:val="0"/>
                <w:numId w:val="4"/>
              </w:numPr>
              <w:ind w:left="0" w:leftChars="0" w:firstLine="420" w:firstLineChars="0"/>
              <w:rPr>
                <w:color w:val="auto"/>
                <w:highlight w:val="none"/>
              </w:rPr>
            </w:pPr>
            <w:r>
              <w:rPr>
                <w:rFonts w:hint="eastAsia" w:hAnsi="宋体"/>
                <w:highlight w:val="none"/>
              </w:rPr>
              <w:t>竞标产品属于第一类医疗器械管理的须提供产品备案证明复印件；属于第二类、第三类医疗器械管理的须提供国家主管部门颁发的有效整机产品注册证明复印件；（</w:t>
            </w:r>
            <w:r>
              <w:rPr>
                <w:rFonts w:hint="eastAsia" w:hAnsi="宋体"/>
                <w:b/>
                <w:bCs/>
                <w:highlight w:val="none"/>
              </w:rPr>
              <w:t>必须提供，</w:t>
            </w:r>
            <w:r>
              <w:rPr>
                <w:rFonts w:hint="eastAsia"/>
                <w:b/>
                <w:bCs/>
                <w:highlight w:val="none"/>
              </w:rPr>
              <w:t>否则响应文件按无效响应处理</w:t>
            </w:r>
            <w:r>
              <w:rPr>
                <w:rFonts w:hint="eastAsia" w:hAnsi="宋体"/>
                <w:highlight w:val="none"/>
              </w:rPr>
              <w:t>）</w:t>
            </w:r>
          </w:p>
          <w:p w14:paraId="2C7D3231">
            <w:pPr>
              <w:pStyle w:val="56"/>
              <w:numPr>
                <w:ilvl w:val="0"/>
                <w:numId w:val="4"/>
              </w:numPr>
              <w:ind w:left="0" w:leftChars="0" w:firstLine="420" w:firstLineChars="0"/>
              <w:rPr>
                <w:color w:val="auto"/>
                <w:highlight w:val="none"/>
              </w:rPr>
            </w:pPr>
            <w:r>
              <w:rPr>
                <w:rFonts w:hint="eastAsia"/>
                <w:color w:val="auto"/>
                <w:highlight w:val="none"/>
              </w:rPr>
              <w:t>供应商认为需要提供的其他有关资料。</w:t>
            </w:r>
          </w:p>
          <w:p w14:paraId="3A6A61E7">
            <w:pPr>
              <w:ind w:firstLine="0" w:firstLineChars="0"/>
              <w:rPr>
                <w:b/>
                <w:bCs/>
                <w:color w:val="auto"/>
                <w:highlight w:val="none"/>
              </w:rPr>
            </w:pPr>
            <w:r>
              <w:rPr>
                <w:rFonts w:hint="eastAsia"/>
                <w:b/>
                <w:bCs/>
                <w:color w:val="auto"/>
                <w:highlight w:val="none"/>
              </w:rPr>
              <w:t>注：</w:t>
            </w:r>
            <w:r>
              <w:rPr>
                <w:rFonts w:hint="eastAsia" w:ascii="宋体" w:hAnsi="宋体" w:cs="宋体"/>
                <w:b/>
                <w:color w:val="auto"/>
                <w:highlight w:val="none"/>
              </w:rPr>
              <w:t>以上标明“必须提供”的材料属于复印件的，必须加盖供应商</w:t>
            </w:r>
            <w:r>
              <w:rPr>
                <w:rFonts w:hint="eastAsia" w:ascii="宋体" w:hAnsi="宋体"/>
                <w:b/>
                <w:bCs/>
                <w:color w:val="auto"/>
                <w:highlight w:val="none"/>
              </w:rPr>
              <w:t>电子签章</w:t>
            </w:r>
            <w:r>
              <w:rPr>
                <w:rFonts w:hint="eastAsia" w:ascii="宋体" w:hAnsi="宋体" w:cs="宋体"/>
                <w:b/>
                <w:color w:val="auto"/>
                <w:highlight w:val="none"/>
              </w:rPr>
              <w:t>，否则响应文件按无效响应处理。</w:t>
            </w:r>
          </w:p>
        </w:tc>
      </w:tr>
      <w:tr w14:paraId="49A6D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34229C7C">
            <w:pPr>
              <w:ind w:firstLine="0" w:firstLineChars="0"/>
              <w:jc w:val="center"/>
              <w:rPr>
                <w:color w:val="auto"/>
                <w:highlight w:val="none"/>
              </w:rPr>
            </w:pPr>
            <w:r>
              <w:rPr>
                <w:rFonts w:hint="eastAsia"/>
                <w:color w:val="auto"/>
                <w:highlight w:val="none"/>
              </w:rPr>
              <w:t>15.2</w:t>
            </w:r>
          </w:p>
        </w:tc>
        <w:tc>
          <w:tcPr>
            <w:tcW w:w="7539" w:type="dxa"/>
            <w:vAlign w:val="center"/>
          </w:tcPr>
          <w:p w14:paraId="564A7A7E">
            <w:pPr>
              <w:widowControl w:val="0"/>
              <w:ind w:firstLine="0" w:firstLineChars="0"/>
              <w:contextualSpacing/>
              <w:rPr>
                <w:rFonts w:ascii="宋体" w:hAnsi="宋体" w:eastAsia="宋体" w:cs="Times New Roman"/>
                <w:b/>
                <w:color w:val="auto"/>
                <w:highlight w:val="none"/>
              </w:rPr>
            </w:pPr>
            <w:r>
              <w:rPr>
                <w:rFonts w:hint="eastAsia" w:hAnsi="宋体" w:cs="宋体"/>
                <w:color w:val="auto"/>
                <w:szCs w:val="21"/>
                <w:highlight w:val="none"/>
                <w:shd w:val="clear" w:color="auto" w:fill="auto"/>
              </w:rPr>
              <w:t>竞标报价包含合同合计金额包括竞标货物（包括备品备件、专用工具等）的价格，竞标货物运输（含保险）、安装（如有）、调试、检验、技术服务、培训和竞争性</w:t>
            </w:r>
            <w:r>
              <w:rPr>
                <w:rFonts w:hint="eastAsia" w:hAnsi="宋体" w:cs="宋体"/>
                <w:color w:val="auto"/>
                <w:szCs w:val="21"/>
                <w:highlight w:val="none"/>
                <w:shd w:val="clear" w:color="auto" w:fill="auto"/>
                <w:lang w:eastAsia="zh-CN"/>
              </w:rPr>
              <w:t>谈判</w:t>
            </w:r>
            <w:r>
              <w:rPr>
                <w:rFonts w:hint="eastAsia" w:hAnsi="宋体" w:cs="宋体"/>
                <w:color w:val="auto"/>
                <w:szCs w:val="21"/>
                <w:highlight w:val="none"/>
                <w:shd w:val="clear" w:color="auto" w:fill="auto"/>
              </w:rPr>
              <w:t>文件要求提供的所有伴随服务、工程</w:t>
            </w:r>
            <w:r>
              <w:rPr>
                <w:rFonts w:hint="eastAsia" w:hAnsi="宋体" w:cs="宋体"/>
                <w:color w:val="auto"/>
                <w:szCs w:val="21"/>
                <w:highlight w:val="none"/>
                <w:shd w:val="clear" w:color="auto" w:fill="auto"/>
                <w:lang w:eastAsia="zh-CN"/>
              </w:rPr>
              <w:t>、</w:t>
            </w:r>
            <w:r>
              <w:rPr>
                <w:rFonts w:hint="eastAsia" w:ascii="宋体" w:hAnsi="宋体" w:eastAsia="宋体" w:cs="宋体"/>
                <w:color w:val="auto"/>
                <w:kern w:val="0"/>
                <w:highlight w:val="none"/>
              </w:rPr>
              <w:t>提供必要的零配件或备件供应</w:t>
            </w:r>
            <w:r>
              <w:rPr>
                <w:rFonts w:hint="eastAsia" w:hAnsi="宋体" w:cs="宋体"/>
                <w:color w:val="auto"/>
                <w:szCs w:val="21"/>
                <w:highlight w:val="none"/>
                <w:shd w:val="clear" w:color="auto" w:fill="auto"/>
              </w:rPr>
              <w:t>等费用和税费。</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p>
        </w:tc>
      </w:tr>
      <w:tr w14:paraId="3D3A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68E61F17">
            <w:pPr>
              <w:ind w:firstLine="0" w:firstLineChars="0"/>
              <w:jc w:val="center"/>
              <w:rPr>
                <w:color w:val="auto"/>
                <w:highlight w:val="none"/>
              </w:rPr>
            </w:pPr>
            <w:r>
              <w:rPr>
                <w:rFonts w:hint="eastAsia"/>
                <w:color w:val="auto"/>
                <w:highlight w:val="none"/>
              </w:rPr>
              <w:t>16.</w:t>
            </w:r>
            <w:r>
              <w:rPr>
                <w:color w:val="auto"/>
                <w:highlight w:val="none"/>
              </w:rPr>
              <w:t>2</w:t>
            </w:r>
          </w:p>
        </w:tc>
        <w:tc>
          <w:tcPr>
            <w:tcW w:w="7539" w:type="dxa"/>
            <w:vAlign w:val="center"/>
          </w:tcPr>
          <w:p w14:paraId="2413BE9B">
            <w:pPr>
              <w:ind w:firstLine="0" w:firstLineChars="0"/>
              <w:rPr>
                <w:color w:val="auto"/>
                <w:highlight w:val="none"/>
              </w:rPr>
            </w:pPr>
            <w:r>
              <w:rPr>
                <w:rFonts w:hint="eastAsia"/>
                <w:color w:val="auto"/>
                <w:highlight w:val="none"/>
              </w:rPr>
              <w:t>竞标有效期：自首次响应文件提交截止之日起</w:t>
            </w:r>
            <w:r>
              <w:rPr>
                <w:b/>
                <w:bCs/>
                <w:color w:val="auto"/>
                <w:highlight w:val="none"/>
                <w:u w:val="single"/>
              </w:rPr>
              <w:t xml:space="preserve"> 90 </w:t>
            </w:r>
            <w:r>
              <w:rPr>
                <w:rFonts w:hint="eastAsia"/>
                <w:color w:val="auto"/>
                <w:highlight w:val="none"/>
              </w:rPr>
              <w:t>日。</w:t>
            </w:r>
          </w:p>
        </w:tc>
      </w:tr>
      <w:tr w14:paraId="704BE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0F08307">
            <w:pPr>
              <w:ind w:firstLine="0" w:firstLineChars="0"/>
              <w:jc w:val="center"/>
              <w:rPr>
                <w:color w:val="auto"/>
                <w:highlight w:val="none"/>
              </w:rPr>
            </w:pPr>
            <w:r>
              <w:rPr>
                <w:rFonts w:hint="eastAsia"/>
                <w:color w:val="auto"/>
                <w:highlight w:val="none"/>
              </w:rPr>
              <w:t>17.1</w:t>
            </w:r>
          </w:p>
        </w:tc>
        <w:tc>
          <w:tcPr>
            <w:tcW w:w="7539" w:type="dxa"/>
            <w:vAlign w:val="center"/>
          </w:tcPr>
          <w:p w14:paraId="65D1C87F">
            <w:pPr>
              <w:ind w:firstLine="0" w:firstLineChars="0"/>
              <w:rPr>
                <w:rFonts w:cs="Times New Roman"/>
                <w:color w:val="auto"/>
                <w:highlight w:val="none"/>
              </w:rPr>
            </w:pPr>
            <w:r>
              <w:rPr>
                <w:rFonts w:hint="eastAsia" w:cs="Times New Roman"/>
                <w:color w:val="auto"/>
                <w:highlight w:val="none"/>
              </w:rPr>
              <w:t>□本项目不收取</w:t>
            </w:r>
            <w:r>
              <w:rPr>
                <w:rFonts w:hint="eastAsia" w:cs="Times New Roman"/>
                <w:color w:val="auto"/>
                <w:highlight w:val="none"/>
                <w:lang w:eastAsia="zh-CN"/>
              </w:rPr>
              <w:t>响应保证金</w:t>
            </w:r>
            <w:r>
              <w:rPr>
                <w:rFonts w:hint="eastAsia" w:cs="Times New Roman"/>
                <w:color w:val="auto"/>
                <w:highlight w:val="none"/>
              </w:rPr>
              <w:t>。</w:t>
            </w:r>
          </w:p>
          <w:p w14:paraId="6557269D">
            <w:pPr>
              <w:ind w:firstLine="0" w:firstLineChars="0"/>
              <w:rPr>
                <w:rFonts w:cs="Times New Roman"/>
                <w:bCs/>
                <w:color w:val="auto"/>
                <w:highlight w:val="none"/>
              </w:rPr>
            </w:pPr>
            <w:r>
              <w:rPr>
                <w:rFonts w:hint="eastAsia" w:cs="Times New Roman"/>
                <w:b/>
                <w:bCs/>
                <w:color w:val="auto"/>
                <w:highlight w:val="none"/>
              </w:rPr>
              <w:t>☑本项目收取</w:t>
            </w:r>
            <w:r>
              <w:rPr>
                <w:rFonts w:hint="eastAsia" w:cs="Times New Roman"/>
                <w:b/>
                <w:bCs/>
                <w:color w:val="auto"/>
                <w:highlight w:val="none"/>
                <w:lang w:eastAsia="zh-CN"/>
              </w:rPr>
              <w:t>响应保证金</w:t>
            </w:r>
            <w:r>
              <w:rPr>
                <w:rFonts w:hint="eastAsia" w:cs="Times New Roman"/>
                <w:bCs/>
                <w:color w:val="auto"/>
                <w:highlight w:val="none"/>
              </w:rPr>
              <w:t>，具体规定如下：</w:t>
            </w:r>
          </w:p>
          <w:p w14:paraId="6B5F2941">
            <w:pPr>
              <w:ind w:firstLine="420"/>
              <w:rPr>
                <w:color w:val="auto"/>
                <w:highlight w:val="none"/>
              </w:rPr>
            </w:pPr>
            <w:r>
              <w:rPr>
                <w:rFonts w:hint="eastAsia" w:ascii="宋体" w:hAnsi="Times New Roman" w:eastAsia="宋体" w:cs="Times New Roman"/>
                <w:color w:val="auto"/>
                <w:szCs w:val="24"/>
                <w:highlight w:val="none"/>
                <w:lang w:eastAsia="zh-CN"/>
              </w:rPr>
              <w:t>响应保证金</w:t>
            </w:r>
            <w:r>
              <w:rPr>
                <w:rFonts w:hint="eastAsia" w:ascii="宋体" w:hAnsi="Times New Roman" w:eastAsia="宋体" w:cs="Times New Roman"/>
                <w:color w:val="auto"/>
                <w:szCs w:val="24"/>
                <w:highlight w:val="none"/>
              </w:rPr>
              <w:t>人民币</w:t>
            </w:r>
            <w:r>
              <w:rPr>
                <w:rFonts w:hint="eastAsia" w:ascii="宋体" w:hAnsi="Times New Roman" w:eastAsia="宋体" w:cs="Times New Roman"/>
                <w:color w:val="auto"/>
                <w:szCs w:val="24"/>
                <w:highlight w:val="none"/>
                <w:u w:val="single"/>
                <w:lang w:eastAsia="zh-CN"/>
              </w:rPr>
              <w:t>壹万元整（¥1</w:t>
            </w:r>
            <w:r>
              <w:rPr>
                <w:rFonts w:hint="eastAsia" w:ascii="宋体" w:hAnsi="Times New Roman" w:eastAsia="宋体" w:cs="Times New Roman"/>
                <w:color w:val="auto"/>
                <w:szCs w:val="24"/>
                <w:highlight w:val="none"/>
                <w:u w:val="single"/>
                <w:lang w:val="en-US" w:eastAsia="zh-CN"/>
              </w:rPr>
              <w:t>0</w:t>
            </w:r>
            <w:r>
              <w:rPr>
                <w:rFonts w:hint="eastAsia" w:ascii="宋体" w:hAnsi="Times New Roman" w:eastAsia="宋体" w:cs="Times New Roman"/>
                <w:color w:val="auto"/>
                <w:szCs w:val="24"/>
                <w:highlight w:val="none"/>
                <w:u w:val="single"/>
                <w:lang w:eastAsia="zh-CN"/>
              </w:rPr>
              <w:t>000.00）</w:t>
            </w:r>
            <w:r>
              <w:rPr>
                <w:rFonts w:hint="eastAsia" w:ascii="宋体" w:hAnsi="Times New Roman" w:eastAsia="宋体" w:cs="Times New Roman"/>
                <w:color w:val="auto"/>
                <w:szCs w:val="24"/>
                <w:highlight w:val="none"/>
                <w:u w:val="none"/>
                <w:lang w:eastAsia="zh-CN"/>
              </w:rPr>
              <w:t>。</w:t>
            </w:r>
          </w:p>
          <w:p w14:paraId="18301864">
            <w:pPr>
              <w:ind w:firstLine="420"/>
              <w:rPr>
                <w:rFonts w:ascii="宋体" w:hAnsi="Times New Roman" w:eastAsia="宋体" w:cs="Times New Roman"/>
                <w:b/>
                <w:bCs/>
                <w:color w:val="auto"/>
                <w:highlight w:val="none"/>
              </w:rPr>
            </w:pPr>
            <w:r>
              <w:rPr>
                <w:rFonts w:hint="eastAsia" w:ascii="宋体" w:hAnsi="Calibri" w:eastAsia="宋体" w:cs="Times New Roman"/>
                <w:color w:val="auto"/>
                <w:highlight w:val="none"/>
                <w:lang w:eastAsia="zh-CN"/>
              </w:rPr>
              <w:t>响应保证金</w:t>
            </w:r>
            <w:r>
              <w:rPr>
                <w:rFonts w:hint="eastAsia" w:ascii="宋体" w:hAnsi="Calibri" w:eastAsia="宋体" w:cs="Times New Roman"/>
                <w:color w:val="auto"/>
                <w:highlight w:val="none"/>
              </w:rPr>
              <w:t>的交纳方式：银行转账、支票、汇票、本票或者银行、保险机构出具的保函、保险，禁止采用现钞方式。采用银行转账方式的，在响应文件提交截止时间前交至指定账户并且到账（开户银行：</w:t>
            </w:r>
            <w:r>
              <w:rPr>
                <w:rFonts w:hint="eastAsia" w:ascii="宋体" w:hAnsi="Calibri" w:eastAsia="宋体" w:cs="Times New Roman"/>
                <w:color w:val="auto"/>
                <w:highlight w:val="none"/>
                <w:u w:val="single"/>
              </w:rPr>
              <w:t>中信银行南宁东葛支行</w:t>
            </w:r>
            <w:r>
              <w:rPr>
                <w:rFonts w:hint="eastAsia" w:ascii="宋体" w:hAnsi="Calibri" w:eastAsia="宋体" w:cs="Times New Roman"/>
                <w:color w:val="auto"/>
                <w:highlight w:val="none"/>
              </w:rPr>
              <w:t>，开户名称：</w:t>
            </w:r>
            <w:r>
              <w:rPr>
                <w:rFonts w:hint="eastAsia" w:ascii="宋体" w:hAnsi="Calibri" w:eastAsia="宋体" w:cs="Times New Roman"/>
                <w:color w:val="auto"/>
                <w:highlight w:val="none"/>
                <w:u w:val="single"/>
              </w:rPr>
              <w:t>云之龙咨询集团有限公司柳州分公司</w:t>
            </w:r>
            <w:r>
              <w:rPr>
                <w:rFonts w:hint="eastAsia" w:ascii="宋体" w:hAnsi="Calibri" w:eastAsia="宋体" w:cs="Times New Roman"/>
                <w:color w:val="auto"/>
                <w:highlight w:val="none"/>
              </w:rPr>
              <w:t>，银行账号：</w:t>
            </w:r>
            <w:r>
              <w:rPr>
                <w:rFonts w:hint="eastAsia" w:ascii="宋体" w:hAnsi="Calibri" w:eastAsia="宋体" w:cs="Times New Roman"/>
                <w:color w:val="auto"/>
                <w:highlight w:val="none"/>
                <w:u w:val="single"/>
              </w:rPr>
              <w:t>8113 0010 1450 0074 537</w:t>
            </w:r>
            <w:r>
              <w:rPr>
                <w:rFonts w:hint="eastAsia" w:ascii="宋体" w:hAnsi="Calibri" w:eastAsia="宋体" w:cs="Times New Roman"/>
                <w:color w:val="auto"/>
                <w:highlight w:val="none"/>
              </w:rPr>
              <w:t>）；</w:t>
            </w:r>
            <w:r>
              <w:rPr>
                <w:rFonts w:hint="eastAsia" w:ascii="宋体" w:hAnsi="Times New Roman" w:eastAsia="宋体" w:cs="Times New Roman"/>
                <w:color w:val="auto"/>
                <w:highlight w:val="none"/>
              </w:rPr>
              <w:t>采用支票、汇票、本票或者保函、保险等方式的，在响应文件提交截止时间前，供应商应当递交单独密封的支票、汇票、本票或者保函、保险原件（采用电子保函、保险方式交纳</w:t>
            </w:r>
            <w:r>
              <w:rPr>
                <w:rFonts w:hint="eastAsia" w:ascii="宋体" w:hAnsi="Times New Roman" w:eastAsia="宋体" w:cs="Times New Roman"/>
                <w:color w:val="auto"/>
                <w:highlight w:val="none"/>
                <w:lang w:eastAsia="zh-CN"/>
              </w:rPr>
              <w:t>响应保证金</w:t>
            </w:r>
            <w:r>
              <w:rPr>
                <w:rFonts w:hint="eastAsia" w:ascii="宋体" w:hAnsi="Times New Roman" w:eastAsia="宋体" w:cs="Times New Roman"/>
                <w:color w:val="auto"/>
                <w:highlight w:val="none"/>
              </w:rPr>
              <w:t>的，无需递交原件）。</w:t>
            </w:r>
            <w:r>
              <w:rPr>
                <w:rFonts w:hint="eastAsia" w:ascii="宋体" w:hAnsi="Times New Roman" w:eastAsia="宋体" w:cs="Times New Roman"/>
                <w:b/>
                <w:bCs/>
                <w:color w:val="auto"/>
                <w:highlight w:val="none"/>
              </w:rPr>
              <w:t>否则视为无效</w:t>
            </w:r>
            <w:r>
              <w:rPr>
                <w:rFonts w:hint="eastAsia" w:ascii="宋体" w:hAnsi="Times New Roman" w:eastAsia="宋体" w:cs="Times New Roman"/>
                <w:b/>
                <w:bCs/>
                <w:color w:val="auto"/>
                <w:highlight w:val="none"/>
                <w:lang w:eastAsia="zh-CN"/>
              </w:rPr>
              <w:t>响应保证金</w:t>
            </w:r>
            <w:r>
              <w:rPr>
                <w:rFonts w:hint="eastAsia" w:ascii="宋体" w:hAnsi="Times New Roman" w:eastAsia="宋体" w:cs="Times New Roman"/>
                <w:b/>
                <w:bCs/>
                <w:color w:val="auto"/>
                <w:highlight w:val="none"/>
              </w:rPr>
              <w:t>。</w:t>
            </w:r>
          </w:p>
          <w:p w14:paraId="075ABC45">
            <w:pPr>
              <w:ind w:firstLine="0" w:firstLineChars="0"/>
              <w:rPr>
                <w:b/>
                <w:bCs/>
                <w:color w:val="auto"/>
                <w:highlight w:val="none"/>
              </w:rPr>
            </w:pPr>
            <w:r>
              <w:rPr>
                <w:rFonts w:hint="eastAsia"/>
                <w:b/>
                <w:bCs/>
                <w:color w:val="auto"/>
                <w:highlight w:val="none"/>
              </w:rPr>
              <w:t>相关要求：</w:t>
            </w:r>
          </w:p>
          <w:p w14:paraId="41982406">
            <w:pPr>
              <w:ind w:firstLine="420"/>
              <w:rPr>
                <w:color w:val="auto"/>
                <w:highlight w:val="none"/>
              </w:rPr>
            </w:pPr>
            <w:r>
              <w:rPr>
                <w:rFonts w:hint="eastAsia"/>
                <w:color w:val="auto"/>
                <w:highlight w:val="none"/>
              </w:rPr>
              <w:t>1.</w:t>
            </w:r>
            <w:r>
              <w:rPr>
                <w:rFonts w:hint="eastAsia"/>
                <w:color w:val="auto"/>
                <w:highlight w:val="none"/>
                <w:lang w:eastAsia="zh-CN"/>
              </w:rPr>
              <w:t>响应保证金</w:t>
            </w:r>
            <w:r>
              <w:rPr>
                <w:rFonts w:hint="eastAsia"/>
                <w:color w:val="auto"/>
                <w:highlight w:val="none"/>
              </w:rPr>
              <w:t>采用银行转账交纳方式的，在响应文件提交截止时间前交至指定账户并且到账，供应商应将银行转账底单的复印件作为</w:t>
            </w:r>
            <w:r>
              <w:rPr>
                <w:rFonts w:hint="eastAsia"/>
                <w:color w:val="auto"/>
                <w:highlight w:val="none"/>
                <w:lang w:eastAsia="zh-CN"/>
              </w:rPr>
              <w:t>响应保证金</w:t>
            </w:r>
            <w:r>
              <w:rPr>
                <w:rFonts w:hint="eastAsia"/>
                <w:color w:val="auto"/>
                <w:highlight w:val="none"/>
              </w:rPr>
              <w:t>提交凭证，放置于商务技术文件中，</w:t>
            </w:r>
            <w:r>
              <w:rPr>
                <w:rFonts w:hint="eastAsia"/>
                <w:b/>
                <w:bCs/>
                <w:color w:val="auto"/>
                <w:highlight w:val="none"/>
              </w:rPr>
              <w:t>否则响应文件按无效响应处理</w:t>
            </w:r>
            <w:r>
              <w:rPr>
                <w:rFonts w:hint="eastAsia"/>
                <w:color w:val="auto"/>
                <w:highlight w:val="none"/>
              </w:rPr>
              <w:t>。</w:t>
            </w:r>
          </w:p>
          <w:p w14:paraId="18DB6410">
            <w:pPr>
              <w:ind w:firstLine="420"/>
              <w:rPr>
                <w:color w:val="auto"/>
                <w:highlight w:val="none"/>
              </w:rPr>
            </w:pPr>
            <w:r>
              <w:rPr>
                <w:rFonts w:hint="eastAsia" w:cs="Times New Roman"/>
                <w:color w:val="auto"/>
                <w:highlight w:val="none"/>
              </w:rPr>
              <w:t>2.</w:t>
            </w:r>
            <w:r>
              <w:rPr>
                <w:rFonts w:hint="eastAsia" w:ascii="宋体" w:hAnsi="宋体"/>
                <w:color w:val="auto"/>
                <w:highlight w:val="none"/>
                <w:lang w:eastAsia="zh-CN"/>
              </w:rPr>
              <w:t>响应保证金</w:t>
            </w:r>
            <w:r>
              <w:rPr>
                <w:rFonts w:hint="eastAsia" w:ascii="宋体" w:hAnsi="宋体"/>
                <w:color w:val="auto"/>
                <w:highlight w:val="none"/>
              </w:rPr>
              <w:t>采用支票、汇票、本票或者银行、保险机构出具的保函</w:t>
            </w:r>
            <w:r>
              <w:rPr>
                <w:rFonts w:hint="eastAsia"/>
                <w:color w:val="auto"/>
                <w:highlight w:val="none"/>
              </w:rPr>
              <w:t>、保险</w:t>
            </w:r>
            <w:r>
              <w:rPr>
                <w:rFonts w:hint="eastAsia" w:ascii="宋体" w:hAnsi="宋体"/>
                <w:color w:val="auto"/>
                <w:highlight w:val="none"/>
              </w:rPr>
              <w:t>交纳方式的，供应商应将支票、汇票、本票或者银行、保险机构出具的保函</w:t>
            </w:r>
            <w:r>
              <w:rPr>
                <w:rFonts w:hint="eastAsia"/>
                <w:color w:val="auto"/>
                <w:highlight w:val="none"/>
              </w:rPr>
              <w:t>、保险</w:t>
            </w:r>
            <w:r>
              <w:rPr>
                <w:rFonts w:hint="eastAsia" w:ascii="宋体" w:hAnsi="宋体"/>
                <w:color w:val="auto"/>
                <w:highlight w:val="none"/>
              </w:rPr>
              <w:t>的复印件作为</w:t>
            </w:r>
            <w:r>
              <w:rPr>
                <w:rFonts w:hint="eastAsia" w:ascii="宋体" w:hAnsi="宋体"/>
                <w:color w:val="auto"/>
                <w:highlight w:val="none"/>
                <w:lang w:eastAsia="zh-CN"/>
              </w:rPr>
              <w:t>响应保证金</w:t>
            </w:r>
            <w:r>
              <w:rPr>
                <w:rFonts w:hint="eastAsia" w:ascii="宋体" w:hAnsi="宋体"/>
                <w:color w:val="auto"/>
                <w:highlight w:val="none"/>
              </w:rPr>
              <w:t>提交凭证，放置于</w:t>
            </w:r>
            <w:r>
              <w:rPr>
                <w:rFonts w:hint="eastAsia" w:ascii="宋体" w:hAnsi="宋体" w:cs="宋体"/>
                <w:color w:val="auto"/>
                <w:highlight w:val="none"/>
              </w:rPr>
              <w:t>商务技术文件</w:t>
            </w:r>
            <w:r>
              <w:rPr>
                <w:rFonts w:hint="eastAsia" w:ascii="宋体" w:hAnsi="宋体"/>
                <w:color w:val="auto"/>
                <w:highlight w:val="none"/>
              </w:rPr>
              <w:t>中</w:t>
            </w:r>
            <w:r>
              <w:rPr>
                <w:rFonts w:hint="eastAsia" w:cs="Times New Roman"/>
                <w:color w:val="auto"/>
                <w:highlight w:val="none"/>
              </w:rPr>
              <w:t>，</w:t>
            </w:r>
            <w:r>
              <w:rPr>
                <w:rFonts w:hint="eastAsia"/>
                <w:b/>
                <w:bCs/>
                <w:color w:val="auto"/>
                <w:highlight w:val="none"/>
              </w:rPr>
              <w:t>否则响应文件按无效处理</w:t>
            </w:r>
            <w:r>
              <w:rPr>
                <w:rFonts w:hint="eastAsia" w:cs="Times New Roman"/>
                <w:color w:val="auto"/>
                <w:highlight w:val="none"/>
              </w:rPr>
              <w:t>。</w:t>
            </w:r>
            <w:r>
              <w:rPr>
                <w:rFonts w:hint="eastAsia" w:ascii="宋体" w:hAnsi="宋体"/>
                <w:color w:val="auto"/>
                <w:highlight w:val="none"/>
              </w:rPr>
              <w:t>供应商必须</w:t>
            </w:r>
            <w:r>
              <w:rPr>
                <w:rFonts w:hint="eastAsia"/>
                <w:color w:val="auto"/>
                <w:highlight w:val="none"/>
              </w:rPr>
              <w:t>在响应文件提交截止时间前采用现场或邮寄方式（现场提交地址：云之龙咨询集团有限公司（柳州市滨江东路16号三区二层211-218室）；邮寄地址：云之龙咨询集团有限公司（柳州市滨江东路16号三区二层211-218室），收件人：</w:t>
            </w:r>
            <w:r>
              <w:rPr>
                <w:rFonts w:hint="eastAsia"/>
                <w:color w:val="auto"/>
                <w:highlight w:val="none"/>
                <w:lang w:eastAsia="zh-CN"/>
              </w:rPr>
              <w:t>韦力</w:t>
            </w:r>
            <w:r>
              <w:rPr>
                <w:rFonts w:hint="eastAsia"/>
                <w:color w:val="auto"/>
                <w:highlight w:val="none"/>
              </w:rPr>
              <w:t>，联系方式：0772-3310669、3310109）</w:t>
            </w:r>
            <w:r>
              <w:rPr>
                <w:rFonts w:hint="eastAsia" w:ascii="宋体" w:hAnsi="宋体"/>
                <w:color w:val="auto"/>
                <w:highlight w:val="none"/>
              </w:rPr>
              <w:t>将</w:t>
            </w:r>
            <w:r>
              <w:rPr>
                <w:rFonts w:hint="eastAsia" w:ascii="宋体" w:hAnsi="宋体" w:cs="宋体"/>
                <w:color w:val="auto"/>
                <w:kern w:val="0"/>
                <w:highlight w:val="none"/>
              </w:rPr>
              <w:t>单独密封的</w:t>
            </w:r>
            <w:r>
              <w:rPr>
                <w:rFonts w:hint="eastAsia" w:ascii="宋体" w:hAnsi="宋体"/>
                <w:color w:val="auto"/>
                <w:highlight w:val="none"/>
              </w:rPr>
              <w:t>支票、汇票、本票或者银行、保险机构出具的保函原件提交给采购人或者采购代理机构，由采购人或者采购代理机构向供应商出具回执（邮寄方式的除外），并妥善保管。</w:t>
            </w:r>
          </w:p>
          <w:p w14:paraId="6F097865">
            <w:pPr>
              <w:ind w:firstLine="420"/>
              <w:rPr>
                <w:color w:val="auto"/>
                <w:highlight w:val="none"/>
              </w:rPr>
            </w:pPr>
            <w:r>
              <w:rPr>
                <w:rFonts w:hint="eastAsia"/>
                <w:color w:val="auto"/>
                <w:highlight w:val="none"/>
              </w:rPr>
              <w:t>3.供应商为联合体的，可以由联合体中的一方或者多方共同交纳</w:t>
            </w:r>
            <w:r>
              <w:rPr>
                <w:rFonts w:hint="eastAsia"/>
                <w:color w:val="auto"/>
                <w:highlight w:val="none"/>
                <w:lang w:eastAsia="zh-CN"/>
              </w:rPr>
              <w:t>响应保证金</w:t>
            </w:r>
            <w:r>
              <w:rPr>
                <w:rFonts w:hint="eastAsia"/>
                <w:color w:val="auto"/>
                <w:highlight w:val="none"/>
              </w:rPr>
              <w:t>，其交纳的保证金对联合体各方均具有约束力。</w:t>
            </w:r>
          </w:p>
          <w:p w14:paraId="0D038AE1">
            <w:pPr>
              <w:ind w:firstLine="0" w:firstLineChars="0"/>
              <w:rPr>
                <w:rFonts w:hint="eastAsia"/>
                <w:b/>
                <w:bCs/>
                <w:color w:val="auto"/>
                <w:highlight w:val="none"/>
              </w:rPr>
            </w:pPr>
            <w:r>
              <w:rPr>
                <w:rFonts w:hint="eastAsia"/>
                <w:b/>
                <w:bCs/>
                <w:color w:val="auto"/>
                <w:highlight w:val="none"/>
              </w:rPr>
              <w:t>注：</w:t>
            </w:r>
          </w:p>
          <w:p w14:paraId="15D785FA">
            <w:pPr>
              <w:ind w:firstLine="422" w:firstLineChars="200"/>
              <w:rPr>
                <w:b/>
                <w:bCs/>
                <w:color w:val="auto"/>
                <w:highlight w:val="none"/>
              </w:rPr>
            </w:pPr>
            <w:r>
              <w:rPr>
                <w:rFonts w:hint="eastAsia"/>
                <w:b/>
                <w:bCs/>
                <w:color w:val="auto"/>
                <w:highlight w:val="none"/>
              </w:rPr>
              <w:t>1.</w:t>
            </w:r>
            <w:r>
              <w:rPr>
                <w:rFonts w:hint="eastAsia"/>
                <w:b/>
                <w:bCs/>
                <w:color w:val="auto"/>
                <w:highlight w:val="none"/>
                <w:lang w:eastAsia="zh-CN"/>
              </w:rPr>
              <w:t>响应保证金</w:t>
            </w:r>
            <w:r>
              <w:rPr>
                <w:rFonts w:hint="eastAsia"/>
                <w:b/>
                <w:bCs/>
                <w:color w:val="auto"/>
                <w:highlight w:val="none"/>
              </w:rPr>
              <w:t>在响应文件提交截止时间后提交的，或者不按规定交纳方式交纳的，或者未足额交纳的（包含保函或保险额度不足的），视为无效</w:t>
            </w:r>
            <w:r>
              <w:rPr>
                <w:rFonts w:hint="eastAsia"/>
                <w:b/>
                <w:bCs/>
                <w:color w:val="auto"/>
                <w:highlight w:val="none"/>
                <w:lang w:eastAsia="zh-CN"/>
              </w:rPr>
              <w:t>响应保证金</w:t>
            </w:r>
            <w:r>
              <w:rPr>
                <w:rFonts w:hint="eastAsia"/>
                <w:b/>
                <w:bCs/>
                <w:color w:val="auto"/>
                <w:highlight w:val="none"/>
              </w:rPr>
              <w:t>。</w:t>
            </w:r>
          </w:p>
          <w:p w14:paraId="0B74EE89">
            <w:pPr>
              <w:ind w:firstLine="422"/>
              <w:rPr>
                <w:b/>
                <w:bCs/>
                <w:color w:val="auto"/>
                <w:highlight w:val="none"/>
              </w:rPr>
            </w:pPr>
            <w:r>
              <w:rPr>
                <w:rFonts w:hint="eastAsia"/>
                <w:b/>
                <w:bCs/>
                <w:color w:val="auto"/>
                <w:highlight w:val="none"/>
              </w:rPr>
              <w:t>2.供应商采用现钞方式或者从个人账户（自然人竞标除外）转出的</w:t>
            </w:r>
            <w:r>
              <w:rPr>
                <w:rFonts w:hint="eastAsia"/>
                <w:b/>
                <w:bCs/>
                <w:color w:val="auto"/>
                <w:highlight w:val="none"/>
                <w:lang w:eastAsia="zh-CN"/>
              </w:rPr>
              <w:t>响应保证金</w:t>
            </w:r>
            <w:r>
              <w:rPr>
                <w:rFonts w:hint="eastAsia"/>
                <w:b/>
                <w:bCs/>
                <w:color w:val="auto"/>
                <w:highlight w:val="none"/>
              </w:rPr>
              <w:t>，视为无效</w:t>
            </w:r>
            <w:r>
              <w:rPr>
                <w:rFonts w:hint="eastAsia"/>
                <w:b/>
                <w:bCs/>
                <w:color w:val="auto"/>
                <w:highlight w:val="none"/>
                <w:lang w:eastAsia="zh-CN"/>
              </w:rPr>
              <w:t>响应保证金</w:t>
            </w:r>
            <w:r>
              <w:rPr>
                <w:rFonts w:hint="eastAsia"/>
                <w:b/>
                <w:bCs/>
                <w:color w:val="auto"/>
                <w:highlight w:val="none"/>
              </w:rPr>
              <w:t>。</w:t>
            </w:r>
          </w:p>
          <w:p w14:paraId="0A4EBBD1">
            <w:pPr>
              <w:ind w:firstLine="422"/>
              <w:rPr>
                <w:b/>
                <w:bCs/>
                <w:color w:val="auto"/>
                <w:highlight w:val="none"/>
              </w:rPr>
            </w:pPr>
            <w:r>
              <w:rPr>
                <w:rFonts w:hint="eastAsia"/>
                <w:b/>
                <w:bCs/>
                <w:color w:val="auto"/>
                <w:highlight w:val="none"/>
              </w:rPr>
              <w:t>3.支票、汇票或者本票出现无效或者背书情形的，视为无效</w:t>
            </w:r>
            <w:r>
              <w:rPr>
                <w:rFonts w:hint="eastAsia"/>
                <w:b/>
                <w:bCs/>
                <w:color w:val="auto"/>
                <w:highlight w:val="none"/>
                <w:lang w:eastAsia="zh-CN"/>
              </w:rPr>
              <w:t>响应保证金</w:t>
            </w:r>
            <w:r>
              <w:rPr>
                <w:rFonts w:hint="eastAsia"/>
                <w:b/>
                <w:bCs/>
                <w:color w:val="auto"/>
                <w:highlight w:val="none"/>
              </w:rPr>
              <w:t>。</w:t>
            </w:r>
          </w:p>
          <w:p w14:paraId="7AB82971">
            <w:pPr>
              <w:snapToGrid w:val="0"/>
              <w:ind w:firstLine="422"/>
              <w:rPr>
                <w:rFonts w:ascii="宋体" w:hAnsi="宋体"/>
                <w:b/>
                <w:color w:val="auto"/>
                <w:highlight w:val="none"/>
              </w:rPr>
            </w:pPr>
            <w:r>
              <w:rPr>
                <w:rFonts w:hint="eastAsia" w:ascii="宋体" w:hAnsi="宋体"/>
                <w:b/>
                <w:color w:val="auto"/>
                <w:highlight w:val="none"/>
              </w:rPr>
              <w:t>4.保函、保险有效期低于竞标有效期的，视为无效</w:t>
            </w:r>
            <w:r>
              <w:rPr>
                <w:rFonts w:hint="eastAsia" w:ascii="宋体" w:hAnsi="宋体"/>
                <w:b/>
                <w:color w:val="auto"/>
                <w:highlight w:val="none"/>
                <w:lang w:eastAsia="zh-CN"/>
              </w:rPr>
              <w:t>响应保证金</w:t>
            </w:r>
            <w:r>
              <w:rPr>
                <w:rFonts w:hint="eastAsia" w:ascii="宋体" w:hAnsi="宋体"/>
                <w:b/>
                <w:color w:val="auto"/>
                <w:highlight w:val="none"/>
              </w:rPr>
              <w:t>。</w:t>
            </w:r>
          </w:p>
          <w:p w14:paraId="3DA04579">
            <w:pPr>
              <w:snapToGrid w:val="0"/>
              <w:ind w:firstLine="422"/>
              <w:rPr>
                <w:rFonts w:ascii="宋体" w:hAnsi="宋体"/>
                <w:b/>
                <w:color w:val="auto"/>
                <w:highlight w:val="none"/>
              </w:rPr>
            </w:pPr>
            <w:r>
              <w:rPr>
                <w:rFonts w:hint="eastAsia" w:ascii="宋体" w:hAnsi="宋体"/>
                <w:b/>
                <w:color w:val="auto"/>
                <w:highlight w:val="none"/>
              </w:rPr>
              <w:t>5.采用银行、保险机构出具保函的，必须为无条件保函，否则视为无效</w:t>
            </w:r>
            <w:r>
              <w:rPr>
                <w:rFonts w:hint="eastAsia" w:ascii="宋体" w:hAnsi="宋体"/>
                <w:b/>
                <w:color w:val="auto"/>
                <w:highlight w:val="none"/>
                <w:lang w:eastAsia="zh-CN"/>
              </w:rPr>
              <w:t>响应保证金</w:t>
            </w:r>
            <w:r>
              <w:rPr>
                <w:rFonts w:hint="eastAsia" w:ascii="宋体" w:hAnsi="宋体"/>
                <w:b/>
                <w:color w:val="auto"/>
                <w:highlight w:val="none"/>
              </w:rPr>
              <w:t>。</w:t>
            </w:r>
          </w:p>
          <w:p w14:paraId="7661305C">
            <w:pPr>
              <w:ind w:firstLine="422"/>
              <w:rPr>
                <w:b/>
                <w:bCs/>
                <w:color w:val="auto"/>
                <w:highlight w:val="none"/>
              </w:rPr>
            </w:pPr>
            <w:r>
              <w:rPr>
                <w:rFonts w:ascii="宋体" w:hAnsi="宋体"/>
                <w:b/>
                <w:color w:val="auto"/>
                <w:highlight w:val="none"/>
              </w:rPr>
              <w:t>6.</w:t>
            </w:r>
            <w:r>
              <w:rPr>
                <w:rFonts w:hint="eastAsia" w:ascii="宋体" w:hAnsi="宋体"/>
                <w:b/>
                <w:color w:val="auto"/>
                <w:highlight w:val="none"/>
              </w:rPr>
              <w:t>采用</w:t>
            </w:r>
            <w:r>
              <w:rPr>
                <w:rFonts w:hint="eastAsia" w:ascii="宋体" w:hAnsi="宋体"/>
                <w:b/>
                <w:color w:val="auto"/>
                <w:highlight w:val="none"/>
                <w:lang w:eastAsia="zh-CN"/>
              </w:rPr>
              <w:t>谈判</w:t>
            </w:r>
            <w:r>
              <w:rPr>
                <w:rFonts w:hint="eastAsia" w:ascii="宋体" w:hAnsi="宋体"/>
                <w:b/>
                <w:color w:val="auto"/>
                <w:highlight w:val="none"/>
              </w:rPr>
              <w:t>保证保险的，保单确定的受益人（本项目采购人）的权益应与采用银行保函形式同等，否则视为无效</w:t>
            </w:r>
            <w:r>
              <w:rPr>
                <w:rFonts w:hint="eastAsia" w:ascii="宋体" w:hAnsi="宋体"/>
                <w:b/>
                <w:color w:val="auto"/>
                <w:highlight w:val="none"/>
                <w:lang w:eastAsia="zh-CN"/>
              </w:rPr>
              <w:t>响应保证金</w:t>
            </w:r>
            <w:r>
              <w:rPr>
                <w:rFonts w:hint="eastAsia" w:ascii="宋体" w:hAnsi="宋体"/>
                <w:b/>
                <w:color w:val="auto"/>
                <w:highlight w:val="none"/>
              </w:rPr>
              <w:t>。</w:t>
            </w:r>
          </w:p>
        </w:tc>
      </w:tr>
      <w:tr w14:paraId="522E4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8642127">
            <w:pPr>
              <w:ind w:firstLine="0" w:firstLineChars="0"/>
              <w:jc w:val="center"/>
              <w:rPr>
                <w:color w:val="auto"/>
                <w:highlight w:val="none"/>
              </w:rPr>
            </w:pPr>
            <w:r>
              <w:rPr>
                <w:color w:val="auto"/>
                <w:highlight w:val="none"/>
              </w:rPr>
              <w:t>19</w:t>
            </w:r>
          </w:p>
        </w:tc>
        <w:tc>
          <w:tcPr>
            <w:tcW w:w="7539" w:type="dxa"/>
            <w:vAlign w:val="center"/>
          </w:tcPr>
          <w:p w14:paraId="4F4D03B3">
            <w:pPr>
              <w:ind w:firstLine="0" w:firstLineChars="0"/>
              <w:rPr>
                <w:color w:val="auto"/>
                <w:highlight w:val="none"/>
              </w:rPr>
            </w:pPr>
            <w:r>
              <w:rPr>
                <w:rFonts w:hint="eastAsia"/>
                <w:color w:val="auto"/>
                <w:highlight w:val="none"/>
              </w:rPr>
              <w:t>本项目不接受电子备份响应文件</w:t>
            </w:r>
          </w:p>
        </w:tc>
      </w:tr>
      <w:tr w14:paraId="6DAD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CADC278">
            <w:pPr>
              <w:ind w:firstLine="0" w:firstLineChars="0"/>
              <w:jc w:val="center"/>
              <w:rPr>
                <w:color w:val="auto"/>
                <w:highlight w:val="none"/>
              </w:rPr>
            </w:pPr>
            <w:r>
              <w:rPr>
                <w:color w:val="auto"/>
                <w:highlight w:val="none"/>
              </w:rPr>
              <w:t>20</w:t>
            </w:r>
            <w:r>
              <w:rPr>
                <w:rFonts w:hint="eastAsia"/>
                <w:color w:val="auto"/>
                <w:highlight w:val="none"/>
              </w:rPr>
              <w:t>.1</w:t>
            </w:r>
          </w:p>
        </w:tc>
        <w:tc>
          <w:tcPr>
            <w:tcW w:w="7539" w:type="dxa"/>
            <w:vAlign w:val="center"/>
          </w:tcPr>
          <w:p w14:paraId="47CEF563">
            <w:pPr>
              <w:ind w:firstLine="0" w:firstLineChars="0"/>
              <w:contextualSpacing/>
              <w:rPr>
                <w:rFonts w:ascii="宋体" w:hAnsi="宋体" w:eastAsia="宋体" w:cs="宋体"/>
                <w:color w:val="auto"/>
                <w:highlight w:val="none"/>
                <w:u w:val="single"/>
              </w:rPr>
            </w:pPr>
            <w:r>
              <w:rPr>
                <w:rFonts w:hint="eastAsia" w:ascii="宋体" w:hAnsi="宋体" w:eastAsia="宋体" w:cs="宋体"/>
                <w:color w:val="auto"/>
                <w:highlight w:val="none"/>
              </w:rPr>
              <w:t>响应文件提交截止时间：详见竞争性</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公告。</w:t>
            </w:r>
          </w:p>
          <w:p w14:paraId="0BB5FA42">
            <w:pPr>
              <w:ind w:firstLine="0" w:firstLineChars="0"/>
              <w:contextualSpacing/>
              <w:rPr>
                <w:rFonts w:ascii="宋体" w:hAnsi="宋体" w:eastAsia="宋体" w:cs="宋体"/>
                <w:color w:val="auto"/>
                <w:highlight w:val="none"/>
              </w:rPr>
            </w:pPr>
            <w:r>
              <w:rPr>
                <w:rFonts w:hint="eastAsia" w:ascii="宋体" w:hAnsi="宋体" w:eastAsia="宋体" w:cs="宋体"/>
                <w:color w:val="auto"/>
                <w:highlight w:val="none"/>
              </w:rPr>
              <w:t>响应文件提交地点：详见竞争性</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公告。</w:t>
            </w:r>
          </w:p>
        </w:tc>
      </w:tr>
      <w:tr w14:paraId="739E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54AA114">
            <w:pPr>
              <w:ind w:firstLine="0" w:firstLineChars="0"/>
              <w:jc w:val="center"/>
              <w:rPr>
                <w:color w:val="auto"/>
                <w:highlight w:val="none"/>
              </w:rPr>
            </w:pPr>
            <w:r>
              <w:rPr>
                <w:rFonts w:hint="eastAsia"/>
                <w:color w:val="auto"/>
                <w:highlight w:val="none"/>
              </w:rPr>
              <w:t>2</w:t>
            </w:r>
            <w:r>
              <w:rPr>
                <w:color w:val="auto"/>
                <w:highlight w:val="none"/>
              </w:rPr>
              <w:t>4</w:t>
            </w:r>
            <w:r>
              <w:rPr>
                <w:rFonts w:hint="eastAsia"/>
                <w:color w:val="auto"/>
                <w:highlight w:val="none"/>
              </w:rPr>
              <w:t>.1</w:t>
            </w:r>
          </w:p>
        </w:tc>
        <w:tc>
          <w:tcPr>
            <w:tcW w:w="7539" w:type="dxa"/>
            <w:vAlign w:val="center"/>
          </w:tcPr>
          <w:p w14:paraId="1FE3D270">
            <w:pPr>
              <w:ind w:firstLine="0" w:firstLineChars="0"/>
              <w:rPr>
                <w:color w:val="auto"/>
                <w:highlight w:val="none"/>
                <w:u w:val="single"/>
              </w:rPr>
            </w:pPr>
            <w:r>
              <w:rPr>
                <w:rFonts w:hint="eastAsia"/>
                <w:color w:val="auto"/>
                <w:highlight w:val="none"/>
                <w:lang w:eastAsia="zh-CN"/>
              </w:rPr>
              <w:t>谈判</w:t>
            </w:r>
            <w:r>
              <w:rPr>
                <w:rFonts w:hint="eastAsia"/>
                <w:color w:val="auto"/>
                <w:highlight w:val="none"/>
              </w:rPr>
              <w:t>小组的人数：</w:t>
            </w:r>
            <w:r>
              <w:rPr>
                <w:b/>
                <w:bCs/>
                <w:color w:val="auto"/>
                <w:highlight w:val="none"/>
                <w:u w:val="single"/>
              </w:rPr>
              <w:t>3</w:t>
            </w:r>
            <w:r>
              <w:rPr>
                <w:rFonts w:hint="eastAsia"/>
                <w:color w:val="auto"/>
                <w:highlight w:val="none"/>
              </w:rPr>
              <w:t>人。</w:t>
            </w:r>
          </w:p>
        </w:tc>
      </w:tr>
      <w:tr w14:paraId="057F2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30DBE428">
            <w:pPr>
              <w:ind w:firstLine="0" w:firstLineChars="0"/>
              <w:jc w:val="center"/>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5</w:t>
            </w:r>
          </w:p>
        </w:tc>
        <w:tc>
          <w:tcPr>
            <w:tcW w:w="7539" w:type="dxa"/>
            <w:vAlign w:val="center"/>
          </w:tcPr>
          <w:p w14:paraId="4364888D">
            <w:pPr>
              <w:ind w:firstLine="0" w:firstLineChars="0"/>
              <w:rPr>
                <w:rFonts w:ascii="宋体" w:hAnsi="宋体" w:eastAsia="宋体" w:cs="宋体"/>
                <w:color w:val="auto"/>
                <w:highlight w:val="none"/>
              </w:rPr>
            </w:pPr>
            <w:r>
              <w:rPr>
                <w:rFonts w:hint="eastAsia" w:ascii="宋体" w:hAnsi="宋体" w:eastAsia="宋体" w:cs="宋体"/>
                <w:color w:val="auto"/>
                <w:highlight w:val="none"/>
              </w:rPr>
              <w:t>首次响应文件开启时间详见“竞争性</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公告”</w:t>
            </w:r>
          </w:p>
          <w:p w14:paraId="75737965">
            <w:pPr>
              <w:ind w:firstLine="0" w:firstLineChars="0"/>
              <w:rPr>
                <w:iCs/>
                <w:color w:val="auto"/>
                <w:highlight w:val="none"/>
              </w:rPr>
            </w:pPr>
            <w:r>
              <w:rPr>
                <w:rFonts w:hint="eastAsia" w:ascii="宋体" w:hAnsi="宋体" w:cs="宋体"/>
                <w:color w:val="auto"/>
                <w:highlight w:val="none"/>
              </w:rPr>
              <w:t>首次响应文件解密时间：</w:t>
            </w:r>
            <w:r>
              <w:rPr>
                <w:rFonts w:hAnsi="宋体"/>
                <w:b/>
                <w:bCs/>
                <w:color w:val="auto"/>
                <w:highlight w:val="none"/>
              </w:rPr>
              <w:t>30</w:t>
            </w:r>
            <w:r>
              <w:rPr>
                <w:rFonts w:hint="eastAsia" w:hAnsi="宋体"/>
                <w:b/>
                <w:bCs/>
                <w:color w:val="auto"/>
                <w:highlight w:val="none"/>
              </w:rPr>
              <w:t>分钟</w:t>
            </w:r>
          </w:p>
        </w:tc>
      </w:tr>
      <w:tr w14:paraId="14CC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8" w:hRule="atLeast"/>
          <w:jc w:val="center"/>
        </w:trPr>
        <w:tc>
          <w:tcPr>
            <w:tcW w:w="955" w:type="dxa"/>
            <w:vMerge w:val="restart"/>
            <w:vAlign w:val="center"/>
          </w:tcPr>
          <w:p w14:paraId="424B0299">
            <w:pPr>
              <w:ind w:firstLine="0" w:firstLineChars="0"/>
              <w:jc w:val="center"/>
              <w:rPr>
                <w:color w:val="auto"/>
                <w:highlight w:val="none"/>
              </w:rPr>
            </w:pPr>
            <w:r>
              <w:rPr>
                <w:rFonts w:hint="eastAsia"/>
                <w:color w:val="auto"/>
                <w:highlight w:val="none"/>
              </w:rPr>
              <w:t>2</w:t>
            </w:r>
            <w:r>
              <w:rPr>
                <w:color w:val="auto"/>
                <w:highlight w:val="none"/>
              </w:rPr>
              <w:t>6</w:t>
            </w:r>
          </w:p>
        </w:tc>
        <w:tc>
          <w:tcPr>
            <w:tcW w:w="7539" w:type="dxa"/>
            <w:tcBorders>
              <w:bottom w:val="single" w:color="auto" w:sz="4" w:space="0"/>
            </w:tcBorders>
            <w:vAlign w:val="center"/>
          </w:tcPr>
          <w:p w14:paraId="4FAC6717">
            <w:pPr>
              <w:ind w:left="0" w:leftChars="0" w:firstLine="0" w:firstLineChars="0"/>
              <w:contextualSpacing/>
              <w:jc w:val="both"/>
              <w:rPr>
                <w:rFonts w:hint="eastAsia" w:hAnsi="宋体" w:cs="宋体"/>
                <w:szCs w:val="21"/>
                <w:highlight w:val="none"/>
              </w:rPr>
            </w:pPr>
            <w:r>
              <w:rPr>
                <w:rFonts w:hint="eastAsia" w:hAnsi="宋体" w:cs="宋体"/>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0657FF88">
            <w:pPr>
              <w:ind w:firstLine="0" w:firstLineChars="0"/>
              <w:rPr>
                <w:rFonts w:hint="eastAsia"/>
                <w:color w:val="auto"/>
                <w:highlight w:val="none"/>
                <w:lang w:eastAsia="zh-CN"/>
              </w:rPr>
            </w:pPr>
            <w:r>
              <w:rPr>
                <w:rFonts w:hAnsi="宋体"/>
                <w:b/>
                <w:bCs/>
                <w:highlight w:val="none"/>
              </w:rPr>
              <w:fldChar w:fldCharType="begin"/>
            </w:r>
            <w:r>
              <w:rPr>
                <w:rFonts w:hAnsi="宋体"/>
                <w:b/>
                <w:bCs/>
                <w:highlight w:val="none"/>
              </w:rPr>
              <w:instrText xml:space="preserve"> </w:instrText>
            </w:r>
            <w:r>
              <w:rPr>
                <w:rFonts w:hint="eastAsia" w:hAnsi="宋体"/>
                <w:b/>
                <w:bCs/>
                <w:highlight w:val="none"/>
              </w:rPr>
              <w:instrText xml:space="preserve">eq \o\ac(□,</w:instrText>
            </w:r>
            <w:r>
              <w:rPr>
                <w:rFonts w:hint="eastAsia" w:hAnsi="宋体"/>
                <w:b/>
                <w:bCs/>
                <w:position w:val="2"/>
                <w:sz w:val="13"/>
                <w:highlight w:val="none"/>
              </w:rPr>
              <w:instrText xml:space="preserve">√</w:instrText>
            </w:r>
            <w:r>
              <w:rPr>
                <w:rFonts w:hint="eastAsia" w:hAnsi="宋体"/>
                <w:b/>
                <w:bCs/>
                <w:highlight w:val="none"/>
              </w:rPr>
              <w:instrText xml:space="preserve">)</w:instrText>
            </w:r>
            <w:r>
              <w:rPr>
                <w:rFonts w:hAnsi="宋体"/>
                <w:b/>
                <w:bCs/>
                <w:highlight w:val="none"/>
              </w:rPr>
              <w:fldChar w:fldCharType="end"/>
            </w:r>
            <w:r>
              <w:rPr>
                <w:rFonts w:hint="eastAsia" w:hAnsi="宋体"/>
                <w:b/>
                <w:bCs/>
                <w:highlight w:val="none"/>
              </w:rPr>
              <w:t>技术参数</w:t>
            </w:r>
            <w:r>
              <w:rPr>
                <w:rFonts w:hint="eastAsia" w:hAnsi="宋体" w:cs="宋体"/>
                <w:b/>
                <w:bCs/>
                <w:szCs w:val="21"/>
                <w:highlight w:val="none"/>
              </w:rPr>
              <w:t>要求正偏离项数多的优先、保修期长优先、交货期短优先、故障响应时间短优先的顺序推荐。</w:t>
            </w:r>
          </w:p>
          <w:p w14:paraId="6F86892D">
            <w:pPr>
              <w:ind w:firstLine="0" w:firstLineChars="0"/>
              <w:rPr>
                <w:rFonts w:hint="eastAsia"/>
                <w:color w:val="auto"/>
                <w:highlight w:val="none"/>
                <w:lang w:eastAsia="zh-CN"/>
              </w:rPr>
            </w:pPr>
            <w:r>
              <w:rPr>
                <w:rFonts w:hint="eastAsia"/>
                <w:color w:val="auto"/>
                <w:highlight w:val="none"/>
                <w:lang w:eastAsia="zh-CN"/>
              </w:rPr>
              <w:t>□由谈判小组推荐代表随机抽取。</w:t>
            </w:r>
          </w:p>
        </w:tc>
      </w:tr>
      <w:tr w14:paraId="04C4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955" w:type="dxa"/>
            <w:vMerge w:val="continue"/>
            <w:vAlign w:val="center"/>
          </w:tcPr>
          <w:p w14:paraId="6B2F445B">
            <w:pPr>
              <w:ind w:firstLine="0" w:firstLineChars="0"/>
              <w:jc w:val="center"/>
              <w:rPr>
                <w:rFonts w:hint="eastAsia"/>
                <w:color w:val="auto"/>
                <w:highlight w:val="none"/>
              </w:rPr>
            </w:pPr>
          </w:p>
        </w:tc>
        <w:tc>
          <w:tcPr>
            <w:tcW w:w="7539" w:type="dxa"/>
            <w:tcBorders>
              <w:top w:val="single" w:color="auto" w:sz="4" w:space="0"/>
            </w:tcBorders>
            <w:vAlign w:val="center"/>
          </w:tcPr>
          <w:p w14:paraId="4EFDE327">
            <w:pPr>
              <w:ind w:firstLine="0" w:firstLineChars="0"/>
              <w:rPr>
                <w:color w:val="auto"/>
                <w:highlight w:val="none"/>
              </w:rPr>
            </w:pPr>
            <w:r>
              <w:rPr>
                <w:rFonts w:hint="eastAsia"/>
                <w:color w:val="auto"/>
                <w:highlight w:val="none"/>
                <w:lang w:eastAsia="zh-CN"/>
              </w:rPr>
              <w:t>商务</w:t>
            </w:r>
            <w:r>
              <w:rPr>
                <w:rFonts w:hint="eastAsia"/>
                <w:color w:val="auto"/>
                <w:highlight w:val="none"/>
              </w:rPr>
              <w:t>要求评审中允许负偏离的条款数为</w:t>
            </w:r>
            <w:r>
              <w:rPr>
                <w:b/>
                <w:bCs/>
                <w:color w:val="auto"/>
                <w:highlight w:val="none"/>
                <w:u w:val="single"/>
              </w:rPr>
              <w:t>0</w:t>
            </w:r>
            <w:r>
              <w:rPr>
                <w:rFonts w:hint="eastAsia"/>
                <w:color w:val="auto"/>
                <w:highlight w:val="none"/>
              </w:rPr>
              <w:t>项。</w:t>
            </w:r>
          </w:p>
          <w:p w14:paraId="4DFCFF38">
            <w:pPr>
              <w:ind w:firstLine="0" w:firstLineChars="0"/>
              <w:rPr>
                <w:rFonts w:hint="eastAsia"/>
                <w:color w:val="auto"/>
                <w:highlight w:val="none"/>
              </w:rPr>
            </w:pPr>
            <w:r>
              <w:rPr>
                <w:rFonts w:hint="eastAsia"/>
                <w:color w:val="auto"/>
                <w:highlight w:val="none"/>
              </w:rPr>
              <w:t>技术要求评审中允许负偏离的条款数为</w:t>
            </w:r>
            <w:r>
              <w:rPr>
                <w:rFonts w:hint="eastAsia"/>
                <w:b/>
                <w:bCs/>
                <w:color w:val="auto"/>
                <w:highlight w:val="none"/>
                <w:u w:val="single"/>
                <w:lang w:val="en-US" w:eastAsia="zh-CN"/>
              </w:rPr>
              <w:t>3</w:t>
            </w:r>
            <w:r>
              <w:rPr>
                <w:rFonts w:hint="eastAsia"/>
                <w:color w:val="auto"/>
                <w:highlight w:val="none"/>
              </w:rPr>
              <w:t>项</w:t>
            </w:r>
            <w:r>
              <w:rPr>
                <w:rFonts w:hint="eastAsia"/>
                <w:color w:val="auto"/>
                <w:highlight w:val="none"/>
                <w:lang w:eastAsia="zh-CN"/>
              </w:rPr>
              <w:t>。</w:t>
            </w:r>
          </w:p>
        </w:tc>
      </w:tr>
      <w:tr w14:paraId="0C59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696FA7DF">
            <w:pPr>
              <w:ind w:firstLine="0" w:firstLineChars="0"/>
              <w:jc w:val="center"/>
              <w:rPr>
                <w:color w:val="auto"/>
                <w:highlight w:val="none"/>
              </w:rPr>
            </w:pPr>
            <w:r>
              <w:rPr>
                <w:color w:val="auto"/>
                <w:highlight w:val="none"/>
              </w:rPr>
              <w:t>28.1</w:t>
            </w:r>
          </w:p>
        </w:tc>
        <w:tc>
          <w:tcPr>
            <w:tcW w:w="7539" w:type="dxa"/>
            <w:vAlign w:val="center"/>
          </w:tcPr>
          <w:p w14:paraId="44E521F0">
            <w:pPr>
              <w:ind w:firstLine="0" w:firstLineChars="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eastAsia="zh-CN"/>
              </w:rPr>
              <w:t>□</w:t>
            </w:r>
            <w:r>
              <w:rPr>
                <w:rFonts w:hint="eastAsia" w:ascii="宋体" w:hAnsi="宋体" w:eastAsia="宋体" w:cs="Times New Roman"/>
                <w:b w:val="0"/>
                <w:bCs w:val="0"/>
                <w:color w:val="auto"/>
                <w:highlight w:val="none"/>
              </w:rPr>
              <w:t>本项目</w:t>
            </w:r>
            <w:r>
              <w:rPr>
                <w:rFonts w:hint="eastAsia" w:ascii="宋体" w:hAnsi="宋体" w:eastAsia="宋体" w:cs="Times New Roman"/>
                <w:b w:val="0"/>
                <w:bCs w:val="0"/>
                <w:color w:val="auto"/>
                <w:highlight w:val="none"/>
                <w:lang w:eastAsia="zh-CN"/>
              </w:rPr>
              <w:t>不</w:t>
            </w:r>
            <w:r>
              <w:rPr>
                <w:rFonts w:hint="eastAsia" w:ascii="宋体" w:hAnsi="宋体" w:eastAsia="宋体" w:cs="Times New Roman"/>
                <w:b w:val="0"/>
                <w:bCs w:val="0"/>
                <w:color w:val="auto"/>
                <w:highlight w:val="none"/>
              </w:rPr>
              <w:t>收取履约保证金。</w:t>
            </w:r>
          </w:p>
          <w:p w14:paraId="7941EAD1">
            <w:pPr>
              <w:ind w:firstLine="0" w:firstLineChars="0"/>
              <w:rPr>
                <w:rFonts w:ascii="宋体" w:hAnsi="宋体" w:eastAsia="宋体" w:cs="Times New Roman"/>
                <w:b/>
                <w:bCs/>
                <w:color w:val="auto"/>
                <w:highlight w:val="none"/>
              </w:rPr>
            </w:pPr>
            <w:r>
              <w:rPr>
                <w:rFonts w:hint="eastAsia" w:ascii="宋体" w:hAnsi="宋体" w:eastAsia="宋体" w:cs="Times New Roman"/>
                <w:b/>
                <w:bCs/>
                <w:color w:val="auto"/>
                <w:highlight w:val="none"/>
                <w:lang w:eastAsia="zh-CN"/>
              </w:rPr>
              <w:t>☑</w:t>
            </w:r>
            <w:r>
              <w:rPr>
                <w:rFonts w:hint="eastAsia" w:ascii="宋体" w:hAnsi="宋体" w:eastAsia="宋体" w:cs="Times New Roman"/>
                <w:b/>
                <w:bCs/>
                <w:color w:val="auto"/>
                <w:highlight w:val="none"/>
              </w:rPr>
              <w:t>本项目收取履约保证金。</w:t>
            </w:r>
          </w:p>
          <w:p w14:paraId="692C9FED">
            <w:pPr>
              <w:adjustRightInd w:val="0"/>
              <w:snapToGrid w:val="0"/>
              <w:ind w:firstLine="420"/>
              <w:rPr>
                <w:rFonts w:hint="eastAsia" w:hAnsi="宋体"/>
                <w:color w:val="auto"/>
                <w:highlight w:val="none"/>
              </w:rPr>
            </w:pPr>
            <w:r>
              <w:rPr>
                <w:rFonts w:hint="eastAsia" w:hAnsi="宋体"/>
                <w:color w:val="auto"/>
                <w:highlight w:val="none"/>
              </w:rPr>
              <w:t>履约保证金金额：按成交金额的</w:t>
            </w:r>
            <w:r>
              <w:rPr>
                <w:rFonts w:hint="eastAsia" w:hAnsi="宋体"/>
                <w:color w:val="auto"/>
                <w:highlight w:val="none"/>
                <w:u w:val="single"/>
                <w:lang w:val="en-US" w:eastAsia="zh-CN"/>
              </w:rPr>
              <w:t xml:space="preserve"> 2 </w:t>
            </w:r>
            <w:r>
              <w:rPr>
                <w:rFonts w:hint="eastAsia" w:hAnsi="宋体"/>
                <w:color w:val="auto"/>
                <w:highlight w:val="none"/>
              </w:rPr>
              <w:t>%收取，于成交结果发布后10个工作日内提交至指定账户。</w:t>
            </w:r>
          </w:p>
          <w:p w14:paraId="4244EC68">
            <w:pPr>
              <w:adjustRightInd w:val="0"/>
              <w:snapToGrid w:val="0"/>
              <w:ind w:firstLine="420"/>
              <w:rPr>
                <w:rFonts w:hint="eastAsia" w:hAnsi="宋体"/>
                <w:color w:val="auto"/>
                <w:highlight w:val="none"/>
              </w:rPr>
            </w:pPr>
            <w:r>
              <w:rPr>
                <w:rFonts w:hint="eastAsia" w:hAnsi="宋体"/>
                <w:color w:val="auto"/>
                <w:highlight w:val="none"/>
              </w:rPr>
              <w:t>履约保证金递交方式：银行转账、支票、汇票、本票或者银行、保险机构出具的保函等非现金方式。</w:t>
            </w:r>
          </w:p>
          <w:p w14:paraId="1A10D999">
            <w:pPr>
              <w:adjustRightInd w:val="0"/>
              <w:snapToGrid w:val="0"/>
              <w:ind w:firstLine="420"/>
              <w:rPr>
                <w:rFonts w:hAnsi="宋体"/>
                <w:color w:val="auto"/>
                <w:highlight w:val="none"/>
              </w:rPr>
            </w:pPr>
            <w:r>
              <w:rPr>
                <w:rFonts w:hint="eastAsia" w:hAnsi="宋体"/>
                <w:color w:val="auto"/>
                <w:highlight w:val="none"/>
              </w:rPr>
              <w:t>履约保证金退付方式、时间及条件：履行完合同全部义务且验收合格后无息退付。由成交供应商向履约保证金收取单位提供《广西壮族自治区政府采购项目合同验收书》（详见桂财采〔2015〕22号）及《政府采购项目履约保证金退付意见书》</w:t>
            </w:r>
            <w:r>
              <w:rPr>
                <w:rFonts w:hint="eastAsia" w:hAnsi="宋体"/>
                <w:color w:val="auto"/>
                <w:highlight w:val="none"/>
                <w:lang w:eastAsia="zh-CN"/>
              </w:rPr>
              <w:t>，</w:t>
            </w:r>
            <w:r>
              <w:rPr>
                <w:rFonts w:hint="eastAsia" w:hAnsi="宋体"/>
                <w:color w:val="auto"/>
                <w:highlight w:val="none"/>
              </w:rPr>
              <w:t>保证金收取单位在收到合格材料后</w:t>
            </w:r>
            <w:r>
              <w:rPr>
                <w:rFonts w:hint="eastAsia" w:hAnsi="宋体"/>
                <w:color w:val="auto"/>
                <w:highlight w:val="none"/>
                <w:lang w:val="en-US" w:eastAsia="zh-CN"/>
              </w:rPr>
              <w:t>5</w:t>
            </w:r>
            <w:r>
              <w:rPr>
                <w:rFonts w:hint="eastAsia" w:hAnsi="宋体"/>
                <w:color w:val="auto"/>
                <w:highlight w:val="none"/>
              </w:rPr>
              <w:t>个工作日内办理退付手续（不计息）。</w:t>
            </w:r>
          </w:p>
          <w:p w14:paraId="467EC6C6">
            <w:pPr>
              <w:adjustRightInd w:val="0"/>
              <w:snapToGrid w:val="0"/>
              <w:ind w:firstLine="420"/>
              <w:rPr>
                <w:rFonts w:hAnsi="宋体"/>
                <w:color w:val="auto"/>
                <w:highlight w:val="none"/>
              </w:rPr>
            </w:pPr>
            <w:r>
              <w:rPr>
                <w:rFonts w:hint="eastAsia" w:hAnsi="宋体"/>
                <w:color w:val="auto"/>
                <w:highlight w:val="none"/>
              </w:rPr>
              <w:t>履约保证金指定账户：</w:t>
            </w:r>
          </w:p>
          <w:p w14:paraId="64DD0ACE">
            <w:pPr>
              <w:adjustRightInd w:val="0"/>
              <w:snapToGrid w:val="0"/>
              <w:ind w:firstLine="420"/>
              <w:rPr>
                <w:rFonts w:hint="eastAsia" w:hAnsi="宋体" w:eastAsiaTheme="minorEastAsia"/>
                <w:b w:val="0"/>
                <w:bCs w:val="0"/>
                <w:color w:val="auto"/>
                <w:highlight w:val="none"/>
                <w:lang w:eastAsia="zh-CN"/>
              </w:rPr>
            </w:pPr>
            <w:r>
              <w:rPr>
                <w:rFonts w:hint="eastAsia" w:hAnsi="宋体"/>
                <w:b w:val="0"/>
                <w:bCs w:val="0"/>
                <w:color w:val="auto"/>
                <w:highlight w:val="none"/>
              </w:rPr>
              <w:t>全 称：</w:t>
            </w:r>
            <w:r>
              <w:rPr>
                <w:rFonts w:hint="eastAsia" w:hAnsi="宋体"/>
                <w:color w:val="auto"/>
                <w:highlight w:val="none"/>
              </w:rPr>
              <w:t>广西科技大学第一附属医院</w:t>
            </w:r>
          </w:p>
          <w:p w14:paraId="057DE46D">
            <w:pPr>
              <w:adjustRightInd w:val="0"/>
              <w:snapToGrid w:val="0"/>
              <w:ind w:firstLine="420"/>
              <w:rPr>
                <w:rFonts w:hint="eastAsia" w:hAnsi="宋体"/>
                <w:b w:val="0"/>
                <w:bCs w:val="0"/>
                <w:color w:val="auto"/>
                <w:highlight w:val="none"/>
              </w:rPr>
            </w:pPr>
            <w:r>
              <w:rPr>
                <w:rFonts w:hint="eastAsia" w:hAnsi="宋体"/>
                <w:b w:val="0"/>
                <w:bCs w:val="0"/>
                <w:color w:val="auto"/>
                <w:highlight w:val="none"/>
              </w:rPr>
              <w:t>开户银行：建行柳州市柳北支行</w:t>
            </w:r>
          </w:p>
          <w:p w14:paraId="6426CA57">
            <w:pPr>
              <w:adjustRightInd w:val="0"/>
              <w:snapToGrid w:val="0"/>
              <w:ind w:firstLine="420"/>
              <w:rPr>
                <w:rFonts w:hint="eastAsia" w:ascii="宋体" w:hAnsi="宋体" w:cs="Times New Roman" w:eastAsiaTheme="minorEastAsia"/>
                <w:b/>
                <w:bCs/>
                <w:color w:val="auto"/>
                <w:highlight w:val="none"/>
                <w:lang w:val="en-US" w:eastAsia="zh-CN"/>
              </w:rPr>
            </w:pPr>
            <w:r>
              <w:rPr>
                <w:rFonts w:hint="eastAsia" w:hAnsi="宋体"/>
                <w:b w:val="0"/>
                <w:bCs w:val="0"/>
                <w:color w:val="auto"/>
                <w:highlight w:val="none"/>
              </w:rPr>
              <w:t>银行账号：45050162515300000722</w:t>
            </w:r>
          </w:p>
        </w:tc>
      </w:tr>
      <w:tr w14:paraId="32B6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462734E">
            <w:pPr>
              <w:ind w:firstLine="0" w:firstLineChars="0"/>
              <w:jc w:val="center"/>
              <w:rPr>
                <w:color w:val="auto"/>
                <w:highlight w:val="none"/>
              </w:rPr>
            </w:pPr>
            <w:r>
              <w:rPr>
                <w:rFonts w:hint="eastAsia"/>
                <w:color w:val="auto"/>
                <w:highlight w:val="none"/>
              </w:rPr>
              <w:t>3</w:t>
            </w:r>
            <w:r>
              <w:rPr>
                <w:color w:val="auto"/>
                <w:highlight w:val="none"/>
              </w:rPr>
              <w:t>1.2</w:t>
            </w:r>
          </w:p>
        </w:tc>
        <w:tc>
          <w:tcPr>
            <w:tcW w:w="7539" w:type="dxa"/>
            <w:vAlign w:val="center"/>
          </w:tcPr>
          <w:p w14:paraId="3BB13B5A">
            <w:pPr>
              <w:ind w:firstLine="0" w:firstLineChars="0"/>
              <w:rPr>
                <w:color w:val="auto"/>
                <w:highlight w:val="none"/>
              </w:rPr>
            </w:pPr>
            <w:r>
              <w:rPr>
                <w:rFonts w:hint="eastAsia"/>
                <w:color w:val="auto"/>
                <w:highlight w:val="none"/>
              </w:rPr>
              <w:t>接收质疑函方式：以书面形式。</w:t>
            </w:r>
          </w:p>
          <w:p w14:paraId="5A30647E">
            <w:pPr>
              <w:ind w:firstLine="420"/>
              <w:rPr>
                <w:rFonts w:ascii="宋体" w:hAnsi="宋体" w:eastAsia="宋体" w:cs="宋体"/>
                <w:color w:val="auto"/>
                <w:highlight w:val="none"/>
              </w:rPr>
            </w:pPr>
            <w:r>
              <w:rPr>
                <w:rFonts w:hint="eastAsia" w:ascii="宋体" w:hAnsi="宋体" w:eastAsia="宋体" w:cs="宋体"/>
                <w:color w:val="auto"/>
                <w:highlight w:val="none"/>
              </w:rPr>
              <w:t>质疑联系部门及联系方式：云之龙咨询集团有限公司招标部，联系电话：0772-3310669、3310109，通讯地址：柳州市滨江东路16号三区二层211-218室。</w:t>
            </w:r>
          </w:p>
          <w:p w14:paraId="6C02BB4B">
            <w:pPr>
              <w:ind w:firstLine="420"/>
              <w:rPr>
                <w:rFonts w:ascii="Times New Roman"/>
                <w:color w:val="auto"/>
                <w:szCs w:val="24"/>
                <w:highlight w:val="none"/>
              </w:rPr>
            </w:pPr>
            <w:r>
              <w:rPr>
                <w:rFonts w:hint="eastAsia" w:ascii="宋体" w:hAnsi="宋体" w:eastAsia="宋体" w:cs="宋体"/>
                <w:color w:val="auto"/>
                <w:szCs w:val="24"/>
                <w:highlight w:val="none"/>
              </w:rPr>
              <w:t>业务时间：工作日每天上午8时00分到12时00分，下午3时00分到6时00分。</w:t>
            </w:r>
          </w:p>
        </w:tc>
      </w:tr>
      <w:tr w14:paraId="5866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750C0D51">
            <w:pPr>
              <w:ind w:firstLine="0" w:firstLineChars="0"/>
              <w:jc w:val="center"/>
              <w:rPr>
                <w:color w:val="auto"/>
                <w:highlight w:val="none"/>
              </w:rPr>
            </w:pPr>
            <w:r>
              <w:rPr>
                <w:color w:val="auto"/>
                <w:highlight w:val="none"/>
              </w:rPr>
              <w:t>32.1</w:t>
            </w:r>
          </w:p>
        </w:tc>
        <w:tc>
          <w:tcPr>
            <w:tcW w:w="7539" w:type="dxa"/>
            <w:vAlign w:val="center"/>
          </w:tcPr>
          <w:p w14:paraId="20EDBC52">
            <w:pPr>
              <w:ind w:firstLine="0" w:firstLineChars="0"/>
              <w:rPr>
                <w:color w:val="auto"/>
                <w:kern w:val="0"/>
                <w:highlight w:val="none"/>
              </w:rPr>
            </w:pPr>
            <w:r>
              <w:rPr>
                <w:rFonts w:hint="eastAsia"/>
                <w:color w:val="auto"/>
                <w:kern w:val="0"/>
                <w:highlight w:val="none"/>
              </w:rPr>
              <w:t>1.采购代理费支付方式：</w:t>
            </w:r>
          </w:p>
          <w:p w14:paraId="3F94FD35">
            <w:pPr>
              <w:ind w:firstLine="422"/>
              <w:rPr>
                <w:b/>
                <w:bCs/>
                <w:color w:val="auto"/>
                <w:kern w:val="0"/>
                <w:highlight w:val="none"/>
              </w:rPr>
            </w:pPr>
            <w:r>
              <w:rPr>
                <w:rFonts w:hint="eastAsia"/>
                <w:b/>
                <w:bCs/>
                <w:color w:val="auto"/>
                <w:kern w:val="0"/>
                <w:highlight w:val="none"/>
                <w:lang w:eastAsia="zh-CN"/>
              </w:rPr>
              <w:t>☑</w:t>
            </w:r>
            <w:r>
              <w:rPr>
                <w:rFonts w:hint="eastAsia"/>
                <w:b/>
                <w:bCs/>
                <w:color w:val="auto"/>
                <w:kern w:val="0"/>
                <w:highlight w:val="none"/>
              </w:rPr>
              <w:t>本项目代理服务费由</w:t>
            </w:r>
            <w:r>
              <w:rPr>
                <w:rFonts w:hint="eastAsia"/>
                <w:b/>
                <w:bCs/>
                <w:color w:val="auto"/>
                <w:kern w:val="0"/>
                <w:highlight w:val="none"/>
                <w:u w:val="single"/>
              </w:rPr>
              <w:t xml:space="preserve"> 成交供应商 </w:t>
            </w:r>
            <w:r>
              <w:rPr>
                <w:rFonts w:hint="eastAsia"/>
                <w:b/>
                <w:bCs/>
                <w:color w:val="auto"/>
                <w:kern w:val="0"/>
                <w:highlight w:val="none"/>
              </w:rPr>
              <w:t>领取成交通知书时，一次性向采购代理机构支付。</w:t>
            </w:r>
          </w:p>
          <w:p w14:paraId="7EC349AD">
            <w:pPr>
              <w:ind w:firstLine="420"/>
              <w:rPr>
                <w:color w:val="auto"/>
                <w:kern w:val="0"/>
                <w:highlight w:val="none"/>
              </w:rPr>
            </w:pPr>
            <w:r>
              <w:rPr>
                <w:rFonts w:hint="eastAsia"/>
                <w:color w:val="auto"/>
                <w:kern w:val="0"/>
                <w:highlight w:val="none"/>
              </w:rPr>
              <w:t>□采购人支付。</w:t>
            </w:r>
          </w:p>
          <w:p w14:paraId="70C298B3">
            <w:pPr>
              <w:ind w:firstLine="0" w:firstLineChars="0"/>
              <w:rPr>
                <w:color w:val="auto"/>
                <w:kern w:val="0"/>
                <w:highlight w:val="none"/>
              </w:rPr>
            </w:pPr>
            <w:r>
              <w:rPr>
                <w:rFonts w:hint="eastAsia"/>
                <w:color w:val="auto"/>
                <w:kern w:val="0"/>
                <w:highlight w:val="none"/>
              </w:rPr>
              <w:t>2.采购代理费收取标准：</w:t>
            </w:r>
          </w:p>
          <w:p w14:paraId="0A9EA59E">
            <w:pPr>
              <w:ind w:firstLine="422"/>
              <w:rPr>
                <w:color w:val="auto"/>
                <w:kern w:val="0"/>
                <w:highlight w:val="none"/>
              </w:rPr>
            </w:pPr>
            <w:r>
              <w:rPr>
                <w:rFonts w:hint="eastAsia"/>
                <w:b/>
                <w:bCs/>
                <w:color w:val="auto"/>
                <w:kern w:val="0"/>
                <w:highlight w:val="none"/>
                <w:lang w:eastAsia="zh-CN"/>
              </w:rPr>
              <w:t>☑</w:t>
            </w:r>
            <w:r>
              <w:rPr>
                <w:rFonts w:hint="eastAsia"/>
                <w:b/>
                <w:bCs/>
                <w:color w:val="auto"/>
                <w:kern w:val="0"/>
                <w:highlight w:val="none"/>
              </w:rPr>
              <w:t>以</w:t>
            </w:r>
            <w:r>
              <w:rPr>
                <w:rFonts w:hint="eastAsia" w:hAnsi="宋体" w:cs="宋体"/>
                <w:b/>
                <w:bCs/>
                <w:color w:val="auto"/>
                <w:highlight w:val="none"/>
                <w:lang w:val="en-US" w:eastAsia="zh-CN"/>
              </w:rPr>
              <w:t>项目</w:t>
            </w:r>
            <w:r>
              <w:rPr>
                <w:rFonts w:hint="eastAsia"/>
                <w:b/>
                <w:color w:val="auto"/>
                <w:kern w:val="0"/>
                <w:highlight w:val="none"/>
              </w:rPr>
              <w:t>（</w:t>
            </w:r>
            <w:r>
              <w:rPr>
                <w:rFonts w:hint="eastAsia"/>
                <w:b/>
                <w:bCs/>
                <w:color w:val="auto"/>
                <w:kern w:val="0"/>
                <w:highlight w:val="none"/>
                <w:lang w:eastAsia="zh-CN"/>
              </w:rPr>
              <w:t>☑</w:t>
            </w:r>
            <w:r>
              <w:rPr>
                <w:rFonts w:hint="eastAsia"/>
                <w:b/>
                <w:bCs/>
                <w:color w:val="auto"/>
                <w:kern w:val="0"/>
                <w:highlight w:val="none"/>
              </w:rPr>
              <w:t>成交金额</w:t>
            </w:r>
            <w:r>
              <w:rPr>
                <w:rFonts w:hint="eastAsia"/>
                <w:color w:val="auto"/>
                <w:kern w:val="0"/>
                <w:highlight w:val="none"/>
              </w:rPr>
              <w:t>/□采购预算/</w:t>
            </w:r>
            <w:r>
              <w:rPr>
                <w:rFonts w:hint="eastAsia"/>
                <w:color w:val="auto"/>
                <w:kern w:val="0"/>
                <w:highlight w:val="none"/>
                <w:lang w:eastAsia="zh-CN"/>
              </w:rPr>
              <w:t>□</w:t>
            </w:r>
            <w:r>
              <w:rPr>
                <w:rFonts w:hint="eastAsia"/>
                <w:color w:val="auto"/>
                <w:kern w:val="0"/>
                <w:highlight w:val="none"/>
              </w:rPr>
              <w:t>暂定成交金额/□其他</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）为计费额，按本须知正文第</w:t>
            </w:r>
            <w:r>
              <w:rPr>
                <w:color w:val="auto"/>
                <w:kern w:val="0"/>
                <w:highlight w:val="none"/>
              </w:rPr>
              <w:t>32</w:t>
            </w:r>
            <w:r>
              <w:rPr>
                <w:rFonts w:hint="eastAsia"/>
                <w:color w:val="auto"/>
                <w:kern w:val="0"/>
                <w:highlight w:val="none"/>
              </w:rPr>
              <w:t>.</w:t>
            </w:r>
            <w:r>
              <w:rPr>
                <w:color w:val="auto"/>
                <w:kern w:val="0"/>
                <w:highlight w:val="none"/>
              </w:rPr>
              <w:t>2</w:t>
            </w:r>
            <w:r>
              <w:rPr>
                <w:rFonts w:hint="eastAsia"/>
                <w:color w:val="auto"/>
                <w:kern w:val="0"/>
                <w:highlight w:val="none"/>
              </w:rPr>
              <w:t>条规定的收费计算标准（</w:t>
            </w:r>
            <w:r>
              <w:rPr>
                <w:rFonts w:hint="eastAsia"/>
                <w:b/>
                <w:bCs/>
                <w:color w:val="auto"/>
                <w:kern w:val="0"/>
                <w:highlight w:val="none"/>
                <w:lang w:eastAsia="zh-CN"/>
              </w:rPr>
              <w:t>☑</w:t>
            </w:r>
            <w:r>
              <w:rPr>
                <w:rFonts w:hint="eastAsia"/>
                <w:b/>
                <w:bCs/>
                <w:color w:val="auto"/>
                <w:kern w:val="0"/>
                <w:highlight w:val="none"/>
              </w:rPr>
              <w:t>货物类</w:t>
            </w:r>
            <w:r>
              <w:rPr>
                <w:rFonts w:hint="eastAsia"/>
                <w:b w:val="0"/>
                <w:bCs w:val="0"/>
                <w:color w:val="auto"/>
                <w:kern w:val="0"/>
                <w:highlight w:val="none"/>
              </w:rPr>
              <w:t>/</w:t>
            </w:r>
            <w:r>
              <w:rPr>
                <w:rFonts w:hAnsi="宋体"/>
                <w:b w:val="0"/>
                <w:bCs w:val="0"/>
                <w:color w:val="auto"/>
                <w:highlight w:val="none"/>
              </w:rPr>
              <w:fldChar w:fldCharType="begin"/>
            </w:r>
            <w:r>
              <w:rPr>
                <w:rFonts w:hAnsi="宋体"/>
                <w:b w:val="0"/>
                <w:bCs w:val="0"/>
                <w:color w:val="auto"/>
                <w:highlight w:val="none"/>
              </w:rPr>
              <w:instrText xml:space="preserve"> </w:instrText>
            </w:r>
            <w:r>
              <w:rPr>
                <w:rFonts w:hint="eastAsia" w:hAnsi="宋体"/>
                <w:b w:val="0"/>
                <w:bCs w:val="0"/>
                <w:color w:val="auto"/>
                <w:highlight w:val="none"/>
              </w:rPr>
              <w:instrText xml:space="preserve">eq \o\ac(□)</w:instrText>
            </w:r>
            <w:r>
              <w:rPr>
                <w:rFonts w:hAnsi="宋体"/>
                <w:b w:val="0"/>
                <w:bCs w:val="0"/>
                <w:color w:val="auto"/>
                <w:highlight w:val="none"/>
              </w:rPr>
              <w:fldChar w:fldCharType="end"/>
            </w:r>
            <w:r>
              <w:rPr>
                <w:rFonts w:hint="eastAsia"/>
                <w:b w:val="0"/>
                <w:bCs w:val="0"/>
                <w:color w:val="auto"/>
                <w:kern w:val="0"/>
                <w:highlight w:val="none"/>
              </w:rPr>
              <w:t>服务类/</w:t>
            </w:r>
            <w:r>
              <w:rPr>
                <w:rFonts w:hint="eastAsia"/>
                <w:b w:val="0"/>
                <w:bCs w:val="0"/>
                <w:color w:val="auto"/>
                <w:kern w:val="0"/>
                <w:highlight w:val="none"/>
                <w:lang w:eastAsia="zh-CN"/>
              </w:rPr>
              <w:t>□</w:t>
            </w:r>
            <w:r>
              <w:rPr>
                <w:rFonts w:hint="eastAsia"/>
                <w:b w:val="0"/>
                <w:bCs w:val="0"/>
                <w:color w:val="auto"/>
                <w:kern w:val="0"/>
                <w:highlight w:val="none"/>
              </w:rPr>
              <w:t>工程类）</w:t>
            </w:r>
            <w:r>
              <w:rPr>
                <w:rFonts w:hint="eastAsia"/>
                <w:color w:val="auto"/>
                <w:kern w:val="0"/>
                <w:highlight w:val="none"/>
              </w:rPr>
              <w:t>采用差额定率累进法计算出收费基准价格，采购代理收费以（</w:t>
            </w:r>
            <w:r>
              <w:rPr>
                <w:rFonts w:hAnsi="宋体"/>
                <w:b w:val="0"/>
                <w:bCs w:val="0"/>
                <w:color w:val="auto"/>
                <w:highlight w:val="none"/>
              </w:rPr>
              <w:fldChar w:fldCharType="begin"/>
            </w:r>
            <w:r>
              <w:rPr>
                <w:rFonts w:hAnsi="宋体"/>
                <w:b w:val="0"/>
                <w:bCs w:val="0"/>
                <w:color w:val="auto"/>
                <w:highlight w:val="none"/>
              </w:rPr>
              <w:instrText xml:space="preserve"> </w:instrText>
            </w:r>
            <w:r>
              <w:rPr>
                <w:rFonts w:hint="eastAsia" w:hAnsi="宋体"/>
                <w:b w:val="0"/>
                <w:bCs w:val="0"/>
                <w:color w:val="auto"/>
                <w:highlight w:val="none"/>
              </w:rPr>
              <w:instrText xml:space="preserve">eq \o\ac(□,√)</w:instrText>
            </w:r>
            <w:r>
              <w:rPr>
                <w:rFonts w:hAnsi="宋体"/>
                <w:b w:val="0"/>
                <w:bCs w:val="0"/>
                <w:color w:val="auto"/>
                <w:highlight w:val="none"/>
              </w:rPr>
              <w:fldChar w:fldCharType="end"/>
            </w:r>
            <w:r>
              <w:rPr>
                <w:rFonts w:hint="eastAsia"/>
                <w:b w:val="0"/>
                <w:bCs w:val="0"/>
                <w:color w:val="auto"/>
                <w:kern w:val="0"/>
                <w:highlight w:val="none"/>
              </w:rPr>
              <w:t>收费基准价格/</w:t>
            </w:r>
            <w:r>
              <w:rPr>
                <w:rFonts w:hint="eastAsia"/>
                <w:b/>
                <w:bCs/>
                <w:color w:val="auto"/>
                <w:kern w:val="0"/>
                <w:highlight w:val="none"/>
                <w:lang w:eastAsia="zh-CN"/>
              </w:rPr>
              <w:t>☑</w:t>
            </w:r>
            <w:r>
              <w:rPr>
                <w:rFonts w:hint="eastAsia"/>
                <w:b/>
                <w:bCs/>
                <w:color w:val="auto"/>
                <w:kern w:val="0"/>
                <w:highlight w:val="none"/>
              </w:rPr>
              <w:t>收费基准价格下浮</w:t>
            </w:r>
            <w:r>
              <w:rPr>
                <w:rFonts w:hint="eastAsia"/>
                <w:b/>
                <w:bCs/>
                <w:color w:val="auto"/>
                <w:kern w:val="0"/>
                <w:highlight w:val="none"/>
                <w:u w:val="single"/>
              </w:rPr>
              <w:t xml:space="preserve"> </w:t>
            </w:r>
            <w:r>
              <w:rPr>
                <w:rFonts w:hint="eastAsia" w:hAnsi="宋体" w:cs="宋体"/>
                <w:b/>
                <w:bCs/>
                <w:color w:val="auto"/>
                <w:highlight w:val="none"/>
                <w:u w:val="single"/>
                <w:lang w:val="en-US" w:eastAsia="zh-CN"/>
              </w:rPr>
              <w:t>20</w:t>
            </w:r>
            <w:r>
              <w:rPr>
                <w:b/>
                <w:bCs/>
                <w:color w:val="auto"/>
                <w:kern w:val="0"/>
                <w:highlight w:val="none"/>
                <w:u w:val="single"/>
              </w:rPr>
              <w:t xml:space="preserve"> </w:t>
            </w:r>
            <w:r>
              <w:rPr>
                <w:rFonts w:hint="eastAsia"/>
                <w:b/>
                <w:bCs/>
                <w:color w:val="auto"/>
                <w:kern w:val="0"/>
                <w:highlight w:val="none"/>
              </w:rPr>
              <w:t>%</w:t>
            </w:r>
            <w:r>
              <w:rPr>
                <w:b w:val="0"/>
                <w:bCs w:val="0"/>
                <w:color w:val="auto"/>
                <w:kern w:val="0"/>
                <w:highlight w:val="none"/>
              </w:rPr>
              <w:t>/</w:t>
            </w:r>
            <w:r>
              <w:rPr>
                <w:rFonts w:hint="eastAsia"/>
                <w:color w:val="auto"/>
                <w:kern w:val="0"/>
                <w:highlight w:val="none"/>
              </w:rPr>
              <w:t>□收费基准价格上浮</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%）收取。</w:t>
            </w:r>
          </w:p>
          <w:p w14:paraId="7663BF45">
            <w:pPr>
              <w:ind w:firstLine="420"/>
              <w:rPr>
                <w:color w:val="auto"/>
                <w:kern w:val="0"/>
                <w:highlight w:val="none"/>
                <w:u w:val="single"/>
              </w:rPr>
            </w:pPr>
            <w:r>
              <w:rPr>
                <w:rFonts w:hint="eastAsia"/>
                <w:color w:val="auto"/>
                <w:kern w:val="0"/>
                <w:highlight w:val="none"/>
              </w:rPr>
              <w:t>□固定采购代理收费</w:t>
            </w:r>
            <w:r>
              <w:rPr>
                <w:rFonts w:hint="eastAsia"/>
                <w:color w:val="auto"/>
                <w:kern w:val="0"/>
                <w:highlight w:val="none"/>
                <w:u w:val="single"/>
              </w:rPr>
              <w:t xml:space="preserve"> </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color w:val="auto"/>
                <w:kern w:val="0"/>
                <w:highlight w:val="none"/>
              </w:rPr>
              <w:t>。</w:t>
            </w:r>
          </w:p>
          <w:p w14:paraId="0A617178">
            <w:pPr>
              <w:ind w:firstLine="0" w:firstLineChars="0"/>
              <w:rPr>
                <w:color w:val="auto"/>
                <w:kern w:val="0"/>
                <w:highlight w:val="none"/>
              </w:rPr>
            </w:pPr>
            <w:r>
              <w:rPr>
                <w:rFonts w:hint="eastAsia"/>
                <w:color w:val="auto"/>
                <w:kern w:val="0"/>
                <w:highlight w:val="none"/>
              </w:rPr>
              <w:t>3.采购代理费收取银行账户</w:t>
            </w:r>
          </w:p>
          <w:p w14:paraId="4863E185">
            <w:pPr>
              <w:ind w:firstLine="420"/>
              <w:rPr>
                <w:color w:val="auto"/>
                <w:kern w:val="0"/>
                <w:highlight w:val="none"/>
              </w:rPr>
            </w:pPr>
            <w:r>
              <w:rPr>
                <w:rFonts w:hint="eastAsia"/>
                <w:color w:val="auto"/>
                <w:kern w:val="0"/>
                <w:highlight w:val="none"/>
              </w:rPr>
              <w:t>开户名称：</w:t>
            </w:r>
            <w:r>
              <w:rPr>
                <w:rFonts w:hint="eastAsia" w:hAnsi="宋体"/>
                <w:color w:val="auto"/>
                <w:highlight w:val="none"/>
              </w:rPr>
              <w:t>云之龙咨询集团有限公司柳州分公司</w:t>
            </w:r>
          </w:p>
          <w:p w14:paraId="653B461B">
            <w:pPr>
              <w:ind w:firstLine="420"/>
              <w:rPr>
                <w:color w:val="auto"/>
                <w:kern w:val="0"/>
                <w:highlight w:val="none"/>
              </w:rPr>
            </w:pPr>
            <w:r>
              <w:rPr>
                <w:rFonts w:hint="eastAsia"/>
                <w:color w:val="auto"/>
                <w:kern w:val="0"/>
                <w:highlight w:val="none"/>
              </w:rPr>
              <w:t>开户银行：</w:t>
            </w:r>
            <w:r>
              <w:rPr>
                <w:rFonts w:hint="eastAsia" w:hAnsi="宋体"/>
                <w:color w:val="auto"/>
                <w:highlight w:val="none"/>
              </w:rPr>
              <w:t>中信银行南宁东葛支行</w:t>
            </w:r>
          </w:p>
          <w:p w14:paraId="28B737A6">
            <w:pPr>
              <w:ind w:firstLine="420"/>
              <w:rPr>
                <w:color w:val="auto"/>
                <w:kern w:val="0"/>
                <w:highlight w:val="none"/>
              </w:rPr>
            </w:pPr>
            <w:r>
              <w:rPr>
                <w:rFonts w:hint="eastAsia"/>
                <w:color w:val="auto"/>
                <w:kern w:val="0"/>
                <w:highlight w:val="none"/>
              </w:rPr>
              <w:t>银行账号：</w:t>
            </w:r>
            <w:r>
              <w:rPr>
                <w:rFonts w:hAnsi="宋体"/>
                <w:color w:val="auto"/>
                <w:highlight w:val="none"/>
              </w:rPr>
              <w:t>8113 0010 1370 0157 972</w:t>
            </w:r>
          </w:p>
        </w:tc>
      </w:tr>
      <w:tr w14:paraId="1D069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23133EE">
            <w:pPr>
              <w:ind w:firstLine="0" w:firstLineChars="0"/>
              <w:jc w:val="center"/>
              <w:rPr>
                <w:rFonts w:hint="eastAsia" w:eastAsiaTheme="minorEastAsia"/>
                <w:color w:val="auto"/>
                <w:highlight w:val="none"/>
                <w:lang w:eastAsia="zh-CN"/>
              </w:rPr>
            </w:pPr>
            <w:r>
              <w:rPr>
                <w:rFonts w:hint="eastAsia"/>
                <w:color w:val="auto"/>
                <w:highlight w:val="none"/>
              </w:rPr>
              <w:t>3</w:t>
            </w:r>
            <w:r>
              <w:rPr>
                <w:color w:val="auto"/>
                <w:highlight w:val="none"/>
              </w:rPr>
              <w:t>3.</w:t>
            </w:r>
            <w:r>
              <w:rPr>
                <w:rFonts w:hint="eastAsia"/>
                <w:color w:val="auto"/>
                <w:highlight w:val="none"/>
                <w:lang w:val="en-US" w:eastAsia="zh-CN"/>
              </w:rPr>
              <w:t>1</w:t>
            </w:r>
          </w:p>
        </w:tc>
        <w:tc>
          <w:tcPr>
            <w:tcW w:w="7539" w:type="dxa"/>
            <w:vAlign w:val="center"/>
          </w:tcPr>
          <w:p w14:paraId="1B240217">
            <w:pPr>
              <w:ind w:firstLine="0" w:firstLineChars="0"/>
              <w:rPr>
                <w:color w:val="auto"/>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lang w:eastAsia="zh-CN"/>
              </w:rPr>
              <w:t>谈判</w:t>
            </w:r>
            <w:r>
              <w:rPr>
                <w:rFonts w:hint="eastAsia" w:hAnsi="宋体"/>
                <w:color w:val="auto"/>
                <w:highlight w:val="none"/>
              </w:rPr>
              <w:t>文件</w:t>
            </w:r>
            <w:r>
              <w:rPr>
                <w:rFonts w:hAnsi="宋体"/>
                <w:color w:val="auto"/>
                <w:highlight w:val="none"/>
              </w:rPr>
              <w:t>的各个组成文件应互为解释，互为说明；除</w:t>
            </w:r>
            <w:r>
              <w:rPr>
                <w:rFonts w:hint="eastAsia" w:hAnsi="宋体"/>
                <w:color w:val="auto"/>
                <w:highlight w:val="none"/>
                <w:lang w:eastAsia="zh-CN"/>
              </w:rPr>
              <w:t>谈判</w:t>
            </w:r>
            <w:r>
              <w:rPr>
                <w:rFonts w:hint="eastAsia" w:hAnsi="宋体"/>
                <w:color w:val="auto"/>
                <w:highlight w:val="none"/>
              </w:rPr>
              <w:t>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w:t>
            </w:r>
            <w:r>
              <w:rPr>
                <w:rFonts w:hint="eastAsia" w:hAnsi="宋体"/>
                <w:color w:val="auto"/>
                <w:highlight w:val="none"/>
                <w:lang w:eastAsia="zh-CN"/>
              </w:rPr>
              <w:t>谈判</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lang w:eastAsia="zh-CN"/>
              </w:rPr>
              <w:t>谈判</w:t>
            </w:r>
            <w:r>
              <w:rPr>
                <w:rFonts w:hint="eastAsia" w:hAnsi="宋体"/>
                <w:color w:val="auto"/>
                <w:highlight w:val="none"/>
              </w:rPr>
              <w:t>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14:paraId="46F8E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3" w:hRule="atLeast"/>
          <w:jc w:val="center"/>
        </w:trPr>
        <w:tc>
          <w:tcPr>
            <w:tcW w:w="955" w:type="dxa"/>
            <w:vAlign w:val="center"/>
          </w:tcPr>
          <w:p w14:paraId="409561E1">
            <w:pPr>
              <w:ind w:firstLine="0" w:firstLineChars="0"/>
              <w:jc w:val="center"/>
              <w:rPr>
                <w:color w:val="auto"/>
                <w:highlight w:val="none"/>
              </w:rPr>
            </w:pPr>
            <w:r>
              <w:rPr>
                <w:rFonts w:hint="eastAsia"/>
                <w:color w:val="auto"/>
                <w:highlight w:val="none"/>
              </w:rPr>
              <w:t>3</w:t>
            </w:r>
            <w:r>
              <w:rPr>
                <w:color w:val="auto"/>
                <w:highlight w:val="none"/>
              </w:rPr>
              <w:t>3.2</w:t>
            </w:r>
          </w:p>
        </w:tc>
        <w:tc>
          <w:tcPr>
            <w:tcW w:w="7539" w:type="dxa"/>
            <w:vAlign w:val="center"/>
          </w:tcPr>
          <w:p w14:paraId="63CC7B77">
            <w:pPr>
              <w:widowControl w:val="0"/>
              <w:snapToGrid w:val="0"/>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1.本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文件中描述供应商的“公章”是指根据我国对公章的管理规定，用供应商法定主体行为名称制作的印章，除本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文件有特殊规定外，供应商的财务章、部门章、分公司章、工会章、合同章、竞标/投标专用章、业务专用章及银行的转账章、现金收讫章、现金付讫章等其他形式印章均不能代替公章。</w:t>
            </w:r>
          </w:p>
          <w:p w14:paraId="4F0003A6">
            <w:pPr>
              <w:widowControl w:val="0"/>
              <w:snapToGrid w:val="0"/>
              <w:ind w:firstLine="420"/>
              <w:rPr>
                <w:rFonts w:ascii="宋体" w:hAnsi="宋体" w:eastAsia="宋体" w:cs="宋体"/>
                <w:color w:val="auto"/>
                <w:kern w:val="0"/>
                <w:highlight w:val="none"/>
              </w:rPr>
            </w:pPr>
            <w:r>
              <w:rPr>
                <w:rFonts w:hint="eastAsia" w:ascii="宋体" w:hAnsi="宋体" w:eastAsia="宋体" w:cs="宋体"/>
                <w:bCs/>
                <w:color w:val="auto"/>
                <w:kern w:val="0"/>
                <w:highlight w:val="none"/>
              </w:rPr>
              <w:t>2.本</w:t>
            </w:r>
            <w:r>
              <w:rPr>
                <w:rFonts w:hint="eastAsia" w:ascii="宋体" w:hAnsi="宋体" w:eastAsia="宋体" w:cs="宋体"/>
                <w:bCs/>
                <w:color w:val="auto"/>
                <w:kern w:val="0"/>
                <w:highlight w:val="none"/>
                <w:lang w:eastAsia="zh-CN"/>
              </w:rPr>
              <w:t>谈判</w:t>
            </w:r>
            <w:r>
              <w:rPr>
                <w:rFonts w:hint="eastAsia" w:ascii="宋体" w:hAnsi="宋体" w:eastAsia="宋体" w:cs="宋体"/>
                <w:bCs/>
                <w:color w:val="auto"/>
                <w:kern w:val="0"/>
                <w:highlight w:val="none"/>
              </w:rPr>
              <w:t>文件所称的“</w:t>
            </w:r>
            <w:r>
              <w:rPr>
                <w:rFonts w:hint="eastAsia" w:ascii="宋体" w:hAnsi="宋体" w:eastAsia="宋体" w:cs="Times New Roman"/>
                <w:color w:val="auto"/>
                <w:kern w:val="0"/>
                <w:highlight w:val="none"/>
              </w:rPr>
              <w:t>电子签章</w:t>
            </w:r>
            <w:r>
              <w:rPr>
                <w:rFonts w:hint="eastAsia" w:ascii="宋体" w:hAnsi="宋体" w:eastAsia="宋体" w:cs="宋体"/>
                <w:bCs/>
                <w:color w:val="auto"/>
                <w:kern w:val="0"/>
                <w:highlight w:val="none"/>
              </w:rPr>
              <w:t>”、“电子签名”</w:t>
            </w:r>
            <w:r>
              <w:rPr>
                <w:rFonts w:hint="eastAsia" w:ascii="宋体" w:hAnsi="宋体" w:eastAsia="宋体" w:cs="Times New Roman"/>
                <w:color w:val="auto"/>
                <w:kern w:val="0"/>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7E6C7AF">
            <w:pPr>
              <w:widowControl w:val="0"/>
              <w:snapToGrid w:val="0"/>
              <w:ind w:firstLine="420"/>
              <w:rPr>
                <w:rFonts w:ascii="宋体" w:hAnsi="宋体" w:eastAsia="宋体" w:cs="宋体"/>
                <w:bCs/>
                <w:color w:val="auto"/>
                <w:kern w:val="0"/>
                <w:highlight w:val="none"/>
              </w:rPr>
            </w:pPr>
            <w:r>
              <w:rPr>
                <w:rFonts w:ascii="宋体" w:hAnsi="宋体" w:eastAsia="宋体" w:cs="宋体"/>
                <w:color w:val="auto"/>
                <w:kern w:val="0"/>
                <w:highlight w:val="none"/>
              </w:rPr>
              <w:t>3</w:t>
            </w:r>
            <w:r>
              <w:rPr>
                <w:rFonts w:hint="eastAsia" w:ascii="宋体" w:hAnsi="宋体" w:eastAsia="宋体" w:cs="宋体"/>
                <w:color w:val="auto"/>
                <w:kern w:val="0"/>
                <w:highlight w:val="none"/>
              </w:rPr>
              <w:t>.供应商为其他组织或者自然人时，本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文件规定的法定代表人指负责人或者自然人。本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文件所称负责人是指参加竞标的其他组织</w:t>
            </w:r>
            <w:r>
              <w:rPr>
                <w:rFonts w:hint="eastAsia" w:ascii="宋体" w:hAnsi="宋体" w:eastAsia="宋体" w:cs="宋体"/>
                <w:bCs/>
                <w:color w:val="auto"/>
                <w:kern w:val="0"/>
                <w:highlight w:val="none"/>
              </w:rPr>
              <w:t>营业执照或者执业许可证等证照上的</w:t>
            </w:r>
            <w:r>
              <w:rPr>
                <w:rFonts w:hint="eastAsia" w:ascii="宋体" w:hAnsi="宋体" w:eastAsia="宋体" w:cs="宋体"/>
                <w:color w:val="auto"/>
                <w:kern w:val="0"/>
                <w:highlight w:val="none"/>
              </w:rPr>
              <w:t>负责人，本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文件所称自然人指参与竞标的自然人本人，</w:t>
            </w:r>
            <w:r>
              <w:rPr>
                <w:rFonts w:hint="eastAsia" w:ascii="宋体" w:hAnsi="宋体" w:eastAsia="宋体" w:cs="宋体"/>
                <w:bCs/>
                <w:color w:val="auto"/>
                <w:kern w:val="0"/>
                <w:highlight w:val="none"/>
              </w:rPr>
              <w:t>且应具备独立承担民事责任能力，自然人应当为年满18岁以上成年人（十六周岁以上的未成年人，以自己的劳动收入为主要生活来源的，视为完全民事行为能力人）。</w:t>
            </w:r>
          </w:p>
          <w:p w14:paraId="2CEF4EB8">
            <w:pPr>
              <w:widowControl w:val="0"/>
              <w:snapToGrid w:val="0"/>
              <w:ind w:firstLine="420"/>
              <w:rPr>
                <w:rFonts w:ascii="宋体" w:hAnsi="宋体" w:eastAsia="宋体" w:cs="宋体"/>
                <w:color w:val="auto"/>
                <w:kern w:val="0"/>
                <w:highlight w:val="none"/>
              </w:rPr>
            </w:pPr>
            <w:r>
              <w:rPr>
                <w:rFonts w:ascii="宋体" w:hAnsi="宋体" w:eastAsia="宋体" w:cs="宋体"/>
                <w:color w:val="auto"/>
                <w:kern w:val="0"/>
                <w:highlight w:val="none"/>
              </w:rPr>
              <w:t>4.</w:t>
            </w:r>
            <w:r>
              <w:rPr>
                <w:rFonts w:hint="eastAsia" w:ascii="宋体" w:hAnsi="宋体" w:eastAsia="宋体" w:cs="宋体"/>
                <w:color w:val="auto"/>
                <w:kern w:val="0"/>
                <w:highlight w:val="none"/>
              </w:rPr>
              <w:t>本</w:t>
            </w:r>
            <w:r>
              <w:rPr>
                <w:rFonts w:hint="eastAsia" w:ascii="宋体" w:hAnsi="宋体" w:eastAsia="宋体" w:cs="宋体"/>
                <w:color w:val="auto"/>
                <w:kern w:val="0"/>
                <w:highlight w:val="none"/>
                <w:lang w:eastAsia="zh-CN"/>
              </w:rPr>
              <w:t>谈判</w:t>
            </w:r>
            <w:r>
              <w:rPr>
                <w:rFonts w:hint="eastAsia" w:ascii="宋体" w:hAnsi="宋体" w:eastAsia="宋体" w:cs="宋体"/>
                <w:color w:val="auto"/>
                <w:kern w:val="0"/>
                <w:highlight w:val="none"/>
              </w:rPr>
              <w:t>文件中描述供应商的“签字”是指供应商的法定代表人或者委托代理人亲自在文件规定签署处亲笔写上个人的名字的行为，私章、签字章、印鉴、影印等其他形式均不能代替亲笔签字。</w:t>
            </w:r>
          </w:p>
          <w:p w14:paraId="1FA20C65">
            <w:pPr>
              <w:ind w:firstLine="420"/>
              <w:rPr>
                <w:color w:val="auto"/>
                <w:highlight w:val="none"/>
              </w:rPr>
            </w:pPr>
            <w:r>
              <w:rPr>
                <w:rFonts w:hint="eastAsia" w:ascii="宋体" w:hAnsi="宋体" w:eastAsia="宋体" w:cs="宋体"/>
                <w:color w:val="auto"/>
                <w:szCs w:val="24"/>
                <w:highlight w:val="none"/>
              </w:rPr>
              <w:t>5</w:t>
            </w:r>
            <w:r>
              <w:rPr>
                <w:rFonts w:ascii="宋体" w:hAnsi="宋体" w:eastAsia="宋体" w:cs="宋体"/>
                <w:color w:val="auto"/>
                <w:szCs w:val="24"/>
                <w:highlight w:val="none"/>
              </w:rPr>
              <w:t>.</w:t>
            </w:r>
            <w:r>
              <w:rPr>
                <w:rFonts w:hint="eastAsia" w:ascii="宋体" w:hAnsi="宋体" w:eastAsia="宋体" w:cs="宋体"/>
                <w:color w:val="auto"/>
                <w:szCs w:val="24"/>
                <w:highlight w:val="none"/>
              </w:rPr>
              <w:t>本</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文件所称的“以上”“以下”“以内”“届满”，包括本数；所称的“不满”“超过”“以外”，不包括本数。</w:t>
            </w:r>
          </w:p>
        </w:tc>
      </w:tr>
    </w:tbl>
    <w:p w14:paraId="6EF70DD7">
      <w:pPr>
        <w:spacing w:before="260" w:after="260" w:line="415" w:lineRule="auto"/>
        <w:ind w:firstLine="0" w:firstLineChars="0"/>
        <w:jc w:val="center"/>
        <w:rPr>
          <w:color w:val="auto"/>
          <w:highlight w:val="none"/>
        </w:rPr>
      </w:pPr>
      <w:r>
        <w:rPr>
          <w:color w:val="auto"/>
          <w:highlight w:val="none"/>
        </w:rPr>
        <w:br w:type="page"/>
      </w:r>
    </w:p>
    <w:p w14:paraId="7CC2ACF9">
      <w:pPr>
        <w:pStyle w:val="58"/>
        <w:rPr>
          <w:color w:val="auto"/>
          <w:highlight w:val="none"/>
        </w:rPr>
      </w:pPr>
      <w:r>
        <w:rPr>
          <w:rFonts w:hint="eastAsia"/>
          <w:color w:val="auto"/>
          <w:highlight w:val="none"/>
        </w:rPr>
        <w:t>供应商须知正文</w:t>
      </w:r>
    </w:p>
    <w:p w14:paraId="0307975D">
      <w:pPr>
        <w:pStyle w:val="62"/>
        <w:rPr>
          <w:color w:val="auto"/>
          <w:highlight w:val="none"/>
        </w:rPr>
      </w:pPr>
      <w:r>
        <w:rPr>
          <w:rFonts w:hint="eastAsia"/>
          <w:color w:val="auto"/>
          <w:highlight w:val="none"/>
        </w:rPr>
        <w:t>一、总则</w:t>
      </w:r>
    </w:p>
    <w:p w14:paraId="51C277E5">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 适用范围</w:t>
      </w:r>
    </w:p>
    <w:p w14:paraId="7A59AE8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0C9A7B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1.2</w:t>
      </w:r>
      <w:r>
        <w:rPr>
          <w:rFonts w:hint="eastAsia" w:ascii="宋体" w:hAnsi="宋体" w:cs="宋体"/>
          <w:color w:val="000000"/>
          <w:spacing w:val="-6"/>
          <w:szCs w:val="21"/>
          <w:highlight w:val="none"/>
        </w:rPr>
        <w:t>本竞争性谈判文件（以下简称谈判文件）适用于本项目的所有采购程序和环节（法律、法规另有规定的，从其规定）。</w:t>
      </w:r>
    </w:p>
    <w:p w14:paraId="21488006">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2. 定义</w:t>
      </w:r>
    </w:p>
    <w:p w14:paraId="7520861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2.1“采购人”是指依法进行采购的国家机关、事业单位、团体组织。</w:t>
      </w:r>
    </w:p>
    <w:p w14:paraId="57B3FF95">
      <w:pPr>
        <w:spacing w:line="360" w:lineRule="auto"/>
        <w:ind w:firstLine="420" w:firstLineChars="200"/>
        <w:rPr>
          <w:rFonts w:hint="eastAsia" w:ascii="宋体" w:hAnsi="宋体"/>
          <w:b/>
          <w:color w:val="000000"/>
          <w:szCs w:val="21"/>
          <w:highlight w:val="none"/>
        </w:rPr>
      </w:pPr>
      <w:r>
        <w:rPr>
          <w:rFonts w:hint="eastAsia" w:ascii="宋体" w:hAnsi="宋体" w:cs="宋体"/>
          <w:color w:val="000000"/>
          <w:szCs w:val="21"/>
          <w:highlight w:val="none"/>
        </w:rPr>
        <w:t>2.2“采购代理机构”</w:t>
      </w:r>
      <w:r>
        <w:rPr>
          <w:rFonts w:hint="eastAsia" w:ascii="宋体" w:hAnsi="宋体"/>
          <w:b/>
          <w:color w:val="000000"/>
          <w:szCs w:val="21"/>
          <w:highlight w:val="none"/>
        </w:rPr>
        <w:t>是指政府采购集中采购机构和集中采购机构以外的采购代理机构。</w:t>
      </w:r>
    </w:p>
    <w:p w14:paraId="0522452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2.3“供应商”是指向采购人提供货物、工程或者服务的法人、其他组织或者自然人。</w:t>
      </w:r>
    </w:p>
    <w:p w14:paraId="4DD2D56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2.4“货物”是指各种形态和种类的物品，包括原材料、燃料、设备、产品等。</w:t>
      </w:r>
    </w:p>
    <w:p w14:paraId="5205207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2.5“竞标”是指按照本项目竞争性谈判公告规定的方式供应商获取谈判文件、提交响应文件并希望获得标的的行为。</w:t>
      </w:r>
    </w:p>
    <w:p w14:paraId="35A2993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2.6“售后服务” 是指包含但不限于供应商须承担的备品备件、包装、运输、装卸、保险、货到就位以及安装、调试、培训、保修和其他类似的义务。</w:t>
      </w:r>
    </w:p>
    <w:p w14:paraId="1EB667C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2.7“书面形式”是指合同书、信件和数据电文（包括电报、电传、传真、电子数据交换和电子邮件）等可以有形地表现所载内容的形式。</w:t>
      </w:r>
    </w:p>
    <w:p w14:paraId="0788C41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2.8“响应文件”</w:t>
      </w:r>
      <w:r>
        <w:rPr>
          <w:rFonts w:hint="eastAsia" w:ascii="宋体" w:hAnsi="宋体" w:cs="宋体"/>
          <w:color w:val="000000"/>
          <w:spacing w:val="-6"/>
          <w:szCs w:val="21"/>
          <w:highlight w:val="none"/>
        </w:rPr>
        <w:t>是指：供应商根据本谈判文件要求，编制包含资格证明、报价、商务技术等所有内容的文件。</w:t>
      </w:r>
    </w:p>
    <w:p w14:paraId="1AC8E58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2.9 “实质性要求”是指采购需求中带“▲”的条款或者不能负偏离的条款或者已经指明不满足按响应文件按无效处理的条款。</w:t>
      </w:r>
    </w:p>
    <w:p w14:paraId="1285D88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2.10“正偏离”，是指响应文件对谈判文件“采购需求”中有关条款作出优于条款要求并有利于采购人的响应情形；</w:t>
      </w:r>
    </w:p>
    <w:p w14:paraId="3221018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2.11“负偏离”，是指响应文件对谈判文件“采购需求”中有关条款作出的响应不满足条款要求，导致采购人要求不能得到满足的情形。</w:t>
      </w:r>
    </w:p>
    <w:p w14:paraId="59F0072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2.12“允许负偏离的条款”是指采购需求中的不属于“实质性要求”的条款。</w:t>
      </w:r>
    </w:p>
    <w:p w14:paraId="1B1367C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2.13“首次报价”是指供应商提交的首次响应文件中的竞标报价。</w:t>
      </w:r>
    </w:p>
    <w:p w14:paraId="35A5384B">
      <w:pPr>
        <w:spacing w:line="360" w:lineRule="auto"/>
        <w:ind w:firstLine="482" w:firstLineChars="200"/>
        <w:contextualSpacing/>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3. 供应商的资格条件</w:t>
      </w:r>
    </w:p>
    <w:p w14:paraId="14014A67">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供应商的资格条件详见“供应商须知前附表”。</w:t>
      </w:r>
    </w:p>
    <w:p w14:paraId="682ECE85">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4. 竞标费用</w:t>
      </w:r>
    </w:p>
    <w:p w14:paraId="5AC779E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0A224166">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5.联合体竞标</w:t>
      </w:r>
    </w:p>
    <w:p w14:paraId="469668A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5.1本项目是否接受联合体竞标，详见“供应商须知前附表”。</w:t>
      </w:r>
    </w:p>
    <w:p w14:paraId="0E9B8D7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5.2</w:t>
      </w:r>
      <w:r>
        <w:rPr>
          <w:rFonts w:hint="eastAsia" w:ascii="宋体" w:hAnsi="宋体"/>
          <w:bCs/>
          <w:color w:val="000000"/>
          <w:szCs w:val="21"/>
          <w:highlight w:val="none"/>
        </w:rPr>
        <w:t>如接受联合体竞标，</w:t>
      </w:r>
      <w:r>
        <w:rPr>
          <w:rFonts w:hint="eastAsia" w:ascii="宋体" w:hAnsi="宋体" w:cs="宋体"/>
          <w:color w:val="000000"/>
          <w:szCs w:val="21"/>
          <w:highlight w:val="none"/>
        </w:rPr>
        <w:t>联合体竞标要求详见“供应商须知前附表”。</w:t>
      </w:r>
    </w:p>
    <w:p w14:paraId="23DAC3C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5.3</w:t>
      </w:r>
      <w:bookmarkStart w:id="8" w:name="_Hlk65857072"/>
      <w:r>
        <w:rPr>
          <w:rFonts w:hint="eastAsia" w:ascii="宋体" w:hAnsi="宋体"/>
          <w:color w:val="000000"/>
          <w:szCs w:val="21"/>
          <w:highlight w:val="none"/>
        </w:rPr>
        <w:t>根据《政府采购促进中小企业发展管理办法》（财库〔2020〕46号）第九条第二款的规定，及《广西壮族自治区财政厅关于持续优化政府采购营商环境推动高质量发展的通知》（桂财采〔2024〕55号），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
    </w:p>
    <w:p w14:paraId="58572CC7">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 xml:space="preserve">6.转包与分包  </w:t>
      </w:r>
    </w:p>
    <w:p w14:paraId="0C34628C">
      <w:pPr>
        <w:pStyle w:val="8"/>
        <w:keepNext w:val="0"/>
        <w:keepLines w:val="0"/>
        <w:spacing w:before="0" w:after="0" w:line="360" w:lineRule="auto"/>
        <w:ind w:left="420" w:leftChars="200"/>
        <w:rPr>
          <w:rFonts w:hint="eastAsia" w:ascii="宋体" w:hAnsi="宋体"/>
          <w:b w:val="0"/>
          <w:color w:val="000000"/>
          <w:sz w:val="21"/>
          <w:szCs w:val="21"/>
          <w:highlight w:val="none"/>
        </w:rPr>
      </w:pPr>
      <w:bookmarkStart w:id="9" w:name="_Toc254970532"/>
      <w:bookmarkStart w:id="10" w:name="_Toc254970673"/>
      <w:r>
        <w:rPr>
          <w:rFonts w:hint="eastAsia" w:ascii="宋体" w:hAnsi="宋体"/>
          <w:b w:val="0"/>
          <w:color w:val="000000"/>
          <w:sz w:val="21"/>
          <w:szCs w:val="21"/>
          <w:highlight w:val="none"/>
        </w:rPr>
        <w:t>6.1本项目不允许转包。</w:t>
      </w:r>
    </w:p>
    <w:p w14:paraId="73D4A9F3">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F935E69">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2AE3DBF">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7.特别说明</w:t>
      </w:r>
      <w:bookmarkEnd w:id="9"/>
      <w:bookmarkEnd w:id="10"/>
    </w:p>
    <w:p w14:paraId="39485233">
      <w:pPr>
        <w:spacing w:line="360" w:lineRule="auto"/>
        <w:ind w:firstLine="420" w:firstLineChars="200"/>
        <w:rPr>
          <w:rFonts w:hint="eastAsia" w:ascii="宋体" w:hAnsi="宋体" w:cs="宋体"/>
          <w:color w:val="000000"/>
          <w:szCs w:val="21"/>
          <w:highlight w:val="none"/>
        </w:rPr>
      </w:pPr>
      <w:bookmarkStart w:id="11" w:name="_8.1提供相同品牌产品且通过资格审查、符合性审查的不同投标人参加同一合"/>
      <w:bookmarkEnd w:id="11"/>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\l "_8.1"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7.1</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1CCE1B2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非单一产品采购项目，多家供应商提供的核心产品品牌相同的，按前款规定处理。</w:t>
      </w:r>
    </w:p>
    <w:p w14:paraId="7F755BB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7.2</w:t>
      </w:r>
      <w:r>
        <w:rPr>
          <w:rFonts w:hint="eastAsia" w:ascii="宋体" w:hAnsi="宋体"/>
          <w:color w:val="000000"/>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szCs w:val="21"/>
          <w:highlight w:val="none"/>
        </w:rPr>
        <w:t>。</w:t>
      </w:r>
    </w:p>
    <w:p w14:paraId="2B7B6B8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7.3供应商应仔细阅读谈判文件的所有内容，按照谈判文件的要求提交响应文件，并对所提供的全部资料的真实性承担法律责任。</w:t>
      </w:r>
    </w:p>
    <w:p w14:paraId="5122109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54225CE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7.5在政府采购活动中，采购人员及相关人员与供应商有下列利害关系之一的，应当回避：</w:t>
      </w:r>
    </w:p>
    <w:p w14:paraId="38A3C95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（1）参加采购活动前3年内与供应商存在劳动关系；</w:t>
      </w:r>
    </w:p>
    <w:p w14:paraId="6AD51C1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（2）参加采购活动前3年内担任供应商的董事、监事；</w:t>
      </w:r>
    </w:p>
    <w:p w14:paraId="233894D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（3）参加采购活动前3年内是供应商的控股股东或者实际控制人；</w:t>
      </w:r>
    </w:p>
    <w:p w14:paraId="51FFFD1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（4）与供应商的法定代表人或者负责人有夫妻、直系血亲、三代以内旁系血亲或者近姻亲关系；</w:t>
      </w:r>
    </w:p>
    <w:p w14:paraId="63AEFA1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（5）与供应商有其他可能影响政府采购活动公平、公正进行的关系。</w:t>
      </w:r>
    </w:p>
    <w:p w14:paraId="47C50E7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5B172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7.6有下列情形之一的视为供应商相互串通竞标，响应文件将被视为无效：</w:t>
      </w:r>
    </w:p>
    <w:p w14:paraId="2802DCE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（1）不同供应商的响应文件由同一单位或者个人编制；</w:t>
      </w:r>
    </w:p>
    <w:p w14:paraId="7B7B1B1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（2）不同供应商委托同一单位或者个人办理竞标事宜；</w:t>
      </w:r>
    </w:p>
    <w:p w14:paraId="5223117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14:paraId="4F3584E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（4）不同供应商的响应文件异常一致或者报价呈规律性差异；</w:t>
      </w:r>
    </w:p>
    <w:p w14:paraId="2B9F9EB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（5）不同供应商的响应文件相互混装；</w:t>
      </w:r>
    </w:p>
    <w:p w14:paraId="2E2E366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（6）不同供应商的竞标保证金从同一单位或者个人账户转出。</w:t>
      </w:r>
    </w:p>
    <w:p w14:paraId="6C6A9B8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7.7供应商有下列情形之一的，属于恶意串通行为</w:t>
      </w:r>
      <w:bookmarkStart w:id="12" w:name="_Hlk54682620"/>
      <w:r>
        <w:rPr>
          <w:rFonts w:hint="eastAsia" w:ascii="宋体" w:hAnsi="宋体" w:cs="宋体"/>
          <w:color w:val="000000"/>
          <w:szCs w:val="21"/>
          <w:highlight w:val="none"/>
        </w:rPr>
        <w:t>，将报同级监督管理部门</w:t>
      </w:r>
      <w:bookmarkEnd w:id="12"/>
      <w:r>
        <w:rPr>
          <w:rFonts w:hint="eastAsia" w:ascii="宋体" w:hAnsi="宋体" w:cs="宋体"/>
          <w:color w:val="000000"/>
          <w:szCs w:val="21"/>
          <w:highlight w:val="none"/>
        </w:rPr>
        <w:t>：</w:t>
      </w:r>
    </w:p>
    <w:p w14:paraId="50BB456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（1）供应商直接或者间接从采购人或者采购代理机构处获得其他供应商的相关信息并修改其响应文件；</w:t>
      </w:r>
    </w:p>
    <w:p w14:paraId="4DA0EA2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（2）供应商按照采购人或者采购代理机构的授意撤换、修改响应文件；</w:t>
      </w:r>
    </w:p>
    <w:p w14:paraId="6FDC46F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（3）供应商之间协商报价、技术方案等响应文件或者响应文件的实质性内容；</w:t>
      </w:r>
    </w:p>
    <w:p w14:paraId="147ACD9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（4）属于同一集团、协会、商会等组织成员的供应商按照该组织要求协同参加政府采购活动；</w:t>
      </w:r>
    </w:p>
    <w:p w14:paraId="6F0F75E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（5）供应商之间事先约定一致抬高或者压低报价，或者在政府采购活动中事先约定轮流以高价位或者低价位成交，或者事先约定由某一特定供应商成交，然后再参加竞标；</w:t>
      </w:r>
    </w:p>
    <w:p w14:paraId="62F05BE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（6）供应商之间商定部分供应商放弃参加政府采购活动或者放弃成交；</w:t>
      </w:r>
    </w:p>
    <w:p w14:paraId="222B26F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（7）供应商与采购人或者采购代理机构之间、供应商相互之间，为谋求特定供应商成交或者排斥其他供应商的其他串通行为。</w:t>
      </w:r>
    </w:p>
    <w:p w14:paraId="5F6F3862">
      <w:pPr>
        <w:spacing w:line="360" w:lineRule="auto"/>
        <w:ind w:left="1" w:firstLine="417" w:firstLineChars="199"/>
        <w:jc w:val="center"/>
        <w:rPr>
          <w:rFonts w:hint="eastAsia" w:ascii="宋体" w:hAnsi="宋体"/>
          <w:color w:val="000000"/>
          <w:highlight w:val="none"/>
        </w:rPr>
      </w:pPr>
      <w:bookmarkStart w:id="13" w:name="_Toc254970675"/>
      <w:bookmarkStart w:id="14" w:name="_Toc254970534"/>
    </w:p>
    <w:p w14:paraId="358C01D7">
      <w:pPr>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二、谈判文件</w:t>
      </w:r>
      <w:bookmarkEnd w:id="13"/>
      <w:bookmarkEnd w:id="14"/>
    </w:p>
    <w:p w14:paraId="74D7C8DA">
      <w:pPr>
        <w:spacing w:line="360" w:lineRule="auto"/>
        <w:jc w:val="center"/>
        <w:rPr>
          <w:rFonts w:hint="eastAsia" w:ascii="宋体" w:hAnsi="宋体"/>
          <w:color w:val="000000"/>
          <w:szCs w:val="21"/>
          <w:highlight w:val="none"/>
        </w:rPr>
      </w:pPr>
    </w:p>
    <w:p w14:paraId="0CAB1CB4">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8.谈判文件的构成</w:t>
      </w:r>
    </w:p>
    <w:p w14:paraId="4A22427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（1）竞争性谈判公告；</w:t>
      </w:r>
    </w:p>
    <w:p w14:paraId="110A1C4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（2）供应商须知； </w:t>
      </w:r>
    </w:p>
    <w:p w14:paraId="20961F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（3）采购需求；</w:t>
      </w:r>
    </w:p>
    <w:p w14:paraId="2316A27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（4）响应文件格式</w:t>
      </w:r>
    </w:p>
    <w:p w14:paraId="4CCDEFB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（5）合同文本；</w:t>
      </w:r>
    </w:p>
    <w:p w14:paraId="4ECA235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（6）评审程序和评定成交的标准；</w:t>
      </w:r>
    </w:p>
    <w:p w14:paraId="7C862151">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9.供应商的询问</w:t>
      </w:r>
    </w:p>
    <w:p w14:paraId="6225608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供应商应认真阅读谈判文件的采购需求，如供应商对谈判文件有疑问的，如要求采购人作出澄清或者修改的，供应商尽可能在</w:t>
      </w:r>
      <w:r>
        <w:rPr>
          <w:rFonts w:ascii="宋体" w:hAnsi="宋体"/>
          <w:color w:val="000000"/>
          <w:szCs w:val="21"/>
          <w:highlight w:val="none"/>
        </w:rPr>
        <w:t>提交首次响应文件截止之日前</w:t>
      </w:r>
      <w:r>
        <w:rPr>
          <w:rFonts w:hint="eastAsia" w:ascii="宋体" w:hAnsi="宋体"/>
          <w:color w:val="000000"/>
          <w:szCs w:val="21"/>
          <w:highlight w:val="none"/>
        </w:rPr>
        <w:t>，以书面形式向</w:t>
      </w:r>
      <w:r>
        <w:rPr>
          <w:rFonts w:ascii="宋体" w:hAnsi="宋体"/>
          <w:color w:val="000000"/>
          <w:szCs w:val="21"/>
          <w:highlight w:val="none"/>
        </w:rPr>
        <w:t>采购人、采购代理机构</w:t>
      </w:r>
      <w:r>
        <w:rPr>
          <w:rFonts w:hint="eastAsia" w:ascii="宋体" w:hAnsi="宋体"/>
          <w:color w:val="000000"/>
          <w:szCs w:val="21"/>
          <w:highlight w:val="none"/>
        </w:rPr>
        <w:t>提出。</w:t>
      </w:r>
    </w:p>
    <w:p w14:paraId="694EDD05">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10.谈判文件的澄清和修改</w:t>
      </w:r>
    </w:p>
    <w:p w14:paraId="11E9F095">
      <w:pPr>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2D95578">
      <w:pPr>
        <w:spacing w:line="360" w:lineRule="auto"/>
        <w:rPr>
          <w:rFonts w:hint="eastAsia" w:ascii="宋体" w:hAnsi="宋体"/>
          <w:color w:val="000000"/>
          <w:szCs w:val="21"/>
          <w:highlight w:val="none"/>
        </w:rPr>
      </w:pPr>
    </w:p>
    <w:p w14:paraId="57792AB4">
      <w:pPr>
        <w:spacing w:line="360" w:lineRule="auto"/>
        <w:jc w:val="center"/>
        <w:rPr>
          <w:rFonts w:hint="eastAsia" w:ascii="宋体" w:hAnsi="宋体"/>
          <w:b/>
          <w:color w:val="000000"/>
          <w:szCs w:val="21"/>
          <w:highlight w:val="none"/>
        </w:rPr>
      </w:pPr>
      <w:r>
        <w:rPr>
          <w:rFonts w:hint="eastAsia" w:ascii="宋体" w:hAnsi="宋体"/>
          <w:b/>
          <w:color w:val="000000"/>
          <w:sz w:val="32"/>
          <w:szCs w:val="32"/>
          <w:highlight w:val="none"/>
        </w:rPr>
        <w:t>三、响应文件的编制</w:t>
      </w:r>
    </w:p>
    <w:p w14:paraId="0904C8FE">
      <w:pPr>
        <w:spacing w:line="360" w:lineRule="auto"/>
        <w:rPr>
          <w:rFonts w:hint="eastAsia" w:ascii="宋体" w:hAnsi="宋体"/>
          <w:color w:val="000000"/>
          <w:szCs w:val="21"/>
          <w:highlight w:val="none"/>
        </w:rPr>
      </w:pPr>
    </w:p>
    <w:p w14:paraId="42421B6A">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11.响应文件的编制原则</w:t>
      </w:r>
    </w:p>
    <w:p w14:paraId="38E3669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供应商必须按照谈判文件的要求编制响应文件，并对其提交的响应文件的真实性、合法性承担法律责任。响应文件必须对谈判文件作出实质性响应。</w:t>
      </w:r>
    </w:p>
    <w:p w14:paraId="795C9D5A">
      <w:pPr>
        <w:spacing w:line="360" w:lineRule="auto"/>
        <w:ind w:firstLine="482" w:firstLineChars="200"/>
        <w:rPr>
          <w:rFonts w:ascii="黑体" w:hAnsi="黑体" w:eastAsia="黑体" w:cs="宋体"/>
          <w:b/>
          <w:bCs/>
          <w:color w:val="000000"/>
          <w:sz w:val="24"/>
          <w:highlight w:val="none"/>
        </w:rPr>
      </w:pPr>
      <w:r>
        <w:rPr>
          <w:rFonts w:hint="eastAsia" w:ascii="黑体" w:hAnsi="黑体" w:eastAsia="黑体" w:cs="宋体"/>
          <w:b/>
          <w:bCs/>
          <w:color w:val="000000"/>
          <w:sz w:val="24"/>
          <w:highlight w:val="none"/>
        </w:rPr>
        <w:t>12.响应文件的组成</w:t>
      </w:r>
    </w:p>
    <w:p w14:paraId="5145ADD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2.1</w:t>
      </w:r>
      <w:r>
        <w:rPr>
          <w:rFonts w:hint="eastAsia" w:ascii="宋体" w:hAnsi="宋体" w:cs="宋体"/>
          <w:color w:val="000000"/>
          <w:szCs w:val="21"/>
          <w:highlight w:val="none"/>
        </w:rPr>
        <w:t>响应文件由资格证明文件、报价文件、商务技术文件三部分组成。</w:t>
      </w:r>
    </w:p>
    <w:p w14:paraId="5DC545D5">
      <w:pPr>
        <w:spacing w:line="360" w:lineRule="auto"/>
        <w:ind w:left="840" w:leftChars="200" w:hanging="420" w:hangingChars="200"/>
        <w:rPr>
          <w:rFonts w:hint="eastAsia" w:ascii="宋体" w:hAnsi="宋体" w:cs="宋体"/>
          <w:color w:val="000000"/>
          <w:szCs w:val="21"/>
          <w:highlight w:val="none"/>
        </w:rPr>
      </w:pPr>
      <w:r>
        <w:rPr>
          <w:rFonts w:hint="eastAsia" w:ascii="宋体" w:hAnsi="宋体" w:cs="宋体"/>
          <w:color w:val="000000"/>
          <w:szCs w:val="21"/>
          <w:highlight w:val="none"/>
        </w:rPr>
        <w:t>12.1</w:t>
      </w:r>
      <w:r>
        <w:rPr>
          <w:rFonts w:ascii="宋体" w:hAnsi="宋体" w:cs="宋体"/>
          <w:color w:val="000000"/>
          <w:szCs w:val="21"/>
          <w:highlight w:val="none"/>
        </w:rPr>
        <w:t>.1</w:t>
      </w:r>
      <w:r>
        <w:rPr>
          <w:rFonts w:hint="eastAsia" w:ascii="宋体" w:hAnsi="宋体" w:cs="宋体"/>
          <w:color w:val="000000"/>
          <w:szCs w:val="21"/>
          <w:highlight w:val="none"/>
        </w:rPr>
        <w:t>资格证明文件：详见“供应商须知前附表”</w:t>
      </w:r>
    </w:p>
    <w:p w14:paraId="0F0F0D6D">
      <w:pPr>
        <w:spacing w:line="360" w:lineRule="auto"/>
        <w:ind w:left="840" w:leftChars="200" w:hanging="420" w:hangingChars="200"/>
        <w:rPr>
          <w:rFonts w:hint="eastAsia" w:ascii="宋体" w:hAnsi="宋体" w:cs="宋体"/>
          <w:color w:val="000000"/>
          <w:szCs w:val="21"/>
          <w:highlight w:val="none"/>
        </w:rPr>
      </w:pPr>
      <w:r>
        <w:rPr>
          <w:rFonts w:hint="eastAsia" w:ascii="宋体" w:hAnsi="宋体" w:cs="宋体"/>
          <w:color w:val="000000"/>
          <w:szCs w:val="21"/>
          <w:highlight w:val="none"/>
        </w:rPr>
        <w:t>12.</w:t>
      </w:r>
      <w:r>
        <w:rPr>
          <w:rFonts w:ascii="宋体" w:hAnsi="宋体" w:cs="宋体"/>
          <w:color w:val="000000"/>
          <w:szCs w:val="21"/>
          <w:highlight w:val="none"/>
        </w:rPr>
        <w:t>1.</w:t>
      </w:r>
      <w:r>
        <w:rPr>
          <w:rFonts w:hint="eastAsia" w:ascii="宋体" w:hAnsi="宋体" w:cs="宋体"/>
          <w:color w:val="000000"/>
          <w:szCs w:val="21"/>
          <w:highlight w:val="none"/>
        </w:rPr>
        <w:t>2报价文件：详见“供应商须知前附表”</w:t>
      </w:r>
    </w:p>
    <w:p w14:paraId="545CA821">
      <w:pPr>
        <w:spacing w:line="360" w:lineRule="auto"/>
        <w:ind w:left="840" w:leftChars="200" w:hanging="420" w:hangingChars="200"/>
        <w:rPr>
          <w:rFonts w:hint="eastAsia" w:ascii="宋体" w:hAnsi="宋体" w:cs="宋体"/>
          <w:color w:val="000000"/>
          <w:szCs w:val="21"/>
          <w:highlight w:val="none"/>
        </w:rPr>
      </w:pPr>
      <w:r>
        <w:rPr>
          <w:rFonts w:hint="eastAsia" w:ascii="宋体" w:hAnsi="宋体" w:cs="宋体"/>
          <w:color w:val="000000"/>
          <w:szCs w:val="21"/>
          <w:highlight w:val="none"/>
        </w:rPr>
        <w:t>12.1.3商务技术文件：详见“供应商须知前附表”</w:t>
      </w:r>
    </w:p>
    <w:p w14:paraId="000F217E">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13.计量单位</w:t>
      </w:r>
    </w:p>
    <w:p w14:paraId="2AA964A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谈判文件已有明确规定的，使用谈判文件规定的计量单位；谈判文件没有规定的，应采用中华人民共和国法定计量单位，货币种类为人民币，否则视同未响应。</w:t>
      </w:r>
    </w:p>
    <w:p w14:paraId="6E771650">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14.竞标的风险</w:t>
      </w:r>
    </w:p>
    <w:p w14:paraId="7E28245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供应商没有按照谈判文件要求提供全部资料，或者供应商没有对谈判文件在各方面作出实质性响应可能导致其响应文件按无效处理，是供应商应当考虑的风险。</w:t>
      </w:r>
    </w:p>
    <w:p w14:paraId="7FCD9F35">
      <w:pPr>
        <w:spacing w:line="360" w:lineRule="auto"/>
        <w:ind w:firstLine="482" w:firstLineChars="200"/>
        <w:rPr>
          <w:rFonts w:ascii="黑体" w:hAnsi="黑体" w:eastAsia="黑体" w:cs="宋体"/>
          <w:b/>
          <w:bCs/>
          <w:color w:val="000000"/>
          <w:sz w:val="24"/>
          <w:highlight w:val="none"/>
        </w:rPr>
      </w:pPr>
      <w:r>
        <w:rPr>
          <w:rFonts w:hint="eastAsia" w:ascii="黑体" w:hAnsi="黑体" w:eastAsia="黑体" w:cs="宋体"/>
          <w:b/>
          <w:bCs/>
          <w:color w:val="000000"/>
          <w:sz w:val="24"/>
          <w:highlight w:val="none"/>
        </w:rPr>
        <w:t>15.竞标报价</w:t>
      </w:r>
    </w:p>
    <w:p w14:paraId="75AE0BC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15.1竞标报价应按谈判文件中“竞标报价表”格式填写。</w:t>
      </w:r>
    </w:p>
    <w:p w14:paraId="2530E841">
      <w:pPr>
        <w:tabs>
          <w:tab w:val="left" w:pos="2492"/>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15.2竞标报价的内容详见“供应商须知前附表”。</w:t>
      </w:r>
    </w:p>
    <w:p w14:paraId="4A0203AF">
      <w:pPr>
        <w:spacing w:line="360" w:lineRule="auto"/>
        <w:ind w:left="426" w:leftChars="203"/>
        <w:rPr>
          <w:rFonts w:hint="eastAsia" w:ascii="宋体" w:hAnsi="宋体" w:cs="宋体"/>
          <w:color w:val="000000"/>
          <w:szCs w:val="21"/>
          <w:highlight w:val="none"/>
        </w:rPr>
      </w:pPr>
      <w:r>
        <w:rPr>
          <w:rFonts w:hint="eastAsia" w:ascii="宋体" w:hAnsi="宋体" w:cs="宋体"/>
          <w:color w:val="000000"/>
          <w:szCs w:val="21"/>
          <w:highlight w:val="none"/>
        </w:rPr>
        <w:t>15.3竞标报价要求</w:t>
      </w:r>
    </w:p>
    <w:p w14:paraId="07E20BD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5.3.1</w:t>
      </w:r>
      <w:r>
        <w:rPr>
          <w:rFonts w:hint="eastAsia" w:ascii="宋体" w:hAnsi="宋体" w:cs="宋体"/>
          <w:color w:val="000000"/>
          <w:szCs w:val="21"/>
          <w:highlight w:val="none"/>
        </w:rPr>
        <w:t>供应商的竞标报价应符合以下要求，否则响应文件按无效响应处理：</w:t>
      </w:r>
    </w:p>
    <w:p w14:paraId="743591AB">
      <w:pPr>
        <w:spacing w:line="360" w:lineRule="auto"/>
        <w:ind w:left="420" w:leftChars="200"/>
        <w:rPr>
          <w:rFonts w:ascii="宋体" w:hAnsi="宋体" w:cs="宋体"/>
          <w:color w:val="000000"/>
          <w:szCs w:val="21"/>
          <w:highlight w:val="none"/>
        </w:rPr>
      </w:pPr>
      <w:r>
        <w:rPr>
          <w:rFonts w:hint="eastAsia" w:ascii="宋体" w:hAnsi="宋体" w:cs="宋体"/>
          <w:color w:val="000000"/>
          <w:szCs w:val="21"/>
          <w:highlight w:val="none"/>
        </w:rPr>
        <w:t>（1）供应商必须就“采购需求”中所竞标的每个分标的全部内容分别作完整唯一总价报价，</w:t>
      </w:r>
    </w:p>
    <w:p w14:paraId="490BCE60">
      <w:pPr>
        <w:spacing w:line="360" w:lineRule="auto"/>
        <w:rPr>
          <w:rFonts w:ascii="宋体" w:hAnsi="宋体" w:cs="宋体"/>
          <w:color w:val="000000"/>
          <w:szCs w:val="21"/>
          <w:highlight w:val="none"/>
        </w:rPr>
      </w:pPr>
      <w:r>
        <w:rPr>
          <w:rFonts w:hint="eastAsia" w:ascii="宋体" w:hAnsi="宋体" w:cs="宋体"/>
          <w:color w:val="000000"/>
          <w:szCs w:val="21"/>
          <w:highlight w:val="none"/>
        </w:rPr>
        <w:t>不得存在漏项报价；</w:t>
      </w:r>
    </w:p>
    <w:p w14:paraId="0F9C84D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）供应商必须就所竞标的分标的单项内容作唯一报价。</w:t>
      </w:r>
    </w:p>
    <w:p w14:paraId="4859260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15.3.</w:t>
      </w:r>
      <w:r>
        <w:rPr>
          <w:rFonts w:ascii="宋体" w:hAnsi="宋体" w:cs="宋体"/>
          <w:color w:val="000000"/>
          <w:szCs w:val="21"/>
          <w:highlight w:val="none"/>
        </w:rPr>
        <w:t>2</w:t>
      </w:r>
      <w:r>
        <w:rPr>
          <w:rFonts w:hint="eastAsia" w:ascii="宋体" w:hAnsi="宋体" w:cs="宋体"/>
          <w:color w:val="000000"/>
          <w:szCs w:val="21"/>
          <w:highlight w:val="none"/>
        </w:rPr>
        <w:t>竞标报价（包含首次报价、最后报价）超过所竞标分标规定的采购预算金额或者最高限价的，其响应文件将按无效处理。</w:t>
      </w:r>
    </w:p>
    <w:p w14:paraId="7EB5D0F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15.3.</w:t>
      </w:r>
      <w:r>
        <w:rPr>
          <w:rFonts w:ascii="宋体" w:hAnsi="宋体" w:cs="宋体"/>
          <w:color w:val="000000"/>
          <w:szCs w:val="21"/>
          <w:highlight w:val="none"/>
        </w:rPr>
        <w:t>3</w:t>
      </w:r>
      <w:r>
        <w:rPr>
          <w:rFonts w:hint="eastAsia" w:ascii="宋体" w:hAnsi="宋体" w:cs="宋体"/>
          <w:color w:val="000000"/>
          <w:szCs w:val="21"/>
          <w:highlight w:val="none"/>
        </w:rPr>
        <w:t>竞标报价（包含首次报价、最后报价）超过分项采购预算金额或者最高限价的，其响应文件将按无效处理。</w:t>
      </w:r>
    </w:p>
    <w:p w14:paraId="1C6184F9">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16.竞标有效期</w:t>
      </w:r>
    </w:p>
    <w:p w14:paraId="36A4AF7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16.1竞标有效期是指为保证采购人有足够的时间在提交响应文件后完成评审、确定成交供应商、合同签订等工作而要求供应商提交的响应文件在一定时间内保持有效的期限。</w:t>
      </w:r>
    </w:p>
    <w:p w14:paraId="1AF60A6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16.2 竞标有效期应由供应商按“供应商须知前附表”规定的期限作出响应。</w:t>
      </w:r>
    </w:p>
    <w:p w14:paraId="4280952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16.3供应商的响应文件在竞标有效期内均保持有效。</w:t>
      </w:r>
    </w:p>
    <w:p w14:paraId="36098D42">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17.竞标保证金</w:t>
      </w:r>
    </w:p>
    <w:p w14:paraId="05CF97BD">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17.1供应商须按“供应商须知前附表”的规定提交竞标保证金。</w:t>
      </w:r>
    </w:p>
    <w:p w14:paraId="6837E47E">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17.2竞标保证金的退还</w:t>
      </w:r>
    </w:p>
    <w:p w14:paraId="70120D1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未</w:t>
      </w:r>
      <w:r>
        <w:rPr>
          <w:rFonts w:hint="eastAsia" w:ascii="宋体" w:hAnsi="宋体" w:cs="宋体"/>
          <w:color w:val="000000"/>
          <w:spacing w:val="-6"/>
          <w:szCs w:val="21"/>
          <w:highlight w:val="none"/>
        </w:rPr>
        <w:t>成交供应商的竞标保证金自成交通知书发出之日起</w:t>
      </w:r>
      <w:r>
        <w:rPr>
          <w:rFonts w:ascii="宋体" w:hAnsi="宋体" w:cs="宋体"/>
          <w:color w:val="000000"/>
          <w:spacing w:val="-6"/>
          <w:szCs w:val="21"/>
          <w:highlight w:val="none"/>
        </w:rPr>
        <w:t>5</w:t>
      </w:r>
      <w:r>
        <w:rPr>
          <w:rFonts w:hint="eastAsia" w:ascii="宋体" w:hAnsi="宋体" w:cs="宋体"/>
          <w:color w:val="000000"/>
          <w:spacing w:val="-6"/>
          <w:szCs w:val="21"/>
          <w:highlight w:val="none"/>
        </w:rPr>
        <w:t>个工作日内退还</w:t>
      </w:r>
      <w:r>
        <w:rPr>
          <w:rFonts w:hint="eastAsia" w:ascii="宋体" w:hAnsi="宋体"/>
          <w:color w:val="000000"/>
          <w:szCs w:val="21"/>
          <w:highlight w:val="none"/>
        </w:rPr>
        <w:t>；</w:t>
      </w:r>
      <w:r>
        <w:rPr>
          <w:rFonts w:hint="eastAsia" w:ascii="宋体" w:hAnsi="宋体" w:cs="宋体"/>
          <w:color w:val="000000"/>
          <w:szCs w:val="21"/>
          <w:highlight w:val="none"/>
        </w:rPr>
        <w:t>成交供应商的竞标保证金自签订合同之日起</w:t>
      </w:r>
      <w:r>
        <w:rPr>
          <w:rFonts w:ascii="宋体" w:hAnsi="宋体" w:cs="宋体"/>
          <w:color w:val="000000"/>
          <w:szCs w:val="21"/>
          <w:highlight w:val="none"/>
        </w:rPr>
        <w:t>5</w:t>
      </w:r>
      <w:r>
        <w:rPr>
          <w:rFonts w:hint="eastAsia" w:ascii="宋体" w:hAnsi="宋体" w:cs="宋体"/>
          <w:color w:val="000000"/>
          <w:szCs w:val="21"/>
          <w:highlight w:val="none"/>
        </w:rPr>
        <w:t xml:space="preserve">个工作日内退还。 </w:t>
      </w:r>
    </w:p>
    <w:p w14:paraId="4395CF7D">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17.3竞标保证金不计息。</w:t>
      </w:r>
    </w:p>
    <w:p w14:paraId="6E52D30D">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 xml:space="preserve">17.4供应商有下列情形之一的，竞标保证金将不予退还： </w:t>
      </w:r>
    </w:p>
    <w:p w14:paraId="0FD42730">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（1）供应商在提交响应文件截止时间后撤回响应文件的；</w:t>
      </w:r>
    </w:p>
    <w:p w14:paraId="59F1B230">
      <w:pPr>
        <w:spacing w:line="360" w:lineRule="auto"/>
        <w:ind w:left="420" w:leftChars="200"/>
        <w:rPr>
          <w:rFonts w:ascii="宋体" w:hAnsi="宋体" w:cs="宋体"/>
          <w:color w:val="000000"/>
          <w:szCs w:val="21"/>
          <w:highlight w:val="none"/>
        </w:rPr>
      </w:pPr>
      <w:r>
        <w:rPr>
          <w:rFonts w:hint="eastAsia" w:ascii="宋体" w:hAnsi="宋体"/>
          <w:color w:val="000000"/>
          <w:szCs w:val="21"/>
          <w:highlight w:val="none"/>
        </w:rPr>
        <w:t>（2）未按规定提交履约保证金的；</w:t>
      </w:r>
    </w:p>
    <w:p w14:paraId="5B55A80C">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（3）供应商在响应文件中提供虚假材料的；</w:t>
      </w:r>
    </w:p>
    <w:p w14:paraId="573E838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（4）除因不可抗力或者谈判文件认可的情形以外，成交供应商不与采购人签订合同的；</w:t>
      </w:r>
    </w:p>
    <w:p w14:paraId="0BDB5209">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（5）供应商与采购人、其他供应商或者采购代理机构恶意串通的；</w:t>
      </w:r>
    </w:p>
    <w:p w14:paraId="6369E265">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（6）法律法规规定的其他情形。</w:t>
      </w:r>
    </w:p>
    <w:p w14:paraId="1BBA5FFF">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18. 响应文件编制的要求</w:t>
      </w:r>
    </w:p>
    <w:p w14:paraId="3C15238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18.1供应商应先安装“广西政府采购云平台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3B1C81D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0E712E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18.3响应文件须由供应商在规定位置签字、盖章（具体以供应商须知前附表或响应文件格式规定为准），否则按无效响应处理。</w:t>
      </w:r>
    </w:p>
    <w:p w14:paraId="2172DA5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CD2EE2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FAEBCED">
      <w:pPr>
        <w:spacing w:line="360" w:lineRule="auto"/>
        <w:ind w:firstLine="482" w:firstLineChars="200"/>
        <w:rPr>
          <w:rFonts w:hint="eastAsia" w:ascii="黑体" w:hAnsi="黑体" w:eastAsia="黑体"/>
          <w:color w:val="000000"/>
          <w:sz w:val="24"/>
          <w:highlight w:val="none"/>
        </w:rPr>
      </w:pPr>
      <w:r>
        <w:rPr>
          <w:rFonts w:hint="eastAsia" w:ascii="黑体" w:hAnsi="黑体" w:eastAsia="黑体" w:cs="宋体"/>
          <w:b/>
          <w:bCs/>
          <w:color w:val="000000"/>
          <w:sz w:val="24"/>
          <w:highlight w:val="none"/>
        </w:rPr>
        <w:t>19.电子</w:t>
      </w:r>
      <w:r>
        <w:rPr>
          <w:rFonts w:hint="eastAsia" w:ascii="黑体" w:hAnsi="黑体" w:eastAsia="黑体"/>
          <w:b/>
          <w:color w:val="000000"/>
          <w:sz w:val="24"/>
          <w:highlight w:val="none"/>
        </w:rPr>
        <w:t>备份响应文件</w:t>
      </w:r>
    </w:p>
    <w:p w14:paraId="33537EC5">
      <w:pPr>
        <w:spacing w:line="360" w:lineRule="auto"/>
        <w:ind w:firstLine="420" w:firstLineChars="200"/>
        <w:rPr>
          <w:rFonts w:hint="eastAsia" w:ascii="黑体" w:hAnsi="黑体" w:eastAsia="黑体"/>
          <w:color w:val="000000"/>
          <w:sz w:val="24"/>
          <w:highlight w:val="none"/>
        </w:rPr>
      </w:pPr>
      <w:r>
        <w:rPr>
          <w:rFonts w:hint="eastAsia"/>
          <w:color w:val="000000"/>
          <w:highlight w:val="none"/>
        </w:rPr>
        <w:t>电子备份响应文件是指通过“广西政府采购云平台客户端”在线编制生成且后缀名为“</w:t>
      </w:r>
      <w:r>
        <w:rPr>
          <w:color w:val="000000"/>
          <w:highlight w:val="none"/>
        </w:rPr>
        <w:t>bfbs</w:t>
      </w:r>
      <w:r>
        <w:rPr>
          <w:rFonts w:hint="eastAsia"/>
          <w:color w:val="000000"/>
          <w:highlight w:val="none"/>
        </w:rPr>
        <w:t>”的文件，是否接受电子备份响应文件</w:t>
      </w:r>
      <w:r>
        <w:rPr>
          <w:rFonts w:hint="eastAsia" w:hAnsi="宋体"/>
          <w:bCs/>
          <w:color w:val="000000"/>
          <w:szCs w:val="21"/>
          <w:highlight w:val="none"/>
        </w:rPr>
        <w:t>详见在“供应商须知前附表”。</w:t>
      </w:r>
    </w:p>
    <w:p w14:paraId="44C26397">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20.响应文件的提交</w:t>
      </w:r>
    </w:p>
    <w:p w14:paraId="5F56A9A5">
      <w:pPr>
        <w:spacing w:line="360" w:lineRule="auto"/>
        <w:ind w:firstLine="420" w:firstLineChars="200"/>
        <w:rPr>
          <w:rFonts w:hint="eastAsia" w:hAnsi="宋体"/>
          <w:b/>
          <w:color w:val="000000"/>
          <w:highlight w:val="none"/>
        </w:rPr>
      </w:pPr>
      <w:r>
        <w:rPr>
          <w:rFonts w:hint="eastAsia" w:hAnsi="宋体"/>
          <w:bCs/>
          <w:color w:val="000000"/>
          <w:szCs w:val="21"/>
          <w:highlight w:val="none"/>
        </w:rPr>
        <w:t>20.1供应商必须按“供应商须知前附表”规定的</w:t>
      </w:r>
      <w:r>
        <w:rPr>
          <w:rFonts w:hint="eastAsia" w:ascii="宋体" w:hAnsi="宋体" w:cs="宋体"/>
          <w:color w:val="000000"/>
          <w:szCs w:val="21"/>
          <w:highlight w:val="none"/>
        </w:rPr>
        <w:t>时间</w:t>
      </w:r>
      <w:r>
        <w:rPr>
          <w:rFonts w:hint="eastAsia" w:ascii="宋体" w:hAnsi="宋体"/>
          <w:color w:val="000000"/>
          <w:szCs w:val="21"/>
          <w:highlight w:val="none"/>
        </w:rPr>
        <w:t>及</w:t>
      </w:r>
      <w:r>
        <w:rPr>
          <w:rFonts w:hint="eastAsia" w:hAnsi="宋体"/>
          <w:bCs/>
          <w:color w:val="000000"/>
          <w:szCs w:val="21"/>
          <w:highlight w:val="none"/>
        </w:rPr>
        <w:t>地点提交响应文件。电子响应文件应在制作完成后，</w:t>
      </w:r>
      <w:r>
        <w:rPr>
          <w:rFonts w:hAnsi="宋体"/>
          <w:bCs/>
          <w:color w:val="000000"/>
          <w:szCs w:val="21"/>
          <w:highlight w:val="none"/>
        </w:rPr>
        <w:t>在</w:t>
      </w:r>
      <w:r>
        <w:rPr>
          <w:rFonts w:hint="eastAsia" w:hAnsi="宋体"/>
          <w:bCs/>
          <w:color w:val="000000"/>
          <w:szCs w:val="21"/>
          <w:highlight w:val="none"/>
        </w:rPr>
        <w:t>提交响应文件截止</w:t>
      </w:r>
      <w:r>
        <w:rPr>
          <w:rFonts w:hAnsi="宋体"/>
          <w:bCs/>
          <w:color w:val="000000"/>
          <w:szCs w:val="21"/>
          <w:highlight w:val="none"/>
        </w:rPr>
        <w:t>时间前</w:t>
      </w:r>
      <w:r>
        <w:rPr>
          <w:rFonts w:hint="eastAsia" w:hAnsi="宋体"/>
          <w:bCs/>
          <w:color w:val="000000"/>
          <w:szCs w:val="21"/>
          <w:highlight w:val="none"/>
        </w:rPr>
        <w:t>通过有效数字证书（CA认证锁）进行电子签章、加密，然后通过网络将加密的电子响应文件提交至</w:t>
      </w:r>
      <w:r>
        <w:rPr>
          <w:rFonts w:hint="eastAsia" w:ascii="宋体" w:hAnsi="宋体"/>
          <w:color w:val="000000"/>
          <w:szCs w:val="21"/>
          <w:highlight w:val="none"/>
        </w:rPr>
        <w:t>广西政府采购云平台</w:t>
      </w:r>
      <w:r>
        <w:rPr>
          <w:rFonts w:hint="eastAsia" w:hAnsi="宋体"/>
          <w:bCs/>
          <w:color w:val="000000"/>
          <w:szCs w:val="21"/>
          <w:highlight w:val="none"/>
        </w:rPr>
        <w:t xml:space="preserve">。 </w:t>
      </w:r>
      <w:r>
        <w:rPr>
          <w:rFonts w:hint="eastAsia" w:hAnsi="宋体"/>
          <w:b/>
          <w:color w:val="000000"/>
          <w:highlight w:val="none"/>
        </w:rPr>
        <w:t xml:space="preserve"> </w:t>
      </w:r>
    </w:p>
    <w:p w14:paraId="5ADC2158">
      <w:pPr>
        <w:spacing w:line="360" w:lineRule="auto"/>
        <w:ind w:firstLine="422" w:firstLineChars="200"/>
        <w:rPr>
          <w:rFonts w:hint="eastAsia" w:ascii="宋体" w:hAnsi="宋体"/>
          <w:b/>
          <w:color w:val="000000"/>
          <w:szCs w:val="20"/>
          <w:highlight w:val="none"/>
        </w:rPr>
      </w:pPr>
      <w:r>
        <w:rPr>
          <w:rFonts w:hint="eastAsia" w:ascii="宋体" w:hAnsi="宋体"/>
          <w:b/>
          <w:color w:val="000000"/>
          <w:szCs w:val="21"/>
          <w:highlight w:val="none"/>
        </w:rPr>
        <w:t>20.</w:t>
      </w:r>
      <w:r>
        <w:rPr>
          <w:rFonts w:ascii="宋体" w:hAnsi="宋体"/>
          <w:b/>
          <w:color w:val="000000"/>
          <w:szCs w:val="21"/>
          <w:highlight w:val="none"/>
        </w:rPr>
        <w:t>2</w:t>
      </w:r>
      <w:r>
        <w:rPr>
          <w:rFonts w:hint="eastAsia" w:ascii="宋体" w:hAnsi="宋体"/>
          <w:b/>
          <w:color w:val="000000"/>
          <w:szCs w:val="21"/>
          <w:highlight w:val="none"/>
        </w:rPr>
        <w:t>未在规定时间内提交或者未按照谈判文件要求加密的电子响应文件，广西政府采购云平台将拒收。</w:t>
      </w:r>
    </w:p>
    <w:p w14:paraId="7F406DF4">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21.首次响应文件的补充、修改与撤回</w:t>
      </w:r>
    </w:p>
    <w:p w14:paraId="2B8D1E30">
      <w:pPr>
        <w:snapToGrid w:val="0"/>
        <w:spacing w:line="360" w:lineRule="auto"/>
        <w:ind w:firstLine="420"/>
        <w:jc w:val="left"/>
        <w:rPr>
          <w:rFonts w:hint="eastAsia" w:ascii="宋体" w:hAnsi="宋体"/>
          <w:color w:val="000000"/>
          <w:szCs w:val="21"/>
          <w:highlight w:val="none"/>
        </w:rPr>
      </w:pPr>
      <w:bookmarkStart w:id="15" w:name="_Toc254970684"/>
      <w:bookmarkStart w:id="16" w:name="_Toc254970543"/>
      <w:r>
        <w:rPr>
          <w:rFonts w:ascii="宋体" w:hAnsi="宋体" w:cs="宋体"/>
          <w:color w:val="000000"/>
          <w:szCs w:val="21"/>
          <w:highlight w:val="none"/>
        </w:rPr>
        <w:t>2</w:t>
      </w:r>
      <w:r>
        <w:rPr>
          <w:rFonts w:hint="eastAsia" w:ascii="宋体" w:hAnsi="宋体" w:cs="宋体"/>
          <w:color w:val="000000"/>
          <w:szCs w:val="21"/>
          <w:highlight w:val="none"/>
        </w:rPr>
        <w:t>1.1</w:t>
      </w:r>
      <w:r>
        <w:rPr>
          <w:rFonts w:hint="eastAsia" w:ascii="宋体" w:hAnsi="宋体"/>
          <w:bCs/>
          <w:color w:val="000000"/>
          <w:szCs w:val="21"/>
          <w:highlight w:val="none"/>
        </w:rPr>
        <w:t>供应商应当在</w:t>
      </w:r>
      <w:r>
        <w:rPr>
          <w:rFonts w:hint="eastAsia" w:hAnsi="宋体"/>
          <w:bCs/>
          <w:color w:val="000000"/>
          <w:szCs w:val="21"/>
          <w:highlight w:val="none"/>
        </w:rPr>
        <w:t>提交响应文件截止</w:t>
      </w:r>
      <w:r>
        <w:rPr>
          <w:rFonts w:hAnsi="宋体"/>
          <w:bCs/>
          <w:color w:val="000000"/>
          <w:szCs w:val="21"/>
          <w:highlight w:val="none"/>
        </w:rPr>
        <w:t>时间</w:t>
      </w:r>
      <w:r>
        <w:rPr>
          <w:rFonts w:hint="eastAsia" w:ascii="宋体" w:hAnsi="宋体"/>
          <w:bCs/>
          <w:color w:val="000000"/>
          <w:szCs w:val="21"/>
          <w:highlight w:val="none"/>
        </w:rPr>
        <w:t>前完成电子响应文件的提交（上传），</w:t>
      </w:r>
      <w:r>
        <w:rPr>
          <w:rFonts w:hint="eastAsia" w:hAnsi="宋体"/>
          <w:bCs/>
          <w:color w:val="000000"/>
          <w:szCs w:val="21"/>
          <w:highlight w:val="none"/>
        </w:rPr>
        <w:t>提交响应文件截止</w:t>
      </w:r>
      <w:r>
        <w:rPr>
          <w:rFonts w:hAnsi="宋体"/>
          <w:bCs/>
          <w:color w:val="000000"/>
          <w:szCs w:val="21"/>
          <w:highlight w:val="none"/>
        </w:rPr>
        <w:t>时间</w:t>
      </w:r>
      <w:r>
        <w:rPr>
          <w:rFonts w:hint="eastAsia" w:hAnsi="宋体"/>
          <w:bCs/>
          <w:color w:val="000000"/>
          <w:szCs w:val="21"/>
          <w:highlight w:val="none"/>
        </w:rPr>
        <w:t>前</w:t>
      </w:r>
      <w:r>
        <w:rPr>
          <w:rFonts w:hint="eastAsia" w:ascii="宋体" w:hAnsi="宋体"/>
          <w:bCs/>
          <w:color w:val="000000"/>
          <w:szCs w:val="21"/>
          <w:highlight w:val="none"/>
        </w:rPr>
        <w:t>可以补充、修改或者撤回响应文件。补充或者修改响应文件的，应当先行撤回原响应文件，补充、修改后重新提交（上传），</w:t>
      </w:r>
      <w:r>
        <w:rPr>
          <w:rFonts w:hint="eastAsia" w:hAnsi="宋体"/>
          <w:bCs/>
          <w:color w:val="000000"/>
          <w:szCs w:val="21"/>
          <w:highlight w:val="none"/>
        </w:rPr>
        <w:t>提交响应文件截止</w:t>
      </w:r>
      <w:r>
        <w:rPr>
          <w:rFonts w:hAnsi="宋体"/>
          <w:bCs/>
          <w:color w:val="000000"/>
          <w:szCs w:val="21"/>
          <w:highlight w:val="none"/>
        </w:rPr>
        <w:t>时间</w:t>
      </w:r>
      <w:r>
        <w:rPr>
          <w:rFonts w:hint="eastAsia" w:hAnsi="宋体"/>
          <w:bCs/>
          <w:color w:val="000000"/>
          <w:szCs w:val="21"/>
          <w:highlight w:val="none"/>
        </w:rPr>
        <w:t>前</w:t>
      </w:r>
      <w:r>
        <w:rPr>
          <w:rFonts w:hint="eastAsia" w:ascii="宋体" w:hAnsi="宋体"/>
          <w:bCs/>
          <w:color w:val="000000"/>
          <w:szCs w:val="21"/>
          <w:highlight w:val="none"/>
        </w:rPr>
        <w:t>未完成提交（上传）的，视为撤回响应文件。</w:t>
      </w:r>
      <w:r>
        <w:rPr>
          <w:rFonts w:hint="eastAsia" w:hAnsi="宋体"/>
          <w:bCs/>
          <w:color w:val="000000"/>
          <w:szCs w:val="21"/>
          <w:highlight w:val="none"/>
        </w:rPr>
        <w:t>提交响应文件截止</w:t>
      </w:r>
      <w:r>
        <w:rPr>
          <w:rFonts w:hAnsi="宋体"/>
          <w:bCs/>
          <w:color w:val="000000"/>
          <w:szCs w:val="21"/>
          <w:highlight w:val="none"/>
        </w:rPr>
        <w:t>时间</w:t>
      </w:r>
      <w:r>
        <w:rPr>
          <w:rFonts w:hint="eastAsia" w:ascii="宋体" w:hAnsi="宋体"/>
          <w:bCs/>
          <w:color w:val="000000"/>
          <w:szCs w:val="21"/>
          <w:highlight w:val="none"/>
        </w:rPr>
        <w:t>以后提交（上传）的响应文件，广西政府采购云平台将予以拒收。</w:t>
      </w:r>
      <w:r>
        <w:rPr>
          <w:rFonts w:hint="eastAsia" w:ascii="宋体" w:hAnsi="宋体" w:cs="宋体"/>
          <w:color w:val="000000"/>
          <w:szCs w:val="21"/>
          <w:highlight w:val="none"/>
        </w:rPr>
        <w:t>（补充、修改或者撤回方式可</w:t>
      </w:r>
      <w:r>
        <w:rPr>
          <w:rFonts w:hint="eastAsia" w:ascii="宋体" w:hAnsi="宋体"/>
          <w:color w:val="000000"/>
          <w:szCs w:val="21"/>
          <w:highlight w:val="none"/>
        </w:rPr>
        <w:t>登录</w:t>
      </w:r>
      <w:r>
        <w:rPr>
          <w:rFonts w:hint="eastAsia" w:ascii="宋体" w:hAnsi="宋体" w:cs="宋体"/>
          <w:color w:val="000000"/>
          <w:kern w:val="0"/>
          <w:szCs w:val="21"/>
          <w:highlight w:val="none"/>
        </w:rPr>
        <w:t>广西政府采购云平台，</w:t>
      </w:r>
      <w:r>
        <w:rPr>
          <w:rFonts w:hint="eastAsia" w:ascii="宋体" w:hAnsi="宋体"/>
          <w:color w:val="000000"/>
          <w:szCs w:val="21"/>
          <w:highlight w:val="none"/>
        </w:rPr>
        <w:t>进入“服务中心”中查看</w:t>
      </w:r>
      <w:r>
        <w:rPr>
          <w:rFonts w:hint="eastAsia" w:ascii="宋体" w:hAnsi="宋体" w:cs="宋体"/>
          <w:color w:val="000000"/>
          <w:szCs w:val="21"/>
          <w:highlight w:val="none"/>
        </w:rPr>
        <w:t xml:space="preserve"> “电子竞标文件制作与投送教程”）</w:t>
      </w:r>
    </w:p>
    <w:bookmarkEnd w:id="15"/>
    <w:bookmarkEnd w:id="16"/>
    <w:p w14:paraId="6CC7F15C">
      <w:pPr>
        <w:pStyle w:val="88"/>
        <w:spacing w:before="0"/>
        <w:ind w:firstLine="420"/>
        <w:rPr>
          <w:rFonts w:hint="eastAsia" w:ascii="宋体" w:hAns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1</w:t>
      </w:r>
      <w:r>
        <w:rPr>
          <w:rFonts w:ascii="宋体" w:hAnsi="宋体" w:cs="宋体"/>
          <w:color w:val="000000"/>
          <w:sz w:val="21"/>
          <w:szCs w:val="21"/>
          <w:highlight w:val="none"/>
        </w:rPr>
        <w:t>.</w:t>
      </w:r>
      <w:r>
        <w:rPr>
          <w:rFonts w:hint="eastAsia" w:ascii="宋体" w:hAnsi="宋体" w:cs="宋体"/>
          <w:color w:val="000000"/>
          <w:sz w:val="21"/>
          <w:szCs w:val="21"/>
          <w:highlight w:val="none"/>
        </w:rPr>
        <w:t>2在提交响应文件截止时间前，除供应商补充、修改或者撤回响应文件外，任何单位和个人不得解密或提取响应文件。</w:t>
      </w:r>
    </w:p>
    <w:p w14:paraId="41C7DD62">
      <w:pPr>
        <w:spacing w:line="360" w:lineRule="auto"/>
        <w:ind w:firstLine="482" w:firstLineChars="200"/>
        <w:rPr>
          <w:rFonts w:ascii="黑体" w:hAnsi="黑体" w:eastAsia="黑体" w:cs="宋体"/>
          <w:b/>
          <w:bCs/>
          <w:color w:val="000000"/>
          <w:sz w:val="24"/>
          <w:highlight w:val="none"/>
        </w:rPr>
      </w:pPr>
      <w:r>
        <w:rPr>
          <w:rFonts w:hint="eastAsia" w:ascii="黑体" w:hAnsi="黑体" w:eastAsia="黑体" w:cs="宋体"/>
          <w:b/>
          <w:bCs/>
          <w:color w:val="000000"/>
          <w:sz w:val="24"/>
          <w:highlight w:val="none"/>
        </w:rPr>
        <w:t>22.响应文件的退回</w:t>
      </w:r>
    </w:p>
    <w:p w14:paraId="40846E5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采购人和采购代理机构对已提交的响应文件概不退回。</w:t>
      </w:r>
    </w:p>
    <w:p w14:paraId="7EC929B2">
      <w:pPr>
        <w:spacing w:line="360" w:lineRule="auto"/>
        <w:ind w:firstLine="482" w:firstLineChars="200"/>
        <w:rPr>
          <w:rFonts w:ascii="黑体" w:hAnsi="黑体" w:eastAsia="黑体" w:cs="宋体"/>
          <w:b/>
          <w:bCs/>
          <w:color w:val="000000"/>
          <w:sz w:val="24"/>
          <w:highlight w:val="none"/>
        </w:rPr>
      </w:pPr>
      <w:r>
        <w:rPr>
          <w:rFonts w:hint="eastAsia" w:ascii="黑体" w:hAnsi="黑体" w:eastAsia="黑体" w:cs="宋体"/>
          <w:b/>
          <w:bCs/>
          <w:color w:val="000000"/>
          <w:sz w:val="24"/>
          <w:highlight w:val="none"/>
        </w:rPr>
        <w:t>23.截止时间后的撤回</w:t>
      </w:r>
    </w:p>
    <w:p w14:paraId="4AC4CCA5">
      <w:pPr>
        <w:spacing w:line="360" w:lineRule="auto"/>
        <w:ind w:firstLine="420" w:firstLineChars="200"/>
        <w:rPr>
          <w:rFonts w:hint="eastAsia" w:ascii="宋体" w:hAnsi="宋体"/>
          <w:color w:val="000000"/>
          <w:szCs w:val="21"/>
          <w:highlight w:val="none"/>
        </w:rPr>
      </w:pPr>
      <w:r>
        <w:rPr>
          <w:rFonts w:hint="eastAsia" w:ascii="宋体" w:hAnsi="宋体" w:cs="宋体"/>
          <w:color w:val="000000"/>
          <w:szCs w:val="21"/>
          <w:highlight w:val="none"/>
        </w:rPr>
        <w:t>供应商在响应文件提交截止时间后向采购人、采购代理机构书面申请撤回响应文件的，将根据本须知正文第17.4条的规定不予退还其竞标保证金。</w:t>
      </w:r>
    </w:p>
    <w:p w14:paraId="6EA3FC12">
      <w:pPr>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四、评审及谈判</w:t>
      </w:r>
    </w:p>
    <w:p w14:paraId="7795E90F">
      <w:pPr>
        <w:spacing w:line="360" w:lineRule="auto"/>
        <w:ind w:left="420" w:firstLine="420"/>
        <w:rPr>
          <w:rFonts w:hint="eastAsia" w:ascii="宋体" w:hAnsi="宋体"/>
          <w:color w:val="000000"/>
          <w:szCs w:val="21"/>
          <w:highlight w:val="none"/>
        </w:rPr>
      </w:pPr>
    </w:p>
    <w:p w14:paraId="332EF8BF">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24.谈判小组成立</w:t>
      </w:r>
    </w:p>
    <w:p w14:paraId="7C0654A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FC3B1C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3229FB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24.3</w:t>
      </w:r>
      <w:r>
        <w:rPr>
          <w:rFonts w:hint="eastAsia" w:hAnsi="宋体"/>
          <w:bCs/>
          <w:color w:val="000000"/>
          <w:szCs w:val="21"/>
          <w:highlight w:val="none"/>
        </w:rPr>
        <w:t>采购代理机构</w:t>
      </w:r>
      <w:r>
        <w:rPr>
          <w:rFonts w:hint="eastAsia" w:hAnsi="宋体"/>
          <w:bCs/>
          <w:color w:val="000000"/>
          <w:highlight w:val="none"/>
        </w:rPr>
        <w:t>应当</w:t>
      </w:r>
      <w:r>
        <w:rPr>
          <w:rFonts w:hint="eastAsia" w:hAnsi="宋体"/>
          <w:bCs/>
          <w:color w:val="000000"/>
          <w:szCs w:val="21"/>
          <w:highlight w:val="none"/>
        </w:rPr>
        <w:t>基于广西政府采购云平台</w:t>
      </w:r>
      <w:r>
        <w:rPr>
          <w:rFonts w:hint="eastAsia" w:hAnsi="宋体"/>
          <w:bCs/>
          <w:color w:val="000000"/>
          <w:highlight w:val="none"/>
        </w:rPr>
        <w:t>抽（选）取</w:t>
      </w:r>
      <w:r>
        <w:rPr>
          <w:rFonts w:hint="eastAsia" w:hAnsi="宋体"/>
          <w:bCs/>
          <w:color w:val="000000"/>
          <w:szCs w:val="21"/>
          <w:highlight w:val="none"/>
        </w:rPr>
        <w:t>评审专家。</w:t>
      </w:r>
    </w:p>
    <w:p w14:paraId="11B66CD7">
      <w:pPr>
        <w:spacing w:line="360" w:lineRule="auto"/>
        <w:ind w:firstLine="482" w:firstLineChars="200"/>
        <w:rPr>
          <w:rFonts w:ascii="黑体" w:hAnsi="黑体" w:eastAsia="黑体" w:cs="宋体"/>
          <w:b/>
          <w:bCs/>
          <w:color w:val="000000"/>
          <w:sz w:val="24"/>
          <w:highlight w:val="none"/>
        </w:rPr>
      </w:pPr>
      <w:r>
        <w:rPr>
          <w:rFonts w:ascii="黑体" w:hAnsi="黑体" w:eastAsia="黑体" w:cs="宋体"/>
          <w:b/>
          <w:bCs/>
          <w:color w:val="000000"/>
          <w:sz w:val="24"/>
          <w:highlight w:val="none"/>
        </w:rPr>
        <w:t>25.</w:t>
      </w:r>
      <w:r>
        <w:rPr>
          <w:rFonts w:hint="eastAsia" w:ascii="黑体" w:hAnsi="黑体" w:eastAsia="黑体" w:cs="宋体"/>
          <w:b/>
          <w:bCs/>
          <w:color w:val="000000"/>
          <w:sz w:val="24"/>
          <w:highlight w:val="none"/>
        </w:rPr>
        <w:t xml:space="preserve"> 首次响应文件的开启和解密</w:t>
      </w:r>
    </w:p>
    <w:p w14:paraId="29E923FF">
      <w:pPr>
        <w:spacing w:line="360" w:lineRule="auto"/>
        <w:ind w:firstLine="420"/>
        <w:rPr>
          <w:rFonts w:ascii="黑体" w:hAnsi="黑体" w:eastAsia="黑体" w:cs="宋体"/>
          <w:b/>
          <w:bCs/>
          <w:color w:val="000000"/>
          <w:sz w:val="24"/>
          <w:highlight w:val="none"/>
        </w:rPr>
      </w:pPr>
      <w:r>
        <w:rPr>
          <w:rFonts w:hint="eastAsia" w:hAnsi="宋体"/>
          <w:bCs/>
          <w:color w:val="000000"/>
          <w:highlight w:val="none"/>
        </w:rPr>
        <w:t>采购代理机构将在“供应商须知前附表”规定的时</w:t>
      </w:r>
      <w:r>
        <w:rPr>
          <w:rFonts w:hint="eastAsia" w:hAnsi="宋体"/>
          <w:color w:val="000000"/>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000000"/>
          <w:highlight w:val="none"/>
        </w:rPr>
        <w:t>采购代理机构依托广西政府采购云平台向各供应商发出电子加密响应文件【开始解密】通知，由供应商按</w:t>
      </w:r>
      <w:r>
        <w:rPr>
          <w:rFonts w:hint="eastAsia" w:hAnsi="宋体"/>
          <w:bCs/>
          <w:color w:val="000000"/>
          <w:szCs w:val="21"/>
          <w:highlight w:val="none"/>
        </w:rPr>
        <w:t>“供应商须知前附表”</w:t>
      </w:r>
      <w:r>
        <w:rPr>
          <w:rFonts w:hint="eastAsia"/>
          <w:color w:val="000000"/>
          <w:highlight w:val="none"/>
        </w:rPr>
        <w:t>规定的时间内自行进行响应文件解密</w:t>
      </w:r>
      <w:r>
        <w:rPr>
          <w:rFonts w:hint="eastAsia" w:hAnsi="宋体"/>
          <w:color w:val="000000"/>
          <w:highlight w:val="none"/>
        </w:rPr>
        <w:t>。</w:t>
      </w:r>
      <w:r>
        <w:rPr>
          <w:rFonts w:hint="eastAsia"/>
          <w:b/>
          <w:color w:val="000000"/>
          <w:highlight w:val="none"/>
        </w:rPr>
        <w:t>供应商未在</w:t>
      </w:r>
      <w:r>
        <w:rPr>
          <w:b/>
          <w:color w:val="000000"/>
          <w:highlight w:val="none"/>
        </w:rPr>
        <w:t>规定的时间内解密</w:t>
      </w:r>
      <w:r>
        <w:rPr>
          <w:rFonts w:hint="eastAsia"/>
          <w:b/>
          <w:color w:val="000000"/>
          <w:highlight w:val="none"/>
        </w:rPr>
        <w:t>响应文件</w:t>
      </w:r>
      <w:r>
        <w:rPr>
          <w:b/>
          <w:color w:val="000000"/>
          <w:highlight w:val="none"/>
        </w:rPr>
        <w:t>或</w:t>
      </w:r>
      <w:r>
        <w:rPr>
          <w:rFonts w:hint="eastAsia"/>
          <w:b/>
          <w:color w:val="000000"/>
          <w:highlight w:val="none"/>
        </w:rPr>
        <w:t>者</w:t>
      </w:r>
      <w:r>
        <w:rPr>
          <w:b/>
          <w:color w:val="000000"/>
          <w:highlight w:val="none"/>
        </w:rPr>
        <w:t>解密失败的</w:t>
      </w:r>
      <w:r>
        <w:rPr>
          <w:rFonts w:hint="eastAsia"/>
          <w:b/>
          <w:color w:val="000000"/>
          <w:highlight w:val="none"/>
        </w:rPr>
        <w:t>，供应商</w:t>
      </w:r>
      <w:r>
        <w:rPr>
          <w:rFonts w:hint="eastAsia" w:ascii="宋体" w:hAnsi="宋体"/>
          <w:b/>
          <w:color w:val="000000"/>
          <w:szCs w:val="21"/>
          <w:highlight w:val="none"/>
        </w:rPr>
        <w:t>的响应文件作无效处理</w:t>
      </w:r>
      <w:r>
        <w:rPr>
          <w:b/>
          <w:color w:val="000000"/>
          <w:highlight w:val="none"/>
        </w:rPr>
        <w:t>。</w:t>
      </w:r>
    </w:p>
    <w:p w14:paraId="20AC2EDC">
      <w:pPr>
        <w:spacing w:line="360" w:lineRule="auto"/>
        <w:ind w:firstLine="482" w:firstLineChars="200"/>
        <w:rPr>
          <w:rFonts w:ascii="黑体" w:hAnsi="黑体" w:eastAsia="黑体" w:cs="宋体"/>
          <w:b/>
          <w:bCs/>
          <w:color w:val="000000"/>
          <w:sz w:val="24"/>
          <w:highlight w:val="none"/>
        </w:rPr>
      </w:pPr>
      <w:r>
        <w:rPr>
          <w:rFonts w:ascii="黑体" w:hAnsi="黑体" w:eastAsia="黑体" w:cs="宋体"/>
          <w:b/>
          <w:bCs/>
          <w:color w:val="000000"/>
          <w:sz w:val="24"/>
          <w:highlight w:val="none"/>
        </w:rPr>
        <w:t>26</w:t>
      </w:r>
      <w:r>
        <w:rPr>
          <w:rFonts w:hint="eastAsia" w:ascii="黑体" w:hAnsi="黑体" w:eastAsia="黑体" w:cs="宋体"/>
          <w:b/>
          <w:bCs/>
          <w:color w:val="000000"/>
          <w:sz w:val="24"/>
          <w:highlight w:val="none"/>
        </w:rPr>
        <w:t>. 评审程序和评定成交的标准</w:t>
      </w:r>
    </w:p>
    <w:p w14:paraId="1C1136F3">
      <w:pPr>
        <w:spacing w:line="360" w:lineRule="auto"/>
        <w:ind w:firstLine="420" w:firstLineChars="200"/>
        <w:rPr>
          <w:rFonts w:hint="eastAsia"/>
          <w:color w:val="000000"/>
          <w:highlight w:val="none"/>
        </w:rPr>
      </w:pPr>
      <w:r>
        <w:rPr>
          <w:rFonts w:hint="eastAsia"/>
          <w:color w:val="000000"/>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000000"/>
          <w:szCs w:val="21"/>
          <w:highlight w:val="none"/>
        </w:rPr>
        <w:t>“供应商须知前附表”。</w:t>
      </w:r>
    </w:p>
    <w:p w14:paraId="1D066CC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 xml:space="preserve">6.2 </w:t>
      </w:r>
      <w:r>
        <w:rPr>
          <w:rFonts w:hint="eastAsia" w:ascii="宋体" w:hAnsi="宋体"/>
          <w:color w:val="000000"/>
          <w:szCs w:val="21"/>
          <w:highlight w:val="none"/>
        </w:rPr>
        <w:t>商务/技术参数及性能配置要求允许负偏离的条款数详见“供应商须知前附表”。</w:t>
      </w:r>
    </w:p>
    <w:p w14:paraId="677F21CA">
      <w:pPr>
        <w:spacing w:line="360" w:lineRule="auto"/>
        <w:ind w:firstLine="420" w:firstLineChars="200"/>
        <w:rPr>
          <w:rFonts w:ascii="宋体" w:hAnsi="宋体"/>
          <w:color w:val="000000"/>
          <w:szCs w:val="21"/>
          <w:highlight w:val="none"/>
        </w:rPr>
      </w:pPr>
      <w:r>
        <w:rPr>
          <w:rFonts w:hint="eastAsia" w:ascii="宋体" w:hAnsi="宋体" w:cs="宋体"/>
          <w:color w:val="000000"/>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DC26FF4">
      <w:pPr>
        <w:spacing w:line="360" w:lineRule="auto"/>
        <w:ind w:firstLine="420" w:firstLineChars="200"/>
        <w:rPr>
          <w:rFonts w:hint="eastAsia" w:hAnsi="宋体"/>
          <w:color w:val="000000"/>
          <w:highlight w:val="none"/>
        </w:rPr>
      </w:pPr>
      <w:r>
        <w:rPr>
          <w:rFonts w:hint="eastAsia" w:ascii="宋体" w:hAnsi="宋体"/>
          <w:color w:val="000000"/>
          <w:highlight w:val="none"/>
        </w:rPr>
        <w:t>2</w:t>
      </w:r>
      <w:r>
        <w:rPr>
          <w:rFonts w:ascii="宋体" w:hAnsi="宋体"/>
          <w:color w:val="000000"/>
          <w:highlight w:val="none"/>
        </w:rPr>
        <w:t>6.</w:t>
      </w:r>
      <w:r>
        <w:rPr>
          <w:rFonts w:hint="eastAsia" w:ascii="宋体" w:hAnsi="宋体"/>
          <w:color w:val="000000"/>
          <w:highlight w:val="none"/>
        </w:rPr>
        <w:t>4</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14:paraId="78B2B269">
      <w:pPr>
        <w:spacing w:line="360" w:lineRule="auto"/>
        <w:ind w:firstLine="420" w:firstLineChars="200"/>
        <w:rPr>
          <w:rFonts w:hint="eastAsia" w:hAnsi="宋体"/>
          <w:color w:val="000000"/>
          <w:highlight w:val="none"/>
        </w:rPr>
      </w:pPr>
      <w:r>
        <w:rPr>
          <w:rFonts w:hint="eastAsia" w:hAnsi="宋体"/>
          <w:color w:val="000000"/>
          <w:highlight w:val="none"/>
        </w:rPr>
        <w:t xml:space="preserve">（1）电子交易平台发生故障而无法登录访问的； </w:t>
      </w:r>
    </w:p>
    <w:p w14:paraId="17DA7EC4">
      <w:pPr>
        <w:spacing w:line="360" w:lineRule="auto"/>
        <w:ind w:firstLine="420" w:firstLineChars="200"/>
        <w:rPr>
          <w:rFonts w:hint="eastAsia" w:hAnsi="宋体"/>
          <w:color w:val="000000"/>
          <w:highlight w:val="none"/>
        </w:rPr>
      </w:pPr>
      <w:r>
        <w:rPr>
          <w:rFonts w:hint="eastAsia" w:hAnsi="宋体"/>
          <w:color w:val="000000"/>
          <w:highlight w:val="none"/>
        </w:rPr>
        <w:t>（2）电子交易平台应用或数据库出现错误，不能进行正常操作的；</w:t>
      </w:r>
    </w:p>
    <w:p w14:paraId="56DE517C">
      <w:pPr>
        <w:spacing w:line="360" w:lineRule="auto"/>
        <w:ind w:firstLine="420" w:firstLineChars="200"/>
        <w:rPr>
          <w:rFonts w:hint="eastAsia" w:hAnsi="宋体"/>
          <w:color w:val="000000"/>
          <w:highlight w:val="none"/>
        </w:rPr>
      </w:pPr>
      <w:r>
        <w:rPr>
          <w:rFonts w:hint="eastAsia" w:hAnsi="宋体"/>
          <w:color w:val="000000"/>
          <w:highlight w:val="none"/>
        </w:rPr>
        <w:t>（3）电子交易平台发现严重安全漏洞，有潜在泄密危险的；</w:t>
      </w:r>
    </w:p>
    <w:p w14:paraId="2ADC86B4">
      <w:pPr>
        <w:spacing w:line="360" w:lineRule="auto"/>
        <w:ind w:firstLine="420" w:firstLineChars="200"/>
        <w:rPr>
          <w:rFonts w:hint="eastAsia" w:hAnsi="宋体"/>
          <w:color w:val="000000"/>
          <w:highlight w:val="none"/>
        </w:rPr>
      </w:pPr>
      <w:r>
        <w:rPr>
          <w:rFonts w:hint="eastAsia" w:hAnsi="宋体"/>
          <w:color w:val="000000"/>
          <w:highlight w:val="none"/>
        </w:rPr>
        <w:t xml:space="preserve">（4）病毒发作导致不能进行正常操作的； </w:t>
      </w:r>
    </w:p>
    <w:p w14:paraId="2D76BCE3">
      <w:pPr>
        <w:spacing w:line="360" w:lineRule="auto"/>
        <w:ind w:firstLine="420" w:firstLineChars="200"/>
        <w:rPr>
          <w:rFonts w:hint="eastAsia" w:hAnsi="宋体"/>
          <w:color w:val="000000"/>
          <w:highlight w:val="none"/>
        </w:rPr>
      </w:pPr>
      <w:r>
        <w:rPr>
          <w:rFonts w:hint="eastAsia" w:hAnsi="宋体"/>
          <w:color w:val="000000"/>
          <w:highlight w:val="none"/>
        </w:rPr>
        <w:t>（5）其他无法保证电子交易的公平、公正和安全的情况。</w:t>
      </w:r>
    </w:p>
    <w:p w14:paraId="5FA748B3">
      <w:pPr>
        <w:spacing w:line="360" w:lineRule="auto"/>
        <w:ind w:firstLine="420" w:firstLineChars="200"/>
        <w:rPr>
          <w:rFonts w:hint="eastAsia" w:hAnsi="宋体"/>
          <w:color w:val="000000"/>
          <w:highlight w:val="none"/>
        </w:rPr>
      </w:pPr>
      <w:r>
        <w:rPr>
          <w:rFonts w:hint="eastAsia" w:ascii="宋体" w:hAnsi="宋体"/>
          <w:color w:val="000000"/>
          <w:highlight w:val="none"/>
        </w:rPr>
        <w:t>26.</w:t>
      </w:r>
      <w:r>
        <w:rPr>
          <w:rFonts w:ascii="宋体" w:hAnsi="宋体"/>
          <w:color w:val="000000"/>
          <w:highlight w:val="none"/>
        </w:rPr>
        <w:t>5</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57A52AE">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27</w:t>
      </w:r>
      <w:r>
        <w:rPr>
          <w:rFonts w:hint="eastAsia" w:ascii="黑体" w:hAnsi="黑体" w:eastAsia="黑体" w:cs="宋体"/>
          <w:b/>
          <w:bCs/>
          <w:color w:val="000000"/>
          <w:sz w:val="24"/>
          <w:highlight w:val="none"/>
        </w:rPr>
        <w:t>.确定成交供应商及结果公告</w:t>
      </w:r>
    </w:p>
    <w:p w14:paraId="32030E0B">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27</w:t>
      </w:r>
      <w:r>
        <w:rPr>
          <w:rFonts w:hint="eastAsia" w:ascii="宋体" w:hAnsi="宋体" w:cs="宋体"/>
          <w:color w:val="000000"/>
          <w:szCs w:val="21"/>
          <w:highlight w:val="none"/>
        </w:rPr>
        <w:t>.1</w:t>
      </w:r>
      <w:r>
        <w:rPr>
          <w:rFonts w:hint="eastAsia" w:ascii="宋体" w:hAnsi="宋体" w:cs="宋体"/>
          <w:color w:val="000000"/>
          <w:kern w:val="0"/>
          <w:szCs w:val="21"/>
          <w:highlight w:val="none"/>
        </w:rPr>
        <w:t xml:space="preserve"> 采购</w:t>
      </w:r>
      <w:r>
        <w:rPr>
          <w:rFonts w:hint="eastAsia" w:ascii="宋体" w:hAnsi="宋体" w:cs="宋体"/>
          <w:color w:val="000000"/>
          <w:szCs w:val="21"/>
          <w:highlight w:val="none"/>
        </w:rPr>
        <w:t>代理</w:t>
      </w:r>
      <w:r>
        <w:rPr>
          <w:rFonts w:hint="eastAsia" w:ascii="宋体" w:hAnsi="宋体" w:cs="宋体"/>
          <w:color w:val="000000"/>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76E6AF7B">
      <w:pPr>
        <w:pStyle w:val="13"/>
        <w:spacing w:line="360" w:lineRule="auto"/>
        <w:ind w:firstLine="420" w:firstLineChars="200"/>
        <w:rPr>
          <w:rFonts w:ascii="宋体" w:hAnsi="宋体" w:cs="宋体"/>
          <w:color w:val="000000"/>
          <w:kern w:val="0"/>
          <w:szCs w:val="21"/>
          <w:highlight w:val="none"/>
        </w:rPr>
      </w:pPr>
      <w:r>
        <w:rPr>
          <w:rFonts w:ascii="宋体" w:hAnsi="宋体" w:cs="宋体"/>
          <w:color w:val="000000"/>
          <w:kern w:val="0"/>
          <w:szCs w:val="21"/>
          <w:highlight w:val="none"/>
        </w:rPr>
        <w:t>27</w:t>
      </w:r>
      <w:r>
        <w:rPr>
          <w:rFonts w:hint="eastAsia" w:ascii="宋体" w:hAnsi="宋体" w:cs="宋体"/>
          <w:color w:val="000000"/>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000000"/>
          <w:szCs w:val="21"/>
          <w:highlight w:val="none"/>
        </w:rPr>
        <w:t>成交供应商享受《政府采购促进中小企业发展管理办法》（财库〔2020〕46号）规定的中小企业扶持政策的，采购人、采购代理机构应当随成交结果公开成交供应商的《中小企业声明函》。</w:t>
      </w:r>
    </w:p>
    <w:p w14:paraId="695CC085">
      <w:pPr>
        <w:pStyle w:val="13"/>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27.3出现下列情形之一的，采购人或者采购代理机构应当终止竞争性谈判采购活动，发布项目终止公告并说明原因，重新开展采购活动：</w:t>
      </w:r>
    </w:p>
    <w:p w14:paraId="4894D170">
      <w:pPr>
        <w:pStyle w:val="13"/>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（1）因情况变化，不再符合规定的竞争性谈判采购方式适用情形的；</w:t>
      </w:r>
    </w:p>
    <w:p w14:paraId="7E45BD89">
      <w:pPr>
        <w:pStyle w:val="13"/>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（2）出现影响采购公正的违法、违规行为的；</w:t>
      </w:r>
    </w:p>
    <w:p w14:paraId="48121EBC">
      <w:pPr>
        <w:pStyle w:val="13"/>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（3）在采购过程中符合竞争要求的供应商或者报价未超过采购预算的供应商不足3家的，但“第四章 评审程序和评定成交的标准”第3.7条规定的情形除外。</w:t>
      </w:r>
    </w:p>
    <w:p w14:paraId="3DAEFB4E">
      <w:pPr>
        <w:pStyle w:val="13"/>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012CBF8B">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28</w:t>
      </w:r>
      <w:r>
        <w:rPr>
          <w:rFonts w:hint="eastAsia" w:ascii="黑体" w:hAnsi="黑体" w:eastAsia="黑体" w:cs="宋体"/>
          <w:b/>
          <w:bCs/>
          <w:color w:val="000000"/>
          <w:sz w:val="24"/>
          <w:highlight w:val="none"/>
        </w:rPr>
        <w:t>.履约保证金</w:t>
      </w:r>
    </w:p>
    <w:p w14:paraId="61C056E9">
      <w:pPr>
        <w:pStyle w:val="13"/>
        <w:spacing w:line="360" w:lineRule="auto"/>
        <w:ind w:firstLine="420" w:firstLineChars="200"/>
        <w:rPr>
          <w:rFonts w:hint="eastAsia"/>
          <w:color w:val="000000"/>
          <w:highlight w:val="none"/>
        </w:rPr>
      </w:pPr>
      <w:r>
        <w:rPr>
          <w:rFonts w:ascii="宋体" w:hAnsi="宋体" w:cs="宋体"/>
          <w:color w:val="000000"/>
          <w:szCs w:val="21"/>
          <w:highlight w:val="none"/>
        </w:rPr>
        <w:t>28</w:t>
      </w:r>
      <w:r>
        <w:rPr>
          <w:rFonts w:hint="eastAsia" w:ascii="宋体" w:hAnsi="宋体" w:cs="宋体"/>
          <w:color w:val="000000"/>
          <w:szCs w:val="21"/>
          <w:highlight w:val="none"/>
        </w:rPr>
        <w:t>.1履约保证金的金额、提交方式、退付的时间和条件详见 “供应商须知前附表”。成交供应商未按规定提交履约保证金的，视为拒绝</w:t>
      </w:r>
      <w:r>
        <w:rPr>
          <w:color w:val="000000"/>
          <w:highlight w:val="none"/>
        </w:rPr>
        <w:t>与采购人</w:t>
      </w:r>
      <w:r>
        <w:rPr>
          <w:rFonts w:hint="eastAsia" w:ascii="宋体" w:hAnsi="宋体" w:cs="宋体"/>
          <w:color w:val="000000"/>
          <w:szCs w:val="21"/>
          <w:highlight w:val="none"/>
        </w:rPr>
        <w:t>签订合同。</w:t>
      </w:r>
    </w:p>
    <w:p w14:paraId="3B2EA41E">
      <w:pPr>
        <w:spacing w:line="360" w:lineRule="auto"/>
        <w:ind w:firstLine="424" w:firstLineChars="202"/>
        <w:rPr>
          <w:rFonts w:hint="eastAsia" w:ascii="宋体" w:hAnsi="宋体" w:cs="宋体"/>
          <w:color w:val="000000"/>
          <w:szCs w:val="21"/>
          <w:highlight w:val="none"/>
        </w:rPr>
      </w:pPr>
      <w:r>
        <w:rPr>
          <w:rFonts w:ascii="宋体" w:hAnsi="宋体" w:cs="宋体"/>
          <w:color w:val="000000"/>
          <w:szCs w:val="21"/>
          <w:highlight w:val="none"/>
        </w:rPr>
        <w:t>28</w:t>
      </w:r>
      <w:r>
        <w:rPr>
          <w:rFonts w:hint="eastAsia" w:ascii="宋体" w:hAnsi="宋体" w:cs="宋体"/>
          <w:color w:val="000000"/>
          <w:szCs w:val="21"/>
          <w:highlight w:val="none"/>
        </w:rPr>
        <w:t>.2在履约保证金退还日期前，若成交供应商的开户名称、开户银行、帐号有变动的，请以书面形式通知履约保证金收取单位，否则由此产生的后果由成交供应商自负。</w:t>
      </w:r>
    </w:p>
    <w:p w14:paraId="20A6FA0C">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29</w:t>
      </w:r>
      <w:r>
        <w:rPr>
          <w:rFonts w:hint="eastAsia" w:ascii="黑体" w:hAnsi="黑体" w:eastAsia="黑体" w:cs="宋体"/>
          <w:b/>
          <w:bCs/>
          <w:color w:val="000000"/>
          <w:sz w:val="24"/>
          <w:highlight w:val="none"/>
        </w:rPr>
        <w:t>.签订合同</w:t>
      </w:r>
    </w:p>
    <w:p w14:paraId="505FC73D">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29.1签订电子采购合同：成交供应商领取电子成交通知书后，在</w:t>
      </w:r>
      <w:r>
        <w:rPr>
          <w:rFonts w:hint="eastAsia" w:ascii="宋体" w:hAnsi="宋体" w:cs="宋体"/>
          <w:color w:val="000000"/>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3113E80">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线下签订纸质合同：供应商领取成交通知书后，按“供应商须知前附表”规定向采购人出示相关证明材料，经采购人核验合格后方可签订合同。</w:t>
      </w:r>
    </w:p>
    <w:p w14:paraId="6272283B">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29.2签订合同时间：按成交通知书规定的时间与采购人签订合同。</w:t>
      </w:r>
    </w:p>
    <w:p w14:paraId="7CA461A3">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w:t>
      </w:r>
      <w:r>
        <w:rPr>
          <w:rFonts w:ascii="宋体" w:hAnsi="宋体" w:cs="宋体"/>
          <w:color w:val="000000"/>
          <w:szCs w:val="21"/>
          <w:highlight w:val="none"/>
        </w:rPr>
        <w:t>3</w:t>
      </w:r>
      <w:r>
        <w:rPr>
          <w:rFonts w:hint="eastAsia" w:ascii="宋体" w:hAnsi="宋体" w:cs="宋体"/>
          <w:color w:val="000000"/>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CB0D46">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2367BA9">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4EDDB40F">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29.6如签订合同并生效后，供应商无故拒绝或延期，除按照合同条款处理外，将承担相应的法律责任。</w:t>
      </w:r>
    </w:p>
    <w:p w14:paraId="255ADF94">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71D1FEE">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30</w:t>
      </w:r>
      <w:r>
        <w:rPr>
          <w:rFonts w:hint="eastAsia" w:ascii="黑体" w:hAnsi="黑体" w:eastAsia="黑体" w:cs="宋体"/>
          <w:b/>
          <w:bCs/>
          <w:color w:val="000000"/>
          <w:sz w:val="24"/>
          <w:highlight w:val="none"/>
        </w:rPr>
        <w:t>.政府采购合同公告</w:t>
      </w:r>
    </w:p>
    <w:p w14:paraId="22001C1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2D54A2">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31</w:t>
      </w:r>
      <w:r>
        <w:rPr>
          <w:rFonts w:hint="eastAsia" w:ascii="黑体" w:hAnsi="黑体" w:eastAsia="黑体" w:cs="宋体"/>
          <w:b/>
          <w:bCs/>
          <w:color w:val="000000"/>
          <w:sz w:val="24"/>
          <w:highlight w:val="none"/>
        </w:rPr>
        <w:t>. 询问、质疑和投诉</w:t>
      </w:r>
    </w:p>
    <w:p w14:paraId="3258DE50">
      <w:pPr>
        <w:pStyle w:val="9"/>
        <w:spacing w:after="120" w:line="360" w:lineRule="auto"/>
        <w:rPr>
          <w:rFonts w:hint="eastAsia" w:ascii="宋体" w:hAnsi="宋体"/>
          <w:color w:val="000000"/>
          <w:szCs w:val="21"/>
          <w:highlight w:val="none"/>
        </w:rPr>
      </w:pPr>
      <w:r>
        <w:rPr>
          <w:rFonts w:ascii="宋体" w:hAnsi="宋体" w:cs="宋体"/>
          <w:color w:val="000000"/>
          <w:highlight w:val="none"/>
        </w:rPr>
        <w:t>31</w:t>
      </w:r>
      <w:r>
        <w:rPr>
          <w:rFonts w:hint="eastAsia" w:ascii="宋体" w:hAnsi="宋体" w:cs="宋体"/>
          <w:color w:val="000000"/>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szCs w:val="21"/>
          <w:highlight w:val="none"/>
        </w:rPr>
        <w:t>但答复的内容不得涉及商业秘密。</w:t>
      </w:r>
    </w:p>
    <w:p w14:paraId="5EB1EBF4">
      <w:pPr>
        <w:spacing w:line="360" w:lineRule="auto"/>
        <w:ind w:firstLine="420" w:firstLineChars="200"/>
        <w:rPr>
          <w:rFonts w:hint="eastAsia" w:ascii="宋体" w:hAnsi="宋体" w:cs="宋体"/>
          <w:color w:val="000000"/>
          <w:highlight w:val="none"/>
        </w:rPr>
      </w:pPr>
      <w:r>
        <w:rPr>
          <w:rFonts w:ascii="宋体" w:hAnsi="宋体" w:cs="宋体"/>
          <w:color w:val="000000"/>
          <w:highlight w:val="none"/>
        </w:rPr>
        <w:t>31</w:t>
      </w:r>
      <w:r>
        <w:rPr>
          <w:rFonts w:hint="eastAsia" w:ascii="宋体" w:hAnsi="宋体" w:cs="宋体"/>
          <w:color w:val="000000"/>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000000"/>
          <w:highlight w:val="none"/>
        </w:rPr>
        <w:t>接收质疑函的方式、联系部门、联系电话和通讯地址等信息</w:t>
      </w:r>
      <w:r>
        <w:rPr>
          <w:rFonts w:hint="eastAsia" w:ascii="宋体" w:hAnsi="宋体" w:cs="宋体"/>
          <w:color w:val="000000"/>
          <w:szCs w:val="21"/>
          <w:highlight w:val="none"/>
        </w:rPr>
        <w:t>详见“供应商须知前附表”</w:t>
      </w:r>
      <w:r>
        <w:rPr>
          <w:rFonts w:hint="eastAsia" w:ascii="宋体" w:hAnsi="宋体" w:cs="宋体"/>
          <w:color w:val="000000"/>
          <w:highlight w:val="none"/>
        </w:rPr>
        <w:t>。具体质疑起算时间如下：</w:t>
      </w:r>
    </w:p>
    <w:p w14:paraId="2C9193F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（1）对可以质疑的谈判文件提出质疑的，为获取谈判文件之日；</w:t>
      </w:r>
    </w:p>
    <w:p w14:paraId="1269B98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（2）对采购过程提出质疑的，为各采购程序环节结束之日；</w:t>
      </w:r>
    </w:p>
    <w:p w14:paraId="3640398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（3）对成交结果提出质疑的，为成交结果公告期限届满之日。</w:t>
      </w:r>
    </w:p>
    <w:p w14:paraId="560A06E6">
      <w:pPr>
        <w:spacing w:line="360" w:lineRule="auto"/>
        <w:ind w:firstLine="420" w:firstLineChars="200"/>
        <w:rPr>
          <w:rFonts w:hint="eastAsia" w:ascii="宋体" w:hAnsi="宋体" w:cs="宋体"/>
          <w:color w:val="000000"/>
          <w:highlight w:val="none"/>
        </w:rPr>
      </w:pPr>
      <w:r>
        <w:rPr>
          <w:rFonts w:ascii="宋体" w:hAnsi="宋体" w:cs="宋体"/>
          <w:color w:val="000000"/>
          <w:highlight w:val="none"/>
        </w:rPr>
        <w:t>31</w:t>
      </w:r>
      <w:r>
        <w:rPr>
          <w:rFonts w:hint="eastAsia" w:ascii="宋体" w:hAnsi="宋体" w:cs="宋体"/>
          <w:color w:val="000000"/>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1C4CCB0">
      <w:pPr>
        <w:spacing w:line="360" w:lineRule="auto"/>
        <w:ind w:firstLine="420" w:firstLineChars="200"/>
        <w:rPr>
          <w:rFonts w:hint="eastAsia" w:ascii="宋体" w:hAnsi="宋体" w:cs="宋体"/>
          <w:color w:val="000000"/>
          <w:highlight w:val="none"/>
        </w:rPr>
      </w:pPr>
      <w:r>
        <w:rPr>
          <w:rFonts w:ascii="宋体" w:hAnsi="宋体" w:cs="宋体"/>
          <w:color w:val="000000"/>
          <w:highlight w:val="none"/>
        </w:rPr>
        <w:t>31</w:t>
      </w:r>
      <w:r>
        <w:rPr>
          <w:rFonts w:hint="eastAsia" w:ascii="宋体" w:hAnsi="宋体" w:cs="宋体"/>
          <w:color w:val="000000"/>
          <w:highlight w:val="none"/>
        </w:rPr>
        <w:t>.4供应商提出质疑应当提交质疑函和必要的证明材料，针对同一采购程序环节的质疑必须在法定质疑期内一次性提出。质疑函应当包括下列内容</w:t>
      </w:r>
      <w:r>
        <w:rPr>
          <w:rFonts w:hint="eastAsia" w:hAnsi="宋体"/>
          <w:bCs/>
          <w:color w:val="000000"/>
          <w:highlight w:val="none"/>
        </w:rPr>
        <w:t>（质疑函格式后附）</w:t>
      </w:r>
      <w:r>
        <w:rPr>
          <w:rFonts w:hint="eastAsia" w:ascii="宋体" w:hAnsi="宋体" w:cs="宋体"/>
          <w:color w:val="000000"/>
          <w:highlight w:val="none"/>
        </w:rPr>
        <w:t>：</w:t>
      </w:r>
    </w:p>
    <w:p w14:paraId="196F5A9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（1）供应商的姓名或者名称、地址、邮编、联系人及联系电话；</w:t>
      </w:r>
    </w:p>
    <w:p w14:paraId="684D0ED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（2）质疑项目的名称、编号；</w:t>
      </w:r>
    </w:p>
    <w:p w14:paraId="12ECC0B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（3）具体、明确的质疑事项和与质疑事项相关的请求；</w:t>
      </w:r>
    </w:p>
    <w:p w14:paraId="4504B77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（4）事实依据；</w:t>
      </w:r>
    </w:p>
    <w:p w14:paraId="652FB89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（5）必要的法律依据；</w:t>
      </w:r>
    </w:p>
    <w:p w14:paraId="18FB17D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（6）提出质疑的日期。</w:t>
      </w:r>
    </w:p>
    <w:p w14:paraId="69194607">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供应商为自然人的，应当由本人签字；供应商为法人或者其他组织的，应当由法定代表人、主要负责人，或者其委托代理人签字或者盖章，并加盖公章。</w:t>
      </w:r>
    </w:p>
    <w:p w14:paraId="3C7071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1.5</w:t>
      </w:r>
      <w:r>
        <w:rPr>
          <w:rFonts w:hint="eastAsia" w:ascii="宋体" w:hAnsi="宋体" w:cs="宋体"/>
          <w:color w:val="000000"/>
          <w:highlight w:val="none"/>
        </w:rPr>
        <w:t>采购人、采购代理机构认为供应商质疑不成立，或者成立但未对成交结果构成影响的，继续开展采购活动；认为供应商质疑成立且影响或者可能影响成交结果的，按照下列情况处理：</w:t>
      </w:r>
    </w:p>
    <w:p w14:paraId="789A443A">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（一）对采购文件提出的质疑，依法通过澄清或者修改可以继续开展采购活动的，澄清或者修改采购文件后继续开展采购活动；否则应当修改采购文件后重新开展采购活动。</w:t>
      </w:r>
    </w:p>
    <w:p w14:paraId="502D3401">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（二）对采购过程或者成交结果提出的质疑，合格供应商符合法定数量时，可以从合格的成交候选人中另行确定成交供应商的，应当依法另行确定成交供应商；否则应当重新开展采购活动。</w:t>
      </w:r>
    </w:p>
    <w:p w14:paraId="1896744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质疑答复导致成交结果改变的，采购人或者采购代理机构应当将有关情况书面报告本级财政部门。</w:t>
      </w:r>
    </w:p>
    <w:p w14:paraId="45FBD53D">
      <w:pPr>
        <w:spacing w:line="360" w:lineRule="auto"/>
        <w:ind w:firstLine="420" w:firstLineChars="200"/>
        <w:rPr>
          <w:rFonts w:ascii="宋体" w:hAnsi="宋体" w:cs="宋体"/>
          <w:b/>
          <w:bCs/>
          <w:color w:val="000000"/>
          <w:szCs w:val="21"/>
          <w:highlight w:val="none"/>
        </w:rPr>
      </w:pPr>
      <w:r>
        <w:rPr>
          <w:rFonts w:ascii="宋体" w:hAnsi="宋体" w:cs="宋体"/>
          <w:color w:val="000000"/>
          <w:highlight w:val="none"/>
        </w:rPr>
        <w:t>31</w:t>
      </w: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3EB70B">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3</w:t>
      </w:r>
      <w:r>
        <w:rPr>
          <w:rFonts w:ascii="黑体" w:hAnsi="黑体" w:eastAsia="黑体" w:cs="宋体"/>
          <w:b/>
          <w:bCs/>
          <w:color w:val="000000"/>
          <w:sz w:val="24"/>
          <w:highlight w:val="none"/>
        </w:rPr>
        <w:t>2.</w:t>
      </w:r>
      <w:r>
        <w:rPr>
          <w:rFonts w:hint="eastAsia" w:ascii="黑体" w:hAnsi="黑体" w:eastAsia="黑体" w:cs="宋体"/>
          <w:b/>
          <w:bCs/>
          <w:color w:val="000000"/>
          <w:sz w:val="24"/>
          <w:highlight w:val="none"/>
        </w:rPr>
        <w:t>其他内容</w:t>
      </w:r>
    </w:p>
    <w:p w14:paraId="20D403C6">
      <w:pPr>
        <w:tabs>
          <w:tab w:val="left" w:pos="2835"/>
        </w:tabs>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32</w:t>
      </w:r>
      <w:r>
        <w:rPr>
          <w:rFonts w:hint="eastAsia" w:ascii="宋体" w:hAnsi="宋体" w:cs="宋体"/>
          <w:color w:val="000000"/>
          <w:szCs w:val="21"/>
          <w:highlight w:val="none"/>
        </w:rPr>
        <w:t>.1代理服务收取标准详见“供应商须知前附表”，供应商为联合体的，可以由联合体中的一方或者多方共同交纳代理服务费：</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1707"/>
        <w:gridCol w:w="1735"/>
        <w:gridCol w:w="1706"/>
      </w:tblGrid>
      <w:tr w14:paraId="458C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tcBorders>
              <w:tl2br w:val="single" w:color="auto" w:sz="4" w:space="0"/>
            </w:tcBorders>
            <w:noWrap w:val="0"/>
            <w:vAlign w:val="top"/>
          </w:tcPr>
          <w:p w14:paraId="0DAEAFE0">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费率</w:t>
            </w:r>
          </w:p>
          <w:p w14:paraId="6AFD4DD2">
            <w:pPr>
              <w:spacing w:line="360" w:lineRule="auto"/>
              <w:ind w:left="0" w:leftChars="0" w:firstLine="630" w:firstLineChars="30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金额</w:t>
            </w:r>
          </w:p>
        </w:tc>
        <w:tc>
          <w:tcPr>
            <w:tcW w:w="979" w:type="pct"/>
            <w:noWrap w:val="0"/>
            <w:vAlign w:val="center"/>
          </w:tcPr>
          <w:p w14:paraId="08505844">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货物招标</w:t>
            </w:r>
          </w:p>
        </w:tc>
        <w:tc>
          <w:tcPr>
            <w:tcW w:w="995" w:type="pct"/>
            <w:noWrap w:val="0"/>
            <w:vAlign w:val="center"/>
          </w:tcPr>
          <w:p w14:paraId="45D1811C">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服务招标</w:t>
            </w:r>
          </w:p>
        </w:tc>
        <w:tc>
          <w:tcPr>
            <w:tcW w:w="979" w:type="pct"/>
            <w:noWrap w:val="0"/>
            <w:vAlign w:val="center"/>
          </w:tcPr>
          <w:p w14:paraId="0D29C7BC">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工程招标</w:t>
            </w:r>
          </w:p>
        </w:tc>
      </w:tr>
      <w:tr w14:paraId="7481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pct"/>
            <w:noWrap w:val="0"/>
            <w:vAlign w:val="top"/>
          </w:tcPr>
          <w:p w14:paraId="129C13DF">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100万元以下</w:t>
            </w:r>
          </w:p>
        </w:tc>
        <w:tc>
          <w:tcPr>
            <w:tcW w:w="979" w:type="pct"/>
            <w:noWrap w:val="0"/>
            <w:vAlign w:val="top"/>
          </w:tcPr>
          <w:p w14:paraId="35AD2774">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1.5%</w:t>
            </w:r>
          </w:p>
        </w:tc>
        <w:tc>
          <w:tcPr>
            <w:tcW w:w="995" w:type="pct"/>
            <w:noWrap w:val="0"/>
            <w:vAlign w:val="top"/>
          </w:tcPr>
          <w:p w14:paraId="00F3584B">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1.5%</w:t>
            </w:r>
          </w:p>
        </w:tc>
        <w:tc>
          <w:tcPr>
            <w:tcW w:w="979" w:type="pct"/>
            <w:noWrap w:val="0"/>
            <w:vAlign w:val="top"/>
          </w:tcPr>
          <w:p w14:paraId="3C5BDC85">
            <w:pPr>
              <w:spacing w:line="360" w:lineRule="auto"/>
              <w:ind w:left="0" w:leftChars="0" w:firstLine="0" w:firstLineChars="0"/>
              <w:jc w:val="center"/>
              <w:rPr>
                <w:rFonts w:hint="eastAsia" w:ascii="宋体" w:hAnsi="宋体" w:cs="宋体"/>
                <w:color w:val="000000"/>
                <w:kern w:val="0"/>
                <w:szCs w:val="21"/>
                <w:highlight w:val="none"/>
              </w:rPr>
            </w:pPr>
            <w:r>
              <w:rPr>
                <w:rFonts w:ascii="宋体" w:hAnsi="宋体" w:cs="宋体"/>
                <w:color w:val="000000"/>
                <w:kern w:val="0"/>
                <w:szCs w:val="21"/>
                <w:highlight w:val="none"/>
              </w:rPr>
              <w:t>1.0%</w:t>
            </w:r>
          </w:p>
        </w:tc>
      </w:tr>
      <w:tr w14:paraId="4430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5179C90B">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100～500万元</w:t>
            </w:r>
          </w:p>
        </w:tc>
        <w:tc>
          <w:tcPr>
            <w:tcW w:w="979" w:type="pct"/>
            <w:noWrap w:val="0"/>
            <w:vAlign w:val="top"/>
          </w:tcPr>
          <w:p w14:paraId="1F2A586B">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1.1%</w:t>
            </w:r>
          </w:p>
        </w:tc>
        <w:tc>
          <w:tcPr>
            <w:tcW w:w="995" w:type="pct"/>
            <w:noWrap w:val="0"/>
            <w:vAlign w:val="top"/>
          </w:tcPr>
          <w:p w14:paraId="6AC16996">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0.8%</w:t>
            </w:r>
          </w:p>
        </w:tc>
        <w:tc>
          <w:tcPr>
            <w:tcW w:w="979" w:type="pct"/>
            <w:noWrap w:val="0"/>
            <w:vAlign w:val="top"/>
          </w:tcPr>
          <w:p w14:paraId="5AB56384">
            <w:pPr>
              <w:spacing w:line="360" w:lineRule="auto"/>
              <w:ind w:left="0" w:leftChars="0" w:firstLine="0" w:firstLineChars="0"/>
              <w:jc w:val="center"/>
              <w:rPr>
                <w:rFonts w:hint="eastAsia" w:ascii="宋体" w:hAnsi="宋体" w:cs="宋体"/>
                <w:color w:val="000000"/>
                <w:kern w:val="0"/>
                <w:szCs w:val="21"/>
                <w:highlight w:val="none"/>
              </w:rPr>
            </w:pPr>
            <w:r>
              <w:rPr>
                <w:rFonts w:ascii="宋体" w:hAnsi="宋体" w:cs="宋体"/>
                <w:color w:val="000000"/>
                <w:kern w:val="0"/>
                <w:szCs w:val="21"/>
                <w:highlight w:val="none"/>
              </w:rPr>
              <w:t>0.7%</w:t>
            </w:r>
          </w:p>
        </w:tc>
      </w:tr>
      <w:tr w14:paraId="7179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4D09E6C6">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500～1000万元</w:t>
            </w:r>
          </w:p>
        </w:tc>
        <w:tc>
          <w:tcPr>
            <w:tcW w:w="979" w:type="pct"/>
            <w:noWrap w:val="0"/>
            <w:vAlign w:val="top"/>
          </w:tcPr>
          <w:p w14:paraId="0F80D0EB">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0.8%</w:t>
            </w:r>
          </w:p>
        </w:tc>
        <w:tc>
          <w:tcPr>
            <w:tcW w:w="995" w:type="pct"/>
            <w:noWrap w:val="0"/>
            <w:vAlign w:val="top"/>
          </w:tcPr>
          <w:p w14:paraId="383B9325">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0.45%</w:t>
            </w:r>
          </w:p>
        </w:tc>
        <w:tc>
          <w:tcPr>
            <w:tcW w:w="979" w:type="pct"/>
            <w:noWrap w:val="0"/>
            <w:vAlign w:val="top"/>
          </w:tcPr>
          <w:p w14:paraId="10814CA3">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0.55%</w:t>
            </w:r>
          </w:p>
        </w:tc>
      </w:tr>
      <w:tr w14:paraId="09EF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314D7C5E">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1000～5000万元</w:t>
            </w:r>
          </w:p>
        </w:tc>
        <w:tc>
          <w:tcPr>
            <w:tcW w:w="979" w:type="pct"/>
            <w:noWrap w:val="0"/>
            <w:vAlign w:val="top"/>
          </w:tcPr>
          <w:p w14:paraId="16A52FCF">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0.5%</w:t>
            </w:r>
          </w:p>
        </w:tc>
        <w:tc>
          <w:tcPr>
            <w:tcW w:w="995" w:type="pct"/>
            <w:noWrap w:val="0"/>
            <w:vAlign w:val="top"/>
          </w:tcPr>
          <w:p w14:paraId="7522032D">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0.25%</w:t>
            </w:r>
          </w:p>
        </w:tc>
        <w:tc>
          <w:tcPr>
            <w:tcW w:w="979" w:type="pct"/>
            <w:noWrap w:val="0"/>
            <w:vAlign w:val="top"/>
          </w:tcPr>
          <w:p w14:paraId="61C7BA9A">
            <w:pPr>
              <w:spacing w:line="360" w:lineRule="auto"/>
              <w:ind w:left="0" w:leftChars="0" w:firstLine="0" w:firstLineChars="0"/>
              <w:jc w:val="center"/>
              <w:rPr>
                <w:rFonts w:hint="eastAsia" w:ascii="宋体" w:hAnsi="宋体" w:cs="宋体"/>
                <w:color w:val="000000"/>
                <w:kern w:val="0"/>
                <w:szCs w:val="21"/>
                <w:highlight w:val="none"/>
              </w:rPr>
            </w:pPr>
            <w:r>
              <w:rPr>
                <w:rFonts w:ascii="宋体" w:hAnsi="宋体" w:cs="宋体"/>
                <w:color w:val="000000"/>
                <w:kern w:val="0"/>
                <w:szCs w:val="21"/>
                <w:highlight w:val="none"/>
              </w:rPr>
              <w:t>0.35%</w:t>
            </w:r>
          </w:p>
        </w:tc>
      </w:tr>
      <w:tr w14:paraId="74ED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2B13640A">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5000万元～1亿元</w:t>
            </w:r>
          </w:p>
        </w:tc>
        <w:tc>
          <w:tcPr>
            <w:tcW w:w="979" w:type="pct"/>
            <w:noWrap w:val="0"/>
            <w:vAlign w:val="top"/>
          </w:tcPr>
          <w:p w14:paraId="6724359A">
            <w:pPr>
              <w:spacing w:line="360" w:lineRule="auto"/>
              <w:ind w:left="0" w:leftChars="0" w:firstLine="0" w:firstLineChars="0"/>
              <w:jc w:val="center"/>
              <w:rPr>
                <w:rFonts w:hint="eastAsia" w:ascii="宋体" w:hAnsi="宋体" w:cs="宋体"/>
                <w:color w:val="000000"/>
                <w:kern w:val="0"/>
                <w:szCs w:val="21"/>
                <w:highlight w:val="none"/>
              </w:rPr>
            </w:pPr>
            <w:r>
              <w:rPr>
                <w:rFonts w:ascii="宋体" w:hAnsi="宋体" w:cs="宋体"/>
                <w:color w:val="000000"/>
                <w:kern w:val="0"/>
                <w:szCs w:val="21"/>
                <w:highlight w:val="none"/>
              </w:rPr>
              <w:t>0.25%</w:t>
            </w:r>
          </w:p>
        </w:tc>
        <w:tc>
          <w:tcPr>
            <w:tcW w:w="995" w:type="pct"/>
            <w:noWrap w:val="0"/>
            <w:vAlign w:val="top"/>
          </w:tcPr>
          <w:p w14:paraId="47C2CB72">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0.1%</w:t>
            </w:r>
          </w:p>
        </w:tc>
        <w:tc>
          <w:tcPr>
            <w:tcW w:w="979" w:type="pct"/>
            <w:noWrap w:val="0"/>
            <w:vAlign w:val="top"/>
          </w:tcPr>
          <w:p w14:paraId="5EDC5D70">
            <w:pPr>
              <w:spacing w:line="360" w:lineRule="auto"/>
              <w:ind w:left="0" w:leftChars="0" w:firstLine="0" w:firstLineChars="0"/>
              <w:jc w:val="center"/>
              <w:rPr>
                <w:rFonts w:ascii="宋体" w:hAnsi="宋体" w:cs="宋体"/>
                <w:color w:val="000000"/>
                <w:kern w:val="0"/>
                <w:szCs w:val="21"/>
                <w:highlight w:val="none"/>
              </w:rPr>
            </w:pPr>
            <w:r>
              <w:rPr>
                <w:rFonts w:ascii="宋体" w:hAnsi="宋体" w:cs="宋体"/>
                <w:color w:val="000000"/>
                <w:kern w:val="0"/>
                <w:szCs w:val="21"/>
                <w:highlight w:val="none"/>
              </w:rPr>
              <w:t>0.2%</w:t>
            </w:r>
          </w:p>
        </w:tc>
      </w:tr>
      <w:tr w14:paraId="71C3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6EE71141">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1～5亿元</w:t>
            </w:r>
          </w:p>
        </w:tc>
        <w:tc>
          <w:tcPr>
            <w:tcW w:w="979" w:type="pct"/>
            <w:noWrap w:val="0"/>
            <w:vAlign w:val="top"/>
          </w:tcPr>
          <w:p w14:paraId="1D78DF27">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0.05%</w:t>
            </w:r>
          </w:p>
        </w:tc>
        <w:tc>
          <w:tcPr>
            <w:tcW w:w="995" w:type="pct"/>
            <w:noWrap w:val="0"/>
            <w:vAlign w:val="top"/>
          </w:tcPr>
          <w:p w14:paraId="55345E88">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0.05%</w:t>
            </w:r>
          </w:p>
        </w:tc>
        <w:tc>
          <w:tcPr>
            <w:tcW w:w="979" w:type="pct"/>
            <w:noWrap w:val="0"/>
            <w:vAlign w:val="top"/>
          </w:tcPr>
          <w:p w14:paraId="3D8FDA5E">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0.05%</w:t>
            </w:r>
          </w:p>
        </w:tc>
      </w:tr>
      <w:tr w14:paraId="67EB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02F8B9FA">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5～10亿元</w:t>
            </w:r>
          </w:p>
        </w:tc>
        <w:tc>
          <w:tcPr>
            <w:tcW w:w="979" w:type="pct"/>
            <w:noWrap w:val="0"/>
            <w:vAlign w:val="top"/>
          </w:tcPr>
          <w:p w14:paraId="3DD39DD5">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0.035%</w:t>
            </w:r>
          </w:p>
        </w:tc>
        <w:tc>
          <w:tcPr>
            <w:tcW w:w="995" w:type="pct"/>
            <w:noWrap w:val="0"/>
            <w:vAlign w:val="top"/>
          </w:tcPr>
          <w:p w14:paraId="083FCF16">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0.035%</w:t>
            </w:r>
          </w:p>
        </w:tc>
        <w:tc>
          <w:tcPr>
            <w:tcW w:w="979" w:type="pct"/>
            <w:noWrap w:val="0"/>
            <w:vAlign w:val="top"/>
          </w:tcPr>
          <w:p w14:paraId="5B174F76">
            <w:pPr>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cs="宋体"/>
                <w:color w:val="000000"/>
                <w:kern w:val="0"/>
                <w:szCs w:val="21"/>
                <w:highlight w:val="none"/>
              </w:rPr>
              <w:t>0.035%</w:t>
            </w:r>
          </w:p>
        </w:tc>
      </w:tr>
      <w:tr w14:paraId="320A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43D70565">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10～50亿元</w:t>
            </w:r>
          </w:p>
        </w:tc>
        <w:tc>
          <w:tcPr>
            <w:tcW w:w="979" w:type="pct"/>
            <w:noWrap w:val="0"/>
            <w:vAlign w:val="top"/>
          </w:tcPr>
          <w:p w14:paraId="593459E2">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0.008%</w:t>
            </w:r>
          </w:p>
        </w:tc>
        <w:tc>
          <w:tcPr>
            <w:tcW w:w="995" w:type="pct"/>
            <w:noWrap w:val="0"/>
            <w:vAlign w:val="top"/>
          </w:tcPr>
          <w:p w14:paraId="0C619DD3">
            <w:pPr>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cs="宋体"/>
                <w:color w:val="000000"/>
                <w:kern w:val="0"/>
                <w:szCs w:val="21"/>
                <w:highlight w:val="none"/>
              </w:rPr>
              <w:t>0.008%</w:t>
            </w:r>
          </w:p>
        </w:tc>
        <w:tc>
          <w:tcPr>
            <w:tcW w:w="979" w:type="pct"/>
            <w:noWrap w:val="0"/>
            <w:vAlign w:val="top"/>
          </w:tcPr>
          <w:p w14:paraId="77E39263">
            <w:pPr>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cs="宋体"/>
                <w:color w:val="000000"/>
                <w:kern w:val="0"/>
                <w:szCs w:val="21"/>
                <w:highlight w:val="none"/>
              </w:rPr>
              <w:t>0.008%</w:t>
            </w:r>
          </w:p>
        </w:tc>
      </w:tr>
      <w:tr w14:paraId="75E2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6D3B2FC8">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50～100亿元</w:t>
            </w:r>
          </w:p>
        </w:tc>
        <w:tc>
          <w:tcPr>
            <w:tcW w:w="979" w:type="pct"/>
            <w:noWrap w:val="0"/>
            <w:vAlign w:val="top"/>
          </w:tcPr>
          <w:p w14:paraId="5EB39445">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0.006%</w:t>
            </w:r>
          </w:p>
        </w:tc>
        <w:tc>
          <w:tcPr>
            <w:tcW w:w="995" w:type="pct"/>
            <w:noWrap w:val="0"/>
            <w:vAlign w:val="top"/>
          </w:tcPr>
          <w:p w14:paraId="324B2C2C">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0.006%</w:t>
            </w:r>
          </w:p>
        </w:tc>
        <w:tc>
          <w:tcPr>
            <w:tcW w:w="979" w:type="pct"/>
            <w:noWrap w:val="0"/>
            <w:vAlign w:val="top"/>
          </w:tcPr>
          <w:p w14:paraId="07B3D53A">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0.006%</w:t>
            </w:r>
          </w:p>
        </w:tc>
      </w:tr>
      <w:tr w14:paraId="4FF7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noWrap w:val="0"/>
            <w:vAlign w:val="top"/>
          </w:tcPr>
          <w:p w14:paraId="34D710F2">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100亿以上</w:t>
            </w:r>
          </w:p>
        </w:tc>
        <w:tc>
          <w:tcPr>
            <w:tcW w:w="979" w:type="pct"/>
            <w:noWrap w:val="0"/>
            <w:vAlign w:val="top"/>
          </w:tcPr>
          <w:p w14:paraId="51A526D8">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0.004%</w:t>
            </w:r>
          </w:p>
        </w:tc>
        <w:tc>
          <w:tcPr>
            <w:tcW w:w="995" w:type="pct"/>
            <w:noWrap w:val="0"/>
            <w:vAlign w:val="top"/>
          </w:tcPr>
          <w:p w14:paraId="28B3ECD0">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0.004%</w:t>
            </w:r>
          </w:p>
        </w:tc>
        <w:tc>
          <w:tcPr>
            <w:tcW w:w="979" w:type="pct"/>
            <w:noWrap w:val="0"/>
            <w:vAlign w:val="top"/>
          </w:tcPr>
          <w:p w14:paraId="3AD58817">
            <w:pPr>
              <w:spacing w:line="360" w:lineRule="auto"/>
              <w:ind w:left="0" w:leftChars="0" w:firstLine="0" w:firstLineChars="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0.004%</w:t>
            </w:r>
          </w:p>
        </w:tc>
      </w:tr>
    </w:tbl>
    <w:p w14:paraId="7959E191">
      <w:pPr>
        <w:spacing w:line="360" w:lineRule="auto"/>
        <w:ind w:firstLine="420" w:firstLineChars="200"/>
        <w:rPr>
          <w:rFonts w:hint="eastAsia" w:hAnsi="宋体" w:cs="宋体"/>
          <w:color w:val="000000"/>
          <w:highlight w:val="none"/>
        </w:rPr>
      </w:pPr>
      <w:r>
        <w:rPr>
          <w:rFonts w:hint="eastAsia" w:ascii="宋体" w:hAnsi="宋体"/>
          <w:color w:val="000000"/>
          <w:szCs w:val="21"/>
          <w:highlight w:val="none"/>
        </w:rPr>
        <w:t>注：招标代理服务收费按差额定率累进法计算。</w:t>
      </w:r>
    </w:p>
    <w:p w14:paraId="50668938">
      <w:pPr>
        <w:spacing w:line="360" w:lineRule="auto"/>
        <w:ind w:firstLine="482" w:firstLineChars="200"/>
        <w:contextualSpacing/>
        <w:rPr>
          <w:rFonts w:ascii="黑体" w:hAnsi="黑体" w:eastAsia="黑体" w:cs="宋体"/>
          <w:b/>
          <w:bCs/>
          <w:color w:val="000000"/>
          <w:sz w:val="24"/>
          <w:highlight w:val="none"/>
        </w:rPr>
      </w:pPr>
      <w:r>
        <w:rPr>
          <w:rFonts w:ascii="黑体" w:hAnsi="黑体" w:eastAsia="黑体" w:cs="宋体"/>
          <w:b/>
          <w:bCs/>
          <w:color w:val="000000"/>
          <w:sz w:val="24"/>
          <w:highlight w:val="none"/>
        </w:rPr>
        <w:t>33. 需要补充的其他内容</w:t>
      </w:r>
    </w:p>
    <w:p w14:paraId="211517D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33.1本谈判文件解释规则详见“供应商须知前附表”。</w:t>
      </w:r>
    </w:p>
    <w:p w14:paraId="39B8AD3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33.2 其他事项详见“供应商须知前附表”。</w:t>
      </w:r>
    </w:p>
    <w:p w14:paraId="1E68244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33.3</w:t>
      </w:r>
      <w:bookmarkStart w:id="17" w:name="_Hlk65857140"/>
      <w:r>
        <w:rPr>
          <w:rFonts w:hint="eastAsia" w:ascii="宋体" w:hAnsi="宋体" w:cs="宋体"/>
          <w:color w:val="000000"/>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45E137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（1）在货物采购项目中，货物由中小企业制造，即货物由中小企业生产且使用该中小企业商号或者注册商标，不对其中涉及的工程承建商和服务的承接商作出要求；</w:t>
      </w:r>
    </w:p>
    <w:p w14:paraId="35B8E80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（2）在工程采购项目中，工程由中小企业承建，即工程施工单位为中小企业，不对其中涉及的货物的制造商和服务的承接商作出要求；</w:t>
      </w:r>
    </w:p>
    <w:p w14:paraId="5513620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087D8E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1469F469">
      <w:pPr>
        <w:ind w:firstLine="420"/>
        <w:rPr>
          <w:rFonts w:ascii="黑体" w:hAnsi="黑体" w:eastAsia="黑体"/>
          <w:b/>
          <w:bCs/>
          <w:color w:val="auto"/>
          <w:sz w:val="30"/>
          <w:szCs w:val="24"/>
          <w:highlight w:val="none"/>
        </w:rPr>
      </w:pPr>
      <w:r>
        <w:rPr>
          <w:rFonts w:hint="eastAsia" w:ascii="宋体" w:hAnsi="宋体" w:cs="宋体"/>
          <w:color w:val="000000"/>
          <w:highlight w:val="none"/>
        </w:rPr>
        <w:t>依据本谈判文件规定享受扶持政策获得政府采购合同的，小微企业不得将合同分包给大中型企业，中型企业不得将合同分包给大型企业。</w:t>
      </w:r>
      <w:bookmarkEnd w:id="17"/>
      <w:r>
        <w:rPr>
          <w:color w:val="auto"/>
          <w:highlight w:val="none"/>
        </w:rPr>
        <w:br w:type="page"/>
      </w:r>
    </w:p>
    <w:p w14:paraId="4EF161CE">
      <w:pPr>
        <w:pStyle w:val="44"/>
        <w:rPr>
          <w:color w:val="auto"/>
          <w:highlight w:val="none"/>
        </w:rPr>
      </w:pPr>
      <w:bookmarkStart w:id="18" w:name="_Toc76480567"/>
      <w:r>
        <w:rPr>
          <w:rFonts w:hint="eastAsia"/>
          <w:color w:val="auto"/>
          <w:highlight w:val="none"/>
        </w:rPr>
        <w:t>第三章 采购需求</w:t>
      </w:r>
      <w:bookmarkEnd w:id="18"/>
    </w:p>
    <w:p w14:paraId="1582DE8F">
      <w:pPr>
        <w:widowControl w:val="0"/>
        <w:ind w:firstLine="0" w:firstLineChars="0"/>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采购项目技术规格、参数及要求</w:t>
      </w:r>
    </w:p>
    <w:p w14:paraId="201C0061">
      <w:pPr>
        <w:pStyle w:val="55"/>
        <w:rPr>
          <w:color w:val="auto"/>
          <w:highlight w:val="none"/>
        </w:rPr>
      </w:pPr>
      <w:r>
        <w:rPr>
          <w:rFonts w:hint="eastAsia"/>
          <w:color w:val="auto"/>
          <w:highlight w:val="none"/>
        </w:rPr>
        <w:t>说明：</w:t>
      </w:r>
    </w:p>
    <w:p w14:paraId="6D370687">
      <w:pPr>
        <w:widowControl w:val="0"/>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为落实政府采购政策需满足的要求</w:t>
      </w:r>
    </w:p>
    <w:p w14:paraId="522E944B">
      <w:pPr>
        <w:widowControl w:val="0"/>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（1）本采购文件所称中小企业必须符合《政府采购促进中小企业发展管理办法》（财库〔2020〕46号）的规定。</w:t>
      </w:r>
    </w:p>
    <w:p w14:paraId="2E22FD32">
      <w:pPr>
        <w:ind w:firstLine="424" w:firstLineChars="202"/>
        <w:rPr>
          <w:rFonts w:hAnsi="宋体" w:cs="宋体"/>
          <w:color w:val="auto"/>
          <w:highlight w:val="none"/>
        </w:rPr>
      </w:pPr>
      <w:r>
        <w:rPr>
          <w:rFonts w:hint="eastAsia"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的所投货物必须使用政府强制采购的节能产品，供应商必须在响应文件（商务及技术文件）中提供所所投产品的节能产品认证证书复印件（加盖供应商电子签章），</w:t>
      </w:r>
      <w:r>
        <w:rPr>
          <w:rFonts w:hint="eastAsia" w:hAnsi="宋体" w:cs="宋体"/>
          <w:b/>
          <w:bCs/>
          <w:color w:val="auto"/>
          <w:highlight w:val="none"/>
        </w:rPr>
        <w:t>按无效响应处理</w:t>
      </w:r>
      <w:r>
        <w:rPr>
          <w:rFonts w:hint="eastAsia" w:hAnsi="宋体" w:cs="宋体"/>
          <w:color w:val="auto"/>
          <w:highlight w:val="none"/>
        </w:rPr>
        <w:t>。如本项目包含的货物属于品目清单内非标注“★”的产品时，应优先采购，具体详见“第四章 评标方法及评标标准”。</w:t>
      </w:r>
    </w:p>
    <w:p w14:paraId="4901FB32">
      <w:pPr>
        <w:widowControl w:val="0"/>
        <w:ind w:firstLine="424" w:firstLineChars="202"/>
        <w:rPr>
          <w:rFonts w:ascii="宋体" w:hAnsi="宋体" w:eastAsia="宋体" w:cs="宋体"/>
          <w:color w:val="auto"/>
          <w:highlight w:val="none"/>
        </w:rPr>
      </w:pPr>
      <w:r>
        <w:rPr>
          <w:rFonts w:hint="eastAsia" w:ascii="宋体" w:hAnsi="宋体" w:eastAsia="宋体" w:cs="宋体"/>
          <w:color w:val="auto"/>
          <w:highlight w:val="none"/>
        </w:rPr>
        <w:t>2.“实质性要求”是指带“▲”的技术参数要求不能负偏离的条款或者已经指明不满足按响应文件按无效处理的条款。</w:t>
      </w:r>
    </w:p>
    <w:p w14:paraId="5C7A551E">
      <w:pPr>
        <w:widowControl w:val="0"/>
        <w:ind w:firstLine="424" w:firstLineChars="202"/>
        <w:rPr>
          <w:rFonts w:ascii="宋体" w:hAnsi="宋体" w:eastAsia="宋体" w:cs="宋体"/>
          <w:color w:val="auto"/>
          <w:highlight w:val="none"/>
        </w:rPr>
      </w:pPr>
      <w:r>
        <w:rPr>
          <w:rFonts w:hint="eastAsia" w:ascii="宋体" w:hAnsi="宋体" w:eastAsia="宋体" w:cs="宋体"/>
          <w:color w:val="auto"/>
          <w:highlight w:val="none"/>
        </w:rPr>
        <w:t>3.采购需求中出现的品牌、型号或者生产厂家仅起参考作用，不属于指定品牌、型号或者生产厂家的情形。供应商可参照或者选用</w:t>
      </w:r>
      <w:r>
        <w:rPr>
          <w:rFonts w:hint="eastAsia" w:ascii="宋体" w:hAnsi="宋体" w:cs="宋体"/>
          <w:color w:val="auto"/>
          <w:highlight w:val="none"/>
        </w:rPr>
        <w:t>其他相当的品牌、型号或者生产厂家替代。</w:t>
      </w:r>
    </w:p>
    <w:p w14:paraId="039BC978">
      <w:pPr>
        <w:widowControl w:val="0"/>
        <w:ind w:firstLine="424" w:firstLineChars="202"/>
        <w:rPr>
          <w:rFonts w:ascii="Times New Roman" w:hAnsi="Times New Roman" w:eastAsia="宋体" w:cs="Times New Roman"/>
          <w:color w:val="auto"/>
          <w:szCs w:val="24"/>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cs="宋体"/>
          <w:color w:val="auto"/>
          <w:highlight w:val="none"/>
        </w:rPr>
        <w:t>供应商应根据自身实际情况如实响应采购文件</w:t>
      </w:r>
      <w:r>
        <w:rPr>
          <w:rFonts w:hint="eastAsia" w:hAnsi="宋体"/>
          <w:color w:val="auto"/>
          <w:highlight w:val="none"/>
        </w:rPr>
        <w:t>，</w:t>
      </w:r>
      <w:r>
        <w:rPr>
          <w:rFonts w:hint="eastAsia" w:hAnsi="宋体"/>
          <w:color w:val="auto"/>
          <w:sz w:val="22"/>
          <w:szCs w:val="22"/>
          <w:highlight w:val="none"/>
        </w:rPr>
        <w:t>对</w:t>
      </w:r>
      <w:r>
        <w:rPr>
          <w:rFonts w:hint="eastAsia" w:hAnsi="宋体" w:cs="宋体"/>
          <w:color w:val="auto"/>
          <w:highlight w:val="none"/>
        </w:rPr>
        <w:t>采购</w:t>
      </w:r>
      <w:r>
        <w:rPr>
          <w:rFonts w:hint="eastAsia" w:hAnsi="宋体"/>
          <w:color w:val="auto"/>
          <w:sz w:val="22"/>
          <w:szCs w:val="22"/>
          <w:highlight w:val="none"/>
        </w:rPr>
        <w:t>文件提出的要求和条件作出明确响应</w:t>
      </w:r>
      <w:r>
        <w:rPr>
          <w:rFonts w:hint="eastAsia" w:hAnsi="宋体"/>
          <w:color w:val="auto"/>
          <w:highlight w:val="none"/>
        </w:rPr>
        <w:t>，</w:t>
      </w:r>
      <w:r>
        <w:rPr>
          <w:rFonts w:hint="eastAsia" w:hAnsi="宋体"/>
          <w:b/>
          <w:bCs/>
          <w:color w:val="auto"/>
          <w:highlight w:val="none"/>
        </w:rPr>
        <w:t>否则将作无效响应处理</w:t>
      </w:r>
      <w:r>
        <w:rPr>
          <w:rFonts w:hint="eastAsia" w:hAnsi="宋体"/>
          <w:color w:val="auto"/>
          <w:highlight w:val="none"/>
        </w:rPr>
        <w:t>。</w:t>
      </w:r>
      <w:r>
        <w:rPr>
          <w:rFonts w:hint="eastAsia"/>
          <w:color w:val="auto"/>
          <w:highlight w:val="none"/>
        </w:rPr>
        <w:t>对于重要技术条款或技术参数应当在响应文件中提供技术支持资料，技术支持资料以采购文件中规定的形式为准，</w:t>
      </w:r>
      <w:r>
        <w:rPr>
          <w:rFonts w:hint="eastAsia"/>
          <w:b/>
          <w:bCs/>
          <w:color w:val="auto"/>
          <w:highlight w:val="none"/>
        </w:rPr>
        <w:t>否则将视为无效技术支持资料</w:t>
      </w:r>
      <w:r>
        <w:rPr>
          <w:rFonts w:hint="eastAsia"/>
          <w:color w:val="auto"/>
          <w:highlight w:val="none"/>
        </w:rPr>
        <w:t>。</w:t>
      </w:r>
    </w:p>
    <w:p w14:paraId="52273F0B">
      <w:pPr>
        <w:widowControl w:val="0"/>
        <w:ind w:firstLine="424" w:firstLineChars="202"/>
        <w:rPr>
          <w:b/>
          <w:bCs/>
          <w:color w:val="auto"/>
          <w:highlight w:val="none"/>
          <w:shd w:val="clear" w:color="auto" w:fill="FFFFFF"/>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Times New Roman" w:hAnsi="Times New Roman" w:eastAsia="宋体" w:cs="Times New Roman"/>
          <w:color w:val="auto"/>
          <w:szCs w:val="24"/>
          <w:highlight w:val="none"/>
        </w:rPr>
        <w:t>供应商必须自行为其竞标产品侵犯他人的知识产权或者专利成果的行为承担相应法律责任。</w:t>
      </w:r>
    </w:p>
    <w:p w14:paraId="4A22734D">
      <w:pPr>
        <w:widowControl w:val="0"/>
        <w:ind w:firstLine="424" w:firstLineChars="202"/>
        <w:rPr>
          <w:rFonts w:hint="default" w:ascii="宋体" w:hAnsi="宋体" w:eastAsia="宋体" w:cs="Times New Roman"/>
          <w:color w:val="auto"/>
          <w:highlight w:val="none"/>
          <w:lang w:val="en-US" w:eastAsia="zh-CN"/>
        </w:rPr>
        <w:sectPr>
          <w:footerReference r:id="rId7" w:type="default"/>
          <w:pgSz w:w="11906" w:h="16838"/>
          <w:pgMar w:top="1701" w:right="1701" w:bottom="1701" w:left="1701" w:header="851" w:footer="992" w:gutter="0"/>
          <w:pgNumType w:start="1"/>
          <w:cols w:space="425" w:num="1"/>
          <w:docGrid w:linePitch="312" w:charSpace="0"/>
        </w:sectPr>
      </w:pPr>
    </w:p>
    <w:tbl>
      <w:tblPr>
        <w:tblStyle w:val="31"/>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102"/>
        <w:gridCol w:w="737"/>
        <w:gridCol w:w="688"/>
        <w:gridCol w:w="931"/>
        <w:gridCol w:w="680"/>
        <w:gridCol w:w="4579"/>
      </w:tblGrid>
      <w:tr w14:paraId="443F7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39" w:type="dxa"/>
            <w:vAlign w:val="center"/>
          </w:tcPr>
          <w:p w14:paraId="7E9452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序号</w:t>
            </w:r>
          </w:p>
        </w:tc>
        <w:tc>
          <w:tcPr>
            <w:tcW w:w="1102" w:type="dxa"/>
            <w:vAlign w:val="center"/>
          </w:tcPr>
          <w:p w14:paraId="2A90D4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标的名称</w:t>
            </w:r>
          </w:p>
        </w:tc>
        <w:tc>
          <w:tcPr>
            <w:tcW w:w="737" w:type="dxa"/>
            <w:vAlign w:val="center"/>
          </w:tcPr>
          <w:p w14:paraId="2783681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数量</w:t>
            </w:r>
          </w:p>
        </w:tc>
        <w:tc>
          <w:tcPr>
            <w:tcW w:w="688" w:type="dxa"/>
            <w:vAlign w:val="center"/>
          </w:tcPr>
          <w:p w14:paraId="59E9A8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单位</w:t>
            </w:r>
          </w:p>
        </w:tc>
        <w:tc>
          <w:tcPr>
            <w:tcW w:w="931" w:type="dxa"/>
            <w:vAlign w:val="center"/>
          </w:tcPr>
          <w:p w14:paraId="26118A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cs="宋体" w:eastAsiaTheme="minorEastAsia"/>
                <w:b/>
                <w:bCs/>
                <w:color w:val="auto"/>
                <w:kern w:val="0"/>
                <w:szCs w:val="21"/>
                <w:highlight w:val="none"/>
                <w:lang w:eastAsia="zh-CN" w:bidi="ar"/>
              </w:rPr>
            </w:pPr>
            <w:r>
              <w:rPr>
                <w:rFonts w:hint="eastAsia" w:ascii="宋体" w:hAnsi="宋体" w:eastAsia="宋体" w:cs="宋体"/>
                <w:b/>
                <w:bCs/>
                <w:color w:val="auto"/>
                <w:kern w:val="0"/>
                <w:szCs w:val="21"/>
                <w:highlight w:val="none"/>
                <w:lang w:eastAsia="zh-CN" w:bidi="ar"/>
              </w:rPr>
              <w:t>单价限价</w:t>
            </w:r>
            <w:r>
              <w:rPr>
                <w:rFonts w:hint="eastAsia"/>
                <w:b/>
                <w:bCs/>
                <w:color w:val="auto"/>
                <w:highlight w:val="none"/>
                <w:lang w:eastAsia="zh-CN"/>
              </w:rPr>
              <w:t>（元）</w:t>
            </w:r>
          </w:p>
        </w:tc>
        <w:tc>
          <w:tcPr>
            <w:tcW w:w="680" w:type="dxa"/>
            <w:vAlign w:val="center"/>
          </w:tcPr>
          <w:p w14:paraId="79B9EC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eastAsia="zh-CN" w:bidi="ar"/>
              </w:rPr>
              <w:t>所属行业</w:t>
            </w:r>
          </w:p>
        </w:tc>
        <w:tc>
          <w:tcPr>
            <w:tcW w:w="4579" w:type="dxa"/>
            <w:vAlign w:val="center"/>
          </w:tcPr>
          <w:p w14:paraId="69C7DE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技术要求</w:t>
            </w:r>
          </w:p>
        </w:tc>
      </w:tr>
      <w:tr w14:paraId="3899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03EC1C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2" w:type="dxa"/>
            <w:vAlign w:val="center"/>
          </w:tcPr>
          <w:p w14:paraId="705855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双目视力筛选仪（不含工作站）</w:t>
            </w:r>
          </w:p>
        </w:tc>
        <w:tc>
          <w:tcPr>
            <w:tcW w:w="737" w:type="dxa"/>
            <w:vAlign w:val="center"/>
          </w:tcPr>
          <w:p w14:paraId="22D404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11FEAB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7F17E5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80000</w:t>
            </w:r>
          </w:p>
        </w:tc>
        <w:tc>
          <w:tcPr>
            <w:tcW w:w="680" w:type="dxa"/>
            <w:shd w:val="clear" w:color="auto" w:fill="auto"/>
            <w:vAlign w:val="center"/>
          </w:tcPr>
          <w:p w14:paraId="3872F5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6DA6B2E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一、</w:t>
            </w:r>
            <w:r>
              <w:rPr>
                <w:rFonts w:hint="eastAsia" w:asciiTheme="minorEastAsia" w:hAnsiTheme="minorEastAsia" w:eastAsiaTheme="minorEastAsia"/>
                <w:b/>
                <w:bCs/>
                <w:color w:val="auto"/>
                <w:szCs w:val="21"/>
                <w:highlight w:val="none"/>
                <w:lang w:val="en-US" w:eastAsia="zh-CN"/>
              </w:rPr>
              <w:t>基本需求：</w:t>
            </w:r>
          </w:p>
          <w:p w14:paraId="697958B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1.适用对象：6个月以上人群 ，有特定的包括婴幼儿、儿童及成年人共五个年龄段的检查模式。  </w:t>
            </w:r>
          </w:p>
          <w:p w14:paraId="733BE41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2.双眼同时进行测量，也可选择对单眼进行测量。</w:t>
            </w:r>
          </w:p>
          <w:p w14:paraId="6DED004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3.测试时间：1s。</w:t>
            </w:r>
          </w:p>
          <w:p w14:paraId="0EFE49D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▲4.测试距离：1m±5cm。</w:t>
            </w:r>
          </w:p>
          <w:p w14:paraId="61B9994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5.筛查内容：屈光筛查（近视、远视、散光、屈光参差，凝视对称）、固视及眼位变化、瞳孔大小及间距、矫正视力。</w:t>
            </w:r>
          </w:p>
          <w:p w14:paraId="123B325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▲6.等效球镜度数测量范围：-9 D至+7D，分辨率：0.25D 或0.01D两档可选，允差± 0.50D；</w:t>
            </w:r>
          </w:p>
          <w:p w14:paraId="285A098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柱镜度数测量范围：  0至3D，分辨率0.25D或0.01D两档可选，允差±0.5D。</w:t>
            </w:r>
          </w:p>
          <w:p w14:paraId="426DD87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8.眼位偏离：0°-20°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精度±1°。</w:t>
            </w:r>
          </w:p>
          <w:p w14:paraId="75476BA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9.测量瞳孔直径要求：4-9mm。可测量散瞳病人。</w:t>
            </w:r>
          </w:p>
          <w:p w14:paraId="1CAA5A3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10.轴位：0至180度，分辨率</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1度，允差±5度；</w:t>
            </w:r>
          </w:p>
          <w:p w14:paraId="68C4DB1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11.供电方式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2节可充电可拆卸锂离子电池或交流电直接供电，如遇紧急状况，可支持移动电源充电。</w:t>
            </w:r>
          </w:p>
          <w:p w14:paraId="09FCFE0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▲12.AI人工智能算法自动搜寻瞳孔，以保证测试快速、精准。</w:t>
            </w:r>
          </w:p>
          <w:p w14:paraId="2DAB94C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13.显示屏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4.3英寸可无级翻转0-90°的彩色触摸液晶屏。</w:t>
            </w:r>
          </w:p>
          <w:p w14:paraId="2E4D2CC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14.设备使用年限≥8年。</w:t>
            </w:r>
          </w:p>
          <w:p w14:paraId="4D9A0C7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二、</w:t>
            </w:r>
            <w:r>
              <w:rPr>
                <w:rFonts w:hint="eastAsia" w:asciiTheme="minorEastAsia" w:hAnsiTheme="minorEastAsia" w:eastAsiaTheme="minorEastAsia"/>
                <w:b/>
                <w:bCs/>
                <w:color w:val="auto"/>
                <w:szCs w:val="21"/>
                <w:highlight w:val="none"/>
                <w:lang w:val="en-US" w:eastAsia="zh-CN"/>
              </w:rPr>
              <w:t>配置需求：</w:t>
            </w:r>
          </w:p>
          <w:tbl>
            <w:tblPr>
              <w:tblStyle w:val="31"/>
              <w:tblW w:w="4358"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2112"/>
              <w:gridCol w:w="750"/>
              <w:gridCol w:w="688"/>
            </w:tblGrid>
            <w:tr w14:paraId="4C9E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3DEBE90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序号</w:t>
                  </w:r>
                </w:p>
              </w:tc>
              <w:tc>
                <w:tcPr>
                  <w:tcW w:w="2112" w:type="dxa"/>
                  <w:tcBorders>
                    <w:top w:val="single" w:color="000000" w:sz="4" w:space="0"/>
                    <w:left w:val="nil"/>
                    <w:bottom w:val="single" w:color="000000" w:sz="4" w:space="0"/>
                    <w:right w:val="single" w:color="000000" w:sz="4" w:space="0"/>
                  </w:tcBorders>
                  <w:vAlign w:val="center"/>
                </w:tcPr>
                <w:p w14:paraId="281D77C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配件名称</w:t>
                  </w:r>
                </w:p>
              </w:tc>
              <w:tc>
                <w:tcPr>
                  <w:tcW w:w="750" w:type="dxa"/>
                  <w:tcBorders>
                    <w:top w:val="single" w:color="000000" w:sz="4" w:space="0"/>
                    <w:left w:val="nil"/>
                    <w:bottom w:val="single" w:color="000000" w:sz="4" w:space="0"/>
                    <w:right w:val="single" w:color="000000" w:sz="4" w:space="0"/>
                  </w:tcBorders>
                  <w:vAlign w:val="center"/>
                </w:tcPr>
                <w:p w14:paraId="789DEE2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数量</w:t>
                  </w:r>
                </w:p>
              </w:tc>
              <w:tc>
                <w:tcPr>
                  <w:tcW w:w="688" w:type="dxa"/>
                  <w:tcBorders>
                    <w:top w:val="single" w:color="000000" w:sz="4" w:space="0"/>
                    <w:left w:val="nil"/>
                    <w:bottom w:val="single" w:color="000000" w:sz="4" w:space="0"/>
                    <w:right w:val="single" w:color="000000" w:sz="4" w:space="0"/>
                  </w:tcBorders>
                  <w:vAlign w:val="center"/>
                </w:tcPr>
                <w:p w14:paraId="6F774BE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单位</w:t>
                  </w:r>
                </w:p>
              </w:tc>
            </w:tr>
            <w:tr w14:paraId="4FD4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42C5583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2112" w:type="dxa"/>
                  <w:tcBorders>
                    <w:top w:val="single" w:color="000000" w:sz="4" w:space="0"/>
                    <w:left w:val="nil"/>
                    <w:bottom w:val="single" w:color="000000" w:sz="4" w:space="0"/>
                    <w:right w:val="single" w:color="000000" w:sz="4" w:space="0"/>
                  </w:tcBorders>
                  <w:vAlign w:val="center"/>
                </w:tcPr>
                <w:p w14:paraId="6B38E4F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视力筛选仪主机</w:t>
                  </w:r>
                </w:p>
              </w:tc>
              <w:tc>
                <w:tcPr>
                  <w:tcW w:w="750" w:type="dxa"/>
                  <w:tcBorders>
                    <w:top w:val="single" w:color="000000" w:sz="4" w:space="0"/>
                    <w:left w:val="nil"/>
                    <w:bottom w:val="single" w:color="000000" w:sz="4" w:space="0"/>
                    <w:right w:val="single" w:color="000000" w:sz="4" w:space="0"/>
                  </w:tcBorders>
                  <w:vAlign w:val="center"/>
                </w:tcPr>
                <w:p w14:paraId="44B2A4C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688" w:type="dxa"/>
                  <w:tcBorders>
                    <w:top w:val="single" w:color="000000" w:sz="4" w:space="0"/>
                    <w:left w:val="nil"/>
                    <w:bottom w:val="single" w:color="000000" w:sz="4" w:space="0"/>
                    <w:right w:val="single" w:color="000000" w:sz="4" w:space="0"/>
                  </w:tcBorders>
                  <w:vAlign w:val="center"/>
                </w:tcPr>
                <w:p w14:paraId="74A153C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r w14:paraId="2053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3B6806D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2112" w:type="dxa"/>
                  <w:tcBorders>
                    <w:top w:val="single" w:color="000000" w:sz="4" w:space="0"/>
                    <w:left w:val="nil"/>
                    <w:bottom w:val="single" w:color="000000" w:sz="4" w:space="0"/>
                    <w:right w:val="single" w:color="000000" w:sz="4" w:space="0"/>
                  </w:tcBorders>
                  <w:vAlign w:val="center"/>
                </w:tcPr>
                <w:p w14:paraId="0C88DC9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A/C充电模块</w:t>
                  </w:r>
                </w:p>
              </w:tc>
              <w:tc>
                <w:tcPr>
                  <w:tcW w:w="750" w:type="dxa"/>
                  <w:tcBorders>
                    <w:top w:val="single" w:color="000000" w:sz="4" w:space="0"/>
                    <w:left w:val="nil"/>
                    <w:bottom w:val="single" w:color="000000" w:sz="4" w:space="0"/>
                    <w:right w:val="single" w:color="000000" w:sz="4" w:space="0"/>
                  </w:tcBorders>
                  <w:vAlign w:val="center"/>
                </w:tcPr>
                <w:p w14:paraId="3208C9F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688" w:type="dxa"/>
                  <w:tcBorders>
                    <w:top w:val="single" w:color="000000" w:sz="4" w:space="0"/>
                    <w:left w:val="nil"/>
                    <w:bottom w:val="single" w:color="000000" w:sz="4" w:space="0"/>
                    <w:right w:val="single" w:color="000000" w:sz="4" w:space="0"/>
                  </w:tcBorders>
                  <w:vAlign w:val="center"/>
                </w:tcPr>
                <w:p w14:paraId="5D1AB28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r>
            <w:tr w14:paraId="4590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2CB2314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2112" w:type="dxa"/>
                  <w:tcBorders>
                    <w:top w:val="single" w:color="000000" w:sz="4" w:space="0"/>
                    <w:left w:val="nil"/>
                    <w:bottom w:val="single" w:color="000000" w:sz="4" w:space="0"/>
                    <w:right w:val="single" w:color="000000" w:sz="4" w:space="0"/>
                  </w:tcBorders>
                  <w:vAlign w:val="center"/>
                </w:tcPr>
                <w:p w14:paraId="24B8734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蓝牙热敏打印机</w:t>
                  </w:r>
                </w:p>
              </w:tc>
              <w:tc>
                <w:tcPr>
                  <w:tcW w:w="750" w:type="dxa"/>
                  <w:tcBorders>
                    <w:top w:val="single" w:color="000000" w:sz="4" w:space="0"/>
                    <w:left w:val="nil"/>
                    <w:bottom w:val="single" w:color="000000" w:sz="4" w:space="0"/>
                    <w:right w:val="single" w:color="000000" w:sz="4" w:space="0"/>
                  </w:tcBorders>
                  <w:vAlign w:val="center"/>
                </w:tcPr>
                <w:p w14:paraId="49D147E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688" w:type="dxa"/>
                  <w:tcBorders>
                    <w:top w:val="single" w:color="000000" w:sz="4" w:space="0"/>
                    <w:left w:val="nil"/>
                    <w:bottom w:val="single" w:color="000000" w:sz="4" w:space="0"/>
                    <w:right w:val="single" w:color="000000" w:sz="4" w:space="0"/>
                  </w:tcBorders>
                  <w:vAlign w:val="center"/>
                </w:tcPr>
                <w:p w14:paraId="4EA9DD7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r w14:paraId="728FD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046FBD9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112" w:type="dxa"/>
                  <w:tcBorders>
                    <w:top w:val="single" w:color="000000" w:sz="4" w:space="0"/>
                    <w:left w:val="nil"/>
                    <w:bottom w:val="single" w:color="000000" w:sz="4" w:space="0"/>
                    <w:right w:val="single" w:color="000000" w:sz="4" w:space="0"/>
                  </w:tcBorders>
                  <w:vAlign w:val="center"/>
                </w:tcPr>
                <w:p w14:paraId="6F35F40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便携箱</w:t>
                  </w:r>
                </w:p>
              </w:tc>
              <w:tc>
                <w:tcPr>
                  <w:tcW w:w="750" w:type="dxa"/>
                  <w:tcBorders>
                    <w:top w:val="single" w:color="000000" w:sz="4" w:space="0"/>
                    <w:left w:val="nil"/>
                    <w:bottom w:val="single" w:color="000000" w:sz="4" w:space="0"/>
                    <w:right w:val="single" w:color="000000" w:sz="4" w:space="0"/>
                  </w:tcBorders>
                  <w:vAlign w:val="center"/>
                </w:tcPr>
                <w:p w14:paraId="4594E79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688" w:type="dxa"/>
                  <w:tcBorders>
                    <w:top w:val="single" w:color="000000" w:sz="4" w:space="0"/>
                    <w:left w:val="nil"/>
                    <w:bottom w:val="single" w:color="000000" w:sz="4" w:space="0"/>
                    <w:right w:val="single" w:color="000000" w:sz="4" w:space="0"/>
                  </w:tcBorders>
                  <w:vAlign w:val="center"/>
                </w:tcPr>
                <w:p w14:paraId="67BB21C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只</w:t>
                  </w:r>
                </w:p>
              </w:tc>
            </w:tr>
            <w:tr w14:paraId="12C1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1672AFB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2112" w:type="dxa"/>
                  <w:tcBorders>
                    <w:top w:val="single" w:color="000000" w:sz="4" w:space="0"/>
                    <w:left w:val="nil"/>
                    <w:bottom w:val="single" w:color="000000" w:sz="4" w:space="0"/>
                    <w:right w:val="single" w:color="000000" w:sz="4" w:space="0"/>
                  </w:tcBorders>
                  <w:vAlign w:val="center"/>
                </w:tcPr>
                <w:p w14:paraId="562A874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两节可充电电池</w:t>
                  </w:r>
                </w:p>
              </w:tc>
              <w:tc>
                <w:tcPr>
                  <w:tcW w:w="750" w:type="dxa"/>
                  <w:tcBorders>
                    <w:top w:val="single" w:color="000000" w:sz="4" w:space="0"/>
                    <w:left w:val="nil"/>
                    <w:bottom w:val="single" w:color="000000" w:sz="4" w:space="0"/>
                    <w:right w:val="single" w:color="000000" w:sz="4" w:space="0"/>
                  </w:tcBorders>
                  <w:vAlign w:val="center"/>
                </w:tcPr>
                <w:p w14:paraId="4F1057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688" w:type="dxa"/>
                  <w:tcBorders>
                    <w:top w:val="single" w:color="000000" w:sz="4" w:space="0"/>
                    <w:left w:val="nil"/>
                    <w:bottom w:val="single" w:color="000000" w:sz="4" w:space="0"/>
                    <w:right w:val="single" w:color="000000" w:sz="4" w:space="0"/>
                  </w:tcBorders>
                  <w:vAlign w:val="center"/>
                </w:tcPr>
                <w:p w14:paraId="09382D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只</w:t>
                  </w:r>
                </w:p>
              </w:tc>
            </w:tr>
          </w:tbl>
          <w:p w14:paraId="5E3836A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p>
        </w:tc>
      </w:tr>
      <w:tr w14:paraId="7FA00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3201B8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102" w:type="dxa"/>
            <w:vAlign w:val="center"/>
          </w:tcPr>
          <w:p w14:paraId="6AF16F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双目视力筛选仪（含工作站）</w:t>
            </w:r>
          </w:p>
        </w:tc>
        <w:tc>
          <w:tcPr>
            <w:tcW w:w="737" w:type="dxa"/>
            <w:vAlign w:val="center"/>
          </w:tcPr>
          <w:p w14:paraId="3EE0E3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88" w:type="dxa"/>
            <w:vAlign w:val="center"/>
          </w:tcPr>
          <w:p w14:paraId="529327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3B6603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130000</w:t>
            </w:r>
          </w:p>
        </w:tc>
        <w:tc>
          <w:tcPr>
            <w:tcW w:w="680" w:type="dxa"/>
            <w:shd w:val="clear" w:color="auto" w:fill="auto"/>
            <w:vAlign w:val="center"/>
          </w:tcPr>
          <w:p w14:paraId="748888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2BAB6A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一、</w:t>
            </w:r>
            <w:r>
              <w:rPr>
                <w:rFonts w:hint="eastAsia" w:asciiTheme="minorEastAsia" w:hAnsiTheme="minorEastAsia" w:eastAsiaTheme="minorEastAsia"/>
                <w:b/>
                <w:bCs/>
                <w:color w:val="auto"/>
                <w:szCs w:val="21"/>
                <w:highlight w:val="none"/>
                <w:lang w:val="en-US" w:eastAsia="zh-CN"/>
              </w:rPr>
              <w:t>基本需求：</w:t>
            </w:r>
          </w:p>
          <w:p w14:paraId="7086A79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1.适用对象：6个月以上人群 ，有特定的包括婴幼儿、儿童及成年人共五个年龄段的检查模式。  </w:t>
            </w:r>
          </w:p>
          <w:p w14:paraId="431ECF2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2.双眼同时进行测量，也可选择对单眼进行测量。</w:t>
            </w:r>
          </w:p>
          <w:p w14:paraId="217713B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3.测试时间：1s。</w:t>
            </w:r>
          </w:p>
          <w:p w14:paraId="7688F24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▲4.测试距离：1m±5cm。</w:t>
            </w:r>
          </w:p>
          <w:p w14:paraId="1E0320B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5.筛查内容：屈光筛查（近视、远视、散光、屈光参差，凝视对称）、固视及眼位变化、瞳孔大小及间距、矫正视力。</w:t>
            </w:r>
          </w:p>
          <w:p w14:paraId="7D23137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▲6.等效球镜度数测量范围：-9 D至+7D，分辨率：0.25D 或0.01D两档可选，允差± 0.50D；</w:t>
            </w:r>
          </w:p>
          <w:p w14:paraId="723B3B5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7.柱镜度数测量范围：0至3D，分辨率0.25D或0.01D两档可选，允差±0.5D。</w:t>
            </w:r>
          </w:p>
          <w:p w14:paraId="45F4175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8.眼位偏离：0°-20° 精度±1°。</w:t>
            </w:r>
          </w:p>
          <w:p w14:paraId="2F57A50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9.测量瞳孔直径要求：4-9mm。可测量散瞳病人。</w:t>
            </w:r>
          </w:p>
          <w:p w14:paraId="79ABB77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10.轴位：0至180度，分辨率</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1度，允差±5度；</w:t>
            </w:r>
          </w:p>
          <w:p w14:paraId="3036A1F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11.距被测者距离提示：系统主动测距提示过远或过近，有具体数值显示提醒。 </w:t>
            </w:r>
          </w:p>
          <w:p w14:paraId="1B625DC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11.1.固视目标：筛查仪前端有跳跃式彩色闪光圈及百鸟争鸣声、儿歌等七种不同的提示音，以吸引婴幼儿目视方向。</w:t>
            </w:r>
          </w:p>
          <w:p w14:paraId="5688A4A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12.与打印机连接方式：USB、Wifi和蓝牙。</w:t>
            </w:r>
          </w:p>
          <w:p w14:paraId="0FB73B1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13.数据接口：USB、Wifi和蓝牙，可直接在主机上输入中文被测人信息，也可由主机扫描被测人的二维码直接导入被测人信息，主机具有可连Wifi数据直接上传至云端。</w:t>
            </w:r>
          </w:p>
          <w:p w14:paraId="7724C64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14.可从电脑批量输入、输出患者信息队列，提高筛查效率。</w:t>
            </w:r>
          </w:p>
          <w:p w14:paraId="4E3CD85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15.供电方式：2节可充电可拆卸锂离子电池或交流电直接供电，如遇紧急状况，可支持移动电源充电。</w:t>
            </w:r>
          </w:p>
          <w:p w14:paraId="35A66E4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▲16.AI人工智能算法自动搜寻瞳孔，以保证测试快速、精准。</w:t>
            </w:r>
          </w:p>
          <w:p w14:paraId="4F8F31D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17.显示屏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4.3英寸可无级翻转0-90°的彩色触摸液晶屏。</w:t>
            </w:r>
          </w:p>
          <w:p w14:paraId="0C223F5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18.自定义横幅功能：提供了像可打印报告的底部添加自定义横幅的功能。</w:t>
            </w:r>
          </w:p>
          <w:p w14:paraId="054DF6C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19.测量模式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根据测量环境，可选择“快速”、“高精度”、“高精度2”等3种不同测量模式。</w:t>
            </w:r>
          </w:p>
          <w:p w14:paraId="295FCA8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20.工作站：需配电脑、打印机、视力筛查系统，便于大批量筛查，数据上传和管理。</w:t>
            </w:r>
          </w:p>
          <w:p w14:paraId="6D9E78C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21.视力筛查系统功能：生成汇总数据报告，生成筛查报告（pdf），报告含年级、班级数据，图表和表格，含指标对比、趋势分析、数据分布、排行榜。然后还有按年龄、学段、年级等等的统计表格。</w:t>
            </w:r>
          </w:p>
          <w:p w14:paraId="3E0DA47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22.配备筛查暗箱功能。</w:t>
            </w:r>
          </w:p>
          <w:p w14:paraId="3B5FAD1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23.设备使用年限</w:t>
            </w:r>
            <w:r>
              <w:rPr>
                <w:rFonts w:hint="default"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8年。</w:t>
            </w:r>
          </w:p>
          <w:p w14:paraId="4A013B6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二、</w:t>
            </w:r>
            <w:r>
              <w:rPr>
                <w:rFonts w:hint="eastAsia" w:asciiTheme="minorEastAsia" w:hAnsiTheme="minorEastAsia" w:eastAsiaTheme="minorEastAsia"/>
                <w:b/>
                <w:bCs/>
                <w:color w:val="auto"/>
                <w:szCs w:val="21"/>
                <w:highlight w:val="none"/>
                <w:lang w:val="en-US" w:eastAsia="zh-CN"/>
              </w:rPr>
              <w:t>配置需求：</w:t>
            </w:r>
          </w:p>
          <w:tbl>
            <w:tblPr>
              <w:tblStyle w:val="31"/>
              <w:tblW w:w="4329"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100"/>
              <w:gridCol w:w="790"/>
              <w:gridCol w:w="759"/>
            </w:tblGrid>
            <w:tr w14:paraId="686F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0046B6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序号</w:t>
                  </w:r>
                </w:p>
              </w:tc>
              <w:tc>
                <w:tcPr>
                  <w:tcW w:w="2100" w:type="dxa"/>
                  <w:tcBorders>
                    <w:top w:val="single" w:color="000000" w:sz="4" w:space="0"/>
                    <w:left w:val="nil"/>
                    <w:bottom w:val="single" w:color="000000" w:sz="4" w:space="0"/>
                    <w:right w:val="single" w:color="000000" w:sz="4" w:space="0"/>
                  </w:tcBorders>
                  <w:noWrap w:val="0"/>
                  <w:vAlign w:val="center"/>
                </w:tcPr>
                <w:p w14:paraId="3A0690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配件名称</w:t>
                  </w:r>
                </w:p>
              </w:tc>
              <w:tc>
                <w:tcPr>
                  <w:tcW w:w="790" w:type="dxa"/>
                  <w:tcBorders>
                    <w:top w:val="single" w:color="000000" w:sz="4" w:space="0"/>
                    <w:left w:val="nil"/>
                    <w:bottom w:val="single" w:color="000000" w:sz="4" w:space="0"/>
                    <w:right w:val="single" w:color="000000" w:sz="4" w:space="0"/>
                  </w:tcBorders>
                  <w:noWrap w:val="0"/>
                  <w:vAlign w:val="center"/>
                </w:tcPr>
                <w:p w14:paraId="7C3185C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数量</w:t>
                  </w:r>
                </w:p>
              </w:tc>
              <w:tc>
                <w:tcPr>
                  <w:tcW w:w="759" w:type="dxa"/>
                  <w:tcBorders>
                    <w:top w:val="single" w:color="000000" w:sz="4" w:space="0"/>
                    <w:left w:val="nil"/>
                    <w:bottom w:val="single" w:color="000000" w:sz="4" w:space="0"/>
                    <w:right w:val="single" w:color="000000" w:sz="4" w:space="0"/>
                  </w:tcBorders>
                  <w:noWrap w:val="0"/>
                  <w:vAlign w:val="center"/>
                </w:tcPr>
                <w:p w14:paraId="272DBD9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单位</w:t>
                  </w:r>
                </w:p>
              </w:tc>
            </w:tr>
            <w:tr w14:paraId="0BBC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E25406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2100" w:type="dxa"/>
                  <w:tcBorders>
                    <w:top w:val="single" w:color="000000" w:sz="4" w:space="0"/>
                    <w:left w:val="nil"/>
                    <w:bottom w:val="single" w:color="000000" w:sz="4" w:space="0"/>
                    <w:right w:val="single" w:color="000000" w:sz="4" w:space="0"/>
                  </w:tcBorders>
                  <w:noWrap w:val="0"/>
                  <w:vAlign w:val="center"/>
                </w:tcPr>
                <w:p w14:paraId="36085CF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视力筛选仪主机</w:t>
                  </w:r>
                </w:p>
              </w:tc>
              <w:tc>
                <w:tcPr>
                  <w:tcW w:w="790" w:type="dxa"/>
                  <w:tcBorders>
                    <w:top w:val="single" w:color="000000" w:sz="4" w:space="0"/>
                    <w:left w:val="nil"/>
                    <w:bottom w:val="single" w:color="000000" w:sz="4" w:space="0"/>
                    <w:right w:val="single" w:color="000000" w:sz="4" w:space="0"/>
                  </w:tcBorders>
                  <w:noWrap w:val="0"/>
                  <w:vAlign w:val="center"/>
                </w:tcPr>
                <w:p w14:paraId="734DED4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7586292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r w14:paraId="2BAB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9654E7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2100" w:type="dxa"/>
                  <w:tcBorders>
                    <w:top w:val="single" w:color="000000" w:sz="4" w:space="0"/>
                    <w:left w:val="nil"/>
                    <w:bottom w:val="single" w:color="000000" w:sz="4" w:space="0"/>
                    <w:right w:val="single" w:color="000000" w:sz="4" w:space="0"/>
                  </w:tcBorders>
                  <w:noWrap w:val="0"/>
                  <w:vAlign w:val="center"/>
                </w:tcPr>
                <w:p w14:paraId="21ED34C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A/C充电模块</w:t>
                  </w:r>
                </w:p>
              </w:tc>
              <w:tc>
                <w:tcPr>
                  <w:tcW w:w="790" w:type="dxa"/>
                  <w:tcBorders>
                    <w:top w:val="single" w:color="000000" w:sz="4" w:space="0"/>
                    <w:left w:val="nil"/>
                    <w:bottom w:val="single" w:color="000000" w:sz="4" w:space="0"/>
                    <w:right w:val="single" w:color="000000" w:sz="4" w:space="0"/>
                  </w:tcBorders>
                  <w:noWrap w:val="0"/>
                  <w:vAlign w:val="center"/>
                </w:tcPr>
                <w:p w14:paraId="52B0004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55C9CBB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r>
            <w:tr w14:paraId="19E5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80D3AC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2100" w:type="dxa"/>
                  <w:tcBorders>
                    <w:top w:val="single" w:color="000000" w:sz="4" w:space="0"/>
                    <w:left w:val="nil"/>
                    <w:bottom w:val="single" w:color="000000" w:sz="4" w:space="0"/>
                    <w:right w:val="single" w:color="000000" w:sz="4" w:space="0"/>
                  </w:tcBorders>
                  <w:noWrap w:val="0"/>
                  <w:vAlign w:val="center"/>
                </w:tcPr>
                <w:p w14:paraId="7AFEB56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蓝牙热敏打印机</w:t>
                  </w:r>
                </w:p>
              </w:tc>
              <w:tc>
                <w:tcPr>
                  <w:tcW w:w="790" w:type="dxa"/>
                  <w:tcBorders>
                    <w:top w:val="single" w:color="000000" w:sz="4" w:space="0"/>
                    <w:left w:val="nil"/>
                    <w:bottom w:val="single" w:color="000000" w:sz="4" w:space="0"/>
                    <w:right w:val="single" w:color="000000" w:sz="4" w:space="0"/>
                  </w:tcBorders>
                  <w:noWrap w:val="0"/>
                  <w:vAlign w:val="center"/>
                </w:tcPr>
                <w:p w14:paraId="4A2B944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7F86689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r w14:paraId="33FC9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3D5503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100" w:type="dxa"/>
                  <w:tcBorders>
                    <w:top w:val="single" w:color="000000" w:sz="4" w:space="0"/>
                    <w:left w:val="nil"/>
                    <w:bottom w:val="single" w:color="000000" w:sz="4" w:space="0"/>
                    <w:right w:val="single" w:color="000000" w:sz="4" w:space="0"/>
                  </w:tcBorders>
                  <w:noWrap w:val="0"/>
                  <w:vAlign w:val="center"/>
                </w:tcPr>
                <w:p w14:paraId="2B75AF4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便携箱</w:t>
                  </w:r>
                </w:p>
              </w:tc>
              <w:tc>
                <w:tcPr>
                  <w:tcW w:w="790" w:type="dxa"/>
                  <w:tcBorders>
                    <w:top w:val="single" w:color="000000" w:sz="4" w:space="0"/>
                    <w:left w:val="nil"/>
                    <w:bottom w:val="single" w:color="000000" w:sz="4" w:space="0"/>
                    <w:right w:val="single" w:color="000000" w:sz="4" w:space="0"/>
                  </w:tcBorders>
                  <w:noWrap w:val="0"/>
                  <w:vAlign w:val="center"/>
                </w:tcPr>
                <w:p w14:paraId="0A5D22F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2A07A7E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只</w:t>
                  </w:r>
                </w:p>
              </w:tc>
            </w:tr>
            <w:tr w14:paraId="18A93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3BE2E93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2100" w:type="dxa"/>
                  <w:tcBorders>
                    <w:top w:val="single" w:color="000000" w:sz="4" w:space="0"/>
                    <w:left w:val="nil"/>
                    <w:bottom w:val="single" w:color="000000" w:sz="4" w:space="0"/>
                    <w:right w:val="single" w:color="000000" w:sz="4" w:space="0"/>
                  </w:tcBorders>
                  <w:noWrap w:val="0"/>
                  <w:vAlign w:val="center"/>
                </w:tcPr>
                <w:p w14:paraId="4304FA4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两节可充电电池</w:t>
                  </w:r>
                </w:p>
              </w:tc>
              <w:tc>
                <w:tcPr>
                  <w:tcW w:w="790" w:type="dxa"/>
                  <w:tcBorders>
                    <w:top w:val="single" w:color="000000" w:sz="4" w:space="0"/>
                    <w:left w:val="nil"/>
                    <w:bottom w:val="single" w:color="000000" w:sz="4" w:space="0"/>
                    <w:right w:val="single" w:color="000000" w:sz="4" w:space="0"/>
                  </w:tcBorders>
                  <w:noWrap w:val="0"/>
                  <w:vAlign w:val="center"/>
                </w:tcPr>
                <w:p w14:paraId="3368397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759" w:type="dxa"/>
                  <w:tcBorders>
                    <w:top w:val="single" w:color="000000" w:sz="4" w:space="0"/>
                    <w:left w:val="nil"/>
                    <w:bottom w:val="single" w:color="000000" w:sz="4" w:space="0"/>
                    <w:right w:val="single" w:color="000000" w:sz="4" w:space="0"/>
                  </w:tcBorders>
                  <w:noWrap w:val="0"/>
                  <w:vAlign w:val="center"/>
                </w:tcPr>
                <w:p w14:paraId="0E0EF9A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只</w:t>
                  </w:r>
                </w:p>
              </w:tc>
            </w:tr>
            <w:tr w14:paraId="529B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08C4EE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p>
              </w:tc>
              <w:tc>
                <w:tcPr>
                  <w:tcW w:w="2100" w:type="dxa"/>
                  <w:tcBorders>
                    <w:top w:val="single" w:color="000000" w:sz="4" w:space="0"/>
                    <w:left w:val="nil"/>
                    <w:bottom w:val="single" w:color="000000" w:sz="4" w:space="0"/>
                    <w:right w:val="single" w:color="000000" w:sz="4" w:space="0"/>
                  </w:tcBorders>
                  <w:noWrap w:val="0"/>
                  <w:vAlign w:val="center"/>
                </w:tcPr>
                <w:p w14:paraId="60F2365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筛查暗箱</w:t>
                  </w:r>
                </w:p>
              </w:tc>
              <w:tc>
                <w:tcPr>
                  <w:tcW w:w="790" w:type="dxa"/>
                  <w:tcBorders>
                    <w:top w:val="single" w:color="000000" w:sz="4" w:space="0"/>
                    <w:left w:val="nil"/>
                    <w:bottom w:val="single" w:color="000000" w:sz="4" w:space="0"/>
                    <w:right w:val="single" w:color="000000" w:sz="4" w:space="0"/>
                  </w:tcBorders>
                  <w:noWrap w:val="0"/>
                  <w:vAlign w:val="center"/>
                </w:tcPr>
                <w:p w14:paraId="254D2A8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159AEFD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个</w:t>
                  </w:r>
                </w:p>
              </w:tc>
            </w:tr>
            <w:tr w14:paraId="6E872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C82894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p>
              </w:tc>
              <w:tc>
                <w:tcPr>
                  <w:tcW w:w="2100" w:type="dxa"/>
                  <w:tcBorders>
                    <w:top w:val="single" w:color="000000" w:sz="4" w:space="0"/>
                    <w:left w:val="nil"/>
                    <w:bottom w:val="single" w:color="000000" w:sz="4" w:space="0"/>
                    <w:right w:val="single" w:color="000000" w:sz="4" w:space="0"/>
                  </w:tcBorders>
                  <w:noWrap w:val="0"/>
                  <w:vAlign w:val="center"/>
                </w:tcPr>
                <w:p w14:paraId="44B7C21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视力筛查系统</w:t>
                  </w:r>
                </w:p>
              </w:tc>
              <w:tc>
                <w:tcPr>
                  <w:tcW w:w="790" w:type="dxa"/>
                  <w:tcBorders>
                    <w:top w:val="single" w:color="000000" w:sz="4" w:space="0"/>
                    <w:left w:val="nil"/>
                    <w:bottom w:val="single" w:color="000000" w:sz="4" w:space="0"/>
                    <w:right w:val="single" w:color="000000" w:sz="4" w:space="0"/>
                  </w:tcBorders>
                  <w:noWrap w:val="0"/>
                  <w:vAlign w:val="center"/>
                </w:tcPr>
                <w:p w14:paraId="4C8BE3C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47BA5AB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r>
            <w:tr w14:paraId="302D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812F23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p>
              </w:tc>
              <w:tc>
                <w:tcPr>
                  <w:tcW w:w="2100" w:type="dxa"/>
                  <w:tcBorders>
                    <w:top w:val="single" w:color="000000" w:sz="4" w:space="0"/>
                    <w:left w:val="nil"/>
                    <w:bottom w:val="single" w:color="000000" w:sz="4" w:space="0"/>
                    <w:right w:val="single" w:color="000000" w:sz="4" w:space="0"/>
                  </w:tcBorders>
                  <w:noWrap w:val="0"/>
                  <w:vAlign w:val="center"/>
                </w:tcPr>
                <w:p w14:paraId="7EEE945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配套台式输出设备</w:t>
                  </w:r>
                </w:p>
              </w:tc>
              <w:tc>
                <w:tcPr>
                  <w:tcW w:w="790" w:type="dxa"/>
                  <w:tcBorders>
                    <w:top w:val="single" w:color="000000" w:sz="4" w:space="0"/>
                    <w:left w:val="nil"/>
                    <w:bottom w:val="single" w:color="000000" w:sz="4" w:space="0"/>
                    <w:right w:val="single" w:color="000000" w:sz="4" w:space="0"/>
                  </w:tcBorders>
                  <w:noWrap w:val="0"/>
                  <w:vAlign w:val="center"/>
                </w:tcPr>
                <w:p w14:paraId="3857283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6D86AFD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r w14:paraId="5E68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2020D6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p>
              </w:tc>
              <w:tc>
                <w:tcPr>
                  <w:tcW w:w="2100" w:type="dxa"/>
                  <w:tcBorders>
                    <w:top w:val="single" w:color="000000" w:sz="4" w:space="0"/>
                    <w:left w:val="nil"/>
                    <w:bottom w:val="single" w:color="000000" w:sz="4" w:space="0"/>
                    <w:right w:val="single" w:color="000000" w:sz="4" w:space="0"/>
                  </w:tcBorders>
                  <w:noWrap w:val="0"/>
                  <w:vAlign w:val="center"/>
                </w:tcPr>
                <w:p w14:paraId="04BC586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专用</w:t>
                  </w:r>
                  <w:r>
                    <w:rPr>
                      <w:rFonts w:hint="eastAsia" w:asciiTheme="minorEastAsia" w:hAnsiTheme="minorEastAsia" w:eastAsiaTheme="minorEastAsia"/>
                      <w:color w:val="auto"/>
                      <w:szCs w:val="21"/>
                      <w:highlight w:val="none"/>
                      <w:lang w:val="en-US" w:eastAsia="zh-CN"/>
                    </w:rPr>
                    <w:t>激光打印机</w:t>
                  </w:r>
                </w:p>
              </w:tc>
              <w:tc>
                <w:tcPr>
                  <w:tcW w:w="790" w:type="dxa"/>
                  <w:tcBorders>
                    <w:top w:val="single" w:color="000000" w:sz="4" w:space="0"/>
                    <w:left w:val="nil"/>
                    <w:bottom w:val="single" w:color="000000" w:sz="4" w:space="0"/>
                    <w:right w:val="single" w:color="000000" w:sz="4" w:space="0"/>
                  </w:tcBorders>
                  <w:noWrap w:val="0"/>
                  <w:vAlign w:val="center"/>
                </w:tcPr>
                <w:p w14:paraId="68C454A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759" w:type="dxa"/>
                  <w:tcBorders>
                    <w:top w:val="single" w:color="000000" w:sz="4" w:space="0"/>
                    <w:left w:val="nil"/>
                    <w:bottom w:val="single" w:color="000000" w:sz="4" w:space="0"/>
                    <w:right w:val="single" w:color="000000" w:sz="4" w:space="0"/>
                  </w:tcBorders>
                  <w:noWrap w:val="0"/>
                  <w:vAlign w:val="center"/>
                </w:tcPr>
                <w:p w14:paraId="752ADCA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r>
          </w:tbl>
          <w:p w14:paraId="1578DA8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p>
        </w:tc>
      </w:tr>
      <w:tr w14:paraId="0994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3679EE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102" w:type="dxa"/>
            <w:vAlign w:val="center"/>
          </w:tcPr>
          <w:p w14:paraId="66EE80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病理取材台</w:t>
            </w:r>
          </w:p>
        </w:tc>
        <w:tc>
          <w:tcPr>
            <w:tcW w:w="737" w:type="dxa"/>
            <w:vAlign w:val="center"/>
          </w:tcPr>
          <w:p w14:paraId="39064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0F8E80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931" w:type="dxa"/>
            <w:shd w:val="clear" w:color="auto" w:fill="auto"/>
            <w:vAlign w:val="center"/>
          </w:tcPr>
          <w:p w14:paraId="5FB8D7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40000</w:t>
            </w:r>
          </w:p>
        </w:tc>
        <w:tc>
          <w:tcPr>
            <w:tcW w:w="680" w:type="dxa"/>
            <w:shd w:val="clear" w:color="auto" w:fill="auto"/>
            <w:vAlign w:val="center"/>
          </w:tcPr>
          <w:p w14:paraId="25A970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351B7C3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1.采用304不锈钢拉丝板制作，抗腐蚀，经久耐用。</w:t>
            </w:r>
          </w:p>
          <w:p w14:paraId="78EF8CC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2.下排气口低于工作人员腰部，并使气流与工作人员作反方向清动。保护工作人员不受甲醛等气体的侵害。</w:t>
            </w:r>
          </w:p>
          <w:p w14:paraId="785C659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3.</w:t>
            </w:r>
            <w:r>
              <w:rPr>
                <w:rFonts w:hint="eastAsia" w:hAnsiTheme="minorEastAsia"/>
                <w:color w:val="auto"/>
                <w:szCs w:val="21"/>
                <w:highlight w:val="none"/>
                <w:lang w:eastAsia="zh-CN"/>
              </w:rPr>
              <w:t>具备</w:t>
            </w:r>
            <w:r>
              <w:rPr>
                <w:rFonts w:hint="eastAsia" w:asciiTheme="minorEastAsia" w:hAnsiTheme="minorEastAsia" w:eastAsiaTheme="minorEastAsia"/>
                <w:color w:val="auto"/>
                <w:szCs w:val="21"/>
                <w:highlight w:val="none"/>
                <w:lang w:eastAsia="zh-CN"/>
              </w:rPr>
              <w:t>冷热水系统。适应不同地区的气候，温度可调节，确保舒通的工作开通，同时配备金属软管水龙头，可以冲洗到不同的工作区域。</w:t>
            </w:r>
          </w:p>
          <w:p w14:paraId="68B8E28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4.</w:t>
            </w:r>
            <w:r>
              <w:rPr>
                <w:rFonts w:hint="eastAsia" w:hAnsiTheme="minorEastAsia"/>
                <w:color w:val="auto"/>
                <w:szCs w:val="21"/>
                <w:highlight w:val="none"/>
                <w:lang w:eastAsia="zh-CN"/>
              </w:rPr>
              <w:t>具备</w:t>
            </w:r>
            <w:r>
              <w:rPr>
                <w:rFonts w:hint="eastAsia" w:asciiTheme="minorEastAsia" w:hAnsiTheme="minorEastAsia" w:eastAsiaTheme="minorEastAsia"/>
                <w:color w:val="auto"/>
                <w:szCs w:val="21"/>
                <w:highlight w:val="none"/>
                <w:lang w:eastAsia="zh-CN"/>
              </w:rPr>
              <w:t>操作区域照明系统、取材辅助光源、紫外线定时消毒系统。</w:t>
            </w:r>
          </w:p>
          <w:p w14:paraId="4CD8504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5.台面侧面喷淋（流水冲洗台面）操作更方便、自由、清洁卫生，确保工作区更清洁。</w:t>
            </w:r>
          </w:p>
          <w:p w14:paraId="58ADDCB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6.台面单向3度倾斜，便于水流自然排除，工作区域特殊设计的导波槽，避免取材时打湿衣袖。</w:t>
            </w:r>
          </w:p>
          <w:p w14:paraId="6BF181F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7.独特的一体化水池可以满足清洗大体标本。</w:t>
            </w:r>
          </w:p>
          <w:p w14:paraId="04BF2C8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8.预装大体标本摄像系统摄像机位和显示器安装位。</w:t>
            </w:r>
          </w:p>
          <w:p w14:paraId="65CD64A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9.具备粉碎机、手动感应控制出水(冷热水可调节)，避免感染风险。</w:t>
            </w:r>
          </w:p>
          <w:p w14:paraId="05A4CF8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10.可调速低噪音风机，左右两侧可伸缩玻璃墙板。</w:t>
            </w:r>
          </w:p>
          <w:p w14:paraId="16CA9E9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11.外形尺寸（mm)：1800（长）×1950（高）×800（宽）±50mm，或根据现场定制尺寸</w:t>
            </w:r>
            <w:r>
              <w:rPr>
                <w:rFonts w:hint="eastAsia" w:hAnsiTheme="minorEastAsia"/>
                <w:color w:val="auto"/>
                <w:szCs w:val="21"/>
                <w:highlight w:val="none"/>
                <w:lang w:eastAsia="zh-CN"/>
              </w:rPr>
              <w:t>。</w:t>
            </w:r>
          </w:p>
          <w:p w14:paraId="4CF0B5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12.电源：220±10% 50HZ,功率：1800W</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重量：165kg±10kg</w:t>
            </w:r>
          </w:p>
          <w:p w14:paraId="17B22BA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13.根据</w:t>
            </w:r>
            <w:r>
              <w:rPr>
                <w:rFonts w:hint="eastAsia" w:hAnsiTheme="minorEastAsia"/>
                <w:color w:val="auto"/>
                <w:szCs w:val="21"/>
                <w:highlight w:val="none"/>
                <w:lang w:eastAsia="zh-CN"/>
              </w:rPr>
              <w:t>采购人</w:t>
            </w:r>
            <w:r>
              <w:rPr>
                <w:rFonts w:hint="eastAsia" w:asciiTheme="minorEastAsia" w:hAnsiTheme="minorEastAsia" w:eastAsiaTheme="minorEastAsia"/>
                <w:color w:val="auto"/>
                <w:szCs w:val="21"/>
                <w:highlight w:val="none"/>
                <w:lang w:eastAsia="zh-CN"/>
              </w:rPr>
              <w:t>要求进行安装。</w:t>
            </w:r>
          </w:p>
        </w:tc>
      </w:tr>
      <w:tr w14:paraId="18FD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604F86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102" w:type="dxa"/>
            <w:vAlign w:val="center"/>
          </w:tcPr>
          <w:p w14:paraId="2DEB70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蜡块柜</w:t>
            </w:r>
          </w:p>
        </w:tc>
        <w:tc>
          <w:tcPr>
            <w:tcW w:w="737" w:type="dxa"/>
            <w:vAlign w:val="center"/>
          </w:tcPr>
          <w:p w14:paraId="5AE218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88" w:type="dxa"/>
            <w:vAlign w:val="center"/>
          </w:tcPr>
          <w:p w14:paraId="5DDCB5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组</w:t>
            </w:r>
          </w:p>
        </w:tc>
        <w:tc>
          <w:tcPr>
            <w:tcW w:w="931" w:type="dxa"/>
            <w:shd w:val="clear" w:color="auto" w:fill="auto"/>
            <w:vAlign w:val="center"/>
          </w:tcPr>
          <w:p w14:paraId="674726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4500</w:t>
            </w:r>
          </w:p>
        </w:tc>
        <w:tc>
          <w:tcPr>
            <w:tcW w:w="680" w:type="dxa"/>
            <w:shd w:val="clear" w:color="auto" w:fill="auto"/>
            <w:vAlign w:val="center"/>
          </w:tcPr>
          <w:p w14:paraId="0D46D8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4BF3006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整组规格：高1625*宽450*深500mm±50mm（高度含底座）</w:t>
            </w:r>
          </w:p>
          <w:p w14:paraId="1D433F8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2</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单节规格：高390*宽450*深500mm±50mm</w:t>
            </w:r>
          </w:p>
          <w:p w14:paraId="2FCC748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3</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可容纳量：一组为4节，每节6个抽屉，每组可存放约16400块标准包埋盒蜡块。</w:t>
            </w:r>
          </w:p>
          <w:p w14:paraId="2262398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4</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柜体采用优质冷轧钢板，经激光、数控设备加工成型，表面经自动流水线除锈、除油、酸洗、水洗等九工位处理。</w:t>
            </w:r>
          </w:p>
          <w:p w14:paraId="1AF895E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5</w:t>
            </w:r>
            <w:r>
              <w:rPr>
                <w:rFonts w:hint="eastAsia" w:hAnsi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t>每节柜体自带门锁，表面静电喷塑十一工位处理，顶包侧工艺，整体美观大方。</w:t>
            </w:r>
          </w:p>
          <w:p w14:paraId="52DA444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抽屉采用最新连体滑道模具冲压成型，具有自动归位功能，抽屉载重量大，抽拉使用起来不费力，轻松。</w:t>
            </w:r>
          </w:p>
          <w:p w14:paraId="689EDDF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底座采用不锈钢材质，耐腐蚀能力强，使用寿命长，经久耐用。</w:t>
            </w:r>
          </w:p>
          <w:p w14:paraId="4BE7D3C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起始点配高强度滑轮，抽屉推拉顺畅。同时防止抽屉拉出来过长造成意外跌落。</w:t>
            </w:r>
          </w:p>
          <w:p w14:paraId="4801A78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配高弹性减震垫，可使抽屉关闭时减轻与柜体的碰撞，同时使噪音减少至最低限度。</w:t>
            </w:r>
          </w:p>
        </w:tc>
      </w:tr>
      <w:tr w14:paraId="3ACB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646462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102" w:type="dxa"/>
            <w:vAlign w:val="center"/>
          </w:tcPr>
          <w:p w14:paraId="0F64DD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玻片柜</w:t>
            </w:r>
          </w:p>
        </w:tc>
        <w:tc>
          <w:tcPr>
            <w:tcW w:w="737" w:type="dxa"/>
            <w:vAlign w:val="center"/>
          </w:tcPr>
          <w:p w14:paraId="07FB53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88" w:type="dxa"/>
            <w:vAlign w:val="center"/>
          </w:tcPr>
          <w:p w14:paraId="3E11BF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组</w:t>
            </w:r>
          </w:p>
        </w:tc>
        <w:tc>
          <w:tcPr>
            <w:tcW w:w="931" w:type="dxa"/>
            <w:shd w:val="clear" w:color="auto" w:fill="auto"/>
            <w:vAlign w:val="center"/>
          </w:tcPr>
          <w:p w14:paraId="32F972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4400</w:t>
            </w:r>
          </w:p>
        </w:tc>
        <w:tc>
          <w:tcPr>
            <w:tcW w:w="680" w:type="dxa"/>
            <w:shd w:val="clear" w:color="auto" w:fill="auto"/>
            <w:vAlign w:val="center"/>
          </w:tcPr>
          <w:p w14:paraId="1980C0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1B4F281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整组规格：高1625*宽450*深500mm±50mm（高度含底座）</w:t>
            </w:r>
          </w:p>
          <w:p w14:paraId="495F87E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单节规格：高390*宽450*深500mm±50mm</w:t>
            </w:r>
          </w:p>
          <w:p w14:paraId="4E872CF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可容纳量：一组为4节，每节18个抽屉，每组可存放约65000块标准病理切片。</w:t>
            </w:r>
          </w:p>
          <w:p w14:paraId="046B7F9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柜体采用优质冷轧钢板，经激光、数控设备加工成型，表面经自动流水线除锈、除油、酸洗、水洗等九工位处理。</w:t>
            </w:r>
          </w:p>
          <w:p w14:paraId="6B3D369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每节柜体自带门锁，表面静电喷塑十一工位处理，顶包侧工艺，整体美观大方。</w:t>
            </w:r>
          </w:p>
          <w:p w14:paraId="2B01B08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抽屉采用最新连体滑道模具冲压成型，载重量大，使用起来不费力，轻松，具有自动归位功能。</w:t>
            </w:r>
          </w:p>
          <w:p w14:paraId="0AA82EE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每个抽屉四等分，可竖放标准玻片四列，存储量大，且方便分类管理。</w:t>
            </w:r>
          </w:p>
          <w:p w14:paraId="2399CF5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起始点配高强度滑轮，抽屉推拉顺畅。同时防止抽屉拉出来过长造成意外跌落。</w:t>
            </w:r>
          </w:p>
          <w:p w14:paraId="6F55C03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另配高弹性减震垫，可使抽屉关闭时减轻与柜体的碰撞，同时使噪音减少至最低限度。</w:t>
            </w:r>
          </w:p>
          <w:p w14:paraId="094C2A4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底座采用不锈钢材质，耐腐蚀能力强，使用寿命长，经久耐用。</w:t>
            </w:r>
          </w:p>
        </w:tc>
      </w:tr>
      <w:tr w14:paraId="2556D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64A3C9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102" w:type="dxa"/>
            <w:vAlign w:val="center"/>
          </w:tcPr>
          <w:p w14:paraId="380B57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全自动单独滴染HE染色机</w:t>
            </w:r>
          </w:p>
        </w:tc>
        <w:tc>
          <w:tcPr>
            <w:tcW w:w="737" w:type="dxa"/>
            <w:vAlign w:val="center"/>
          </w:tcPr>
          <w:p w14:paraId="2F5A87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345610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062093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28000</w:t>
            </w:r>
          </w:p>
        </w:tc>
        <w:tc>
          <w:tcPr>
            <w:tcW w:w="680" w:type="dxa"/>
            <w:shd w:val="clear" w:color="auto" w:fill="auto"/>
            <w:vAlign w:val="center"/>
          </w:tcPr>
          <w:p w14:paraId="32FEEF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4CBCAF7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标本进去机器后机器自动烤片、脱蜡、染色、透明、盖片的全自动染封工作站，染色过程采用滴染方式染色，避免试剂交叉污染确保染色效果均一恒定。</w:t>
            </w:r>
          </w:p>
          <w:p w14:paraId="61F0B6C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▲体积小，机器宽度≤1.2m，可适应各种场地环境。</w:t>
            </w:r>
          </w:p>
          <w:p w14:paraId="10F2EF3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功能：用于病理组织切片的滴染染色+盖片。</w:t>
            </w:r>
          </w:p>
          <w:p w14:paraId="534EF9D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eastAsia="zh-CN"/>
              </w:rPr>
              <w:t>▲仪器内全自动完成染色的全过程，自动完成封片过程，无需人员介入。</w:t>
            </w:r>
          </w:p>
          <w:p w14:paraId="507F176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5.</w:t>
            </w:r>
            <w:r>
              <w:rPr>
                <w:rFonts w:hint="eastAsia" w:asciiTheme="minorEastAsia" w:hAnsiTheme="minorEastAsia" w:eastAsiaTheme="minorEastAsia"/>
                <w:color w:val="auto"/>
                <w:szCs w:val="21"/>
                <w:highlight w:val="none"/>
                <w:lang w:eastAsia="zh-CN"/>
              </w:rPr>
              <w:t>模块化结构设计：包含染色模块的自动烤片、脱蜡、染色、脱水、透明及盖片模块。</w:t>
            </w:r>
          </w:p>
          <w:p w14:paraId="3B100C1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6.</w:t>
            </w:r>
            <w:r>
              <w:rPr>
                <w:rFonts w:hint="eastAsia" w:asciiTheme="minorEastAsia" w:hAnsiTheme="minorEastAsia" w:eastAsiaTheme="minorEastAsia"/>
                <w:color w:val="auto"/>
                <w:szCs w:val="21"/>
                <w:highlight w:val="none"/>
                <w:lang w:eastAsia="zh-CN"/>
              </w:rPr>
              <w:t>预设多种染色程序，每套程序可设置100个步骤，每个步骤设置时间：1秒—59分59秒。</w:t>
            </w:r>
          </w:p>
          <w:p w14:paraId="0FEDD47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7.</w:t>
            </w:r>
            <w:r>
              <w:rPr>
                <w:rFonts w:hint="eastAsia" w:asciiTheme="minorEastAsia" w:hAnsiTheme="minorEastAsia" w:eastAsiaTheme="minorEastAsia"/>
                <w:color w:val="auto"/>
                <w:szCs w:val="21"/>
                <w:highlight w:val="none"/>
                <w:lang w:eastAsia="zh-CN"/>
              </w:rPr>
              <w:t>滴染染色+盖片模式、单独滴染染色模式、单独盖片模式，三种模式自由选择。</w:t>
            </w:r>
          </w:p>
          <w:p w14:paraId="2675196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8.</w:t>
            </w:r>
            <w:r>
              <w:rPr>
                <w:rFonts w:hint="eastAsia" w:asciiTheme="minorEastAsia" w:hAnsiTheme="minorEastAsia" w:eastAsiaTheme="minorEastAsia"/>
                <w:color w:val="auto"/>
                <w:szCs w:val="21"/>
                <w:highlight w:val="none"/>
                <w:lang w:eastAsia="zh-CN"/>
              </w:rPr>
              <w:t>配置专属电脑，实时显示染色位和染色进度。电脑采用windows系统多线程任务调度。</w:t>
            </w:r>
          </w:p>
          <w:p w14:paraId="6B7C6D9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9.</w:t>
            </w:r>
            <w:r>
              <w:rPr>
                <w:rFonts w:hint="eastAsia" w:asciiTheme="minorEastAsia" w:hAnsiTheme="minorEastAsia" w:eastAsiaTheme="minorEastAsia"/>
                <w:color w:val="auto"/>
                <w:szCs w:val="21"/>
                <w:highlight w:val="none"/>
                <w:lang w:eastAsia="zh-CN"/>
              </w:rPr>
              <w:t>单独滴染式试剂染色：每张切片滴加新鲜试剂，避免交叉污染，确保第一张载玻片和最后一张载玻片相同的质量。</w:t>
            </w:r>
          </w:p>
          <w:p w14:paraId="0C8365D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10.</w:t>
            </w:r>
            <w:r>
              <w:rPr>
                <w:rFonts w:hint="eastAsia" w:asciiTheme="minorEastAsia" w:hAnsiTheme="minorEastAsia" w:eastAsiaTheme="minorEastAsia"/>
                <w:color w:val="auto"/>
                <w:szCs w:val="21"/>
                <w:highlight w:val="none"/>
                <w:lang w:eastAsia="zh-CN"/>
              </w:rPr>
              <w:t>▲配套环保试剂、环保胶，不含二甲苯等有害试剂，染色部分多通道染色，染色效率高，染色质量好。</w:t>
            </w:r>
          </w:p>
          <w:p w14:paraId="0CFEF4C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11.</w:t>
            </w:r>
            <w:r>
              <w:rPr>
                <w:rFonts w:hint="eastAsia" w:asciiTheme="minorEastAsia" w:hAnsiTheme="minorEastAsia" w:eastAsiaTheme="minorEastAsia"/>
                <w:color w:val="auto"/>
                <w:szCs w:val="21"/>
                <w:highlight w:val="none"/>
                <w:lang w:eastAsia="zh-CN"/>
              </w:rPr>
              <w:t>双机械臂设计，提高工作效率。</w:t>
            </w:r>
          </w:p>
          <w:p w14:paraId="45A611B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12.</w:t>
            </w:r>
            <w:r>
              <w:rPr>
                <w:rFonts w:hint="eastAsia" w:asciiTheme="minorEastAsia" w:hAnsiTheme="minorEastAsia" w:eastAsiaTheme="minorEastAsia"/>
                <w:color w:val="auto"/>
                <w:szCs w:val="21"/>
                <w:highlight w:val="none"/>
                <w:lang w:eastAsia="zh-CN"/>
              </w:rPr>
              <w:t>封片部分针头自动浸泡，自动喷胶。</w:t>
            </w:r>
          </w:p>
          <w:p w14:paraId="3C72334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13.</w:t>
            </w:r>
            <w:r>
              <w:rPr>
                <w:rFonts w:hint="eastAsia" w:asciiTheme="minorEastAsia" w:hAnsiTheme="minorEastAsia" w:eastAsiaTheme="minorEastAsia"/>
                <w:color w:val="auto"/>
                <w:szCs w:val="21"/>
                <w:highlight w:val="none"/>
                <w:lang w:eastAsia="zh-CN"/>
              </w:rPr>
              <w:t>设备全自动清洗管道，填充管道。</w:t>
            </w:r>
          </w:p>
          <w:p w14:paraId="6601562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14.</w:t>
            </w:r>
            <w:r>
              <w:rPr>
                <w:rFonts w:hint="eastAsia" w:asciiTheme="minorEastAsia" w:hAnsiTheme="minorEastAsia" w:eastAsiaTheme="minorEastAsia"/>
                <w:color w:val="auto"/>
                <w:szCs w:val="21"/>
                <w:highlight w:val="none"/>
                <w:lang w:eastAsia="zh-CN"/>
              </w:rPr>
              <w:t>双层加载面板灵活多变，120片同时染色，可连续加载组织。</w:t>
            </w:r>
          </w:p>
          <w:p w14:paraId="36BF4F0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15.</w:t>
            </w:r>
            <w:r>
              <w:rPr>
                <w:rFonts w:hint="eastAsia" w:asciiTheme="minorEastAsia" w:hAnsiTheme="minorEastAsia" w:eastAsiaTheme="minorEastAsia"/>
                <w:color w:val="auto"/>
                <w:szCs w:val="21"/>
                <w:highlight w:val="none"/>
                <w:lang w:eastAsia="zh-CN"/>
              </w:rPr>
              <w:t>染色臂双试剂喷头，可同时处理2张组织，染色效率高速度快。</w:t>
            </w:r>
          </w:p>
          <w:p w14:paraId="5E009E2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16.</w:t>
            </w:r>
            <w:r>
              <w:rPr>
                <w:rFonts w:hint="eastAsia" w:asciiTheme="minorEastAsia" w:hAnsiTheme="minorEastAsia" w:eastAsiaTheme="minorEastAsia"/>
                <w:color w:val="auto"/>
                <w:szCs w:val="21"/>
                <w:highlight w:val="none"/>
                <w:lang w:eastAsia="zh-CN"/>
              </w:rPr>
              <w:t>▲托盘形式上载，单个托盘20片容量，对应科室量片板。</w:t>
            </w:r>
          </w:p>
          <w:p w14:paraId="2DBC99F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17.</w:t>
            </w:r>
            <w:r>
              <w:rPr>
                <w:rFonts w:hint="eastAsia" w:asciiTheme="minorEastAsia" w:hAnsiTheme="minorEastAsia" w:eastAsiaTheme="minorEastAsia"/>
                <w:color w:val="auto"/>
                <w:szCs w:val="21"/>
                <w:highlight w:val="none"/>
                <w:lang w:eastAsia="zh-CN"/>
              </w:rPr>
              <w:t>传统玻璃盖片，喷剂档位无极可调，喷剂均匀无气泡。</w:t>
            </w:r>
          </w:p>
          <w:p w14:paraId="3B20465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18.</w:t>
            </w:r>
            <w:r>
              <w:rPr>
                <w:rFonts w:hint="eastAsia" w:asciiTheme="minorEastAsia" w:hAnsiTheme="minorEastAsia" w:eastAsiaTheme="minorEastAsia"/>
                <w:color w:val="auto"/>
                <w:szCs w:val="21"/>
                <w:highlight w:val="none"/>
                <w:lang w:eastAsia="zh-CN"/>
              </w:rPr>
              <w:t>智能恒温加热板保障脱蜡及着色效果。</w:t>
            </w:r>
          </w:p>
          <w:p w14:paraId="7177EE0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19.</w:t>
            </w:r>
            <w:r>
              <w:rPr>
                <w:rFonts w:hint="eastAsia" w:asciiTheme="minorEastAsia" w:hAnsiTheme="minorEastAsia" w:eastAsiaTheme="minorEastAsia"/>
                <w:color w:val="auto"/>
                <w:szCs w:val="21"/>
                <w:highlight w:val="none"/>
                <w:lang w:eastAsia="zh-CN"/>
              </w:rPr>
              <w:t>烤片温度范围：室温～100℃。</w:t>
            </w:r>
          </w:p>
          <w:p w14:paraId="32BA6C6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20.</w:t>
            </w:r>
            <w:r>
              <w:rPr>
                <w:rFonts w:hint="eastAsia" w:asciiTheme="minorEastAsia" w:hAnsiTheme="minorEastAsia" w:eastAsiaTheme="minorEastAsia"/>
                <w:color w:val="auto"/>
                <w:szCs w:val="21"/>
                <w:highlight w:val="none"/>
                <w:lang w:eastAsia="zh-CN"/>
              </w:rPr>
              <w:t>自动试剂管理：试剂不足提前预警，提醒及时更换试剂。</w:t>
            </w:r>
          </w:p>
          <w:p w14:paraId="08F52B6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21.</w:t>
            </w:r>
            <w:r>
              <w:rPr>
                <w:rFonts w:hint="eastAsia" w:asciiTheme="minorEastAsia" w:hAnsiTheme="minorEastAsia" w:eastAsiaTheme="minorEastAsia"/>
                <w:color w:val="auto"/>
                <w:szCs w:val="21"/>
                <w:highlight w:val="none"/>
                <w:lang w:eastAsia="zh-CN"/>
              </w:rPr>
              <w:t>具备质量控制功能，实时记录每天工作量。</w:t>
            </w:r>
          </w:p>
          <w:p w14:paraId="310C296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22.</w:t>
            </w:r>
            <w:r>
              <w:rPr>
                <w:rFonts w:hint="eastAsia" w:asciiTheme="minorEastAsia" w:hAnsiTheme="minorEastAsia" w:eastAsiaTheme="minorEastAsia"/>
                <w:color w:val="auto"/>
                <w:szCs w:val="21"/>
                <w:highlight w:val="none"/>
                <w:lang w:eastAsia="zh-CN"/>
              </w:rPr>
              <w:t>远程智能监控：具有远程报警、远程监控功能，可以通过网页、微信小程序、APP三个方式进行监控，实时了解设备运行状态，配置USB接口，可导出Excel的质量控制表。</w:t>
            </w:r>
          </w:p>
          <w:p w14:paraId="3A23BF7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23.</w:t>
            </w:r>
            <w:r>
              <w:rPr>
                <w:rFonts w:hint="eastAsia" w:asciiTheme="minorEastAsia" w:hAnsiTheme="minorEastAsia" w:eastAsiaTheme="minorEastAsia"/>
                <w:color w:val="auto"/>
                <w:szCs w:val="21"/>
                <w:highlight w:val="none"/>
                <w:lang w:eastAsia="zh-CN"/>
              </w:rPr>
              <w:t>适用盖玻片规格：24×40-60mm。</w:t>
            </w:r>
          </w:p>
          <w:p w14:paraId="4E5E365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hAnsiTheme="minorEastAsia"/>
                <w:color w:val="auto"/>
                <w:szCs w:val="21"/>
                <w:highlight w:val="none"/>
                <w:lang w:val="en-US" w:eastAsia="zh-CN"/>
              </w:rPr>
              <w:t>24.</w:t>
            </w:r>
            <w:r>
              <w:rPr>
                <w:rFonts w:hint="eastAsia" w:asciiTheme="minorEastAsia" w:hAnsiTheme="minorEastAsia" w:eastAsiaTheme="minorEastAsia"/>
                <w:color w:val="auto"/>
                <w:szCs w:val="21"/>
                <w:highlight w:val="none"/>
                <w:lang w:eastAsia="zh-CN"/>
              </w:rPr>
              <w:t>盖片方式采用圆弧压片，减少气泡产生。</w:t>
            </w:r>
          </w:p>
        </w:tc>
      </w:tr>
      <w:tr w14:paraId="0DFB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044832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102" w:type="dxa"/>
            <w:vAlign w:val="center"/>
          </w:tcPr>
          <w:p w14:paraId="592080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玻片扫描影像分析系统</w:t>
            </w:r>
          </w:p>
        </w:tc>
        <w:tc>
          <w:tcPr>
            <w:tcW w:w="737" w:type="dxa"/>
            <w:vAlign w:val="center"/>
          </w:tcPr>
          <w:p w14:paraId="1111FB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41CB64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931" w:type="dxa"/>
            <w:shd w:val="clear" w:color="auto" w:fill="auto"/>
            <w:vAlign w:val="center"/>
          </w:tcPr>
          <w:p w14:paraId="2B4F05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28000</w:t>
            </w:r>
          </w:p>
        </w:tc>
        <w:tc>
          <w:tcPr>
            <w:tcW w:w="680" w:type="dxa"/>
            <w:shd w:val="clear" w:color="auto" w:fill="auto"/>
            <w:vAlign w:val="center"/>
          </w:tcPr>
          <w:p w14:paraId="241BBF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1FB770B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一、</w:t>
            </w:r>
            <w:r>
              <w:rPr>
                <w:rFonts w:hint="eastAsia" w:asciiTheme="minorEastAsia" w:hAnsiTheme="minorEastAsia" w:eastAsiaTheme="minorEastAsia"/>
                <w:b/>
                <w:bCs/>
                <w:color w:val="auto"/>
                <w:szCs w:val="21"/>
                <w:highlight w:val="none"/>
                <w:lang w:val="en-US" w:eastAsia="zh-CN"/>
              </w:rPr>
              <w:t>基本需求：</w:t>
            </w:r>
          </w:p>
          <w:p w14:paraId="4C3A527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设备采用一体式外型设计，防尘、防潮及防干扰光。</w:t>
            </w:r>
          </w:p>
          <w:p w14:paraId="6AE6618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▲仪器采用同时装载1片载物平台设计，平台采用X,Y,Z三轴设计，其中X轴，Y轴精度&lt;=0.2um</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Z轴精度&lt;=0.05um</w:t>
            </w:r>
            <w:r>
              <w:rPr>
                <w:rFonts w:hint="eastAsia" w:hAnsiTheme="minorEastAsia"/>
                <w:color w:val="auto"/>
                <w:szCs w:val="21"/>
                <w:highlight w:val="none"/>
                <w:lang w:val="en-US" w:eastAsia="zh-CN"/>
              </w:rPr>
              <w:t>。</w:t>
            </w:r>
          </w:p>
          <w:p w14:paraId="507C099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具有自动上下片功能，仪器配套有30片玻片夹，一次性可以装载30片玻片，进行无人值守扫描，通过楼层和推杆实现自动上下玻片扫描功能</w:t>
            </w:r>
          </w:p>
          <w:p w14:paraId="29E02CF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光学系统为无限远色差校正光学系统，超高亮度LED照明和摇出式消色差聚光镜(N.A.0.9)；20X平场复消色差物镜。</w:t>
            </w:r>
          </w:p>
          <w:p w14:paraId="3EB16E9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具备高清工业相机，1.1英寸，分辨率</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4112×3008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像元尺寸：3.45um；帧速率</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30fps</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传输接口</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Micro USB3.1 Gen1接口、最大带宽5.0Gbps</w:t>
            </w:r>
            <w:r>
              <w:rPr>
                <w:rFonts w:hint="eastAsia" w:hAnsiTheme="minorEastAsia"/>
                <w:color w:val="auto"/>
                <w:szCs w:val="21"/>
                <w:highlight w:val="none"/>
                <w:lang w:val="en-US" w:eastAsia="zh-CN"/>
              </w:rPr>
              <w:t>；</w:t>
            </w:r>
          </w:p>
          <w:p w14:paraId="336FAB1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扫描速度：20X，15mmX15mm</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全视野扫描时间</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65S</w:t>
            </w:r>
            <w:r>
              <w:rPr>
                <w:rFonts w:hint="eastAsia" w:hAnsiTheme="minorEastAsia"/>
                <w:color w:val="auto"/>
                <w:szCs w:val="21"/>
                <w:highlight w:val="none"/>
                <w:lang w:val="en-US" w:eastAsia="zh-CN"/>
              </w:rPr>
              <w:t>；</w:t>
            </w:r>
          </w:p>
          <w:p w14:paraId="043721F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具备自动区域和条码识别，系统可对切片分布区域及条形码信息自动读取，保证扫描数据与标本一一对应。</w:t>
            </w:r>
          </w:p>
          <w:p w14:paraId="40F1424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通过质控玻片进行质控，同时可以通过网络远程质控，云端质控。</w:t>
            </w:r>
          </w:p>
          <w:p w14:paraId="5328D03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全视野扫描完成后，形成4倍到80倍全范围自由缩放数字切片，并能够在数字切片上自动标识出病变位置，病变等级，达到快速定位辅助诊断的功能。</w:t>
            </w:r>
          </w:p>
          <w:p w14:paraId="6B34E34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系统具备全自动DNA定量分析功能，结果显示全片细胞数量、二倍体细胞数量、疑似病变细胞数量、病变细胞数量，同时具备液基细胞学(TCT)人工智能辅助诊断，数字切片远程上传，远程会诊，远程报告的功能。</w:t>
            </w:r>
          </w:p>
          <w:p w14:paraId="06803F0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扫描系统自动区分组织片或者细胞片，自动识别需要扫描区域，自动定位聚焦位置，自动计算聚焦面，自动全视野扫描，自动形成数字切片，自动分析的功能。</w:t>
            </w:r>
          </w:p>
          <w:p w14:paraId="26599F4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全自动彩色图文报告，支持DNA定量分析和液基细胞学(TCT)双报告，全自动多样本同时打印功能，多种打印模式及PDF报告自动存储。</w:t>
            </w:r>
          </w:p>
          <w:p w14:paraId="0D434DC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支持切片自动定位复核，和原始图复核双重复核功能，可以随意切换倍数。</w:t>
            </w:r>
          </w:p>
          <w:p w14:paraId="4110A48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支持切片浏览，标注，多切片同步浏览，颜色调整等功能。提供局域网多点工位复核发报告网络系统</w:t>
            </w:r>
          </w:p>
          <w:p w14:paraId="0A085A9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适用样本范围：支持宫颈细胞，痰液，胸水，腹水，口腔细胞，尿液样本的DNA定量分析。</w:t>
            </w:r>
          </w:p>
          <w:p w14:paraId="68165EC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▲提供远程复核、会诊系统，HIS、LIS等系统的对接技术支持。</w:t>
            </w:r>
          </w:p>
          <w:p w14:paraId="21348F8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需配置高性能计算机一套</w:t>
            </w:r>
          </w:p>
          <w:p w14:paraId="2C42284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▲配套前处理技术要求</w:t>
            </w:r>
          </w:p>
          <w:p w14:paraId="01DE292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18.1提供专用全自动特殊染色机，染色时间在45分钟以内。</w:t>
            </w:r>
          </w:p>
          <w:p w14:paraId="78D0657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18.2配套化学试剂仅需磷酸和无水乙醇</w:t>
            </w:r>
          </w:p>
          <w:p w14:paraId="6D6EDFA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18.3提供配套自动制片方式</w:t>
            </w:r>
          </w:p>
          <w:p w14:paraId="28E3678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b/>
                <w:bCs/>
                <w:color w:val="auto"/>
                <w:szCs w:val="21"/>
                <w:highlight w:val="none"/>
                <w:lang w:val="en-US" w:eastAsia="zh-CN"/>
              </w:rPr>
            </w:pPr>
            <w:bookmarkStart w:id="19" w:name="_Toc15216"/>
            <w:r>
              <w:rPr>
                <w:rFonts w:hint="eastAsia" w:hAnsiTheme="minorEastAsia"/>
                <w:b/>
                <w:bCs/>
                <w:color w:val="auto"/>
                <w:szCs w:val="21"/>
                <w:highlight w:val="none"/>
                <w:lang w:val="en-US" w:eastAsia="zh-CN"/>
              </w:rPr>
              <w:t>二、</w:t>
            </w:r>
            <w:r>
              <w:rPr>
                <w:rFonts w:hint="eastAsia" w:asciiTheme="minorEastAsia" w:hAnsiTheme="minorEastAsia" w:eastAsiaTheme="minorEastAsia"/>
                <w:b/>
                <w:bCs/>
                <w:color w:val="auto"/>
                <w:szCs w:val="21"/>
                <w:highlight w:val="none"/>
                <w:lang w:val="en-US" w:eastAsia="zh-CN"/>
              </w:rPr>
              <w:t>软件</w:t>
            </w:r>
            <w:bookmarkEnd w:id="19"/>
            <w:r>
              <w:rPr>
                <w:rFonts w:hint="eastAsia" w:asciiTheme="minorEastAsia" w:hAnsiTheme="minorEastAsia" w:eastAsiaTheme="minorEastAsia"/>
                <w:b/>
                <w:bCs/>
                <w:color w:val="auto"/>
                <w:szCs w:val="21"/>
                <w:highlight w:val="none"/>
                <w:lang w:val="en-US" w:eastAsia="zh-CN"/>
              </w:rPr>
              <w:t>需求：</w:t>
            </w:r>
          </w:p>
          <w:p w14:paraId="728B591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bookmarkStart w:id="20" w:name="_Toc25075"/>
            <w:r>
              <w:rPr>
                <w:rFonts w:hint="eastAsia" w:hAnsiTheme="minorEastAsia"/>
                <w:color w:val="auto"/>
                <w:szCs w:val="21"/>
                <w:highlight w:val="none"/>
                <w:lang w:val="en-US" w:eastAsia="zh-CN"/>
              </w:rPr>
              <w:t>1.</w:t>
            </w:r>
            <w:r>
              <w:rPr>
                <w:rFonts w:hint="eastAsia" w:asciiTheme="minorEastAsia" w:hAnsiTheme="minorEastAsia" w:eastAsiaTheme="minorEastAsia"/>
                <w:color w:val="auto"/>
                <w:szCs w:val="21"/>
                <w:highlight w:val="none"/>
                <w:lang w:val="en-US" w:eastAsia="zh-CN"/>
              </w:rPr>
              <w:t>扫描控制软件模块</w:t>
            </w:r>
            <w:bookmarkEnd w:id="20"/>
          </w:p>
          <w:p w14:paraId="45A632E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（1）</w:t>
            </w:r>
            <w:r>
              <w:rPr>
                <w:rFonts w:hint="eastAsia" w:asciiTheme="minorEastAsia" w:hAnsiTheme="minorEastAsia" w:eastAsiaTheme="minorEastAsia"/>
                <w:color w:val="auto"/>
                <w:szCs w:val="21"/>
                <w:highlight w:val="none"/>
                <w:lang w:val="en-US" w:eastAsia="zh-CN"/>
              </w:rPr>
              <w:t>对标本片扫描全自动和智能控制，快速、稳定地完成扫描，拼接成为全景数字切片。</w:t>
            </w:r>
          </w:p>
          <w:p w14:paraId="44A10A2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（2）</w:t>
            </w:r>
            <w:r>
              <w:rPr>
                <w:rFonts w:hint="eastAsia" w:asciiTheme="minorEastAsia" w:hAnsiTheme="minorEastAsia" w:eastAsiaTheme="minorEastAsia"/>
                <w:color w:val="auto"/>
                <w:szCs w:val="21"/>
                <w:highlight w:val="none"/>
                <w:lang w:val="en-US" w:eastAsia="zh-CN"/>
              </w:rPr>
              <w:t>可根据需要进行扫描参数设置（扫描区域等）。</w:t>
            </w:r>
          </w:p>
          <w:p w14:paraId="0FD923D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（3）</w:t>
            </w:r>
            <w:r>
              <w:rPr>
                <w:rFonts w:hint="eastAsia" w:asciiTheme="minorEastAsia" w:hAnsiTheme="minorEastAsia" w:eastAsiaTheme="minorEastAsia"/>
                <w:color w:val="auto"/>
                <w:szCs w:val="21"/>
                <w:highlight w:val="none"/>
                <w:lang w:val="en-US" w:eastAsia="zh-CN"/>
              </w:rPr>
              <w:t>可根据需要支持多种类型细胞标本的检测，如：涂片（或印片）、甩片、滴片等。</w:t>
            </w:r>
          </w:p>
          <w:p w14:paraId="4C061D4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（4）</w:t>
            </w:r>
            <w:r>
              <w:rPr>
                <w:rFonts w:hint="eastAsia" w:asciiTheme="minorEastAsia" w:hAnsiTheme="minorEastAsia" w:eastAsiaTheme="minorEastAsia"/>
                <w:color w:val="auto"/>
                <w:szCs w:val="21"/>
                <w:highlight w:val="none"/>
                <w:lang w:val="en-US" w:eastAsia="zh-CN"/>
              </w:rPr>
              <w:t xml:space="preserve">记忆细胞位置，便于医生通过控制软件，对每个细胞可以重新定位。 </w:t>
            </w:r>
          </w:p>
          <w:p w14:paraId="42C2AF0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（5）</w:t>
            </w:r>
            <w:r>
              <w:rPr>
                <w:rFonts w:hint="eastAsia" w:asciiTheme="minorEastAsia" w:hAnsiTheme="minorEastAsia" w:eastAsiaTheme="minorEastAsia"/>
                <w:color w:val="auto"/>
                <w:szCs w:val="21"/>
                <w:highlight w:val="none"/>
                <w:lang w:val="en-US" w:eastAsia="zh-CN"/>
              </w:rPr>
              <w:t>用户可通过病理远程会诊云平台传输全景数字切片进行远程会诊。</w:t>
            </w:r>
          </w:p>
          <w:p w14:paraId="1D1CBD9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bookmarkStart w:id="21" w:name="_Toc11399"/>
            <w:r>
              <w:rPr>
                <w:rFonts w:hint="eastAsia" w:hAnsiTheme="minorEastAsia"/>
                <w:color w:val="auto"/>
                <w:szCs w:val="21"/>
                <w:highlight w:val="none"/>
                <w:lang w:val="en-US" w:eastAsia="zh-CN"/>
              </w:rPr>
              <w:t>2.</w:t>
            </w:r>
            <w:r>
              <w:rPr>
                <w:rFonts w:hint="eastAsia" w:asciiTheme="minorEastAsia" w:hAnsiTheme="minorEastAsia" w:eastAsiaTheme="minorEastAsia"/>
                <w:color w:val="auto"/>
                <w:szCs w:val="21"/>
                <w:highlight w:val="none"/>
                <w:lang w:val="en-US" w:eastAsia="zh-CN"/>
              </w:rPr>
              <w:t>实验室信息管理系统模块</w:t>
            </w:r>
            <w:bookmarkEnd w:id="21"/>
          </w:p>
          <w:p w14:paraId="5161CB9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（1）</w:t>
            </w:r>
            <w:r>
              <w:rPr>
                <w:rFonts w:hint="eastAsia" w:asciiTheme="minorEastAsia" w:hAnsiTheme="minorEastAsia" w:eastAsiaTheme="minorEastAsia"/>
                <w:color w:val="auto"/>
                <w:szCs w:val="21"/>
                <w:highlight w:val="none"/>
                <w:lang w:val="en-US" w:eastAsia="zh-CN"/>
              </w:rPr>
              <w:t>流程化的实验室病例管理系统：方便了解标本检测流程和进度；</w:t>
            </w:r>
          </w:p>
          <w:p w14:paraId="6C3A05E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（2）</w:t>
            </w:r>
            <w:r>
              <w:rPr>
                <w:rFonts w:hint="eastAsia" w:asciiTheme="minorEastAsia" w:hAnsiTheme="minorEastAsia" w:eastAsiaTheme="minorEastAsia"/>
                <w:color w:val="auto"/>
                <w:szCs w:val="21"/>
                <w:highlight w:val="none"/>
                <w:lang w:val="en-US" w:eastAsia="zh-CN"/>
              </w:rPr>
              <w:t>所有的诊断报告将储存在数据库中，便于查阅、复核和检索；</w:t>
            </w:r>
          </w:p>
          <w:p w14:paraId="4B7CFFD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（3）</w:t>
            </w:r>
            <w:r>
              <w:rPr>
                <w:rFonts w:hint="eastAsia" w:asciiTheme="minorEastAsia" w:hAnsiTheme="minorEastAsia" w:eastAsiaTheme="minorEastAsia"/>
                <w:color w:val="auto"/>
                <w:szCs w:val="21"/>
                <w:highlight w:val="none"/>
                <w:lang w:val="en-US" w:eastAsia="zh-CN"/>
              </w:rPr>
              <w:t>权限设置灵活，可以设置控制用户权限；</w:t>
            </w:r>
          </w:p>
          <w:p w14:paraId="749B735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（4）</w:t>
            </w:r>
            <w:r>
              <w:rPr>
                <w:rFonts w:hint="eastAsia" w:asciiTheme="minorEastAsia" w:hAnsiTheme="minorEastAsia" w:eastAsiaTheme="minorEastAsia"/>
                <w:color w:val="auto"/>
                <w:szCs w:val="21"/>
                <w:highlight w:val="none"/>
                <w:lang w:val="en-US" w:eastAsia="zh-CN"/>
              </w:rPr>
              <w:t>远程质量控制网络系统：可对每个终端系统进行集中统一的质量跟踪与管理，实现远程技术支持与质量控制。</w:t>
            </w:r>
          </w:p>
          <w:p w14:paraId="192931F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hAnsiTheme="minorEastAsia"/>
                <w:color w:val="auto"/>
                <w:szCs w:val="21"/>
                <w:highlight w:val="none"/>
                <w:lang w:val="en-US" w:eastAsia="zh-CN"/>
              </w:rPr>
              <w:t>3.</w:t>
            </w:r>
            <w:r>
              <w:rPr>
                <w:rFonts w:hint="eastAsia" w:asciiTheme="minorEastAsia" w:hAnsiTheme="minorEastAsia" w:eastAsiaTheme="minorEastAsia"/>
                <w:color w:val="auto"/>
                <w:szCs w:val="21"/>
                <w:highlight w:val="none"/>
                <w:lang w:val="en-US" w:eastAsia="zh-CN"/>
              </w:rPr>
              <w:t>配置需求：</w:t>
            </w:r>
          </w:p>
          <w:tbl>
            <w:tblPr>
              <w:tblStyle w:val="32"/>
              <w:tblW w:w="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81"/>
              <w:gridCol w:w="829"/>
              <w:gridCol w:w="656"/>
            </w:tblGrid>
            <w:tr w14:paraId="246B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9" w:type="dxa"/>
                  <w:noWrap w:val="0"/>
                  <w:vAlign w:val="center"/>
                </w:tcPr>
                <w:p w14:paraId="0FF032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序号</w:t>
                  </w:r>
                </w:p>
              </w:tc>
              <w:tc>
                <w:tcPr>
                  <w:tcW w:w="2081" w:type="dxa"/>
                  <w:noWrap w:val="0"/>
                  <w:vAlign w:val="center"/>
                </w:tcPr>
                <w:p w14:paraId="55C2B5D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名称</w:t>
                  </w:r>
                </w:p>
              </w:tc>
              <w:tc>
                <w:tcPr>
                  <w:tcW w:w="829" w:type="dxa"/>
                  <w:noWrap w:val="0"/>
                  <w:vAlign w:val="center"/>
                </w:tcPr>
                <w:p w14:paraId="0457697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单位</w:t>
                  </w:r>
                </w:p>
              </w:tc>
              <w:tc>
                <w:tcPr>
                  <w:tcW w:w="656" w:type="dxa"/>
                  <w:noWrap w:val="0"/>
                  <w:vAlign w:val="center"/>
                </w:tcPr>
                <w:p w14:paraId="04C5319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数量</w:t>
                  </w:r>
                </w:p>
              </w:tc>
            </w:tr>
            <w:tr w14:paraId="100F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12F88D4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2081" w:type="dxa"/>
                  <w:noWrap w:val="0"/>
                  <w:vAlign w:val="center"/>
                </w:tcPr>
                <w:p w14:paraId="7CEDC34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玻片扫描影像分析系统仪器</w:t>
                  </w:r>
                </w:p>
              </w:tc>
              <w:tc>
                <w:tcPr>
                  <w:tcW w:w="829" w:type="dxa"/>
                  <w:noWrap w:val="0"/>
                  <w:vAlign w:val="center"/>
                </w:tcPr>
                <w:p w14:paraId="05E03D0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台</w:t>
                  </w:r>
                </w:p>
              </w:tc>
              <w:tc>
                <w:tcPr>
                  <w:tcW w:w="656" w:type="dxa"/>
                  <w:noWrap w:val="0"/>
                  <w:vAlign w:val="center"/>
                </w:tcPr>
                <w:p w14:paraId="682222E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r>
            <w:tr w14:paraId="21ED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44A28E1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2081" w:type="dxa"/>
                  <w:noWrap w:val="0"/>
                  <w:vAlign w:val="center"/>
                </w:tcPr>
                <w:p w14:paraId="0276E55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玻片扫描影像分析系统扫描软件</w:t>
                  </w:r>
                </w:p>
              </w:tc>
              <w:tc>
                <w:tcPr>
                  <w:tcW w:w="829" w:type="dxa"/>
                  <w:noWrap w:val="0"/>
                  <w:vAlign w:val="center"/>
                </w:tcPr>
                <w:p w14:paraId="7425D79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c>
                <w:tcPr>
                  <w:tcW w:w="656" w:type="dxa"/>
                  <w:noWrap w:val="0"/>
                  <w:vAlign w:val="center"/>
                </w:tcPr>
                <w:p w14:paraId="7FFCC09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r>
            <w:tr w14:paraId="5F4D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778A0CE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2081" w:type="dxa"/>
                  <w:noWrap w:val="0"/>
                  <w:vAlign w:val="center"/>
                </w:tcPr>
                <w:p w14:paraId="3EAC827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玻片扫描影像分析系统分析软件</w:t>
                  </w:r>
                </w:p>
              </w:tc>
              <w:tc>
                <w:tcPr>
                  <w:tcW w:w="829" w:type="dxa"/>
                  <w:noWrap w:val="0"/>
                  <w:vAlign w:val="center"/>
                </w:tcPr>
                <w:p w14:paraId="13AABA8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c>
                <w:tcPr>
                  <w:tcW w:w="656" w:type="dxa"/>
                  <w:noWrap w:val="0"/>
                  <w:vAlign w:val="center"/>
                </w:tcPr>
                <w:p w14:paraId="683BB8C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r>
            <w:tr w14:paraId="45A5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0EC2417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081" w:type="dxa"/>
                  <w:noWrap w:val="0"/>
                  <w:vAlign w:val="center"/>
                </w:tcPr>
                <w:p w14:paraId="6A27117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数字切片阅片软件</w:t>
                  </w:r>
                </w:p>
              </w:tc>
              <w:tc>
                <w:tcPr>
                  <w:tcW w:w="829" w:type="dxa"/>
                  <w:noWrap w:val="0"/>
                  <w:vAlign w:val="center"/>
                </w:tcPr>
                <w:p w14:paraId="7E9C0A8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c>
                <w:tcPr>
                  <w:tcW w:w="656" w:type="dxa"/>
                  <w:noWrap w:val="0"/>
                  <w:vAlign w:val="center"/>
                </w:tcPr>
                <w:p w14:paraId="49BF4F0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r>
            <w:tr w14:paraId="3616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73DE1D6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2081" w:type="dxa"/>
                  <w:noWrap w:val="0"/>
                  <w:vAlign w:val="center"/>
                </w:tcPr>
                <w:p w14:paraId="32403B0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高性能服务器</w:t>
                  </w:r>
                </w:p>
              </w:tc>
              <w:tc>
                <w:tcPr>
                  <w:tcW w:w="829" w:type="dxa"/>
                  <w:noWrap w:val="0"/>
                  <w:vAlign w:val="center"/>
                </w:tcPr>
                <w:p w14:paraId="3743238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套</w:t>
                  </w:r>
                </w:p>
              </w:tc>
              <w:tc>
                <w:tcPr>
                  <w:tcW w:w="656" w:type="dxa"/>
                  <w:noWrap w:val="0"/>
                  <w:vAlign w:val="center"/>
                </w:tcPr>
                <w:p w14:paraId="080B7E0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r>
          </w:tbl>
          <w:p w14:paraId="01E7685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p>
        </w:tc>
      </w:tr>
      <w:tr w14:paraId="74DE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7A8CDE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102" w:type="dxa"/>
            <w:vAlign w:val="center"/>
          </w:tcPr>
          <w:p w14:paraId="2C899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胰岛素泵</w:t>
            </w:r>
          </w:p>
        </w:tc>
        <w:tc>
          <w:tcPr>
            <w:tcW w:w="737" w:type="dxa"/>
            <w:vAlign w:val="center"/>
          </w:tcPr>
          <w:p w14:paraId="64523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88" w:type="dxa"/>
            <w:vAlign w:val="center"/>
          </w:tcPr>
          <w:p w14:paraId="6939CC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2D27FC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22700</w:t>
            </w:r>
          </w:p>
        </w:tc>
        <w:tc>
          <w:tcPr>
            <w:tcW w:w="680" w:type="dxa"/>
            <w:shd w:val="clear" w:color="auto" w:fill="auto"/>
            <w:vAlign w:val="center"/>
          </w:tcPr>
          <w:p w14:paraId="76A669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08548AA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1.尺寸(mm)：</w:t>
            </w:r>
            <w:r>
              <w:rPr>
                <w:rFonts w:hint="eastAsia" w:hAnsiTheme="minorEastAsia"/>
                <w:color w:val="auto"/>
                <w:szCs w:val="21"/>
                <w:highlight w:val="none"/>
                <w:lang w:val="en-US" w:eastAsia="zh-CN"/>
              </w:rPr>
              <w:t>长</w:t>
            </w:r>
            <w:r>
              <w:rPr>
                <w:rFonts w:hint="eastAsia" w:asciiTheme="minorEastAsia" w:hAnsiTheme="minorEastAsia" w:eastAsiaTheme="minorEastAsia"/>
                <w:color w:val="auto"/>
                <w:szCs w:val="21"/>
                <w:highlight w:val="none"/>
                <w:lang w:val="en-US" w:eastAsia="zh-CN"/>
              </w:rPr>
              <w:t>75×</w:t>
            </w:r>
            <w:r>
              <w:rPr>
                <w:rFonts w:hint="eastAsia" w:hAnsiTheme="minorEastAsia"/>
                <w:color w:val="auto"/>
                <w:szCs w:val="21"/>
                <w:highlight w:val="none"/>
                <w:lang w:val="en-US" w:eastAsia="zh-CN"/>
              </w:rPr>
              <w:t>宽</w:t>
            </w:r>
            <w:r>
              <w:rPr>
                <w:rFonts w:hint="eastAsia" w:asciiTheme="minorEastAsia" w:hAnsiTheme="minorEastAsia" w:eastAsiaTheme="minorEastAsia"/>
                <w:color w:val="auto"/>
                <w:szCs w:val="21"/>
                <w:highlight w:val="none"/>
                <w:lang w:val="en-US" w:eastAsia="zh-CN"/>
              </w:rPr>
              <w:t>45×</w:t>
            </w:r>
            <w:r>
              <w:rPr>
                <w:rFonts w:hint="eastAsia" w:hAnsiTheme="minorEastAsia"/>
                <w:color w:val="auto"/>
                <w:szCs w:val="21"/>
                <w:highlight w:val="none"/>
                <w:lang w:val="en-US" w:eastAsia="zh-CN"/>
              </w:rPr>
              <w:t>厚</w:t>
            </w:r>
            <w:r>
              <w:rPr>
                <w:rFonts w:hint="eastAsia" w:asciiTheme="minorEastAsia" w:hAnsiTheme="minorEastAsia" w:eastAsiaTheme="minorEastAsia"/>
                <w:color w:val="auto"/>
                <w:szCs w:val="21"/>
                <w:highlight w:val="none"/>
                <w:lang w:val="en-US" w:eastAsia="zh-CN"/>
              </w:rPr>
              <w:t>19±5</w:t>
            </w:r>
            <w:r>
              <w:rPr>
                <w:rFonts w:hint="eastAsia" w:hAnsiTheme="minorEastAsia"/>
                <w:color w:val="auto"/>
                <w:szCs w:val="21"/>
                <w:highlight w:val="none"/>
                <w:lang w:val="en-US" w:eastAsia="zh-CN"/>
              </w:rPr>
              <w:t>mm</w:t>
            </w:r>
          </w:p>
          <w:p w14:paraId="1EDDA72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2.质量(g)：52±5</w:t>
            </w:r>
          </w:p>
          <w:p w14:paraId="3F4511E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3.具备自动装药功能</w:t>
            </w:r>
          </w:p>
          <w:p w14:paraId="1B9FC04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4.具备自动分配基础率功能</w:t>
            </w:r>
          </w:p>
          <w:p w14:paraId="5EA283F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5.省电功能：系统睡眠</w:t>
            </w:r>
          </w:p>
          <w:p w14:paraId="072BBEC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6.屏幕显示：中文，图标操作界面</w:t>
            </w:r>
          </w:p>
          <w:p w14:paraId="085C551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7.储液器容量：3ml(300u)</w:t>
            </w:r>
          </w:p>
          <w:p w14:paraId="60BB534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8.操作模式：4种</w:t>
            </w:r>
          </w:p>
          <w:p w14:paraId="2F3C715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9.具备背景光</w:t>
            </w:r>
          </w:p>
          <w:p w14:paraId="217CEEB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10.屏幕显示胰岛素余量：微处理器计算显示</w:t>
            </w:r>
          </w:p>
          <w:p w14:paraId="0BC2E98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11.屏幕显示电池余量：百分比显示</w:t>
            </w:r>
          </w:p>
          <w:p w14:paraId="11D26EF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12.基础率分段：24小时</w:t>
            </w:r>
          </w:p>
          <w:p w14:paraId="4B30CFF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13.基础率增量：0.1u</w:t>
            </w:r>
          </w:p>
          <w:p w14:paraId="4E190B6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14.基础率输注频率：5分钟</w:t>
            </w:r>
          </w:p>
          <w:p w14:paraId="5868572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15.基础输注精度：万分之五毫升</w:t>
            </w:r>
          </w:p>
          <w:p w14:paraId="0488BE0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16.基础率输注范围：0—4u/小时</w:t>
            </w:r>
          </w:p>
          <w:p w14:paraId="731462F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17.基础率曲线：矩形曲线显示</w:t>
            </w:r>
          </w:p>
          <w:p w14:paraId="7990996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18.临时基础率：24小时，0</w:t>
            </w:r>
            <w:r>
              <w:rPr>
                <w:rFonts w:hint="eastAsia" w:asciiTheme="minorEastAsia" w:hAnsiTheme="minorEastAsia" w:eastAsiaTheme="minorEastAsia"/>
                <w:color w:val="auto"/>
                <w:szCs w:val="21"/>
                <w:highlight w:val="none"/>
                <w:lang w:val="en-US" w:eastAsia="zh-CN"/>
              </w:rPr>
              <w:softHyphen/>
            </w:r>
            <w:r>
              <w:rPr>
                <w:rFonts w:hint="eastAsia" w:asciiTheme="minorEastAsia" w:hAnsiTheme="minorEastAsia" w:eastAsiaTheme="minorEastAsia"/>
                <w:color w:val="auto"/>
                <w:szCs w:val="21"/>
                <w:highlight w:val="none"/>
                <w:lang w:val="en-US" w:eastAsia="zh-CN"/>
              </w:rPr>
              <w:t>—250%方案</w:t>
            </w:r>
          </w:p>
          <w:p w14:paraId="6B0CB33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19.餐前量范围：0—87u</w:t>
            </w:r>
          </w:p>
          <w:p w14:paraId="333C7D5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20.输注1U所需时间：</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6秒</w:t>
            </w:r>
          </w:p>
          <w:p w14:paraId="7A8183E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21.餐前增量：0.1u（0—10u）；1u（10—87u）</w:t>
            </w:r>
          </w:p>
          <w:p w14:paraId="5845F3E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22.具备预设餐前量功能</w:t>
            </w:r>
          </w:p>
          <w:p w14:paraId="6F8DB67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23.可设置最大餐前量功能</w:t>
            </w:r>
          </w:p>
          <w:p w14:paraId="542FFF2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24.可设置最大日基础量功能</w:t>
            </w:r>
          </w:p>
          <w:p w14:paraId="20A6AB6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25.具备上次餐前量显示</w:t>
            </w:r>
          </w:p>
          <w:p w14:paraId="1AAC5C9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26.日总量记录：记录近50次（有序号和时间标志）</w:t>
            </w:r>
          </w:p>
          <w:p w14:paraId="07A5F14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27.日餐前量记录：记录近50次（有序号和时间标志）</w:t>
            </w:r>
          </w:p>
          <w:p w14:paraId="7666E75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28.排气量记录：记录近50次（有序号和时间标志）</w:t>
            </w:r>
          </w:p>
          <w:p w14:paraId="2AD9569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29.报警记录：记录近50次（有序号和时间标志）</w:t>
            </w:r>
          </w:p>
          <w:p w14:paraId="005C2A5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30.键盘锁：有</w:t>
            </w:r>
          </w:p>
          <w:p w14:paraId="06FF9DA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31.休眠节能模式：有</w:t>
            </w:r>
          </w:p>
          <w:p w14:paraId="54B9E75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32.报警提示：音频</w:t>
            </w:r>
          </w:p>
          <w:p w14:paraId="1C4DF85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33.电池：3.6v锂电池</w:t>
            </w:r>
          </w:p>
          <w:p w14:paraId="6C534A3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34.防水防尘：符合</w:t>
            </w:r>
            <w:bookmarkStart w:id="22" w:name="OLE_LINK1"/>
            <w:r>
              <w:rPr>
                <w:rFonts w:hint="eastAsia" w:asciiTheme="minorEastAsia" w:hAnsiTheme="minorEastAsia" w:eastAsiaTheme="minorEastAsia"/>
                <w:color w:val="auto"/>
                <w:szCs w:val="21"/>
                <w:highlight w:val="none"/>
                <w:lang w:val="en-US" w:eastAsia="zh-CN"/>
              </w:rPr>
              <w:t>IP×7</w:t>
            </w:r>
            <w:bookmarkEnd w:id="22"/>
            <w:r>
              <w:rPr>
                <w:rFonts w:hint="eastAsia" w:asciiTheme="minorEastAsia" w:hAnsiTheme="minorEastAsia" w:eastAsiaTheme="minorEastAsia"/>
                <w:color w:val="auto"/>
                <w:szCs w:val="21"/>
                <w:highlight w:val="none"/>
                <w:lang w:val="en-US" w:eastAsia="zh-CN"/>
              </w:rPr>
              <w:t>“双滴”标准</w:t>
            </w:r>
          </w:p>
          <w:p w14:paraId="021F03B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35.保修期：4年全免费保修（非人为因素）</w:t>
            </w:r>
          </w:p>
          <w:p w14:paraId="47624DD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36.具备输注阻塞提示、低电量提示、低药量提示、无药量提示、日总量限制、基础率限制，餐前量限制等功能。</w:t>
            </w:r>
          </w:p>
        </w:tc>
      </w:tr>
      <w:tr w14:paraId="04F2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4D18ED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102" w:type="dxa"/>
            <w:vAlign w:val="center"/>
          </w:tcPr>
          <w:p w14:paraId="5EE489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胸腔按压机（心肺复苏仪）</w:t>
            </w:r>
          </w:p>
        </w:tc>
        <w:tc>
          <w:tcPr>
            <w:tcW w:w="737" w:type="dxa"/>
            <w:vAlign w:val="center"/>
          </w:tcPr>
          <w:p w14:paraId="5899B3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6A0934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60D0D2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165000</w:t>
            </w:r>
          </w:p>
        </w:tc>
        <w:tc>
          <w:tcPr>
            <w:tcW w:w="680" w:type="dxa"/>
            <w:shd w:val="clear" w:color="auto" w:fill="auto"/>
            <w:vAlign w:val="center"/>
          </w:tcPr>
          <w:p w14:paraId="6F5A0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4D8C9F7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便携式电动胸腔按压机，适合院内院外心肺复苏急救。</w:t>
            </w:r>
          </w:p>
          <w:p w14:paraId="590F32A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按压技术：3D按压</w:t>
            </w:r>
          </w:p>
          <w:p w14:paraId="0930F86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默认按压频率：在100 次/分钟至120次/分钟范围内。</w:t>
            </w:r>
          </w:p>
          <w:p w14:paraId="1B55B99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▲按压频率可调范围：按压频率在100-120次/分钟内连续可调，支持精准调节，调节步进幅度为1次/分钟。</w:t>
            </w:r>
          </w:p>
          <w:p w14:paraId="47889F4C">
            <w:pPr>
              <w:pStyle w:val="13"/>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实际按压频率与默认按压频率的误差：</w:t>
            </w:r>
            <w:r>
              <w:rPr>
                <w:rFonts w:hint="eastAsia"/>
                <w:color w:val="auto"/>
                <w:highlight w:val="none"/>
                <w:lang w:eastAsia="zh-CN"/>
              </w:rPr>
              <w:t>≤</w:t>
            </w:r>
            <w:r>
              <w:rPr>
                <w:rFonts w:hint="eastAsia" w:asciiTheme="minorEastAsia" w:hAnsiTheme="minorEastAsia" w:eastAsiaTheme="minorEastAsia"/>
                <w:color w:val="auto"/>
                <w:szCs w:val="21"/>
                <w:highlight w:val="none"/>
                <w:lang w:val="en-US" w:eastAsia="zh-CN"/>
              </w:rPr>
              <w:t>±2次/分钟。</w:t>
            </w:r>
          </w:p>
          <w:p w14:paraId="2E7B73E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默认按压深度：在50-60mm范围内。</w:t>
            </w:r>
          </w:p>
          <w:p w14:paraId="705468E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按压深度可调范围：按压深度在3.0-5.5厘米内连续可调，支持精准调节，调节步进幅度为0.1厘米。</w:t>
            </w:r>
          </w:p>
          <w:p w14:paraId="05623D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实际按压深度与默认按压深度的误差：≤±2mm。</w:t>
            </w:r>
          </w:p>
          <w:p w14:paraId="36134E7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按压释放比范围: 50%±5%。</w:t>
            </w:r>
          </w:p>
          <w:p w14:paraId="5C172D4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电池低电量后，可使用外部电源工作并给电池充电，电源适配器支持热插拔，无需中断按压。</w:t>
            </w:r>
          </w:p>
          <w:p w14:paraId="377EDE0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▲按压中断：设备运行过程中，任何参数调节均不中断按压，保持连续性稳定按压。</w:t>
            </w:r>
          </w:p>
          <w:p w14:paraId="71EEB73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网络类型：同时支持蓝牙和WIFI两种连接方式。</w:t>
            </w:r>
          </w:p>
          <w:p w14:paraId="52EC09C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用户访问控制：内置访问密码，输入正确的访问密码，才能导出按压数据，符合国家数据通信安全标准。</w:t>
            </w:r>
          </w:p>
          <w:p w14:paraId="7535827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主机可与平板电脑建立蓝牙连接，平板电脑能接收并显示按压数据。</w:t>
            </w:r>
          </w:p>
          <w:p w14:paraId="2F0325C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15、安全标准：满足GB9706.1-2020《医用电气设备 第1部分 安全通用要求》的条款要求。</w:t>
            </w:r>
          </w:p>
          <w:p w14:paraId="1073F08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▲防电击类型分类：II 类外部电源供电的设备，具有双重绝缘或加强绝缘设计，无需专用接地线，满足紧急医疗服务环境中或移动的救护车内无地线环境使用；同时具备内部电源的供电设备。</w:t>
            </w:r>
          </w:p>
          <w:p w14:paraId="0322411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▲防电击的程度分类：CF 型，应用部分可与患者心脏直接接触的使用。</w:t>
            </w:r>
          </w:p>
          <w:p w14:paraId="616CFA7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▲应用部分具有除颤放电效应防护，除颤时无需移开设备。</w:t>
            </w:r>
          </w:p>
          <w:p w14:paraId="5C6415B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电磁兼容：满足</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YY 9706.102-2021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《医用电气设备 第 1-2 部分 基本安全和基本性能的通用要求 并列标准：电磁兼容 要求和试验》的要求。</w:t>
            </w:r>
          </w:p>
          <w:p w14:paraId="4300E5A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符合</w:t>
            </w:r>
            <w:bookmarkStart w:id="23" w:name="OLE_LINK2"/>
            <w:r>
              <w:rPr>
                <w:rFonts w:hint="eastAsia" w:asciiTheme="minorEastAsia" w:hAnsiTheme="minorEastAsia" w:eastAsiaTheme="minorEastAsia"/>
                <w:color w:val="auto"/>
                <w:szCs w:val="21"/>
                <w:highlight w:val="none"/>
                <w:lang w:val="en-US" w:eastAsia="zh-CN"/>
              </w:rPr>
              <w:t>国家急诊医学专业医疗质量控制指标</w:t>
            </w:r>
            <w:bookmarkEnd w:id="23"/>
            <w:r>
              <w:rPr>
                <w:rFonts w:hint="eastAsia" w:asciiTheme="minorEastAsia" w:hAnsiTheme="minorEastAsia" w:eastAsiaTheme="minorEastAsia"/>
                <w:color w:val="auto"/>
                <w:szCs w:val="21"/>
                <w:highlight w:val="none"/>
                <w:lang w:val="en-US" w:eastAsia="zh-CN"/>
              </w:rPr>
              <w:t>(202</w:t>
            </w:r>
            <w:r>
              <w:rPr>
                <w:rFonts w:hint="eastAsia" w:hAnsiTheme="minorEastAsia"/>
                <w:color w:val="auto"/>
                <w:szCs w:val="21"/>
                <w:highlight w:val="none"/>
                <w:lang w:val="en-US" w:eastAsia="zh-CN"/>
              </w:rPr>
              <w:t>4</w:t>
            </w:r>
            <w:r>
              <w:rPr>
                <w:rFonts w:hint="eastAsia" w:asciiTheme="minorEastAsia" w:hAnsiTheme="minorEastAsia" w:eastAsiaTheme="minorEastAsia"/>
                <w:color w:val="auto"/>
                <w:szCs w:val="21"/>
                <w:highlight w:val="none"/>
                <w:lang w:val="en-US" w:eastAsia="zh-CN"/>
              </w:rPr>
              <w:t>年版)中对心肺复苏(CPR) 质量监测的要求</w:t>
            </w:r>
          </w:p>
          <w:p w14:paraId="0269712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主机重量：≤3.2Kg</w:t>
            </w:r>
          </w:p>
          <w:p w14:paraId="25D6421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工作温度：-5℃～＋45℃</w:t>
            </w:r>
          </w:p>
          <w:p w14:paraId="765E6D9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设备高度：≤19cm，便于在介入手术、ECPR、负压隔离仓时实施心肺复苏。</w:t>
            </w:r>
          </w:p>
        </w:tc>
      </w:tr>
      <w:tr w14:paraId="4A93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27A61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102" w:type="dxa"/>
            <w:vAlign w:val="center"/>
          </w:tcPr>
          <w:p w14:paraId="7C717E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电动吸痰器</w:t>
            </w:r>
          </w:p>
        </w:tc>
        <w:tc>
          <w:tcPr>
            <w:tcW w:w="737" w:type="dxa"/>
            <w:vAlign w:val="center"/>
          </w:tcPr>
          <w:p w14:paraId="1D2EA6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2226F5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4B0999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680" w:type="dxa"/>
            <w:shd w:val="clear" w:color="auto" w:fill="auto"/>
            <w:vAlign w:val="center"/>
          </w:tcPr>
          <w:p w14:paraId="4BD3D8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3A1876E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极限负压值</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≥0.09MPa(680mmHg)</w:t>
            </w:r>
          </w:p>
          <w:p w14:paraId="0264AFA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负压调节范围</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0.02MPa(150mmHg)~极限负压值</w:t>
            </w:r>
          </w:p>
          <w:p w14:paraId="32DB3FE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自由空气流量</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40L/min</w:t>
            </w:r>
          </w:p>
          <w:p w14:paraId="1E2BFF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贮液瓶</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3000mlx2(PC)</w:t>
            </w:r>
          </w:p>
          <w:p w14:paraId="4E23A76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电 源</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~220V50HZz±100</w:t>
            </w:r>
          </w:p>
          <w:p w14:paraId="1A6E468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输入功率</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250VA±10</w:t>
            </w:r>
          </w:p>
        </w:tc>
      </w:tr>
      <w:tr w14:paraId="4429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19DC43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102" w:type="dxa"/>
            <w:vAlign w:val="center"/>
          </w:tcPr>
          <w:p w14:paraId="2011B2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医用等离子体空气消毒器（移动式）</w:t>
            </w:r>
          </w:p>
        </w:tc>
        <w:tc>
          <w:tcPr>
            <w:tcW w:w="737" w:type="dxa"/>
            <w:vAlign w:val="center"/>
          </w:tcPr>
          <w:p w14:paraId="21D0A5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763FA5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091AF2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7800</w:t>
            </w:r>
          </w:p>
        </w:tc>
        <w:tc>
          <w:tcPr>
            <w:tcW w:w="680" w:type="dxa"/>
            <w:shd w:val="clear" w:color="auto" w:fill="auto"/>
            <w:vAlign w:val="center"/>
          </w:tcPr>
          <w:p w14:paraId="432295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3C3B4FD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Theme="minorEastAsia" w:hAnsiTheme="minorEastAsia" w:eastAsiaTheme="minorEastAsia"/>
                <w:b/>
                <w:bCs/>
                <w:color w:val="auto"/>
                <w:szCs w:val="21"/>
                <w:highlight w:val="none"/>
                <w:lang w:val="en-US" w:eastAsia="zh-CN"/>
              </w:rPr>
            </w:pPr>
            <w:r>
              <w:rPr>
                <w:rFonts w:hint="eastAsia" w:hAnsiTheme="minorEastAsia"/>
                <w:b/>
                <w:bCs/>
                <w:color w:val="auto"/>
                <w:szCs w:val="21"/>
                <w:highlight w:val="none"/>
                <w:lang w:val="en-US" w:eastAsia="zh-CN"/>
              </w:rPr>
              <w:t>一、</w:t>
            </w:r>
            <w:r>
              <w:rPr>
                <w:rFonts w:hint="default" w:asciiTheme="minorEastAsia" w:hAnsiTheme="minorEastAsia" w:eastAsiaTheme="minorEastAsia"/>
                <w:b/>
                <w:bCs/>
                <w:color w:val="auto"/>
                <w:szCs w:val="21"/>
                <w:highlight w:val="none"/>
                <w:lang w:val="en-US" w:eastAsia="zh-CN"/>
              </w:rPr>
              <w:t>基本需求：</w:t>
            </w:r>
          </w:p>
          <w:p w14:paraId="346AD1B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采用等离子体＋静电吸附消毒灭菌，杀菌广谱、彻底；内含活性炭分子过滤器、初效过滤器，可有效除去空气中的挥发性气体、各种异味以及过滤毛发、粉尘等大尘埃颗粒； </w:t>
            </w:r>
          </w:p>
          <w:p w14:paraId="592CB39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医用等离子体空气消毒器壳体采用优质冷轧钢板，结构强度高，完全阻燃；表面静电喷涂，安全系数高；</w:t>
            </w:r>
          </w:p>
          <w:p w14:paraId="77FE656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4个万向脚轮，可任意移动；</w:t>
            </w:r>
          </w:p>
          <w:p w14:paraId="217769A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人机共存，可在有人状态下进行连续动态消毒，对人及物品没有任何伤害； </w:t>
            </w:r>
          </w:p>
          <w:p w14:paraId="2DEC408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额定循环风量1000m³/h，可适用100m³体积及以下的场所； </w:t>
            </w:r>
          </w:p>
          <w:p w14:paraId="3C16F4B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额定功率110W±11W；电源AC220V，50Hz；</w:t>
            </w:r>
          </w:p>
          <w:p w14:paraId="4103C6F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等离子体发生器电场强度≥8500V；</w:t>
            </w:r>
          </w:p>
          <w:p w14:paraId="3832F7E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等离子体发生器集尘区电场强度≥4100V；</w:t>
            </w:r>
          </w:p>
          <w:p w14:paraId="68A9F7E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等离子体发生器产生的等离子体密度可达5.6×1018-1.25×1019m-3；</w:t>
            </w:r>
          </w:p>
          <w:p w14:paraId="7D4F24F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等离子体发生器使用寿命≥50000h，高压电源使用寿命≥50000h；</w:t>
            </w:r>
          </w:p>
          <w:p w14:paraId="24421FD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配备负离子发生器，所产生负离子密度≥4.82×107个/cm3</w:t>
            </w:r>
            <w:r>
              <w:rPr>
                <w:rFonts w:hint="eastAsia" w:hAnsiTheme="minorEastAsia"/>
                <w:color w:val="auto"/>
                <w:szCs w:val="21"/>
                <w:highlight w:val="none"/>
                <w:lang w:val="en-US" w:eastAsia="zh-CN"/>
              </w:rPr>
              <w:t>；</w:t>
            </w:r>
          </w:p>
          <w:p w14:paraId="7106141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远程红外线遥控，可实时显示北京时间，故障报警，可查询显示累计时间等；</w:t>
            </w:r>
          </w:p>
          <w:p w14:paraId="3F361D2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高、中、低三</w:t>
            </w:r>
            <w:r>
              <w:rPr>
                <w:rFonts w:hint="eastAsia" w:hAnsiTheme="minorEastAsia"/>
                <w:color w:val="auto"/>
                <w:szCs w:val="21"/>
                <w:highlight w:val="none"/>
                <w:lang w:val="en-US" w:eastAsia="zh-CN"/>
              </w:rPr>
              <w:t>档</w:t>
            </w:r>
            <w:r>
              <w:rPr>
                <w:rFonts w:hint="default" w:asciiTheme="minorEastAsia" w:hAnsiTheme="minorEastAsia" w:eastAsiaTheme="minorEastAsia"/>
                <w:color w:val="auto"/>
                <w:szCs w:val="21"/>
                <w:highlight w:val="none"/>
                <w:lang w:val="en-US" w:eastAsia="zh-CN"/>
              </w:rPr>
              <w:t xml:space="preserve">可调风速供用户选择；手控、遥控多种控制方式供用户选择；手动、定时、临时多种工作模式方便用户操作；遥控器上设有一键锁定功能，防止误操作； </w:t>
            </w:r>
          </w:p>
          <w:p w14:paraId="3ACA0DF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采用网状活性炭，可有效去除有机气体和医院的各种异味；采用新型多功能两段式等离子体模块；</w:t>
            </w:r>
          </w:p>
          <w:p w14:paraId="0A0152F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二</w:t>
            </w:r>
            <w:r>
              <w:rPr>
                <w:rFonts w:hint="default" w:asciiTheme="minorEastAsia" w:hAnsiTheme="minorEastAsia" w:eastAsiaTheme="minorEastAsia"/>
                <w:b/>
                <w:bCs/>
                <w:color w:val="auto"/>
                <w:szCs w:val="21"/>
                <w:highlight w:val="none"/>
                <w:lang w:val="en-US" w:eastAsia="zh-CN"/>
              </w:rPr>
              <w:t>、净化消毒效果要求：</w:t>
            </w:r>
          </w:p>
          <w:p w14:paraId="0C7BB5C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对白色葡萄球菌的杀灭率≥99.90%； </w:t>
            </w:r>
          </w:p>
          <w:p w14:paraId="7417B21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设备持续工作30min，PM2.5去除率≥99.92%；设备持续工作1h，PM2.5去除率≥99.99%； </w:t>
            </w:r>
          </w:p>
          <w:p w14:paraId="3D1FB86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设备持续工作120min，对体积为100m3室内空气中的自然菌消亡率均≥91%;</w:t>
            </w:r>
          </w:p>
          <w:p w14:paraId="7B28B71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设备持续工作2h，甲醛的净化效率≥96.1%、氨的净化效率≥95.2%、苯的净化效率≥96.1%、TVOC净化效率≥98.0%；</w:t>
            </w:r>
          </w:p>
          <w:p w14:paraId="284E8EA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气雾室肺炎克雷伯氏菌、金黄色葡萄球菌、黑曲霉菌、龟分枝杆菌的杀灭率≥99.9%；</w:t>
            </w:r>
          </w:p>
          <w:p w14:paraId="53D5A2B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气雾室冠状病毒HCoV-229E、甲型流感病毒H3N2的杀灭率≥99.99%。</w:t>
            </w:r>
          </w:p>
        </w:tc>
      </w:tr>
      <w:tr w14:paraId="3040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6AFEAA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102" w:type="dxa"/>
            <w:vAlign w:val="center"/>
          </w:tcPr>
          <w:p w14:paraId="1E5531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中频治疗仪</w:t>
            </w:r>
          </w:p>
        </w:tc>
        <w:tc>
          <w:tcPr>
            <w:tcW w:w="737" w:type="dxa"/>
            <w:vAlign w:val="center"/>
          </w:tcPr>
          <w:p w14:paraId="17DE2B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88" w:type="dxa"/>
            <w:vAlign w:val="center"/>
          </w:tcPr>
          <w:p w14:paraId="4A5F3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5FF511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4000</w:t>
            </w:r>
          </w:p>
        </w:tc>
        <w:tc>
          <w:tcPr>
            <w:tcW w:w="680" w:type="dxa"/>
            <w:shd w:val="clear" w:color="auto" w:fill="auto"/>
            <w:vAlign w:val="center"/>
          </w:tcPr>
          <w:p w14:paraId="712795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5078CF8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1．中频载波频率:2KHz～8KHz 误差±10%</w:t>
            </w:r>
          </w:p>
          <w:p w14:paraId="0B12B97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2．低频调制频率:1/6HZ～150HZ  误差不大于±5%</w:t>
            </w:r>
          </w:p>
          <w:p w14:paraId="0AFBCAC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3．调制波形：正弦波、方波、三角波、指数波、尖峰波、锯齿波、等幅波</w:t>
            </w:r>
          </w:p>
          <w:p w14:paraId="6F76C44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4.调制幅度：100％、90％、60％、33％</w:t>
            </w:r>
          </w:p>
          <w:p w14:paraId="046A61E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5.调制方式：连续调制、断续调制、间歇调制、变频调制</w:t>
            </w:r>
          </w:p>
          <w:p w14:paraId="5971C4A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6.输出电流调节方式：按键递增、递减</w:t>
            </w:r>
          </w:p>
          <w:p w14:paraId="3FCBA59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7.输出电流：0-85mA（r.m.s）±5%</w:t>
            </w:r>
          </w:p>
          <w:p w14:paraId="2958505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8.输出电流稳定度：≤5％</w:t>
            </w:r>
          </w:p>
          <w:p w14:paraId="7C67F34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9.输出通道</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双通道</w:t>
            </w:r>
          </w:p>
          <w:p w14:paraId="2728E4F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10.工作电压：交流220V土22V  50Hz土1Hz</w:t>
            </w:r>
          </w:p>
          <w:p w14:paraId="3052083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11.使用环境：温度 5℃—40℃，相对湿度不超过80％</w:t>
            </w:r>
            <w:r>
              <w:rPr>
                <w:rFonts w:hint="eastAsia" w:hAnsiTheme="minorEastAsia"/>
                <w:color w:val="auto"/>
                <w:szCs w:val="21"/>
                <w:highlight w:val="none"/>
                <w:lang w:val="en-US" w:eastAsia="zh-CN"/>
              </w:rPr>
              <w:t>；</w:t>
            </w:r>
          </w:p>
          <w:p w14:paraId="352DDB8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12.输入功率：≤55VA</w:t>
            </w:r>
          </w:p>
          <w:p w14:paraId="19479E2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13.安全分类：I类 BF型</w:t>
            </w:r>
          </w:p>
          <w:p w14:paraId="6303CC0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14.熔断器：F1.5AL250V、Φ5×20（两个）</w:t>
            </w:r>
          </w:p>
          <w:p w14:paraId="5B839B4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15.运输和储存环境：</w:t>
            </w:r>
            <w:bookmarkStart w:id="24" w:name="OLE_LINK3"/>
            <w:r>
              <w:rPr>
                <w:rFonts w:hint="eastAsia" w:asciiTheme="minorEastAsia" w:hAnsiTheme="minorEastAsia" w:eastAsiaTheme="minorEastAsia"/>
                <w:color w:val="auto"/>
                <w:szCs w:val="21"/>
                <w:highlight w:val="none"/>
                <w:lang w:val="en-US" w:eastAsia="zh-CN"/>
              </w:rPr>
              <w:t>贮运温度</w:t>
            </w:r>
            <w:bookmarkEnd w:id="24"/>
            <w:r>
              <w:rPr>
                <w:rFonts w:hint="eastAsia" w:asciiTheme="minorEastAsia" w:hAnsiTheme="minorEastAsia" w:eastAsiaTheme="minorEastAsia"/>
                <w:color w:val="auto"/>
                <w:szCs w:val="21"/>
                <w:highlight w:val="none"/>
                <w:lang w:val="en-US" w:eastAsia="zh-CN"/>
              </w:rPr>
              <w:t>—40℃—50℃相对湿度≤93％</w:t>
            </w:r>
          </w:p>
          <w:p w14:paraId="6D298C4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16.可用负载阻抗范围：500Ω±10%功能技术参数（透热部分）</w:t>
            </w:r>
          </w:p>
          <w:p w14:paraId="24F2193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17.电极板温度范围：≤45℃</w:t>
            </w:r>
          </w:p>
          <w:p w14:paraId="1432056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18.可用负载阻抗范围：500Ω±10%（随着负载阻抗范围上升、输出电流减小；负载阻抗范围下降，输出电流增加。对脉冲宽度、脉冲重复频率等没有影响。</w:t>
            </w:r>
          </w:p>
        </w:tc>
      </w:tr>
      <w:tr w14:paraId="76D0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0931F3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102" w:type="dxa"/>
            <w:vAlign w:val="center"/>
          </w:tcPr>
          <w:p w14:paraId="577FD9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微波治疗仪</w:t>
            </w:r>
          </w:p>
        </w:tc>
        <w:tc>
          <w:tcPr>
            <w:tcW w:w="737" w:type="dxa"/>
            <w:vAlign w:val="center"/>
          </w:tcPr>
          <w:p w14:paraId="424DB9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06C5F3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2B6777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7400</w:t>
            </w:r>
          </w:p>
        </w:tc>
        <w:tc>
          <w:tcPr>
            <w:tcW w:w="680" w:type="dxa"/>
            <w:shd w:val="clear" w:color="auto" w:fill="auto"/>
            <w:vAlign w:val="center"/>
          </w:tcPr>
          <w:p w14:paraId="270D0D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019D1F5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1.电源电压：220V±10%，频率50HZ±1HZ</w:t>
            </w:r>
          </w:p>
          <w:p w14:paraId="16C3B25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2.整机输入功率：≤450W </w:t>
            </w:r>
          </w:p>
          <w:p w14:paraId="699AF20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3.输出功率：≤80W</w:t>
            </w:r>
          </w:p>
          <w:p w14:paraId="4A91510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4.微波频率：2450Mhz±30Mhz </w:t>
            </w:r>
          </w:p>
          <w:p w14:paraId="3C52AAC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5.显示方式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数码显示</w:t>
            </w:r>
          </w:p>
          <w:p w14:paraId="07478CB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6.磁控管：性能稳定，效率高。</w:t>
            </w:r>
          </w:p>
          <w:p w14:paraId="134688F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7.功率范围：理疗：0W—30W之间，连续可调，治疗：0W—80W之间，连续可调</w:t>
            </w:r>
          </w:p>
          <w:p w14:paraId="02859CB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8.治疗时间定时范围：0—99S可调</w:t>
            </w:r>
          </w:p>
          <w:p w14:paraId="61FB707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9.理疗时间定时范围：0—30min可调，理疗蜂鸣报警</w:t>
            </w:r>
          </w:p>
          <w:p w14:paraId="18F30EF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10.手术时间：可根据手术具体情况控制手术时间</w:t>
            </w:r>
          </w:p>
          <w:p w14:paraId="57B6056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11.工作方式：分理疗、治疗两种，均为连续工作，输出控制方式为双路输出控制</w:t>
            </w:r>
          </w:p>
          <w:p w14:paraId="21FB482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12.辐射防护：</w:t>
            </w:r>
          </w:p>
          <w:p w14:paraId="29A0A48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（1）外壳泄漏≤0.2Mw/cm2  </w:t>
            </w:r>
          </w:p>
          <w:p w14:paraId="3786085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（2）无用辐射≤0.4Mw/cm2</w:t>
            </w:r>
          </w:p>
          <w:p w14:paraId="7289E11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（3）探头驻波比≤3          </w:t>
            </w:r>
          </w:p>
          <w:p w14:paraId="31AC08A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（4）输出阻抗≤50Ω</w:t>
            </w:r>
          </w:p>
          <w:p w14:paraId="74E3626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在电压不稳时，可自动调节。</w:t>
            </w:r>
          </w:p>
          <w:p w14:paraId="49886A5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14.具有输出的定时功能，可预置设定，采用数字显示，时间结束可显示，具有自动闭锁功能及过载自动保护系统</w:t>
            </w:r>
            <w:r>
              <w:rPr>
                <w:rFonts w:hint="eastAsia" w:hAnsiTheme="minorEastAsia"/>
                <w:color w:val="auto"/>
                <w:szCs w:val="21"/>
                <w:highlight w:val="none"/>
                <w:lang w:val="en-US" w:eastAsia="zh-CN"/>
              </w:rPr>
              <w:t>。</w:t>
            </w:r>
          </w:p>
          <w:p w14:paraId="4E2EF58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15.具有过热保护功能。电路过热时会自动切断电源，故障排除后系统自动恢复供电，仪器正常工作。</w:t>
            </w:r>
          </w:p>
          <w:p w14:paraId="113371F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16.产品适用范围：用于消炎、止痛、改善微循环、促进炎症吸收以及妇科尖锐湿疣的治疗。</w:t>
            </w:r>
          </w:p>
          <w:p w14:paraId="3EAC1E4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17.外壳采用ABS材质，含推车、拥有理疗支架。</w:t>
            </w:r>
          </w:p>
          <w:p w14:paraId="2E605D9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18.理疗头≥2个，手术头≥7只，带脚踏开关</w:t>
            </w:r>
            <w:r>
              <w:rPr>
                <w:rFonts w:hint="eastAsia" w:hAnsiTheme="minorEastAsia"/>
                <w:color w:val="auto"/>
                <w:szCs w:val="21"/>
                <w:highlight w:val="none"/>
                <w:lang w:val="en-US" w:eastAsia="zh-CN"/>
              </w:rPr>
              <w:t>。</w:t>
            </w:r>
          </w:p>
          <w:p w14:paraId="5E2EB0D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19.执行最新国家标准GB 9706.206-2020《医用电气设备 第2-6部分：微波治疗设备的基本安全和基本性能专用要求》。</w:t>
            </w:r>
          </w:p>
        </w:tc>
      </w:tr>
      <w:tr w14:paraId="36C9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0A9394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1102" w:type="dxa"/>
            <w:vAlign w:val="center"/>
          </w:tcPr>
          <w:p w14:paraId="7E8222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超声波身高体重测量仪</w:t>
            </w:r>
          </w:p>
        </w:tc>
        <w:tc>
          <w:tcPr>
            <w:tcW w:w="737" w:type="dxa"/>
            <w:vAlign w:val="center"/>
          </w:tcPr>
          <w:p w14:paraId="12CEF3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2EF97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2C2612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c>
          <w:tcPr>
            <w:tcW w:w="680" w:type="dxa"/>
            <w:shd w:val="clear" w:color="auto" w:fill="auto"/>
            <w:vAlign w:val="center"/>
          </w:tcPr>
          <w:p w14:paraId="79D563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4679082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▲身高测量方式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 xml:space="preserve">身高采用超声波测距，并实现温差补偿，不受外界环境影响测量精度，测量精准； </w:t>
            </w:r>
          </w:p>
          <w:p w14:paraId="02B3950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测量范围</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身高测量范围：60-200cm 分度值0.1cm</w:t>
            </w:r>
          </w:p>
          <w:p w14:paraId="2065565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体重测量范围：1-300kg 分度值0.1kg</w:t>
            </w:r>
          </w:p>
          <w:p w14:paraId="55984DF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机身可以折叠，折叠高度120</w:t>
            </w:r>
            <w:r>
              <w:rPr>
                <w:rFonts w:hint="eastAsia" w:hAnsiTheme="minorEastAsia"/>
                <w:color w:val="auto"/>
                <w:szCs w:val="21"/>
                <w:highlight w:val="none"/>
                <w:lang w:val="en-US" w:eastAsia="zh-CN"/>
              </w:rPr>
              <w:t>厘米</w:t>
            </w:r>
            <w:bookmarkStart w:id="80" w:name="_GoBack"/>
            <w:bookmarkEnd w:id="80"/>
          </w:p>
          <w:p w14:paraId="711484E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测量速度：480次/小时</w:t>
            </w:r>
          </w:p>
          <w:p w14:paraId="1BB4A68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待机时显示：日期，时间，温度</w:t>
            </w:r>
          </w:p>
          <w:p w14:paraId="3B60AEF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全自动身高、体重、体型指数BMI，同步测量数据清晰语音播报；高亮LED数码中文显示。</w:t>
            </w:r>
          </w:p>
          <w:p w14:paraId="5BBA8D0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体重测量方式：高精度平衡梁式压力传感器测量体重</w:t>
            </w:r>
          </w:p>
          <w:p w14:paraId="15A6C68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体型</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国际通用体格指数(BMI)自动计算</w:t>
            </w:r>
          </w:p>
          <w:p w14:paraId="5BDC0EC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显示方式</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主显示屏LED显示，显示屏能同时显示身高、体重、BMI体格指数、体型（偏瘦、正常、偏胖、肥胖），待机状态下显示当前日期、时间，室内环境温度</w:t>
            </w:r>
          </w:p>
          <w:p w14:paraId="553F245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数据传输：标准RS232通讯接口可对接单位体检系统，测量数据上传，传输数据性能稳定，免费提供串口协议。</w:t>
            </w:r>
          </w:p>
          <w:p w14:paraId="54FBAE3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内置高速易装热敏打印机，打印测量结果.</w:t>
            </w:r>
          </w:p>
          <w:p w14:paraId="42BB41F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电源电压:交流（照明电）：110V-240V,50HZ</w:t>
            </w:r>
          </w:p>
          <w:p w14:paraId="7898EB4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直流（蓄电池）：12V±10％</w:t>
            </w:r>
          </w:p>
          <w:p w14:paraId="126C504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功耗：待机时功率：≤8Ｗ，测量时功率：≤12Ｗ</w:t>
            </w:r>
          </w:p>
        </w:tc>
      </w:tr>
      <w:tr w14:paraId="70AE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14:paraId="7398C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102" w:type="dxa"/>
            <w:vAlign w:val="center"/>
          </w:tcPr>
          <w:p w14:paraId="437BBC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脉搏波医用血压计</w:t>
            </w:r>
          </w:p>
        </w:tc>
        <w:tc>
          <w:tcPr>
            <w:tcW w:w="737" w:type="dxa"/>
            <w:vAlign w:val="center"/>
          </w:tcPr>
          <w:p w14:paraId="255394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56E19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1BABD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14000</w:t>
            </w:r>
          </w:p>
        </w:tc>
        <w:tc>
          <w:tcPr>
            <w:tcW w:w="680" w:type="dxa"/>
            <w:shd w:val="clear" w:color="auto" w:fill="auto"/>
            <w:vAlign w:val="center"/>
          </w:tcPr>
          <w:p w14:paraId="393C90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22D6A5D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显示方法：LED显示屏</w:t>
            </w:r>
          </w:p>
          <w:p w14:paraId="786E717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测量方法：脉搏波法</w:t>
            </w:r>
          </w:p>
          <w:p w14:paraId="217C73E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 xml:space="preserve">测量范围： </w:t>
            </w:r>
          </w:p>
          <w:p w14:paraId="5EC057A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（1）压力：（0～300）mmHg［(0～40) kPa］</w:t>
            </w:r>
          </w:p>
          <w:p w14:paraId="0B7961B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（2）脉搏：40次/分～180次/分</w:t>
            </w:r>
          </w:p>
          <w:p w14:paraId="4236F29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测量准确度：</w:t>
            </w:r>
          </w:p>
          <w:p w14:paraId="00BD44F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（1）压力：±2mmHg(±0.267kPa)以内.</w:t>
            </w:r>
          </w:p>
          <w:p w14:paraId="653212A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（2）脉搏：40-180次±2%以内</w:t>
            </w:r>
          </w:p>
          <w:p w14:paraId="0EF280A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存储容量：≥100组测量数据</w:t>
            </w:r>
          </w:p>
          <w:p w14:paraId="334F7A7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测量位置：左右臂均可测量</w:t>
            </w:r>
          </w:p>
          <w:p w14:paraId="774C570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压力监测：高精密半导体压力传感器</w:t>
            </w:r>
          </w:p>
          <w:p w14:paraId="2CDBA7B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加压：压力泵自动加压方式</w:t>
            </w:r>
          </w:p>
          <w:p w14:paraId="3A50DE2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减压：线性电磁控制阀自动减压系统</w:t>
            </w:r>
          </w:p>
          <w:p w14:paraId="0803FB2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超压保护：压力超过300mmHg时，急速排气保护。急速排气时间不大于10秒</w:t>
            </w:r>
          </w:p>
          <w:p w14:paraId="0307072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具有肘部位置传感器 (准确定位肱动脉，提高测量精度)</w:t>
            </w:r>
          </w:p>
          <w:p w14:paraId="37AD21F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臂筒角度调节：臂筒可左右转动约10度，提高测量舒适度</w:t>
            </w:r>
          </w:p>
          <w:p w14:paraId="390B14A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适合臂周：17cm～42cm</w:t>
            </w:r>
          </w:p>
          <w:p w14:paraId="6FA9015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输出端口：RS-232/USB两种数据接口方式</w:t>
            </w:r>
          </w:p>
          <w:p w14:paraId="5AD2023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干扰提示：干扰情况用户提醒</w:t>
            </w:r>
          </w:p>
          <w:p w14:paraId="62A9E2D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抗菌设计：整机及袖套采用抗菌材料</w:t>
            </w:r>
          </w:p>
          <w:p w14:paraId="1243C18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语音设置：可开关语音，音量可调节</w:t>
            </w:r>
          </w:p>
          <w:p w14:paraId="0FBB42F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打印装置：全中文热敏打印、自动裁纸</w:t>
            </w:r>
          </w:p>
          <w:p w14:paraId="5319A89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压力单位： mmHg和kPa两种模式互选</w:t>
            </w:r>
          </w:p>
          <w:p w14:paraId="0E1A1B7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主机尺寸：471.5mm (长)×402mm (宽)×309mm (高) ±50mm</w:t>
            </w:r>
          </w:p>
        </w:tc>
      </w:tr>
      <w:tr w14:paraId="131A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9" w:type="dxa"/>
            <w:vAlign w:val="center"/>
          </w:tcPr>
          <w:p w14:paraId="31C755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102" w:type="dxa"/>
            <w:vAlign w:val="center"/>
          </w:tcPr>
          <w:p w14:paraId="1A446B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心脏电生理刺激仪</w:t>
            </w:r>
          </w:p>
        </w:tc>
        <w:tc>
          <w:tcPr>
            <w:tcW w:w="737" w:type="dxa"/>
            <w:vAlign w:val="center"/>
          </w:tcPr>
          <w:p w14:paraId="32D73A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2E346B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797DF9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90000</w:t>
            </w:r>
          </w:p>
        </w:tc>
        <w:tc>
          <w:tcPr>
            <w:tcW w:w="680" w:type="dxa"/>
            <w:shd w:val="clear" w:color="auto" w:fill="auto"/>
            <w:vAlign w:val="center"/>
          </w:tcPr>
          <w:p w14:paraId="53B31C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5E5648E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设备可用于医院开展食管心房调搏术和心内电生理检查</w:t>
            </w:r>
          </w:p>
          <w:p w14:paraId="175FD49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食管刺激：脉宽10ms，电压5～30V可调</w:t>
            </w:r>
          </w:p>
          <w:p w14:paraId="21C5D4E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心内刺激：脉宽1 ms，电压0～8V可调（主机状态下）</w:t>
            </w:r>
          </w:p>
          <w:p w14:paraId="53AFF9E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R波感知灵敏度</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体表≥1mv</w:t>
            </w:r>
          </w:p>
          <w:p w14:paraId="611315D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基础刺激</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连续</w:t>
            </w:r>
            <w:r>
              <w:rPr>
                <w:rFonts w:hint="default" w:asciiTheme="minorEastAsia" w:hAnsiTheme="minorEastAsia" w:eastAsiaTheme="minorEastAsia"/>
                <w:color w:val="auto"/>
                <w:szCs w:val="21"/>
                <w:highlight w:val="none"/>
                <w:lang w:val="en-US" w:eastAsia="zh-CN"/>
              </w:rPr>
              <w:tab/>
            </w:r>
          </w:p>
          <w:p w14:paraId="01BD525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配对间期60 ms～1999 ms</w:t>
            </w:r>
          </w:p>
          <w:p w14:paraId="41F4779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 xml:space="preserve">刺激频率：30～1000次/分           </w:t>
            </w:r>
          </w:p>
          <w:p w14:paraId="3D0C1AB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定时时间：1秒～99秒</w:t>
            </w:r>
          </w:p>
          <w:p w14:paraId="7810524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定数数量：1个～99个</w:t>
            </w:r>
          </w:p>
          <w:p w14:paraId="3F1763D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起搏刺激：72次/分</w:t>
            </w:r>
          </w:p>
          <w:p w14:paraId="7F93072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扫描步长任意选择</w:t>
            </w:r>
          </w:p>
          <w:p w14:paraId="64A9FE3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短阵猝发Burst</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食管：180、200、250次/分</w:t>
            </w:r>
          </w:p>
          <w:p w14:paraId="0821819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心内：180、200、230次/分</w:t>
            </w:r>
          </w:p>
          <w:p w14:paraId="15D3075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高频刺激限制功能</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直接设定是否允许</w:t>
            </w:r>
          </w:p>
          <w:p w14:paraId="7DCD184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早搏程控刺激</w:t>
            </w:r>
            <w:r>
              <w:rPr>
                <w:rFonts w:hint="eastAsia" w:asciiTheme="minorEastAsia" w:hAnsiTheme="minorEastAsia" w:eastAsiaTheme="minorEastAsia"/>
                <w:color w:val="auto"/>
                <w:szCs w:val="21"/>
                <w:highlight w:val="none"/>
                <w:lang w:val="en-US" w:eastAsia="zh-CN"/>
              </w:rPr>
              <w:t>S1S2</w:t>
            </w:r>
            <w:r>
              <w:rPr>
                <w:rFonts w:hint="default" w:asciiTheme="minorEastAsia" w:hAnsiTheme="minorEastAsia" w:eastAsiaTheme="minorEastAsia"/>
                <w:color w:val="auto"/>
                <w:szCs w:val="21"/>
                <w:highlight w:val="none"/>
                <w:lang w:val="en-US" w:eastAsia="zh-CN"/>
              </w:rPr>
              <w:t>比例</w:t>
            </w:r>
            <w:r>
              <w:rPr>
                <w:rFonts w:hint="eastAsia" w:hAnsiTheme="minorEastAsia"/>
                <w:color w:val="auto"/>
                <w:szCs w:val="21"/>
                <w:highlight w:val="none"/>
                <w:lang w:val="en-US" w:eastAsia="zh-CN"/>
              </w:rPr>
              <w:t xml:space="preserve"> </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食管：8︰1、</w:t>
            </w:r>
            <w:r>
              <w:rPr>
                <w:rFonts w:hint="eastAsia" w:hAnsiTheme="minorEastAsia"/>
                <w:color w:val="auto"/>
                <w:szCs w:val="21"/>
                <w:highlight w:val="none"/>
                <w:lang w:val="en-US" w:eastAsia="zh-CN"/>
              </w:rPr>
              <w:t xml:space="preserve"> </w:t>
            </w:r>
            <w:r>
              <w:rPr>
                <w:rFonts w:hint="default" w:asciiTheme="minorEastAsia" w:hAnsiTheme="minorEastAsia" w:eastAsiaTheme="minorEastAsia"/>
                <w:color w:val="auto"/>
                <w:szCs w:val="21"/>
                <w:highlight w:val="none"/>
                <w:lang w:val="en-US" w:eastAsia="zh-CN"/>
              </w:rPr>
              <w:t>6︰1、4︰1</w:t>
            </w:r>
          </w:p>
          <w:p w14:paraId="00D021D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 xml:space="preserve">14、心内：8︰1、4︰1                 </w:t>
            </w:r>
          </w:p>
          <w:p w14:paraId="2907F38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15、早搏程控刺激</w:t>
            </w:r>
            <w:r>
              <w:rPr>
                <w:rFonts w:hint="eastAsia" w:asciiTheme="minorEastAsia" w:hAnsiTheme="minorEastAsia" w:eastAsiaTheme="minorEastAsia"/>
                <w:color w:val="auto"/>
                <w:szCs w:val="21"/>
                <w:highlight w:val="none"/>
                <w:lang w:val="en-US" w:eastAsia="zh-CN"/>
              </w:rPr>
              <w:t>S1S2</w:t>
            </w:r>
            <w:r>
              <w:rPr>
                <w:rFonts w:hint="default"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en-US" w:eastAsia="zh-CN"/>
              </w:rPr>
              <w:t>S2S3</w:t>
            </w:r>
            <w:r>
              <w:rPr>
                <w:rFonts w:hint="default"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S3S4</w:t>
            </w:r>
            <w:r>
              <w:rPr>
                <w:rFonts w:hint="default" w:asciiTheme="minorEastAsia" w:hAnsiTheme="minorEastAsia" w:eastAsiaTheme="minorEastAsia"/>
                <w:color w:val="auto"/>
                <w:szCs w:val="21"/>
                <w:highlight w:val="none"/>
                <w:lang w:val="en-US" w:eastAsia="zh-CN"/>
              </w:rPr>
              <w:t>可配对间期</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 xml:space="preserve">10ms～999 ms                     </w:t>
            </w:r>
          </w:p>
          <w:p w14:paraId="58453BC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早搏程控刺激</w:t>
            </w:r>
            <w:r>
              <w:rPr>
                <w:rFonts w:hint="eastAsia" w:asciiTheme="minorEastAsia" w:hAnsiTheme="minorEastAsia" w:eastAsiaTheme="minorEastAsia"/>
                <w:color w:val="auto"/>
                <w:szCs w:val="21"/>
                <w:highlight w:val="none"/>
                <w:lang w:val="en-US" w:eastAsia="zh-CN"/>
              </w:rPr>
              <w:t>RS2</w:t>
            </w:r>
            <w:r>
              <w:rPr>
                <w:rFonts w:hint="default" w:asciiTheme="minorEastAsia" w:hAnsiTheme="minorEastAsia" w:eastAsiaTheme="minorEastAsia"/>
                <w:color w:val="auto"/>
                <w:szCs w:val="21"/>
                <w:highlight w:val="none"/>
                <w:lang w:val="en-US" w:eastAsia="zh-CN"/>
              </w:rPr>
              <w:t>比例</w:t>
            </w:r>
          </w:p>
          <w:p w14:paraId="5AFDDA1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（1）食管：8︰1、6︰1、4︰1</w:t>
            </w:r>
          </w:p>
          <w:p w14:paraId="77C7E58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（2）心内：8︰1、4︰1</w:t>
            </w:r>
          </w:p>
          <w:p w14:paraId="5BB9224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S1S1</w:t>
            </w:r>
            <w:r>
              <w:rPr>
                <w:rFonts w:hint="default" w:asciiTheme="minorEastAsia" w:hAnsiTheme="minorEastAsia" w:eastAsiaTheme="minorEastAsia"/>
                <w:color w:val="auto"/>
                <w:szCs w:val="21"/>
                <w:highlight w:val="none"/>
                <w:lang w:val="en-US" w:eastAsia="zh-CN"/>
              </w:rPr>
              <w:t>递增、递减刺激</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逐次</w:t>
            </w:r>
          </w:p>
          <w:p w14:paraId="2ED2D40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eastAsia" w:asciiTheme="minorEastAsia" w:hAnsiTheme="minorEastAsia" w:eastAsiaTheme="minorEastAsia"/>
                <w:color w:val="auto"/>
                <w:szCs w:val="21"/>
                <w:highlight w:val="none"/>
                <w:lang w:val="en-US" w:eastAsia="zh-CN"/>
              </w:rPr>
              <w:t>RS2</w:t>
            </w:r>
            <w:r>
              <w:rPr>
                <w:rFonts w:hint="default"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en-US" w:eastAsia="zh-CN"/>
              </w:rPr>
              <w:t>S2S3 S3S4</w:t>
            </w:r>
            <w:r>
              <w:rPr>
                <w:rFonts w:hint="default" w:asciiTheme="minorEastAsia" w:hAnsiTheme="minorEastAsia" w:eastAsiaTheme="minorEastAsia"/>
                <w:color w:val="auto"/>
                <w:szCs w:val="21"/>
                <w:highlight w:val="none"/>
                <w:lang w:val="en-US" w:eastAsia="zh-CN"/>
              </w:rPr>
              <w:t>可配对间期</w:t>
            </w:r>
            <w:r>
              <w:rPr>
                <w:rFonts w:hint="default" w:asciiTheme="minorEastAsia" w:hAnsiTheme="minorEastAsia" w:eastAsiaTheme="minorEastAsia"/>
                <w:color w:val="auto"/>
                <w:szCs w:val="21"/>
                <w:highlight w:val="none"/>
                <w:lang w:val="en-US" w:eastAsia="zh-CN"/>
              </w:rPr>
              <w:tab/>
            </w:r>
            <w:r>
              <w:rPr>
                <w:rFonts w:hint="default" w:asciiTheme="minorEastAsia" w:hAnsiTheme="minorEastAsia" w:eastAsiaTheme="minorEastAsia"/>
                <w:color w:val="auto"/>
                <w:szCs w:val="21"/>
                <w:highlight w:val="none"/>
                <w:lang w:val="en-US" w:eastAsia="zh-CN"/>
              </w:rPr>
              <w:t>10ms～999 ms</w:t>
            </w:r>
          </w:p>
          <w:p w14:paraId="3EE7F8C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体表十二导同步记录</w:t>
            </w:r>
          </w:p>
          <w:p w14:paraId="301A8E1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食管导联同步记录</w:t>
            </w:r>
          </w:p>
          <w:p w14:paraId="5EDC779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数据、图形永久保存</w:t>
            </w:r>
          </w:p>
          <w:p w14:paraId="2733B01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记录时波形回溯</w:t>
            </w:r>
          </w:p>
          <w:p w14:paraId="2990197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具有标记、测量计算、寻找功能</w:t>
            </w:r>
            <w:r>
              <w:rPr>
                <w:rFonts w:hint="default" w:asciiTheme="minorEastAsia" w:hAnsiTheme="minorEastAsia" w:eastAsiaTheme="minorEastAsia"/>
                <w:color w:val="auto"/>
                <w:szCs w:val="21"/>
                <w:highlight w:val="none"/>
                <w:lang w:val="en-US" w:eastAsia="zh-CN"/>
              </w:rPr>
              <w:tab/>
            </w:r>
          </w:p>
          <w:p w14:paraId="302289A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具有波形截取、波形对比、报告单打印等功能</w:t>
            </w:r>
            <w:r>
              <w:rPr>
                <w:rFonts w:hint="eastAsia" w:hAnsiTheme="minorEastAsia"/>
                <w:color w:val="auto"/>
                <w:szCs w:val="21"/>
                <w:highlight w:val="none"/>
                <w:lang w:val="en-US" w:eastAsia="zh-CN"/>
              </w:rPr>
              <w:t>。</w:t>
            </w:r>
          </w:p>
        </w:tc>
      </w:tr>
      <w:tr w14:paraId="30992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9" w:type="dxa"/>
            <w:vAlign w:val="center"/>
          </w:tcPr>
          <w:p w14:paraId="541660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1102" w:type="dxa"/>
            <w:vAlign w:val="center"/>
          </w:tcPr>
          <w:p w14:paraId="1C9936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可视喉镜</w:t>
            </w:r>
          </w:p>
        </w:tc>
        <w:tc>
          <w:tcPr>
            <w:tcW w:w="737" w:type="dxa"/>
            <w:vAlign w:val="center"/>
          </w:tcPr>
          <w:p w14:paraId="795D4F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88" w:type="dxa"/>
            <w:vAlign w:val="center"/>
          </w:tcPr>
          <w:p w14:paraId="43761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931" w:type="dxa"/>
            <w:shd w:val="clear" w:color="auto" w:fill="auto"/>
            <w:vAlign w:val="center"/>
          </w:tcPr>
          <w:p w14:paraId="5BC68B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25000</w:t>
            </w:r>
          </w:p>
        </w:tc>
        <w:tc>
          <w:tcPr>
            <w:tcW w:w="680" w:type="dxa"/>
            <w:shd w:val="clear" w:color="auto" w:fill="auto"/>
            <w:vAlign w:val="center"/>
          </w:tcPr>
          <w:p w14:paraId="5DE3CD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3B6B265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整机由喉镜片和显示器两部分组成，整机具有拍照录像、数据存取功能</w:t>
            </w:r>
          </w:p>
          <w:p w14:paraId="545FEAA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显示器能上下0º～110º转动，左右0º～270º转动</w:t>
            </w:r>
          </w:p>
          <w:p w14:paraId="2221886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喉镜片摄像头与镜片前端的最高垂直距离≤35mm</w:t>
            </w:r>
          </w:p>
          <w:p w14:paraId="1B716CE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一次性喉镜片可插入镜片长度：108mm</w:t>
            </w:r>
          </w:p>
          <w:p w14:paraId="2637A15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渐缩型镜片前端厚度：12.5mm</w:t>
            </w:r>
          </w:p>
          <w:p w14:paraId="3E4CFC2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镜片角度：42度</w:t>
            </w:r>
          </w:p>
          <w:p w14:paraId="2A4D077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配套PCTG材料一次性使用喉镜片。较PC材质，不含双酚A，透明度高。</w:t>
            </w:r>
          </w:p>
          <w:p w14:paraId="526140D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配套一次性使用喉镜片前端采用防雾涂层设计,双重防雾功能.</w:t>
            </w:r>
          </w:p>
          <w:p w14:paraId="3872CF6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视场角60º±15%</w:t>
            </w:r>
          </w:p>
          <w:p w14:paraId="2C49E9B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摄像头内置的全密封防水设计高功率LED光源，光照度≥150Lux</w:t>
            </w:r>
          </w:p>
          <w:p w14:paraId="780F843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液晶屏像素（PIX）：720*480</w:t>
            </w:r>
          </w:p>
          <w:p w14:paraId="524CDE1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分辨率≥7.87LP/mm</w:t>
            </w:r>
          </w:p>
          <w:p w14:paraId="1E8B374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镜片手柄与显示组件的连接：不受力直插式</w:t>
            </w:r>
          </w:p>
          <w:p w14:paraId="7F61644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纺锤型短手柄设计，握持舒适</w:t>
            </w:r>
          </w:p>
          <w:p w14:paraId="6F0DB5C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手柄防水等级：≥IPX7</w:t>
            </w:r>
          </w:p>
          <w:p w14:paraId="3982029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16、具备拍照录像功能，数据存储，可存储照片数量≥40万张，可存储录像时长16小时</w:t>
            </w:r>
          </w:p>
          <w:p w14:paraId="6835431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支持WIFI无线传输图像，触屏操作。</w:t>
            </w:r>
          </w:p>
          <w:p w14:paraId="0628606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充电器输入：100-240VAC,50-60HZ</w:t>
            </w:r>
          </w:p>
          <w:p w14:paraId="1E52C77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充电器输出：5V，1000mA</w:t>
            </w:r>
          </w:p>
          <w:p w14:paraId="38E782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充电时间：</w:t>
            </w:r>
            <w:r>
              <w:rPr>
                <w:rFonts w:hint="eastAsia" w:ascii="Arial" w:hAnsi="Arial" w:cs="Arial"/>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3小时</w:t>
            </w:r>
          </w:p>
          <w:p w14:paraId="540CBBA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持续放电时间：≥</w:t>
            </w:r>
            <w:r>
              <w:rPr>
                <w:rFonts w:hint="eastAsia" w:hAnsiTheme="minorEastAsia"/>
                <w:color w:val="auto"/>
                <w:szCs w:val="21"/>
                <w:highlight w:val="none"/>
                <w:lang w:val="en-US" w:eastAsia="zh-CN"/>
              </w:rPr>
              <w:t>3</w:t>
            </w:r>
            <w:r>
              <w:rPr>
                <w:rFonts w:hint="default" w:asciiTheme="minorEastAsia" w:hAnsiTheme="minorEastAsia" w:eastAsiaTheme="minorEastAsia"/>
                <w:color w:val="auto"/>
                <w:szCs w:val="21"/>
                <w:highlight w:val="none"/>
                <w:lang w:val="en-US" w:eastAsia="zh-CN"/>
              </w:rPr>
              <w:t>小时</w:t>
            </w:r>
          </w:p>
          <w:p w14:paraId="7825DD5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充电次数：≥300次</w:t>
            </w:r>
          </w:p>
          <w:p w14:paraId="1E29A42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内置可充电式锂电子聚合物电池</w:t>
            </w:r>
          </w:p>
        </w:tc>
      </w:tr>
      <w:tr w14:paraId="3C1A9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9" w:type="dxa"/>
            <w:vAlign w:val="center"/>
          </w:tcPr>
          <w:p w14:paraId="42E3A2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1102" w:type="dxa"/>
            <w:vAlign w:val="center"/>
          </w:tcPr>
          <w:p w14:paraId="492FBB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数字式心电图机</w:t>
            </w:r>
          </w:p>
        </w:tc>
        <w:tc>
          <w:tcPr>
            <w:tcW w:w="737" w:type="dxa"/>
            <w:vAlign w:val="center"/>
          </w:tcPr>
          <w:p w14:paraId="2BD109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vAlign w:val="center"/>
          </w:tcPr>
          <w:p w14:paraId="124C5E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3C25B6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59600</w:t>
            </w:r>
          </w:p>
        </w:tc>
        <w:tc>
          <w:tcPr>
            <w:tcW w:w="680" w:type="dxa"/>
            <w:shd w:val="clear" w:color="auto" w:fill="auto"/>
            <w:vAlign w:val="center"/>
          </w:tcPr>
          <w:p w14:paraId="6992CC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1E5AA09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数字式心电图机，支持12导心电图采集</w:t>
            </w:r>
          </w:p>
          <w:p w14:paraId="2C5334A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心电图机一体化平板设计，采集仪模块内置；主机全触控操作，无物理硬按键。</w:t>
            </w:r>
          </w:p>
          <w:p w14:paraId="431D05E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显示屏幕≥10英寸</w:t>
            </w:r>
          </w:p>
          <w:p w14:paraId="58203EB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具备LAN、USB等传输接口</w:t>
            </w:r>
          </w:p>
          <w:p w14:paraId="1129A72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支持智能操作系统，可远程更新升级</w:t>
            </w:r>
          </w:p>
          <w:p w14:paraId="04BB628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▲心电图主机支持内置4G功能，不接受外置模块。</w:t>
            </w:r>
          </w:p>
          <w:p w14:paraId="58CE448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7</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心电图主机支持2.4GHz/5GHz双频段无线Wi-Fi</w:t>
            </w:r>
          </w:p>
          <w:p w14:paraId="76B29A0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8</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锂电池额定容量≥10000mAh，在40℃或以下支持5小时以上连续工作</w:t>
            </w:r>
          </w:p>
          <w:p w14:paraId="021BD4F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耐极化电压：±600mV</w:t>
            </w:r>
          </w:p>
          <w:p w14:paraId="45BD018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10</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定标电压：1mV±1%</w:t>
            </w:r>
          </w:p>
          <w:p w14:paraId="2641F83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共模抑制比：≥125dB（默认交流滤波关闭）</w:t>
            </w:r>
          </w:p>
          <w:p w14:paraId="07CB14B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内部噪声：≤10μVP-P</w:t>
            </w:r>
          </w:p>
          <w:p w14:paraId="41EACF0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频响范围：0.05Hz~350Hz（-30%～+10%） </w:t>
            </w:r>
          </w:p>
          <w:p w14:paraId="74581DF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14</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存储量：支持最高100000份心电数据存储</w:t>
            </w:r>
          </w:p>
          <w:p w14:paraId="1121DC9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15</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具备支持全导联起搏检测，准确识别起搏信号</w:t>
            </w:r>
          </w:p>
          <w:p w14:paraId="592EF83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16</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QTc参数测量：内置4种以上测量算法，QTc计算方法可通过系统设置调阅并设置</w:t>
            </w:r>
          </w:p>
          <w:p w14:paraId="2E539DF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17</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心电图机可通过下载获取待检查信息，并支持待检查列表显示，列表应包含检查姓名、性别、年龄等信息。</w:t>
            </w:r>
          </w:p>
          <w:p w14:paraId="349F0B2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18</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同屏显示≥12导心电波形，支持虚拟15导、虚拟18导技术，12导心电图机可进行虚拟附加导联进行虚拟15导/18导采集，采集完成后，可生成虚拟15导/18导的图谱。</w:t>
            </w:r>
          </w:p>
          <w:p w14:paraId="43DA66B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19</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▲心电图机有经过IHE专项测试，可以满足与医疗卫生机构信息系统之间的信息互联、互通、集成共享的要求。</w:t>
            </w:r>
          </w:p>
          <w:p w14:paraId="664166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20、对于危急值检查数据，支持优先诊断功能，以提醒诊断中心优先诊断。</w:t>
            </w:r>
          </w:p>
          <w:p w14:paraId="609860F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21、记录测值包括：心率、电轴、P波时限、P-R间期、QRS时限、Q-T间期、QTc、T波、Rv5、Sv1等。</w:t>
            </w:r>
          </w:p>
          <w:p w14:paraId="2386B6C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22、支持在采集端将心电图原始数据生成二维码，并通过手机端微信小程序进行扫码查看、诊断和分享；通过手机扫码方式实现内网到外网的数据传输，物理隔离保障网络安全。</w:t>
            </w:r>
          </w:p>
          <w:p w14:paraId="72492116">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23、阿托品试验采集及处理流程</w:t>
            </w:r>
          </w:p>
          <w:p w14:paraId="4E5A1B3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24、任意心搏放大、单导联图谱漂移功能、全屏图谱漂移功能</w:t>
            </w:r>
          </w:p>
          <w:p w14:paraId="3744135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25、梯形图生成技术</w:t>
            </w:r>
          </w:p>
          <w:p w14:paraId="4A21997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26、具有向量分析技术</w:t>
            </w:r>
          </w:p>
          <w:p w14:paraId="4DD3104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27、支持心电事件、起搏心电、晚电位功能</w:t>
            </w:r>
          </w:p>
          <w:p w14:paraId="6322F05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28、▲设备必须满足与医院现有心电信息系统无缝对接。</w:t>
            </w:r>
          </w:p>
        </w:tc>
      </w:tr>
      <w:tr w14:paraId="15BC4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9" w:type="dxa"/>
            <w:vAlign w:val="center"/>
          </w:tcPr>
          <w:p w14:paraId="0C0363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1102" w:type="dxa"/>
            <w:vAlign w:val="center"/>
          </w:tcPr>
          <w:p w14:paraId="050F99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双通道注射泵</w:t>
            </w:r>
          </w:p>
        </w:tc>
        <w:tc>
          <w:tcPr>
            <w:tcW w:w="737" w:type="dxa"/>
            <w:vAlign w:val="center"/>
          </w:tcPr>
          <w:p w14:paraId="7727CF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88" w:type="dxa"/>
            <w:vAlign w:val="center"/>
          </w:tcPr>
          <w:p w14:paraId="149A35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31" w:type="dxa"/>
            <w:shd w:val="clear" w:color="auto" w:fill="auto"/>
            <w:vAlign w:val="center"/>
          </w:tcPr>
          <w:p w14:paraId="3321BF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6200</w:t>
            </w:r>
          </w:p>
        </w:tc>
        <w:tc>
          <w:tcPr>
            <w:tcW w:w="680" w:type="dxa"/>
            <w:shd w:val="clear" w:color="auto" w:fill="auto"/>
            <w:vAlign w:val="center"/>
          </w:tcPr>
          <w:p w14:paraId="0E393E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p>
        </w:tc>
        <w:tc>
          <w:tcPr>
            <w:tcW w:w="4579" w:type="dxa"/>
            <w:shd w:val="clear" w:color="auto" w:fill="auto"/>
            <w:vAlign w:val="center"/>
          </w:tcPr>
          <w:p w14:paraId="29E6703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一、</w:t>
            </w:r>
            <w:r>
              <w:rPr>
                <w:rFonts w:hint="default" w:asciiTheme="minorEastAsia" w:hAnsiTheme="minorEastAsia" w:eastAsiaTheme="minorEastAsia"/>
                <w:color w:val="auto"/>
                <w:szCs w:val="21"/>
                <w:highlight w:val="none"/>
                <w:lang w:val="en-US" w:eastAsia="zh-CN"/>
              </w:rPr>
              <w:t>用途：用于推动注射器进行液体注射。</w:t>
            </w:r>
          </w:p>
          <w:p w14:paraId="614C9C5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二、</w:t>
            </w:r>
            <w:r>
              <w:rPr>
                <w:rFonts w:hint="default" w:asciiTheme="minorEastAsia" w:hAnsiTheme="minorEastAsia" w:eastAsiaTheme="minorEastAsia"/>
                <w:color w:val="auto"/>
                <w:szCs w:val="21"/>
                <w:highlight w:val="none"/>
                <w:lang w:val="en-US" w:eastAsia="zh-CN"/>
              </w:rPr>
              <w:t>一般规格和要求：设备先进、结构合理、加工精密；</w:t>
            </w:r>
          </w:p>
          <w:p w14:paraId="3FB6B9D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三</w:t>
            </w:r>
            <w:r>
              <w:rPr>
                <w:rFonts w:hint="default" w:asciiTheme="minorEastAsia" w:hAnsiTheme="minorEastAsia" w:eastAsiaTheme="minorEastAsia"/>
                <w:color w:val="auto"/>
                <w:szCs w:val="21"/>
                <w:highlight w:val="none"/>
                <w:lang w:val="en-US" w:eastAsia="zh-CN"/>
              </w:rPr>
              <w:t>、主要技术和性能要求：</w:t>
            </w:r>
          </w:p>
          <w:p w14:paraId="7ABE35A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 xml:space="preserve">安全要求：  </w:t>
            </w:r>
          </w:p>
          <w:p w14:paraId="5197B17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default" w:asciiTheme="minorEastAsia" w:hAnsiTheme="minorEastAsia" w:eastAsiaTheme="minorEastAsia"/>
                <w:color w:val="auto"/>
                <w:szCs w:val="21"/>
                <w:highlight w:val="none"/>
                <w:lang w:val="en-US" w:eastAsia="zh-CN"/>
              </w:rPr>
              <w:t>安全防护可靠，防护类型：CFⅠ、IP34、</w:t>
            </w:r>
            <w:r>
              <w:rPr>
                <w:rFonts w:hint="eastAsia" w:hAnsiTheme="minorEastAsia"/>
                <w:color w:val="auto"/>
                <w:szCs w:val="21"/>
                <w:highlight w:val="none"/>
                <w:lang w:val="en-US" w:eastAsia="zh-CN"/>
              </w:rPr>
              <w:t>满足</w:t>
            </w:r>
            <w:r>
              <w:rPr>
                <w:rFonts w:hint="default" w:asciiTheme="minorEastAsia" w:hAnsiTheme="minorEastAsia" w:eastAsiaTheme="minorEastAsia"/>
                <w:color w:val="auto"/>
                <w:szCs w:val="21"/>
                <w:highlight w:val="none"/>
                <w:lang w:val="en-US" w:eastAsia="zh-CN"/>
              </w:rPr>
              <w:t>YY 9706.102-2021《医用电气设备 第1-2部分：基本安全和基本性能的通用要求 并列标准：电磁兼容 要求和试验 》、主副CPU；</w:t>
            </w:r>
          </w:p>
          <w:p w14:paraId="1350715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default" w:asciiTheme="minorEastAsia" w:hAnsiTheme="minorEastAsia" w:eastAsiaTheme="minorEastAsia"/>
                <w:color w:val="auto"/>
                <w:szCs w:val="21"/>
                <w:highlight w:val="none"/>
                <w:lang w:val="en-US" w:eastAsia="zh-CN"/>
              </w:rPr>
              <w:t>在线动态压力监测，可实时显示当前压力数值；</w:t>
            </w:r>
          </w:p>
          <w:p w14:paraId="48FE4CC9">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default" w:asciiTheme="minorEastAsia" w:hAnsiTheme="minorEastAsia" w:eastAsiaTheme="minorEastAsia"/>
                <w:color w:val="auto"/>
                <w:szCs w:val="21"/>
                <w:highlight w:val="none"/>
                <w:lang w:val="en-US" w:eastAsia="zh-CN"/>
              </w:rPr>
              <w:t>压力报警阈值4档可调；最低阻塞压力档低至150mmHg。</w:t>
            </w:r>
          </w:p>
          <w:p w14:paraId="21648E8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r>
              <w:rPr>
                <w:rFonts w:hint="default" w:asciiTheme="minorEastAsia" w:hAnsiTheme="minorEastAsia" w:eastAsiaTheme="minorEastAsia"/>
                <w:color w:val="auto"/>
                <w:szCs w:val="21"/>
                <w:highlight w:val="none"/>
                <w:lang w:val="en-US" w:eastAsia="zh-CN"/>
              </w:rPr>
              <w:t>阻塞回撤功能（Anti-Bolus）：当管路阻塞报警时，自动回撤管路压力，避免意外丸剂量伤害患者；</w:t>
            </w:r>
          </w:p>
          <w:p w14:paraId="34DAD1CB">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default" w:asciiTheme="minorEastAsia" w:hAnsiTheme="minorEastAsia" w:eastAsiaTheme="minorEastAsia"/>
                <w:color w:val="auto"/>
                <w:szCs w:val="21"/>
                <w:highlight w:val="none"/>
                <w:lang w:val="en-US" w:eastAsia="zh-CN"/>
              </w:rPr>
              <w:t>防虹吸功能：防止药液在暂停期间任意流出；</w:t>
            </w:r>
          </w:p>
          <w:p w14:paraId="2E2DC13E">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default" w:asciiTheme="minorEastAsia" w:hAnsiTheme="minorEastAsia" w:eastAsiaTheme="minorEastAsia"/>
                <w:color w:val="auto"/>
                <w:szCs w:val="21"/>
                <w:highlight w:val="none"/>
                <w:lang w:val="en-US" w:eastAsia="zh-CN"/>
              </w:rPr>
              <w:t>满足救护车标准，适合在户外急救和车载情况下使用</w:t>
            </w:r>
          </w:p>
          <w:p w14:paraId="1F6FEAB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精度要求：</w:t>
            </w:r>
          </w:p>
          <w:p w14:paraId="4CD176E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default" w:asciiTheme="minorEastAsia" w:hAnsiTheme="minorEastAsia" w:eastAsiaTheme="minorEastAsia"/>
                <w:color w:val="auto"/>
                <w:szCs w:val="21"/>
                <w:highlight w:val="none"/>
                <w:lang w:val="en-US" w:eastAsia="zh-CN"/>
              </w:rPr>
              <w:t>速率≥1ml/h</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精度≤±2%；</w:t>
            </w:r>
          </w:p>
          <w:p w14:paraId="73EA02D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default" w:asciiTheme="minorEastAsia" w:hAnsiTheme="minorEastAsia" w:eastAsiaTheme="minorEastAsia"/>
                <w:color w:val="auto"/>
                <w:szCs w:val="21"/>
                <w:highlight w:val="none"/>
                <w:lang w:val="en-US" w:eastAsia="zh-CN"/>
              </w:rPr>
              <w:t>快速启动功能：实现快速给药、缩短给药延迟时间；</w:t>
            </w:r>
          </w:p>
          <w:p w14:paraId="4CA8629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default" w:asciiTheme="minorEastAsia" w:hAnsiTheme="minorEastAsia" w:eastAsiaTheme="minorEastAsia"/>
                <w:color w:val="auto"/>
                <w:szCs w:val="21"/>
                <w:highlight w:val="none"/>
                <w:lang w:val="en-US" w:eastAsia="zh-CN"/>
              </w:rPr>
              <w:t>在线滴定功能：安全不中断输液而更改速率。</w:t>
            </w:r>
          </w:p>
          <w:p w14:paraId="201E2C9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hAnsi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基本要求：</w:t>
            </w:r>
          </w:p>
          <w:p w14:paraId="763A36F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default" w:asciiTheme="minorEastAsia" w:hAnsiTheme="minorEastAsia" w:eastAsiaTheme="minorEastAsia"/>
                <w:color w:val="auto"/>
                <w:szCs w:val="21"/>
                <w:highlight w:val="none"/>
                <w:lang w:val="en-US" w:eastAsia="zh-CN"/>
              </w:rPr>
              <w:t>速率范围：0.1-1500ml/h, 递增：0.1ml（0.1-999.9ml/h）；</w:t>
            </w:r>
          </w:p>
          <w:p w14:paraId="176ED811">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default" w:asciiTheme="minorEastAsia" w:hAnsiTheme="minorEastAsia" w:eastAsiaTheme="minorEastAsia"/>
                <w:color w:val="auto"/>
                <w:szCs w:val="21"/>
                <w:highlight w:val="none"/>
                <w:lang w:val="en-US" w:eastAsia="zh-CN"/>
              </w:rPr>
              <w:t>预置总量范围：0.1-9999ml，递增：0.1ml；</w:t>
            </w:r>
          </w:p>
          <w:p w14:paraId="6C81845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default" w:asciiTheme="minorEastAsia" w:hAnsiTheme="minorEastAsia" w:eastAsiaTheme="minorEastAsia"/>
                <w:color w:val="auto"/>
                <w:szCs w:val="21"/>
                <w:highlight w:val="none"/>
                <w:lang w:val="en-US" w:eastAsia="zh-CN"/>
              </w:rPr>
              <w:t>预置时间范围：00:00:01-99:59:59（h:m:s）；</w:t>
            </w:r>
          </w:p>
          <w:p w14:paraId="70BB718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bookmarkStart w:id="25" w:name="OLE_LINK6"/>
            <w:r>
              <w:rPr>
                <w:rFonts w:hint="default" w:asciiTheme="minorEastAsia" w:hAnsiTheme="minorEastAsia" w:eastAsiaTheme="minorEastAsia"/>
                <w:color w:val="auto"/>
                <w:szCs w:val="21"/>
                <w:highlight w:val="none"/>
                <w:lang w:val="en-US" w:eastAsia="zh-CN"/>
              </w:rPr>
              <w:t>快推“bolus”</w:t>
            </w:r>
            <w:bookmarkEnd w:id="25"/>
            <w:r>
              <w:rPr>
                <w:rFonts w:hint="default" w:asciiTheme="minorEastAsia" w:hAnsiTheme="minorEastAsia" w:eastAsiaTheme="minorEastAsia"/>
                <w:color w:val="auto"/>
                <w:szCs w:val="21"/>
                <w:highlight w:val="none"/>
                <w:lang w:val="en-US" w:eastAsia="zh-CN"/>
              </w:rPr>
              <w:t>：0.1-1500ml/h，以0.1ml/h递增, 具有自动和手动快推“bolus”可选；</w:t>
            </w:r>
          </w:p>
          <w:p w14:paraId="639D87D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r>
              <w:rPr>
                <w:rFonts w:hint="default" w:asciiTheme="minorEastAsia" w:hAnsiTheme="minorEastAsia" w:eastAsiaTheme="minorEastAsia"/>
                <w:color w:val="auto"/>
                <w:szCs w:val="21"/>
                <w:highlight w:val="none"/>
                <w:lang w:val="en-US" w:eastAsia="zh-CN"/>
              </w:rPr>
              <w:t>KVO：0.1-5ml/h，递增0.1ml/h；</w:t>
            </w:r>
          </w:p>
          <w:p w14:paraId="505F554F">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r>
              <w:rPr>
                <w:rFonts w:hint="default" w:asciiTheme="minorEastAsia" w:hAnsiTheme="minorEastAsia" w:eastAsiaTheme="minorEastAsia"/>
                <w:color w:val="auto"/>
                <w:szCs w:val="21"/>
                <w:highlight w:val="none"/>
                <w:lang w:val="en-US" w:eastAsia="zh-CN"/>
              </w:rPr>
              <w:t>自动识别注射器规格：5ml、10ml、20ml、30ml、50ml；</w:t>
            </w:r>
          </w:p>
          <w:p w14:paraId="5F6E439C">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r>
              <w:rPr>
                <w:rFonts w:hint="default" w:asciiTheme="minorEastAsia" w:hAnsiTheme="minorEastAsia" w:eastAsiaTheme="minorEastAsia"/>
                <w:color w:val="auto"/>
                <w:szCs w:val="21"/>
                <w:highlight w:val="none"/>
                <w:lang w:val="en-US" w:eastAsia="zh-CN"/>
              </w:rPr>
              <w:t>具备独立电源开关，单通道使用时更节能。</w:t>
            </w:r>
          </w:p>
          <w:p w14:paraId="305D466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w:t>
            </w:r>
            <w:r>
              <w:rPr>
                <w:rFonts w:hint="default" w:asciiTheme="minorEastAsia" w:hAnsiTheme="minorEastAsia" w:eastAsiaTheme="minorEastAsia"/>
                <w:color w:val="auto"/>
                <w:szCs w:val="21"/>
                <w:highlight w:val="none"/>
                <w:lang w:val="en-US" w:eastAsia="zh-CN"/>
              </w:rPr>
              <w:t>屏幕不小于3</w:t>
            </w:r>
            <w:r>
              <w:rPr>
                <w:rFonts w:hint="eastAsia"/>
                <w:color w:val="auto"/>
                <w:highlight w:val="none"/>
                <w:lang w:eastAsia="zh-CN"/>
              </w:rPr>
              <w:t>英寸</w:t>
            </w:r>
            <w:r>
              <w:rPr>
                <w:rFonts w:hint="default" w:asciiTheme="minorEastAsia" w:hAnsiTheme="minorEastAsia" w:eastAsiaTheme="minorEastAsia"/>
                <w:color w:val="auto"/>
                <w:szCs w:val="21"/>
                <w:highlight w:val="none"/>
                <w:lang w:val="en-US" w:eastAsia="zh-CN"/>
              </w:rPr>
              <w:t xml:space="preserve">，同屏显示：速率、当前注射状态、已注射量、注射器规格、电池容量、报警压力档位和在线压力、报警信息 ； </w:t>
            </w:r>
          </w:p>
          <w:p w14:paraId="6292BFE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r>
              <w:rPr>
                <w:rFonts w:hint="default" w:asciiTheme="minorEastAsia" w:hAnsiTheme="minorEastAsia" w:eastAsiaTheme="minorEastAsia"/>
                <w:color w:val="auto"/>
                <w:szCs w:val="21"/>
                <w:highlight w:val="none"/>
                <w:lang w:val="en-US" w:eastAsia="zh-CN"/>
              </w:rPr>
              <w:t>整机重量不超过4kg，主机采用双提手设计，方便携带。</w:t>
            </w:r>
          </w:p>
          <w:p w14:paraId="6137CD5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r>
              <w:rPr>
                <w:rFonts w:hint="default" w:asciiTheme="minorEastAsia" w:hAnsiTheme="minorEastAsia" w:eastAsiaTheme="minorEastAsia"/>
                <w:color w:val="auto"/>
                <w:szCs w:val="21"/>
                <w:highlight w:val="none"/>
                <w:lang w:val="en-US" w:eastAsia="zh-CN"/>
              </w:rPr>
              <w:t>分低级、中级、高级三级报警，并分别以声光提示，同时显示具体报警信息；</w:t>
            </w:r>
          </w:p>
          <w:p w14:paraId="05FD7F08">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r>
              <w:rPr>
                <w:rFonts w:hint="default" w:asciiTheme="minorEastAsia" w:hAnsiTheme="minorEastAsia" w:eastAsiaTheme="minorEastAsia"/>
                <w:color w:val="auto"/>
                <w:szCs w:val="21"/>
                <w:highlight w:val="none"/>
                <w:lang w:val="en-US" w:eastAsia="zh-CN"/>
              </w:rPr>
              <w:t>高级报警信息：阻塞、电池耗尽、完成、KVO完成、注射器排空、注射器脱落、联机失效</w:t>
            </w:r>
            <w:r>
              <w:rPr>
                <w:rFonts w:hint="eastAsia" w:asciiTheme="minorEastAsia" w:hAnsiTheme="minorEastAsia" w:eastAsiaTheme="minorEastAsia"/>
                <w:color w:val="auto"/>
                <w:szCs w:val="21"/>
                <w:highlight w:val="none"/>
                <w:lang w:val="en-US" w:eastAsia="zh-CN"/>
              </w:rPr>
              <w:t>；</w:t>
            </w:r>
            <w:r>
              <w:rPr>
                <w:rFonts w:hint="default" w:asciiTheme="minorEastAsia" w:hAnsiTheme="minorEastAsia" w:eastAsiaTheme="minorEastAsia"/>
                <w:color w:val="auto"/>
                <w:szCs w:val="21"/>
                <w:highlight w:val="none"/>
                <w:lang w:val="en-US" w:eastAsia="zh-CN"/>
              </w:rPr>
              <w:t>中级报警信息：系统异常、待机时间结束；低级报警信息：无操作、电池电量低、未安装电池、接近完成、网电源脱落、通讯中断；</w:t>
            </w:r>
          </w:p>
          <w:p w14:paraId="0C8AD9ED">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r>
              <w:rPr>
                <w:rFonts w:hint="default" w:asciiTheme="minorEastAsia" w:hAnsiTheme="minorEastAsia" w:eastAsiaTheme="minorEastAsia"/>
                <w:color w:val="auto"/>
                <w:szCs w:val="21"/>
                <w:highlight w:val="none"/>
                <w:lang w:val="en-US" w:eastAsia="zh-CN"/>
              </w:rPr>
              <w:t>具有4种注射模式可选：速度模式、时间模式、体重模式、间断给药模式；</w:t>
            </w:r>
          </w:p>
          <w:p w14:paraId="219605D5">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r>
              <w:rPr>
                <w:rFonts w:hint="default" w:asciiTheme="minorEastAsia" w:hAnsiTheme="minorEastAsia" w:eastAsiaTheme="minorEastAsia"/>
                <w:color w:val="auto"/>
                <w:szCs w:val="21"/>
                <w:highlight w:val="none"/>
                <w:lang w:val="en-US" w:eastAsia="zh-CN"/>
              </w:rPr>
              <w:t>具有联机功能：适用于药物的不间断推注，保证没有任何注射中断的连续给药功能；维持血药浓度稳定。</w:t>
            </w:r>
          </w:p>
          <w:p w14:paraId="4920B57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w:t>
            </w:r>
            <w:r>
              <w:rPr>
                <w:rFonts w:hint="default" w:asciiTheme="minorEastAsia" w:hAnsiTheme="minorEastAsia" w:eastAsiaTheme="minorEastAsia"/>
                <w:color w:val="auto"/>
                <w:szCs w:val="21"/>
                <w:highlight w:val="none"/>
                <w:lang w:val="en-US" w:eastAsia="zh-CN"/>
              </w:rPr>
              <w:t>双通道注射时，电池工作时间</w:t>
            </w:r>
            <w:r>
              <w:rPr>
                <w:rFonts w:hint="eastAsia"/>
                <w:color w:val="auto"/>
                <w:highlight w:val="none"/>
                <w:lang w:eastAsia="zh-CN"/>
              </w:rPr>
              <w:t>≥</w:t>
            </w:r>
            <w:r>
              <w:rPr>
                <w:rFonts w:hint="default" w:asciiTheme="minorEastAsia" w:hAnsiTheme="minorEastAsia" w:eastAsiaTheme="minorEastAsia"/>
                <w:color w:val="auto"/>
                <w:szCs w:val="21"/>
                <w:highlight w:val="none"/>
                <w:lang w:val="en-US" w:eastAsia="zh-CN"/>
              </w:rPr>
              <w:t>3小时@5ml/h，可升级至</w:t>
            </w:r>
            <w:r>
              <w:rPr>
                <w:rFonts w:hint="eastAsia"/>
                <w:color w:val="auto"/>
                <w:highlight w:val="none"/>
                <w:lang w:eastAsia="zh-CN"/>
              </w:rPr>
              <w:t>≥</w:t>
            </w:r>
            <w:r>
              <w:rPr>
                <w:rFonts w:hint="default" w:asciiTheme="minorEastAsia" w:hAnsiTheme="minorEastAsia" w:eastAsiaTheme="minorEastAsia"/>
                <w:color w:val="auto"/>
                <w:szCs w:val="21"/>
                <w:highlight w:val="none"/>
                <w:lang w:val="en-US" w:eastAsia="zh-CN"/>
              </w:rPr>
              <w:t>6小时@5ml/h</w:t>
            </w:r>
          </w:p>
          <w:p w14:paraId="67075DE7">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w:t>
            </w:r>
            <w:r>
              <w:rPr>
                <w:rFonts w:hint="default" w:asciiTheme="minorEastAsia" w:hAnsiTheme="minorEastAsia" w:eastAsiaTheme="minorEastAsia"/>
                <w:color w:val="auto"/>
                <w:szCs w:val="21"/>
                <w:highlight w:val="none"/>
                <w:lang w:val="en-US" w:eastAsia="zh-CN"/>
              </w:rPr>
              <w:t>供电：AC 100V-240V，50/60Hz，DC 10-16V；</w:t>
            </w:r>
          </w:p>
          <w:p w14:paraId="6EDB09A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（16）</w:t>
            </w:r>
            <w:r>
              <w:rPr>
                <w:rFonts w:hint="default" w:asciiTheme="minorEastAsia" w:hAnsiTheme="minorEastAsia" w:eastAsiaTheme="minorEastAsia"/>
                <w:color w:val="auto"/>
                <w:szCs w:val="21"/>
                <w:highlight w:val="none"/>
                <w:lang w:val="en-US" w:eastAsia="zh-CN"/>
              </w:rPr>
              <w:t>信息储存：自动储存1500条以上的操作信息；</w:t>
            </w:r>
          </w:p>
          <w:p w14:paraId="16A635A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（17）</w:t>
            </w:r>
            <w:r>
              <w:rPr>
                <w:rFonts w:hint="default" w:asciiTheme="minorEastAsia" w:hAnsiTheme="minorEastAsia" w:eastAsiaTheme="minorEastAsia"/>
                <w:color w:val="auto"/>
                <w:szCs w:val="21"/>
                <w:highlight w:val="none"/>
                <w:lang w:val="en-US" w:eastAsia="zh-CN"/>
              </w:rPr>
              <w:t>RS232接口：数据传输、护士呼叫、DC连接</w:t>
            </w:r>
            <w:r>
              <w:rPr>
                <w:rFonts w:hint="eastAsia" w:asciiTheme="minorEastAsia" w:hAnsiTheme="minorEastAsia" w:eastAsiaTheme="minorEastAsia"/>
                <w:color w:val="auto"/>
                <w:szCs w:val="21"/>
                <w:highlight w:val="none"/>
                <w:lang w:val="en-US" w:eastAsia="zh-CN"/>
              </w:rPr>
              <w:t>。</w:t>
            </w:r>
          </w:p>
        </w:tc>
      </w:tr>
      <w:tr w14:paraId="4688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56" w:type="dxa"/>
            <w:gridSpan w:val="7"/>
            <w:tcBorders>
              <w:top w:val="single" w:color="auto" w:sz="4" w:space="0"/>
              <w:left w:val="single" w:color="auto" w:sz="4" w:space="0"/>
              <w:bottom w:val="single" w:color="auto" w:sz="4" w:space="0"/>
              <w:right w:val="single" w:color="auto" w:sz="4" w:space="0"/>
            </w:tcBorders>
          </w:tcPr>
          <w:p w14:paraId="325D3F50">
            <w:pPr>
              <w:widowControl w:val="0"/>
              <w:ind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w:t>
            </w:r>
            <w:r>
              <w:rPr>
                <w:rFonts w:hint="eastAsia" w:ascii="宋体" w:hAnsi="宋体" w:eastAsia="宋体" w:cs="宋体"/>
                <w:b/>
                <w:color w:val="auto"/>
                <w:highlight w:val="none"/>
              </w:rPr>
              <w:t>商务要求</w:t>
            </w:r>
          </w:p>
        </w:tc>
      </w:tr>
      <w:tr w14:paraId="243A3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27DE880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
              </w:rPr>
              <w:t>交付时间和地点</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12B08DC6">
            <w:pPr>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交付时间：自合同签订之日起30日内安装调试完毕并验收合格。</w:t>
            </w:r>
          </w:p>
          <w:p w14:paraId="28034D92">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地点：柳州市内采购人指定地点。</w:t>
            </w:r>
          </w:p>
        </w:tc>
      </w:tr>
      <w:tr w14:paraId="02AD6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3C14F240">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合同签订时间</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7C83031D">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自成交通知书发出之日起20个日历天内签订合同。</w:t>
            </w:r>
          </w:p>
        </w:tc>
      </w:tr>
      <w:tr w14:paraId="1BB11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47D120AC">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付款条件</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75D6F61A">
            <w:pPr>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中所有货物到齐经采购人签收后，成交供应商须开具合同价款全额发票给采购人，否则采购人不予支付货款；全部货物安装调试完毕验收合格交付采购人后60日内支付合同金额的50%；验收合格6个月后60日内支付合同金额的45%；验收合格一年后60日内支付合同金额的5%（不计利息）。</w:t>
            </w:r>
          </w:p>
        </w:tc>
      </w:tr>
      <w:tr w14:paraId="4E2A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51F71FD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售后服务</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6C791263">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售后服务：（1）按国家有关规定实行产品“三包”；（2）免费送货上门；（3）接到故障通知后≤2小时内响应，24小时内派技术人员到达现场，48小时内解决问题，以保证系统正常运行，并承担一切相关费用；（4）定期回访以及维修；（5）质保期内所有设备免费上门维修服务、免费更换零部件，免费提供应用软件升级；（6）其余按厂家承诺进行。</w:t>
            </w:r>
          </w:p>
          <w:p w14:paraId="723C7F64">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2.免费培训：提供整套纸质、电子版技术文件资料，使用说明，操作卡，成交供应商负责免费培训使用人员和维护人员，内容包括设备及软件系统操作、日常维护，确保熟练掌握全部功能为止。</w:t>
            </w:r>
          </w:p>
          <w:p w14:paraId="2394C3D4">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3.免费安装调试：成交供应商负责本项目所有货物的安装、调试及项目整体测试、联调和开通，并在试运行结束后由成交供应商整理验收材料提交采购人验收。</w:t>
            </w:r>
          </w:p>
          <w:p w14:paraId="233DAFC6">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技术支持与服务：提供每周7×24小时技术响应服务，有专职维修工程师负责上门安装、维护及维修，提供相关设备的维修工程师姓名及电话号码。质保期内设备发生故障，维修或更换配件所需的全部费用由成交供应商承担；维修完毕后工程师及时填写维修报告，维修报告包括故障原因、处理情况及用户意见，维修报告由双方各持一份备案。</w:t>
            </w:r>
          </w:p>
          <w:p w14:paraId="192E1FAB">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5.供应商必须在设备验收合格交付使用前提供所有供应设备的电子版本说明书。</w:t>
            </w:r>
          </w:p>
        </w:tc>
      </w:tr>
      <w:tr w14:paraId="32FAC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7A33AED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质保期</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1EBE0AD6">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序号8胰岛素泵质保期自验收合格之日起计算不少于4年，其他货物自验收合格之日起计算质保期不少于1年；质保期内免费保修，提供终身维护和保养服务。</w:t>
            </w:r>
          </w:p>
        </w:tc>
      </w:tr>
      <w:tr w14:paraId="43C94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58408EF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验收标准</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2B214312">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1.在设备安装调试过程中，成交供应商应派专业技术人员到交货安装现场进行技术指导及相关技术服务，向采购人交相关试验数据、报告及采购人要求提供的相关技术文件，直至达到验收要求。</w:t>
            </w:r>
          </w:p>
          <w:p w14:paraId="6E7B0671">
            <w:pPr>
              <w:ind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全部安装调试完毕后，采购人应当在项目完成且收到供应商验收申请后15个工作日内组织开展履约验收，采购人根据《广西壮族自治区政府采购项目履约验收管理办法》的规定，由采购人及成交供应商双方共同进行验收，采购人可委托采购代理机构、国家认可的质量检测机构开展采购项目履约验收工作，验收费用由成交供应商承担；对不符合要求的产品，采购人有权拒绝验收，由此产生的一切后果，均由成交供应商承担。由此造成的不能按时、按质、按量完成项目要求的，将按照政府采购相关法规、合同相关条款进行处理。</w:t>
            </w:r>
          </w:p>
        </w:tc>
      </w:tr>
      <w:tr w14:paraId="05008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73B016B7">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备品备件及耗材等要求</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54B2631F">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质保期内，发现产品存在制造上的缺陷，成交供应商应负责采取补救措施，包括维修或免费更换必要配件，若该缺陷导致设备存在安全隐患或不能使用，成交供应商应负责更换整件产品，成交供应商应具有足够数量的常用易损件备品备件作为采购人平时应急使用。</w:t>
            </w:r>
          </w:p>
          <w:p w14:paraId="225C37DD">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2.竞标产品如包括必备的易损易耗备品备件和专用工具，供应商应提供其清单。</w:t>
            </w:r>
          </w:p>
          <w:p w14:paraId="352893CD">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3.常年备有设备配件，能及时处理、更换损坏的零部件。</w:t>
            </w:r>
          </w:p>
          <w:p w14:paraId="1699AA63">
            <w:pPr>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4.本项目只采购设备，如采购人需采购成交设备配套耗材时，配套耗材需由采购人有效期内管理的耗材供应商供货，供货单价不得高于本项目配套耗材的成交单价。</w:t>
            </w:r>
          </w:p>
        </w:tc>
      </w:tr>
      <w:tr w14:paraId="55C22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715ACABC">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其他要求</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3F106446">
            <w:pPr>
              <w:ind w:firstLine="42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.供应商技术响应表参数与产品彩页或其他权威有效技术支持文件中相应参数不一致的，以产品彩页或其他权威有效技术支持文件中参数为准。</w:t>
            </w:r>
          </w:p>
          <w:p w14:paraId="534C4921">
            <w:pPr>
              <w:ind w:firstLine="42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.供应商在响应文件中必须提供具体的售后服务方案（明确质保期、故障响应时间、售后服务人员和联系方式、定期走访，提供质保期外的优惠服务方案等）。</w:t>
            </w:r>
          </w:p>
          <w:p w14:paraId="2BE7039E">
            <w:pPr>
              <w:ind w:firstLine="42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.竞标产品如有需要接入采购人现有医院信息系统的，成交供应商须免费完成对接，其相关费用均由成交供应商承担。</w:t>
            </w:r>
          </w:p>
          <w:p w14:paraId="4CB64595">
            <w:pPr>
              <w:ind w:firstLine="42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.供应商提供的所有产品的生产日期不能早于合同签订日期六个月（含六个月）以上。</w:t>
            </w:r>
          </w:p>
          <w:p w14:paraId="1A8139EA">
            <w:pPr>
              <w:ind w:firstLine="42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.履约验收时，采购人有权要求成交供应商提供原厂技术证明材料和第三方有效证明材料原件予以证明其竞标参数的有效性，如有虚假应标将予以退货并纳入采购黑名单处理。</w:t>
            </w:r>
          </w:p>
        </w:tc>
      </w:tr>
      <w:tr w14:paraId="25FF0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56" w:type="dxa"/>
            <w:gridSpan w:val="7"/>
            <w:tcBorders>
              <w:top w:val="single" w:color="auto" w:sz="4" w:space="0"/>
              <w:left w:val="single" w:color="auto" w:sz="4" w:space="0"/>
              <w:bottom w:val="single" w:color="auto" w:sz="4" w:space="0"/>
              <w:right w:val="single" w:color="auto" w:sz="4" w:space="0"/>
            </w:tcBorders>
          </w:tcPr>
          <w:p w14:paraId="0E235D5B">
            <w:pPr>
              <w:widowControl w:val="0"/>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二、与实现项目目标相关的要求</w:t>
            </w:r>
          </w:p>
        </w:tc>
      </w:tr>
      <w:tr w14:paraId="31547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56" w:type="dxa"/>
            <w:gridSpan w:val="7"/>
            <w:tcBorders>
              <w:top w:val="single" w:color="auto" w:sz="4" w:space="0"/>
              <w:left w:val="single" w:color="auto" w:sz="4" w:space="0"/>
              <w:bottom w:val="single" w:color="auto" w:sz="4" w:space="0"/>
              <w:right w:val="single" w:color="auto" w:sz="4" w:space="0"/>
            </w:tcBorders>
          </w:tcPr>
          <w:p w14:paraId="5E2E68AE">
            <w:pPr>
              <w:widowControl w:val="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（一）供应商的履约能力要求</w:t>
            </w:r>
          </w:p>
        </w:tc>
      </w:tr>
      <w:tr w14:paraId="08C1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01B9955A">
            <w:pPr>
              <w:widowControl w:val="0"/>
              <w:ind w:firstLine="0" w:firstLineChars="0"/>
              <w:jc w:val="center"/>
              <w:rPr>
                <w:rFonts w:ascii="宋体" w:hAnsi="宋体" w:eastAsia="宋体" w:cs="宋体"/>
                <w:b/>
                <w:color w:val="auto"/>
                <w:highlight w:val="none"/>
              </w:rPr>
            </w:pPr>
            <w:r>
              <w:rPr>
                <w:rFonts w:hint="eastAsia" w:ascii="宋体" w:hAnsi="宋体" w:eastAsia="宋体" w:cs="宋体"/>
                <w:color w:val="auto"/>
                <w:highlight w:val="none"/>
              </w:rPr>
              <w:t>质量管理、企业信用要求</w:t>
            </w:r>
          </w:p>
        </w:tc>
        <w:tc>
          <w:tcPr>
            <w:tcW w:w="7615" w:type="dxa"/>
            <w:gridSpan w:val="5"/>
            <w:tcBorders>
              <w:top w:val="single" w:color="auto" w:sz="4" w:space="0"/>
              <w:left w:val="single" w:color="auto" w:sz="4" w:space="0"/>
              <w:bottom w:val="single" w:color="auto" w:sz="4" w:space="0"/>
              <w:right w:val="single" w:color="auto" w:sz="4" w:space="0"/>
            </w:tcBorders>
          </w:tcPr>
          <w:p w14:paraId="74DC5A11">
            <w:pPr>
              <w:ind w:firstLine="420"/>
              <w:rPr>
                <w:rFonts w:ascii="宋体" w:hAnsi="宋体" w:eastAsia="宋体" w:cs="宋体"/>
                <w:color w:val="auto"/>
                <w:highlight w:val="none"/>
              </w:rPr>
            </w:pPr>
            <w:r>
              <w:rPr>
                <w:rFonts w:hint="eastAsia" w:ascii="宋体" w:hAnsi="宋体" w:eastAsia="宋体" w:cs="宋体"/>
                <w:color w:val="auto"/>
                <w:highlight w:val="none"/>
              </w:rPr>
              <w:t>1.供应商无任何违法、违规、质量安全事故、履约不良等行为反映或记录；</w:t>
            </w:r>
          </w:p>
          <w:p w14:paraId="6E2B00A4">
            <w:pPr>
              <w:ind w:firstLine="420"/>
              <w:rPr>
                <w:rFonts w:ascii="宋体" w:hAnsi="宋体" w:eastAsia="宋体" w:cs="宋体"/>
                <w:color w:val="auto"/>
                <w:highlight w:val="none"/>
              </w:rPr>
            </w:pPr>
            <w:r>
              <w:rPr>
                <w:rFonts w:hint="eastAsia" w:ascii="宋体" w:hAnsi="宋体" w:eastAsia="宋体" w:cs="宋体"/>
                <w:color w:val="auto"/>
                <w:highlight w:val="none"/>
              </w:rPr>
              <w:t>2.供应商无自身原因违约或不恰当履行合同引起的终止、纠纷、争议、仲裁、和诉讼记录；</w:t>
            </w:r>
          </w:p>
          <w:p w14:paraId="4F567ACF">
            <w:pPr>
              <w:ind w:firstLine="420"/>
              <w:rPr>
                <w:rFonts w:hint="eastAsia" w:ascii="宋体" w:hAnsi="宋体" w:eastAsia="宋体" w:cs="宋体"/>
                <w:color w:val="auto"/>
                <w:highlight w:val="none"/>
              </w:rPr>
            </w:pPr>
            <w:r>
              <w:rPr>
                <w:rFonts w:hint="eastAsia" w:ascii="宋体" w:hAnsi="宋体" w:eastAsia="宋体" w:cs="宋体"/>
                <w:color w:val="auto"/>
                <w:highlight w:val="none"/>
              </w:rPr>
              <w:t>3.供应商无被责令停业或暂停、取消竞标资格，无经济方面犯罪或严重违法记录。</w:t>
            </w:r>
          </w:p>
        </w:tc>
      </w:tr>
      <w:tr w14:paraId="00A3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356" w:type="dxa"/>
            <w:gridSpan w:val="7"/>
            <w:tcBorders>
              <w:top w:val="single" w:color="auto" w:sz="4" w:space="0"/>
              <w:left w:val="single" w:color="auto" w:sz="4" w:space="0"/>
              <w:bottom w:val="single" w:color="auto" w:sz="4" w:space="0"/>
              <w:right w:val="single" w:color="auto" w:sz="4" w:space="0"/>
            </w:tcBorders>
            <w:vAlign w:val="center"/>
          </w:tcPr>
          <w:p w14:paraId="3DF6AE22">
            <w:pPr>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核心产品：</w:t>
            </w:r>
          </w:p>
        </w:tc>
      </w:tr>
      <w:tr w14:paraId="72F3D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51E64689">
            <w:pPr>
              <w:widowControl w:val="0"/>
              <w:ind w:firstLine="0" w:firstLineChars="0"/>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核心产品</w:t>
            </w:r>
          </w:p>
        </w:tc>
        <w:tc>
          <w:tcPr>
            <w:tcW w:w="7615" w:type="dxa"/>
            <w:gridSpan w:val="5"/>
            <w:tcBorders>
              <w:top w:val="single" w:color="auto" w:sz="4" w:space="0"/>
              <w:left w:val="single" w:color="auto" w:sz="4" w:space="0"/>
              <w:bottom w:val="single" w:color="auto" w:sz="4" w:space="0"/>
              <w:right w:val="single" w:color="auto" w:sz="4" w:space="0"/>
            </w:tcBorders>
          </w:tcPr>
          <w:p w14:paraId="7CDE97BB">
            <w:pPr>
              <w:ind w:firstLine="420"/>
              <w:rPr>
                <w:rFonts w:hint="eastAsia" w:ascii="宋体" w:hAnsi="宋体"/>
                <w:b w:val="0"/>
                <w:bCs/>
                <w:color w:val="auto"/>
                <w:szCs w:val="21"/>
                <w:highlight w:val="none"/>
              </w:rPr>
            </w:pPr>
            <w:r>
              <w:rPr>
                <w:rFonts w:hint="eastAsia" w:ascii="宋体" w:hAnsi="宋体"/>
                <w:b w:val="0"/>
                <w:bCs/>
                <w:color w:val="auto"/>
                <w:szCs w:val="21"/>
                <w:highlight w:val="none"/>
              </w:rPr>
              <w:t>第</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2 </w:t>
            </w:r>
            <w:r>
              <w:rPr>
                <w:rFonts w:hint="eastAsia" w:ascii="宋体" w:hAnsi="宋体"/>
                <w:b w:val="0"/>
                <w:bCs/>
                <w:color w:val="auto"/>
                <w:szCs w:val="21"/>
                <w:highlight w:val="none"/>
              </w:rPr>
              <w:t>项产品</w:t>
            </w:r>
            <w:r>
              <w:rPr>
                <w:rFonts w:hint="eastAsia" w:ascii="宋体" w:hAnsi="宋体"/>
                <w:b w:val="0"/>
                <w:bCs/>
                <w:color w:val="auto"/>
                <w:szCs w:val="21"/>
                <w:highlight w:val="none"/>
                <w:lang w:val="en-US" w:eastAsia="zh-CN"/>
              </w:rPr>
              <w:t>[</w:t>
            </w:r>
            <w:r>
              <w:rPr>
                <w:rFonts w:hint="eastAsia" w:ascii="宋体" w:hAnsi="宋体" w:eastAsia="宋体" w:cs="宋体"/>
                <w:i w:val="0"/>
                <w:iCs w:val="0"/>
                <w:color w:val="auto"/>
                <w:kern w:val="0"/>
                <w:sz w:val="22"/>
                <w:szCs w:val="22"/>
                <w:highlight w:val="none"/>
                <w:u w:val="single"/>
                <w:lang w:val="en-US" w:eastAsia="zh-CN" w:bidi="ar"/>
              </w:rPr>
              <w:t xml:space="preserve"> 双目视力筛选仪（含工作站） </w:t>
            </w:r>
            <w:r>
              <w:rPr>
                <w:rFonts w:hint="eastAsia" w:ascii="宋体" w:hAnsi="宋体" w:eastAsia="宋体" w:cs="宋体"/>
                <w:i w:val="0"/>
                <w:iCs w:val="0"/>
                <w:color w:val="auto"/>
                <w:kern w:val="0"/>
                <w:sz w:val="22"/>
                <w:szCs w:val="22"/>
                <w:highlight w:val="none"/>
                <w:u w:val="none"/>
                <w:lang w:val="en-US" w:eastAsia="zh-CN" w:bidi="ar"/>
              </w:rPr>
              <w:t>]</w:t>
            </w:r>
          </w:p>
        </w:tc>
      </w:tr>
      <w:tr w14:paraId="08E96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64CC392">
            <w:pPr>
              <w:widowControl w:val="0"/>
              <w:tabs>
                <w:tab w:val="left" w:pos="180"/>
                <w:tab w:val="left" w:pos="1620"/>
              </w:tabs>
              <w:ind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进口产品</w:t>
            </w:r>
          </w:p>
        </w:tc>
      </w:tr>
      <w:tr w14:paraId="789DF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2E211749">
            <w:pPr>
              <w:widowControl w:val="0"/>
              <w:tabs>
                <w:tab w:val="left" w:pos="425"/>
              </w:tabs>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进口产品说明</w:t>
            </w:r>
          </w:p>
        </w:tc>
        <w:tc>
          <w:tcPr>
            <w:tcW w:w="7615" w:type="dxa"/>
            <w:gridSpan w:val="5"/>
            <w:tcBorders>
              <w:top w:val="single" w:color="auto" w:sz="4" w:space="0"/>
              <w:left w:val="single" w:color="auto" w:sz="4" w:space="0"/>
              <w:bottom w:val="single" w:color="auto" w:sz="4" w:space="0"/>
              <w:right w:val="single" w:color="auto" w:sz="4" w:space="0"/>
            </w:tcBorders>
            <w:vAlign w:val="center"/>
          </w:tcPr>
          <w:p w14:paraId="4FA95104">
            <w:pPr>
              <w:tabs>
                <w:tab w:val="left" w:pos="180"/>
                <w:tab w:val="left" w:pos="162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本项目货物不接受进口产品（即通过中国海关报关验放进入中国境内且产自关境外的产品）参与响应，</w:t>
            </w:r>
            <w:r>
              <w:rPr>
                <w:rFonts w:hint="eastAsia" w:ascii="宋体" w:hAnsi="宋体" w:cs="宋体"/>
                <w:b/>
                <w:color w:val="auto"/>
                <w:szCs w:val="21"/>
                <w:highlight w:val="none"/>
              </w:rPr>
              <w:t>如有进口产品参与竞标的，其响应文件作无效处理</w:t>
            </w:r>
            <w:r>
              <w:rPr>
                <w:rFonts w:hint="eastAsia" w:ascii="宋体" w:hAnsi="宋体" w:cs="宋体"/>
                <w:color w:val="auto"/>
                <w:szCs w:val="21"/>
                <w:highlight w:val="none"/>
              </w:rPr>
              <w:t>。</w:t>
            </w:r>
          </w:p>
        </w:tc>
      </w:tr>
    </w:tbl>
    <w:p w14:paraId="6C265F0E">
      <w:pPr>
        <w:rPr>
          <w:rFonts w:hint="default"/>
          <w:color w:val="auto"/>
          <w:highlight w:val="none"/>
          <w:lang w:val="en-US" w:eastAsia="zh-CN"/>
        </w:rPr>
        <w:sectPr>
          <w:pgSz w:w="11906" w:h="16838"/>
          <w:pgMar w:top="1701" w:right="1701" w:bottom="1701" w:left="1701" w:header="851" w:footer="992" w:gutter="0"/>
          <w:cols w:space="425" w:num="1"/>
          <w:docGrid w:linePitch="312" w:charSpace="0"/>
        </w:sectPr>
      </w:pPr>
    </w:p>
    <w:p w14:paraId="7FB8EEB6">
      <w:pPr>
        <w:pStyle w:val="79"/>
        <w:ind w:firstLine="0" w:firstLineChars="0"/>
        <w:rPr>
          <w:rFonts w:hint="eastAsia"/>
          <w:color w:val="auto"/>
          <w:highlight w:val="none"/>
          <w:lang w:val="en-US" w:eastAsia="zh-CN"/>
        </w:rPr>
      </w:pPr>
      <w:r>
        <w:rPr>
          <w:rFonts w:hint="eastAsia"/>
          <w:color w:val="auto"/>
          <w:highlight w:val="none"/>
        </w:rPr>
        <w:t>附件</w:t>
      </w:r>
      <w:r>
        <w:rPr>
          <w:rFonts w:hint="eastAsia"/>
          <w:color w:val="auto"/>
          <w:highlight w:val="none"/>
          <w:lang w:val="en-US" w:eastAsia="zh-CN"/>
        </w:rPr>
        <w:t>1</w:t>
      </w:r>
      <w:r>
        <w:rPr>
          <w:rFonts w:hint="eastAsia"/>
          <w:color w:val="auto"/>
          <w:highlight w:val="none"/>
        </w:rPr>
        <w:t>：</w:t>
      </w:r>
      <w:r>
        <w:rPr>
          <w:rFonts w:hint="default"/>
          <w:color w:val="auto"/>
          <w:highlight w:val="none"/>
          <w:lang w:val="en-US" w:eastAsia="zh-CN"/>
        </w:rPr>
        <w:t>配套耗材</w:t>
      </w:r>
      <w:r>
        <w:rPr>
          <w:rFonts w:hint="eastAsia"/>
          <w:color w:val="auto"/>
          <w:highlight w:val="none"/>
          <w:lang w:val="en-US" w:eastAsia="zh-CN"/>
        </w:rPr>
        <w:t>一览表</w:t>
      </w:r>
    </w:p>
    <w:tbl>
      <w:tblPr>
        <w:tblStyle w:val="3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70"/>
        <w:gridCol w:w="790"/>
        <w:gridCol w:w="2200"/>
        <w:gridCol w:w="1500"/>
        <w:gridCol w:w="1439"/>
      </w:tblGrid>
      <w:tr w14:paraId="133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5000" w:type="pct"/>
            <w:gridSpan w:val="6"/>
            <w:tcBorders>
              <w:top w:val="nil"/>
              <w:left w:val="nil"/>
              <w:bottom w:val="single" w:color="auto" w:sz="4" w:space="0"/>
              <w:right w:val="nil"/>
            </w:tcBorders>
            <w:noWrap w:val="0"/>
            <w:vAlign w:val="center"/>
          </w:tcPr>
          <w:p w14:paraId="1314E5C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b/>
                <w:bCs/>
                <w:kern w:val="32"/>
                <w:sz w:val="21"/>
                <w:szCs w:val="21"/>
                <w:highlight w:val="none"/>
              </w:rPr>
              <w:t>全自动单独滴染HE染色机、玻片扫描影像分析系统配套耗材</w:t>
            </w:r>
          </w:p>
        </w:tc>
      </w:tr>
      <w:tr w14:paraId="7C85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48" w:type="pct"/>
            <w:tcBorders>
              <w:top w:val="single" w:color="auto" w:sz="4" w:space="0"/>
            </w:tcBorders>
            <w:noWrap w:val="0"/>
            <w:vAlign w:val="center"/>
          </w:tcPr>
          <w:p w14:paraId="20F19B06">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rPr>
              <w:t>耗材名称</w:t>
            </w:r>
          </w:p>
        </w:tc>
        <w:tc>
          <w:tcPr>
            <w:tcW w:w="442" w:type="pct"/>
            <w:tcBorders>
              <w:top w:val="single" w:color="auto" w:sz="4" w:space="0"/>
            </w:tcBorders>
            <w:noWrap w:val="0"/>
            <w:vAlign w:val="center"/>
          </w:tcPr>
          <w:p w14:paraId="5F172A6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数量</w:t>
            </w:r>
          </w:p>
        </w:tc>
        <w:tc>
          <w:tcPr>
            <w:tcW w:w="454" w:type="pct"/>
            <w:tcBorders>
              <w:top w:val="single" w:color="auto" w:sz="4" w:space="0"/>
            </w:tcBorders>
            <w:noWrap w:val="0"/>
            <w:vAlign w:val="center"/>
          </w:tcPr>
          <w:p w14:paraId="67B833AF">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eastAsia="zh-CN"/>
              </w:rPr>
            </w:pPr>
            <w:r>
              <w:rPr>
                <w:rFonts w:hint="eastAsia" w:ascii="宋体" w:hAnsi="宋体" w:eastAsia="宋体" w:cs="宋体"/>
                <w:b/>
                <w:bCs/>
                <w:kern w:val="32"/>
                <w:sz w:val="21"/>
                <w:szCs w:val="21"/>
                <w:highlight w:val="none"/>
              </w:rPr>
              <w:t>单位</w:t>
            </w:r>
          </w:p>
        </w:tc>
        <w:tc>
          <w:tcPr>
            <w:tcW w:w="1264" w:type="pct"/>
            <w:tcBorders>
              <w:top w:val="single" w:color="auto" w:sz="4" w:space="0"/>
            </w:tcBorders>
            <w:noWrap w:val="0"/>
            <w:vAlign w:val="center"/>
          </w:tcPr>
          <w:p w14:paraId="6B6A55F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eastAsia="zh-CN"/>
              </w:rPr>
              <w:t>规格</w:t>
            </w:r>
          </w:p>
        </w:tc>
        <w:tc>
          <w:tcPr>
            <w:tcW w:w="862" w:type="pct"/>
            <w:tcBorders>
              <w:top w:val="single" w:color="auto" w:sz="4" w:space="0"/>
            </w:tcBorders>
            <w:noWrap w:val="0"/>
            <w:vAlign w:val="center"/>
          </w:tcPr>
          <w:p w14:paraId="530D4FA6">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eastAsia="zh-CN"/>
              </w:rPr>
              <w:t>最高限价单价（元）</w:t>
            </w:r>
          </w:p>
        </w:tc>
        <w:tc>
          <w:tcPr>
            <w:tcW w:w="827" w:type="pct"/>
            <w:tcBorders>
              <w:top w:val="single" w:color="auto" w:sz="4" w:space="0"/>
            </w:tcBorders>
            <w:noWrap w:val="0"/>
            <w:vAlign w:val="center"/>
          </w:tcPr>
          <w:p w14:paraId="7F885D1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备注</w:t>
            </w:r>
          </w:p>
        </w:tc>
      </w:tr>
      <w:tr w14:paraId="79B5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pct"/>
            <w:noWrap w:val="0"/>
            <w:vAlign w:val="center"/>
          </w:tcPr>
          <w:p w14:paraId="3B8D4D0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苏木素-伊红染色液（H-E）</w:t>
            </w:r>
          </w:p>
        </w:tc>
        <w:tc>
          <w:tcPr>
            <w:tcW w:w="442" w:type="pct"/>
            <w:noWrap w:val="0"/>
            <w:vAlign w:val="center"/>
          </w:tcPr>
          <w:p w14:paraId="05D7FB3A">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54" w:type="pct"/>
            <w:noWrap w:val="0"/>
            <w:vAlign w:val="center"/>
          </w:tcPr>
          <w:p w14:paraId="52563AAD">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1264" w:type="pct"/>
            <w:noWrap w:val="0"/>
            <w:vAlign w:val="center"/>
          </w:tcPr>
          <w:p w14:paraId="457BE52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300片/套</w:t>
            </w:r>
          </w:p>
        </w:tc>
        <w:tc>
          <w:tcPr>
            <w:tcW w:w="862" w:type="pct"/>
            <w:noWrap w:val="0"/>
            <w:vAlign w:val="center"/>
          </w:tcPr>
          <w:p w14:paraId="30297375">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5700</w:t>
            </w:r>
          </w:p>
        </w:tc>
        <w:tc>
          <w:tcPr>
            <w:tcW w:w="827" w:type="pct"/>
            <w:vMerge w:val="restart"/>
            <w:noWrap w:val="0"/>
            <w:vAlign w:val="center"/>
          </w:tcPr>
          <w:p w14:paraId="11F33D4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按实际使用量结算</w:t>
            </w:r>
          </w:p>
        </w:tc>
      </w:tr>
      <w:tr w14:paraId="1DB1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pct"/>
            <w:noWrap w:val="0"/>
            <w:vAlign w:val="center"/>
          </w:tcPr>
          <w:p w14:paraId="47FB43B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细胞保存液III型</w:t>
            </w:r>
          </w:p>
        </w:tc>
        <w:tc>
          <w:tcPr>
            <w:tcW w:w="442" w:type="pct"/>
            <w:noWrap w:val="0"/>
            <w:vAlign w:val="center"/>
          </w:tcPr>
          <w:p w14:paraId="085A55F6">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54" w:type="pct"/>
            <w:noWrap w:val="0"/>
            <w:vAlign w:val="center"/>
          </w:tcPr>
          <w:p w14:paraId="09610E16">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1264" w:type="pct"/>
            <w:noWrap w:val="0"/>
            <w:vAlign w:val="center"/>
          </w:tcPr>
          <w:p w14:paraId="0EC5B020">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50瓶/盒*1人份/瓶*10ml*人份</w:t>
            </w:r>
          </w:p>
        </w:tc>
        <w:tc>
          <w:tcPr>
            <w:tcW w:w="862" w:type="pct"/>
            <w:noWrap w:val="0"/>
            <w:vAlign w:val="center"/>
          </w:tcPr>
          <w:p w14:paraId="0B1358A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1500</w:t>
            </w:r>
          </w:p>
        </w:tc>
        <w:tc>
          <w:tcPr>
            <w:tcW w:w="827" w:type="pct"/>
            <w:vMerge w:val="continue"/>
            <w:noWrap w:val="0"/>
            <w:vAlign w:val="center"/>
          </w:tcPr>
          <w:p w14:paraId="58615272">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568F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pct"/>
            <w:noWrap w:val="0"/>
            <w:vAlign w:val="center"/>
          </w:tcPr>
          <w:p w14:paraId="7BDE92A0">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巴氏染色液</w:t>
            </w:r>
          </w:p>
        </w:tc>
        <w:tc>
          <w:tcPr>
            <w:tcW w:w="442" w:type="pct"/>
            <w:noWrap w:val="0"/>
            <w:vAlign w:val="center"/>
          </w:tcPr>
          <w:p w14:paraId="2759240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54" w:type="pct"/>
            <w:shd w:val="clear" w:color="auto" w:fill="auto"/>
            <w:noWrap w:val="0"/>
            <w:vAlign w:val="center"/>
          </w:tcPr>
          <w:p w14:paraId="1F11062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瓶</w:t>
            </w:r>
          </w:p>
        </w:tc>
        <w:tc>
          <w:tcPr>
            <w:tcW w:w="1264" w:type="pct"/>
            <w:noWrap w:val="0"/>
            <w:vAlign w:val="center"/>
          </w:tcPr>
          <w:p w14:paraId="5DA7F30D">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CR-AN-1  250ml/瓶、3瓶/套、上机型</w:t>
            </w:r>
          </w:p>
        </w:tc>
        <w:tc>
          <w:tcPr>
            <w:tcW w:w="862" w:type="pct"/>
            <w:noWrap w:val="0"/>
            <w:vAlign w:val="center"/>
          </w:tcPr>
          <w:p w14:paraId="2040AE3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1000</w:t>
            </w:r>
          </w:p>
        </w:tc>
        <w:tc>
          <w:tcPr>
            <w:tcW w:w="827" w:type="pct"/>
            <w:vMerge w:val="continue"/>
            <w:noWrap w:val="0"/>
            <w:vAlign w:val="center"/>
          </w:tcPr>
          <w:p w14:paraId="0F4E1F13">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7416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pct"/>
            <w:noWrap w:val="0"/>
            <w:vAlign w:val="center"/>
          </w:tcPr>
          <w:p w14:paraId="572B948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硫堇染色液</w:t>
            </w:r>
          </w:p>
        </w:tc>
        <w:tc>
          <w:tcPr>
            <w:tcW w:w="442" w:type="pct"/>
            <w:noWrap w:val="0"/>
            <w:vAlign w:val="center"/>
          </w:tcPr>
          <w:p w14:paraId="60891173">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54" w:type="pct"/>
            <w:shd w:val="clear" w:color="auto" w:fill="auto"/>
            <w:noWrap w:val="0"/>
            <w:vAlign w:val="center"/>
          </w:tcPr>
          <w:p w14:paraId="798F9F9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1264" w:type="pct"/>
            <w:noWrap w:val="0"/>
            <w:vAlign w:val="center"/>
          </w:tcPr>
          <w:p w14:paraId="7CE3C20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CRLJ-1  100人份/盒、10套/盒</w:t>
            </w:r>
          </w:p>
        </w:tc>
        <w:tc>
          <w:tcPr>
            <w:tcW w:w="862" w:type="pct"/>
            <w:noWrap w:val="0"/>
            <w:vAlign w:val="center"/>
          </w:tcPr>
          <w:p w14:paraId="1CF6230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11000</w:t>
            </w:r>
          </w:p>
        </w:tc>
        <w:tc>
          <w:tcPr>
            <w:tcW w:w="827" w:type="pct"/>
            <w:vMerge w:val="continue"/>
            <w:noWrap w:val="0"/>
            <w:vAlign w:val="center"/>
          </w:tcPr>
          <w:p w14:paraId="49EE6A9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bl>
    <w:p w14:paraId="02813141">
      <w:pPr>
        <w:rPr>
          <w:rFonts w:hint="eastAsia"/>
          <w:highlight w:val="none"/>
          <w:lang w:val="en-US" w:eastAsia="zh-CN"/>
        </w:rPr>
      </w:pPr>
    </w:p>
    <w:p w14:paraId="1C73E476">
      <w:pPr>
        <w:pStyle w:val="19"/>
        <w:tabs>
          <w:tab w:val="left" w:pos="2761"/>
        </w:tabs>
        <w:snapToGrid w:val="0"/>
        <w:spacing w:line="240" w:lineRule="auto"/>
        <w:ind w:firstLine="482"/>
        <w:rPr>
          <w:rFonts w:hint="eastAsia" w:hAnsi="宋体"/>
          <w:b/>
          <w:kern w:val="2"/>
          <w:sz w:val="24"/>
          <w:szCs w:val="24"/>
          <w:highlight w:val="none"/>
          <w:lang w:eastAsia="zh-CN"/>
        </w:rPr>
      </w:pPr>
    </w:p>
    <w:p w14:paraId="44876686">
      <w:pPr>
        <w:pStyle w:val="19"/>
        <w:tabs>
          <w:tab w:val="left" w:pos="2761"/>
        </w:tabs>
        <w:snapToGrid w:val="0"/>
        <w:spacing w:line="240" w:lineRule="auto"/>
        <w:ind w:firstLine="482"/>
        <w:rPr>
          <w:rFonts w:hint="default" w:hAnsi="宋体"/>
          <w:b/>
          <w:kern w:val="2"/>
          <w:sz w:val="24"/>
          <w:szCs w:val="24"/>
          <w:highlight w:val="none"/>
          <w:lang w:val="en-US" w:eastAsia="zh-CN"/>
        </w:rPr>
      </w:pPr>
      <w:r>
        <w:rPr>
          <w:rFonts w:hint="eastAsia" w:hAnsi="宋体"/>
          <w:b/>
          <w:kern w:val="2"/>
          <w:sz w:val="24"/>
          <w:szCs w:val="24"/>
          <w:highlight w:val="none"/>
          <w:lang w:eastAsia="zh-CN"/>
        </w:rPr>
        <w:tab/>
      </w:r>
      <w:r>
        <w:rPr>
          <w:rFonts w:hint="eastAsia" w:hAnsi="宋体"/>
          <w:b/>
          <w:kern w:val="2"/>
          <w:sz w:val="24"/>
          <w:szCs w:val="24"/>
          <w:highlight w:val="none"/>
          <w:lang w:val="en-US" w:eastAsia="zh-CN"/>
        </w:rPr>
        <w:t>心脏电生理刺激仪专用耗材</w:t>
      </w:r>
    </w:p>
    <w:tbl>
      <w:tblPr>
        <w:tblStyle w:val="32"/>
        <w:tblW w:w="4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80"/>
        <w:gridCol w:w="800"/>
        <w:gridCol w:w="2190"/>
        <w:gridCol w:w="2724"/>
      </w:tblGrid>
      <w:tr w14:paraId="0910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64" w:type="dxa"/>
            <w:noWrap w:val="0"/>
            <w:vAlign w:val="center"/>
          </w:tcPr>
          <w:p w14:paraId="254DC33C">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rPr>
              <w:t>耗材名称</w:t>
            </w:r>
          </w:p>
        </w:tc>
        <w:tc>
          <w:tcPr>
            <w:tcW w:w="780" w:type="dxa"/>
            <w:noWrap w:val="0"/>
            <w:vAlign w:val="center"/>
          </w:tcPr>
          <w:p w14:paraId="5438B1D3">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数量</w:t>
            </w:r>
          </w:p>
        </w:tc>
        <w:tc>
          <w:tcPr>
            <w:tcW w:w="800" w:type="dxa"/>
            <w:shd w:val="clear" w:color="auto" w:fill="auto"/>
            <w:noWrap w:val="0"/>
            <w:vAlign w:val="center"/>
          </w:tcPr>
          <w:p w14:paraId="46E39904">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rPr>
              <w:t>单位</w:t>
            </w:r>
          </w:p>
        </w:tc>
        <w:tc>
          <w:tcPr>
            <w:tcW w:w="2190" w:type="dxa"/>
            <w:noWrap w:val="0"/>
            <w:vAlign w:val="center"/>
          </w:tcPr>
          <w:p w14:paraId="1EC9EE6D">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eastAsia="zh-CN"/>
              </w:rPr>
              <w:t>最高限价单价（元）</w:t>
            </w:r>
          </w:p>
        </w:tc>
        <w:tc>
          <w:tcPr>
            <w:tcW w:w="2724" w:type="dxa"/>
            <w:noWrap w:val="0"/>
            <w:vAlign w:val="center"/>
          </w:tcPr>
          <w:p w14:paraId="1425A08B">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备注</w:t>
            </w:r>
          </w:p>
        </w:tc>
      </w:tr>
      <w:tr w14:paraId="3312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noWrap w:val="0"/>
            <w:vAlign w:val="center"/>
          </w:tcPr>
          <w:p w14:paraId="79FEE95A">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一次性使用食道电极(五极)</w:t>
            </w:r>
          </w:p>
        </w:tc>
        <w:tc>
          <w:tcPr>
            <w:tcW w:w="780" w:type="dxa"/>
            <w:noWrap w:val="0"/>
            <w:vAlign w:val="center"/>
          </w:tcPr>
          <w:p w14:paraId="2A40A7C5">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800" w:type="dxa"/>
            <w:shd w:val="clear" w:color="auto" w:fill="auto"/>
            <w:noWrap w:val="0"/>
            <w:vAlign w:val="center"/>
          </w:tcPr>
          <w:p w14:paraId="161731BF">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支</w:t>
            </w:r>
          </w:p>
        </w:tc>
        <w:tc>
          <w:tcPr>
            <w:tcW w:w="2190" w:type="dxa"/>
            <w:noWrap w:val="0"/>
            <w:vAlign w:val="center"/>
          </w:tcPr>
          <w:p w14:paraId="7F68C591">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299</w:t>
            </w:r>
          </w:p>
        </w:tc>
        <w:tc>
          <w:tcPr>
            <w:tcW w:w="2724" w:type="dxa"/>
            <w:noWrap w:val="0"/>
            <w:vAlign w:val="center"/>
          </w:tcPr>
          <w:p w14:paraId="656DB787">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按实际使用量结算</w:t>
            </w:r>
          </w:p>
        </w:tc>
      </w:tr>
    </w:tbl>
    <w:p w14:paraId="320A8577">
      <w:pPr>
        <w:pStyle w:val="19"/>
        <w:tabs>
          <w:tab w:val="left" w:pos="2761"/>
        </w:tabs>
        <w:snapToGrid w:val="0"/>
        <w:spacing w:line="240" w:lineRule="auto"/>
        <w:ind w:firstLine="482"/>
        <w:rPr>
          <w:rFonts w:hint="eastAsia" w:hAnsi="宋体"/>
          <w:b/>
          <w:kern w:val="2"/>
          <w:sz w:val="24"/>
          <w:szCs w:val="24"/>
          <w:highlight w:val="none"/>
          <w:lang w:eastAsia="zh-CN"/>
        </w:rPr>
      </w:pPr>
    </w:p>
    <w:p w14:paraId="32D3F77C">
      <w:pPr>
        <w:pStyle w:val="19"/>
        <w:tabs>
          <w:tab w:val="left" w:pos="2761"/>
        </w:tabs>
        <w:snapToGrid w:val="0"/>
        <w:spacing w:line="240" w:lineRule="auto"/>
        <w:ind w:firstLine="482"/>
        <w:rPr>
          <w:rFonts w:hint="eastAsia" w:hAnsi="宋体"/>
          <w:b/>
          <w:color w:val="auto"/>
          <w:kern w:val="2"/>
          <w:sz w:val="24"/>
          <w:szCs w:val="24"/>
          <w:highlight w:val="none"/>
          <w:lang w:eastAsia="zh-CN"/>
        </w:rPr>
      </w:pPr>
    </w:p>
    <w:p w14:paraId="4273B12E">
      <w:pPr>
        <w:pStyle w:val="19"/>
        <w:tabs>
          <w:tab w:val="left" w:pos="2761"/>
        </w:tabs>
        <w:snapToGrid w:val="0"/>
        <w:spacing w:line="240" w:lineRule="auto"/>
        <w:ind w:firstLine="3132" w:firstLineChars="1300"/>
        <w:rPr>
          <w:rFonts w:hint="default" w:hAnsi="宋体" w:eastAsia="宋体"/>
          <w:b/>
          <w:color w:val="auto"/>
          <w:kern w:val="2"/>
          <w:sz w:val="24"/>
          <w:szCs w:val="24"/>
          <w:highlight w:val="none"/>
          <w:lang w:val="en-US" w:eastAsia="zh-CN"/>
        </w:rPr>
      </w:pPr>
      <w:r>
        <w:rPr>
          <w:rFonts w:hint="eastAsia" w:hAnsi="宋体"/>
          <w:b/>
          <w:color w:val="auto"/>
          <w:kern w:val="2"/>
          <w:sz w:val="24"/>
          <w:szCs w:val="24"/>
          <w:highlight w:val="none"/>
          <w:lang w:val="en-US" w:eastAsia="zh-CN"/>
        </w:rPr>
        <w:t>可视喉镜专用耗材</w:t>
      </w:r>
    </w:p>
    <w:tbl>
      <w:tblPr>
        <w:tblStyle w:val="32"/>
        <w:tblW w:w="47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70"/>
        <w:gridCol w:w="800"/>
        <w:gridCol w:w="2190"/>
        <w:gridCol w:w="2754"/>
      </w:tblGrid>
      <w:tr w14:paraId="5540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04" w:type="dxa"/>
            <w:noWrap w:val="0"/>
            <w:vAlign w:val="center"/>
          </w:tcPr>
          <w:p w14:paraId="162339BB">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color w:val="auto"/>
                <w:kern w:val="32"/>
                <w:sz w:val="21"/>
                <w:szCs w:val="21"/>
                <w:highlight w:val="none"/>
                <w:lang w:val="en-US" w:eastAsia="zh-CN"/>
              </w:rPr>
            </w:pPr>
            <w:r>
              <w:rPr>
                <w:rFonts w:hint="eastAsia" w:ascii="宋体" w:hAnsi="宋体" w:eastAsia="宋体" w:cs="宋体"/>
                <w:b/>
                <w:bCs/>
                <w:color w:val="auto"/>
                <w:kern w:val="32"/>
                <w:sz w:val="21"/>
                <w:szCs w:val="21"/>
                <w:highlight w:val="none"/>
              </w:rPr>
              <w:t>耗材名称</w:t>
            </w:r>
          </w:p>
        </w:tc>
        <w:tc>
          <w:tcPr>
            <w:tcW w:w="770" w:type="dxa"/>
            <w:noWrap w:val="0"/>
            <w:vAlign w:val="center"/>
          </w:tcPr>
          <w:p w14:paraId="13740022">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color w:val="auto"/>
                <w:kern w:val="32"/>
                <w:sz w:val="21"/>
                <w:szCs w:val="21"/>
                <w:highlight w:val="none"/>
                <w:lang w:val="en-US" w:eastAsia="zh-CN"/>
              </w:rPr>
            </w:pPr>
            <w:r>
              <w:rPr>
                <w:rFonts w:hint="eastAsia" w:ascii="宋体" w:hAnsi="宋体" w:eastAsia="宋体" w:cs="宋体"/>
                <w:b/>
                <w:bCs/>
                <w:color w:val="auto"/>
                <w:kern w:val="32"/>
                <w:sz w:val="21"/>
                <w:szCs w:val="21"/>
                <w:highlight w:val="none"/>
                <w:lang w:val="en-US" w:eastAsia="zh-CN"/>
              </w:rPr>
              <w:t>数量</w:t>
            </w:r>
          </w:p>
        </w:tc>
        <w:tc>
          <w:tcPr>
            <w:tcW w:w="800" w:type="dxa"/>
            <w:shd w:val="clear" w:color="auto" w:fill="auto"/>
            <w:noWrap w:val="0"/>
            <w:vAlign w:val="center"/>
          </w:tcPr>
          <w:p w14:paraId="37937B80">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color w:val="auto"/>
                <w:kern w:val="32"/>
                <w:sz w:val="21"/>
                <w:szCs w:val="21"/>
                <w:highlight w:val="none"/>
                <w:lang w:val="en-US" w:eastAsia="zh-CN"/>
              </w:rPr>
            </w:pPr>
            <w:r>
              <w:rPr>
                <w:rFonts w:hint="eastAsia" w:ascii="宋体" w:hAnsi="宋体" w:eastAsia="宋体" w:cs="宋体"/>
                <w:b/>
                <w:bCs/>
                <w:color w:val="auto"/>
                <w:kern w:val="32"/>
                <w:sz w:val="21"/>
                <w:szCs w:val="21"/>
                <w:highlight w:val="none"/>
              </w:rPr>
              <w:t>单位</w:t>
            </w:r>
          </w:p>
        </w:tc>
        <w:tc>
          <w:tcPr>
            <w:tcW w:w="2190" w:type="dxa"/>
            <w:noWrap w:val="0"/>
            <w:vAlign w:val="center"/>
          </w:tcPr>
          <w:p w14:paraId="3865BDE7">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color w:val="auto"/>
                <w:kern w:val="32"/>
                <w:sz w:val="21"/>
                <w:szCs w:val="21"/>
                <w:highlight w:val="none"/>
                <w:lang w:val="en-US" w:eastAsia="zh-CN"/>
              </w:rPr>
            </w:pPr>
            <w:r>
              <w:rPr>
                <w:rFonts w:hint="eastAsia" w:ascii="宋体" w:hAnsi="宋体" w:eastAsia="宋体" w:cs="宋体"/>
                <w:b/>
                <w:bCs/>
                <w:color w:val="auto"/>
                <w:kern w:val="32"/>
                <w:sz w:val="21"/>
                <w:szCs w:val="21"/>
                <w:highlight w:val="none"/>
                <w:lang w:eastAsia="zh-CN"/>
              </w:rPr>
              <w:t>最高限价单价（元）</w:t>
            </w:r>
          </w:p>
        </w:tc>
        <w:tc>
          <w:tcPr>
            <w:tcW w:w="2754" w:type="dxa"/>
            <w:noWrap w:val="0"/>
            <w:vAlign w:val="center"/>
          </w:tcPr>
          <w:p w14:paraId="2802B80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备注</w:t>
            </w:r>
          </w:p>
        </w:tc>
      </w:tr>
      <w:tr w14:paraId="14DA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dxa"/>
            <w:noWrap w:val="0"/>
            <w:vAlign w:val="center"/>
          </w:tcPr>
          <w:p w14:paraId="62A24B8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rPr>
            </w:pPr>
            <w:r>
              <w:rPr>
                <w:rFonts w:hint="eastAsia" w:ascii="宋体" w:hAnsi="宋体" w:eastAsia="宋体" w:cs="宋体"/>
                <w:color w:val="auto"/>
                <w:kern w:val="32"/>
                <w:sz w:val="21"/>
                <w:szCs w:val="21"/>
                <w:highlight w:val="none"/>
                <w:lang w:val="en-US" w:eastAsia="zh-CN"/>
              </w:rPr>
              <w:t>一次性使用喉镜片</w:t>
            </w:r>
          </w:p>
        </w:tc>
        <w:tc>
          <w:tcPr>
            <w:tcW w:w="770" w:type="dxa"/>
            <w:noWrap w:val="0"/>
            <w:vAlign w:val="center"/>
          </w:tcPr>
          <w:p w14:paraId="4460A37F">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1</w:t>
            </w:r>
          </w:p>
        </w:tc>
        <w:tc>
          <w:tcPr>
            <w:tcW w:w="800" w:type="dxa"/>
            <w:shd w:val="clear" w:color="auto" w:fill="auto"/>
            <w:noWrap w:val="0"/>
            <w:vAlign w:val="center"/>
          </w:tcPr>
          <w:p w14:paraId="4734AD13">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片</w:t>
            </w:r>
          </w:p>
        </w:tc>
        <w:tc>
          <w:tcPr>
            <w:tcW w:w="2190" w:type="dxa"/>
            <w:noWrap w:val="0"/>
            <w:vAlign w:val="center"/>
          </w:tcPr>
          <w:p w14:paraId="21E8270A">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75</w:t>
            </w:r>
          </w:p>
        </w:tc>
        <w:tc>
          <w:tcPr>
            <w:tcW w:w="2754" w:type="dxa"/>
            <w:noWrap w:val="0"/>
            <w:vAlign w:val="center"/>
          </w:tcPr>
          <w:p w14:paraId="2604F57D">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按实际使用量结算</w:t>
            </w:r>
          </w:p>
        </w:tc>
      </w:tr>
    </w:tbl>
    <w:p w14:paraId="2B7E1DA0">
      <w:pPr>
        <w:rPr>
          <w:rFonts w:hint="eastAsia" w:hAnsi="宋体"/>
          <w:szCs w:val="21"/>
          <w:highlight w:val="none"/>
        </w:rPr>
      </w:pPr>
    </w:p>
    <w:p w14:paraId="1BFD9E19">
      <w:pPr>
        <w:pStyle w:val="2"/>
        <w:rPr>
          <w:rFonts w:hint="eastAsia" w:hAnsi="宋体"/>
          <w:szCs w:val="21"/>
          <w:highlight w:val="none"/>
        </w:rPr>
      </w:pPr>
    </w:p>
    <w:p w14:paraId="2222A48A">
      <w:pPr>
        <w:pStyle w:val="2"/>
        <w:rPr>
          <w:rFonts w:hint="eastAsia" w:hAnsi="宋体"/>
          <w:szCs w:val="21"/>
          <w:highlight w:val="none"/>
        </w:rPr>
      </w:pPr>
    </w:p>
    <w:p w14:paraId="1179CE7D">
      <w:pPr>
        <w:rPr>
          <w:rFonts w:hint="eastAsia" w:hAnsi="宋体"/>
          <w:b/>
          <w:bCs/>
          <w:szCs w:val="21"/>
          <w:highlight w:val="none"/>
        </w:rPr>
      </w:pPr>
      <w:r>
        <w:rPr>
          <w:rFonts w:hint="eastAsia" w:hAnsi="宋体"/>
          <w:b/>
          <w:bCs/>
          <w:szCs w:val="21"/>
          <w:highlight w:val="none"/>
        </w:rPr>
        <w:t>注：</w:t>
      </w:r>
    </w:p>
    <w:p w14:paraId="55849CD1">
      <w:pPr>
        <w:rPr>
          <w:rFonts w:hint="eastAsia" w:hAnsi="宋体"/>
          <w:b/>
          <w:bCs/>
          <w:szCs w:val="21"/>
          <w:highlight w:val="none"/>
          <w:lang w:val="en-US" w:eastAsia="zh-CN"/>
        </w:rPr>
      </w:pPr>
      <w:r>
        <w:rPr>
          <w:rFonts w:hint="eastAsia" w:hAnsi="宋体"/>
          <w:b/>
          <w:bCs/>
          <w:szCs w:val="21"/>
          <w:highlight w:val="none"/>
          <w:lang w:val="en-US" w:eastAsia="zh-CN"/>
        </w:rPr>
        <w:t>1.</w:t>
      </w:r>
      <w:r>
        <w:rPr>
          <w:rFonts w:hint="eastAsia" w:hAnsi="宋体"/>
          <w:b/>
          <w:bCs/>
          <w:szCs w:val="21"/>
          <w:highlight w:val="none"/>
        </w:rPr>
        <w:t>供应商</w:t>
      </w:r>
      <w:r>
        <w:rPr>
          <w:rFonts w:hint="eastAsia" w:hAnsi="宋体"/>
          <w:b/>
          <w:bCs/>
          <w:szCs w:val="21"/>
          <w:highlight w:val="none"/>
          <w:lang w:eastAsia="zh-CN"/>
        </w:rPr>
        <w:t>根据“第五章</w:t>
      </w:r>
      <w:r>
        <w:rPr>
          <w:rFonts w:hint="eastAsia" w:hAnsi="宋体"/>
          <w:b/>
          <w:bCs/>
          <w:szCs w:val="21"/>
          <w:highlight w:val="none"/>
          <w:lang w:val="en-US" w:eastAsia="zh-CN"/>
        </w:rPr>
        <w:t xml:space="preserve"> 响应文件格式”中“</w:t>
      </w:r>
      <w:r>
        <w:rPr>
          <w:rFonts w:hint="eastAsia"/>
          <w:b/>
          <w:bCs/>
          <w:highlight w:val="none"/>
        </w:rPr>
        <w:t>专用耗材报价</w:t>
      </w:r>
      <w:r>
        <w:rPr>
          <w:b/>
          <w:bCs/>
          <w:highlight w:val="none"/>
        </w:rPr>
        <w:t>表</w:t>
      </w:r>
      <w:r>
        <w:rPr>
          <w:rFonts w:hint="eastAsia" w:hAnsi="宋体"/>
          <w:b/>
          <w:bCs/>
          <w:szCs w:val="21"/>
          <w:highlight w:val="none"/>
          <w:lang w:val="en-US" w:eastAsia="zh-CN"/>
        </w:rPr>
        <w:t>”的所有耗材进行逐项报价。供应商配套耗材的单价报价不得高于最高限价单价，不得漏项报价或有条件有选择的报价，否则其竞标无效。</w:t>
      </w:r>
    </w:p>
    <w:p w14:paraId="3F2CB207">
      <w:pPr>
        <w:rPr>
          <w:rFonts w:hint="default"/>
          <w:color w:val="auto"/>
          <w:highlight w:val="none"/>
          <w:lang w:val="en-US" w:eastAsia="zh-CN"/>
        </w:rPr>
        <w:sectPr>
          <w:pgSz w:w="11906" w:h="16838"/>
          <w:pgMar w:top="1701" w:right="1701" w:bottom="1701" w:left="1701" w:header="851" w:footer="992" w:gutter="0"/>
          <w:cols w:space="425" w:num="1"/>
          <w:docGrid w:linePitch="312" w:charSpace="0"/>
        </w:sectPr>
      </w:pPr>
      <w:r>
        <w:rPr>
          <w:rFonts w:hint="eastAsia" w:hAnsi="宋体"/>
          <w:b/>
          <w:bCs/>
          <w:szCs w:val="21"/>
          <w:highlight w:val="none"/>
          <w:lang w:val="en-US" w:eastAsia="zh-CN"/>
        </w:rPr>
        <w:t>2.配套耗材的报价不计入本项目预算金额。实际采购配套耗材的数量根据采购人的业务需求确定并据实结算。</w:t>
      </w:r>
      <w:r>
        <w:rPr>
          <w:rFonts w:hint="eastAsia"/>
          <w:color w:val="auto"/>
          <w:highlight w:val="none"/>
          <w:lang w:val="en-US" w:eastAsia="zh-CN"/>
        </w:rPr>
        <w:t xml:space="preserve"> </w:t>
      </w:r>
    </w:p>
    <w:p w14:paraId="19D0EE78">
      <w:pPr>
        <w:pStyle w:val="79"/>
        <w:ind w:firstLine="0" w:firstLineChars="0"/>
        <w:rPr>
          <w:rFonts w:cs="Arial Unicode MS"/>
          <w:color w:val="auto"/>
          <w:highlight w:val="none"/>
        </w:rPr>
      </w:pPr>
      <w:r>
        <w:rPr>
          <w:rFonts w:hint="eastAsia"/>
          <w:color w:val="auto"/>
          <w:highlight w:val="none"/>
        </w:rPr>
        <w:t>附件</w:t>
      </w:r>
      <w:r>
        <w:rPr>
          <w:rFonts w:hint="eastAsia"/>
          <w:color w:val="auto"/>
          <w:highlight w:val="none"/>
          <w:lang w:val="en-US" w:eastAsia="zh-CN"/>
        </w:rPr>
        <w:t>2</w:t>
      </w:r>
      <w:r>
        <w:rPr>
          <w:rFonts w:hint="eastAsia"/>
          <w:color w:val="auto"/>
          <w:highlight w:val="none"/>
        </w:rPr>
        <w:t>：</w:t>
      </w:r>
    </w:p>
    <w:p w14:paraId="1F7FE061">
      <w:pPr>
        <w:pStyle w:val="80"/>
        <w:ind w:firstLine="643"/>
        <w:rPr>
          <w:color w:val="auto"/>
          <w:highlight w:val="none"/>
        </w:rPr>
      </w:pPr>
      <w:r>
        <w:rPr>
          <w:rFonts w:hint="eastAsia"/>
          <w:color w:val="auto"/>
          <w:highlight w:val="none"/>
        </w:rPr>
        <w:t>节能产品政府采购品目清单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22"/>
        <w:gridCol w:w="1496"/>
        <w:gridCol w:w="1367"/>
        <w:gridCol w:w="3566"/>
      </w:tblGrid>
      <w:tr w14:paraId="58E9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F31E761">
            <w:pPr>
              <w:ind w:firstLine="0" w:firstLineChars="0"/>
              <w:jc w:val="center"/>
              <w:rPr>
                <w:rFonts w:hAnsi="宋体" w:cs="宋体"/>
                <w:b/>
                <w:bCs/>
                <w:color w:val="auto"/>
                <w:w w:val="99"/>
                <w:highlight w:val="none"/>
              </w:rPr>
            </w:pPr>
            <w:r>
              <w:rPr>
                <w:rFonts w:hint="eastAsia" w:hAnsi="宋体" w:cs="宋体"/>
                <w:b/>
                <w:bCs/>
                <w:color w:val="auto"/>
                <w:w w:val="99"/>
                <w:highlight w:val="none"/>
              </w:rPr>
              <w:t>品目</w:t>
            </w:r>
          </w:p>
          <w:p w14:paraId="7F313016">
            <w:pPr>
              <w:ind w:firstLine="0" w:firstLineChars="0"/>
              <w:jc w:val="center"/>
              <w:rPr>
                <w:rFonts w:ascii="Calibri" w:hAnsi="Calibri"/>
                <w:color w:val="auto"/>
                <w:szCs w:val="22"/>
                <w:highlight w:val="none"/>
              </w:rPr>
            </w:pPr>
            <w:r>
              <w:rPr>
                <w:rFonts w:hint="eastAsia" w:hAnsi="宋体" w:cs="宋体"/>
                <w:b/>
                <w:bCs/>
                <w:color w:val="auto"/>
                <w:w w:val="99"/>
                <w:highlight w:val="none"/>
              </w:rPr>
              <w:t>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23FDE7B5">
            <w:pPr>
              <w:ind w:firstLine="418"/>
              <w:jc w:val="center"/>
              <w:rPr>
                <w:rFonts w:ascii="Calibri" w:hAnsi="Calibri"/>
                <w:color w:val="auto"/>
                <w:szCs w:val="22"/>
                <w:highlight w:val="none"/>
              </w:rPr>
            </w:pPr>
            <w:r>
              <w:rPr>
                <w:rFonts w:hint="eastAsia"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7D58275C">
            <w:pPr>
              <w:ind w:firstLine="418"/>
              <w:jc w:val="center"/>
              <w:rPr>
                <w:rFonts w:ascii="Calibri" w:hAnsi="Calibri"/>
                <w:color w:val="auto"/>
                <w:szCs w:val="22"/>
                <w:highlight w:val="none"/>
              </w:rPr>
            </w:pPr>
            <w:r>
              <w:rPr>
                <w:rFonts w:hint="eastAsia" w:hAnsi="宋体" w:cs="宋体"/>
                <w:b/>
                <w:bCs/>
                <w:color w:val="auto"/>
                <w:w w:val="99"/>
                <w:highlight w:val="none"/>
              </w:rPr>
              <w:t>依据的标准</w:t>
            </w:r>
          </w:p>
        </w:tc>
      </w:tr>
      <w:tr w14:paraId="271B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3F326BA">
            <w:pPr>
              <w:ind w:firstLine="420"/>
              <w:jc w:val="center"/>
              <w:rPr>
                <w:rFonts w:hAnsi="宋体"/>
                <w:color w:val="auto"/>
                <w:highlight w:val="none"/>
              </w:rPr>
            </w:pPr>
            <w:r>
              <w:rPr>
                <w:rFonts w:hint="eastAsia" w:hAnsi="宋体"/>
                <w:color w:val="auto"/>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C1F1CC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A02010100计算机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CC9E09F">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★A02010105台式计算机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AB20448">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613C5C8B">
            <w:pPr>
              <w:pStyle w:val="74"/>
              <w:spacing w:before="93"/>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14:paraId="46AA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9BC8FB">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C4AE1A">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BB2A78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★A02010108便携式计算机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5B375E5">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026A039">
            <w:pPr>
              <w:pStyle w:val="74"/>
              <w:spacing w:before="44"/>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14:paraId="657F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8C60F9">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21A853">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3C9964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B1FD063">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3C6B12E">
            <w:pPr>
              <w:pStyle w:val="74"/>
              <w:spacing w:before="64"/>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14:paraId="452D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82A9BC0">
            <w:pPr>
              <w:ind w:firstLine="420"/>
              <w:jc w:val="center"/>
              <w:rPr>
                <w:rFonts w:hAnsi="宋体"/>
                <w:color w:val="auto"/>
                <w:highlight w:val="none"/>
              </w:rPr>
            </w:pPr>
            <w:r>
              <w:rPr>
                <w:rFonts w:hint="eastAsia" w:hAnsi="宋体"/>
                <w:color w:val="auto"/>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5C04496">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A02020000办公设备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2F13415">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A02021000打印机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15812BC">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0250C71A">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50D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77205E">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D3949D">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136097">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F91085F">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2FF60603">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0C52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255086">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C3A617">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BBD7A8">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57E6253">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6F92B39B">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48DB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FADB34">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1A4FE6">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B18C7B">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BB1CD75">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4B3AACA9">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4095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4DCA8F">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E7CAC2">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A34987">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B0BEBE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317216A9">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0535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3C7B17">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037ACE">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0B2EB8">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26B2933">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621AB6F0">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183D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44F9A8">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9F216F">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69056E">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1797BB1">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42807037">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26D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479DCC">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7DDD0E">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04B148">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8F26B7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5B6E7966">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4F7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CF99A0">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360279">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016DE6">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D0A3CA4">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2F86758B">
            <w:pPr>
              <w:pStyle w:val="74"/>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150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7AD655">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0444B4">
            <w:pPr>
              <w:ind w:firstLine="420"/>
              <w:rPr>
                <w:rFonts w:hAnsi="宋体" w:cs="宋体"/>
                <w:color w:val="auto"/>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4B63AF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4E560C4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17582F32">
            <w:pPr>
              <w:rPr>
                <w:rFonts w:hAnsi="宋体"/>
                <w:color w:val="auto"/>
                <w:highlight w:val="none"/>
              </w:rPr>
            </w:pPr>
            <w:r>
              <w:rPr>
                <w:rFonts w:hint="eastAsia" w:hAnsi="宋体" w:cs="宋体"/>
                <w:color w:val="auto"/>
                <w:spacing w:val="12"/>
                <w:w w:val="99"/>
                <w:highlight w:val="none"/>
              </w:rPr>
              <w:t>《计算机显示器能效限</w:t>
            </w:r>
            <w:r>
              <w:rPr>
                <w:rFonts w:hint="eastAsia" w:hAnsi="宋体" w:cs="宋体"/>
                <w:color w:val="auto"/>
                <w:spacing w:val="9"/>
                <w:w w:val="99"/>
                <w:highlight w:val="none"/>
              </w:rPr>
              <w:t>定</w:t>
            </w:r>
            <w:r>
              <w:rPr>
                <w:rFonts w:hint="eastAsia" w:hAnsi="宋体" w:cs="宋体"/>
                <w:color w:val="auto"/>
                <w:spacing w:val="12"/>
                <w:w w:val="99"/>
                <w:highlight w:val="none"/>
              </w:rPr>
              <w:t>值及</w:t>
            </w:r>
            <w:r>
              <w:rPr>
                <w:rFonts w:hint="eastAsia" w:hAnsi="宋体" w:cs="宋体"/>
                <w:color w:val="auto"/>
                <w:w w:val="99"/>
                <w:highlight w:val="none"/>
              </w:rPr>
              <w:t>能效等级</w:t>
            </w:r>
            <w:r>
              <w:rPr>
                <w:rFonts w:hint="eastAsia" w:hAnsi="宋体" w:cs="宋体"/>
                <w:color w:val="auto"/>
                <w:spacing w:val="2"/>
                <w:w w:val="99"/>
                <w:highlight w:val="none"/>
              </w:rPr>
              <w:t>》</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w:t>
            </w:r>
            <w:r>
              <w:rPr>
                <w:rFonts w:hint="eastAsia" w:hAnsi="宋体" w:cs="宋体"/>
                <w:color w:val="auto"/>
                <w:w w:val="99"/>
                <w:highlight w:val="none"/>
              </w:rPr>
              <w:t>52</w:t>
            </w:r>
            <w:r>
              <w:rPr>
                <w:rFonts w:hint="eastAsia" w:hAnsi="宋体" w:cs="宋体"/>
                <w:color w:val="auto"/>
                <w:spacing w:val="1"/>
                <w:w w:val="99"/>
                <w:highlight w:val="none"/>
              </w:rPr>
              <w:t>0</w:t>
            </w:r>
            <w:r>
              <w:rPr>
                <w:rFonts w:hint="eastAsia" w:hAnsi="宋体" w:cs="宋体"/>
                <w:color w:val="auto"/>
                <w:w w:val="99"/>
                <w:highlight w:val="none"/>
              </w:rPr>
              <w:t>）</w:t>
            </w:r>
          </w:p>
        </w:tc>
      </w:tr>
      <w:tr w14:paraId="0843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556159">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D4636D">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1E1C88">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4671CF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5AF36710">
            <w:pPr>
              <w:ind w:firstLine="413"/>
              <w:rPr>
                <w:rFonts w:hAnsi="宋体"/>
                <w:color w:val="auto"/>
                <w:highlight w:val="none"/>
              </w:rPr>
            </w:pPr>
            <w:r>
              <w:rPr>
                <w:rFonts w:hint="eastAsia" w:hAnsi="宋体" w:cs="宋体"/>
                <w:color w:val="auto"/>
                <w:w w:val="99"/>
                <w:highlight w:val="none"/>
              </w:rPr>
              <w:t>参</w:t>
            </w:r>
            <w:r>
              <w:rPr>
                <w:rFonts w:hint="eastAsia" w:hAnsi="宋体" w:cs="宋体"/>
                <w:color w:val="auto"/>
                <w:spacing w:val="-29"/>
                <w:w w:val="99"/>
                <w:highlight w:val="none"/>
              </w:rPr>
              <w:t>照</w:t>
            </w:r>
            <w:r>
              <w:rPr>
                <w:rFonts w:hint="eastAsia" w:hAnsi="宋体" w:cs="宋体"/>
                <w:color w:val="auto"/>
                <w:w w:val="99"/>
                <w:highlight w:val="none"/>
              </w:rPr>
              <w:t>《</w:t>
            </w:r>
            <w:r>
              <w:rPr>
                <w:rFonts w:hint="eastAsia" w:hAnsi="宋体" w:cs="宋体"/>
                <w:color w:val="auto"/>
                <w:spacing w:val="2"/>
                <w:w w:val="99"/>
                <w:highlight w:val="none"/>
              </w:rPr>
              <w:t>复</w:t>
            </w:r>
            <w:r>
              <w:rPr>
                <w:rFonts w:hint="eastAsia" w:hAnsi="宋体" w:cs="宋体"/>
                <w:color w:val="auto"/>
                <w:w w:val="99"/>
                <w:highlight w:val="none"/>
              </w:rPr>
              <w:t>印</w:t>
            </w:r>
            <w:r>
              <w:rPr>
                <w:rFonts w:hint="eastAsia" w:hAnsi="宋体" w:cs="宋体"/>
                <w:color w:val="auto"/>
                <w:spacing w:val="2"/>
                <w:w w:val="99"/>
                <w:highlight w:val="none"/>
              </w:rPr>
              <w:t>机</w:t>
            </w:r>
            <w:r>
              <w:rPr>
                <w:rFonts w:hint="eastAsia" w:hAnsi="宋体" w:cs="宋体"/>
                <w:color w:val="auto"/>
                <w:spacing w:val="-29"/>
                <w:w w:val="99"/>
                <w:highlight w:val="none"/>
              </w:rPr>
              <w:t>、</w:t>
            </w:r>
            <w:r>
              <w:rPr>
                <w:rFonts w:hint="eastAsia" w:hAnsi="宋体" w:cs="宋体"/>
                <w:color w:val="auto"/>
                <w:w w:val="99"/>
                <w:highlight w:val="none"/>
              </w:rPr>
              <w:t>打</w:t>
            </w:r>
            <w:r>
              <w:rPr>
                <w:rFonts w:hint="eastAsia" w:hAnsi="宋体" w:cs="宋体"/>
                <w:color w:val="auto"/>
                <w:spacing w:val="2"/>
                <w:w w:val="99"/>
                <w:highlight w:val="none"/>
              </w:rPr>
              <w:t>印</w:t>
            </w:r>
            <w:r>
              <w:rPr>
                <w:rFonts w:hint="eastAsia" w:hAnsi="宋体" w:cs="宋体"/>
                <w:color w:val="auto"/>
                <w:w w:val="99"/>
                <w:highlight w:val="none"/>
              </w:rPr>
              <w:t>机和</w:t>
            </w:r>
            <w:r>
              <w:rPr>
                <w:rFonts w:hint="eastAsia" w:hAnsi="宋体" w:cs="宋体"/>
                <w:color w:val="auto"/>
                <w:spacing w:val="2"/>
                <w:w w:val="99"/>
                <w:highlight w:val="none"/>
              </w:rPr>
              <w:t>传</w:t>
            </w:r>
            <w:r>
              <w:rPr>
                <w:rFonts w:hint="eastAsia" w:hAnsi="宋体" w:cs="宋体"/>
                <w:color w:val="auto"/>
                <w:w w:val="99"/>
                <w:highlight w:val="none"/>
              </w:rPr>
              <w:t>真机能效限定</w:t>
            </w:r>
            <w:r>
              <w:rPr>
                <w:rFonts w:hint="eastAsia" w:hAnsi="宋体" w:cs="宋体"/>
                <w:color w:val="auto"/>
                <w:spacing w:val="2"/>
                <w:w w:val="99"/>
                <w:highlight w:val="none"/>
              </w:rPr>
              <w:t>值</w:t>
            </w:r>
            <w:r>
              <w:rPr>
                <w:rFonts w:hint="eastAsia" w:hAnsi="宋体" w:cs="宋体"/>
                <w:color w:val="auto"/>
                <w:w w:val="99"/>
                <w:highlight w:val="none"/>
              </w:rPr>
              <w:t>及能</w:t>
            </w:r>
            <w:r>
              <w:rPr>
                <w:rFonts w:hint="eastAsia" w:hAnsi="宋体" w:cs="宋体"/>
                <w:color w:val="auto"/>
                <w:spacing w:val="2"/>
                <w:w w:val="99"/>
                <w:highlight w:val="none"/>
              </w:rPr>
              <w:t>效</w:t>
            </w:r>
            <w:r>
              <w:rPr>
                <w:rFonts w:hint="eastAsia" w:hAnsi="宋体" w:cs="宋体"/>
                <w:color w:val="auto"/>
                <w:w w:val="99"/>
                <w:highlight w:val="none"/>
              </w:rPr>
              <w:t>等级</w:t>
            </w:r>
            <w:r>
              <w:rPr>
                <w:rFonts w:hint="eastAsia" w:hAnsi="宋体" w:cs="宋体"/>
                <w:color w:val="auto"/>
                <w:spacing w:val="-106"/>
                <w:w w:val="99"/>
                <w:highlight w:val="none"/>
              </w:rPr>
              <w:t>》</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2152</w:t>
            </w:r>
            <w:r>
              <w:rPr>
                <w:rFonts w:hint="eastAsia" w:hAnsi="宋体" w:cs="宋体"/>
                <w:color w:val="auto"/>
                <w:w w:val="99"/>
                <w:highlight w:val="none"/>
              </w:rPr>
              <w:t>1）</w:t>
            </w:r>
            <w:r>
              <w:rPr>
                <w:rFonts w:hint="eastAsia" w:hAnsi="宋体" w:cs="宋体"/>
                <w:color w:val="auto"/>
                <w:spacing w:val="2"/>
                <w:w w:val="99"/>
                <w:highlight w:val="none"/>
              </w:rPr>
              <w:t>中</w:t>
            </w:r>
            <w:r>
              <w:rPr>
                <w:rFonts w:hint="eastAsia" w:hAnsi="宋体" w:cs="宋体"/>
                <w:color w:val="auto"/>
                <w:spacing w:val="4"/>
                <w:w w:val="99"/>
                <w:highlight w:val="none"/>
              </w:rPr>
              <w:t>打印速</w:t>
            </w:r>
            <w:r>
              <w:rPr>
                <w:rFonts w:hint="eastAsia" w:hAnsi="宋体" w:cs="宋体"/>
                <w:color w:val="auto"/>
                <w:spacing w:val="2"/>
                <w:w w:val="99"/>
                <w:highlight w:val="none"/>
              </w:rPr>
              <w:t>度</w:t>
            </w:r>
            <w:r>
              <w:rPr>
                <w:rFonts w:hint="eastAsia" w:hAnsi="宋体" w:cs="宋体"/>
                <w:color w:val="auto"/>
                <w:w w:val="99"/>
                <w:highlight w:val="none"/>
              </w:rPr>
              <w:t>为</w:t>
            </w:r>
            <w:r>
              <w:rPr>
                <w:rFonts w:hint="eastAsia" w:hAnsi="宋体" w:cs="宋体"/>
                <w:color w:val="auto"/>
                <w:spacing w:val="1"/>
                <w:w w:val="99"/>
                <w:highlight w:val="none"/>
              </w:rPr>
              <w:t>1</w:t>
            </w:r>
            <w:r>
              <w:rPr>
                <w:rFonts w:hint="eastAsia" w:hAnsi="宋体" w:cs="宋体"/>
                <w:color w:val="auto"/>
                <w:w w:val="99"/>
                <w:highlight w:val="none"/>
              </w:rPr>
              <w:t>5</w:t>
            </w:r>
            <w:r>
              <w:rPr>
                <w:rFonts w:hint="eastAsia" w:hAnsi="宋体" w:cs="宋体"/>
                <w:color w:val="auto"/>
                <w:spacing w:val="2"/>
                <w:w w:val="99"/>
                <w:highlight w:val="none"/>
              </w:rPr>
              <w:t>页</w:t>
            </w:r>
            <w:r>
              <w:rPr>
                <w:rFonts w:hint="eastAsia" w:hAnsi="宋体" w:cs="宋体"/>
                <w:color w:val="auto"/>
                <w:spacing w:val="5"/>
                <w:w w:val="99"/>
                <w:highlight w:val="none"/>
              </w:rPr>
              <w:t>/</w:t>
            </w:r>
            <w:r>
              <w:rPr>
                <w:rFonts w:hint="eastAsia" w:hAnsi="宋体" w:cs="宋体"/>
                <w:color w:val="auto"/>
                <w:spacing w:val="4"/>
                <w:w w:val="99"/>
                <w:highlight w:val="none"/>
              </w:rPr>
              <w:t>分的</w:t>
            </w:r>
            <w:r>
              <w:rPr>
                <w:rFonts w:hint="eastAsia" w:hAnsi="宋体" w:cs="宋体"/>
                <w:color w:val="auto"/>
                <w:spacing w:val="2"/>
                <w:w w:val="99"/>
                <w:highlight w:val="none"/>
              </w:rPr>
              <w:t>针</w:t>
            </w:r>
            <w:r>
              <w:rPr>
                <w:rFonts w:hint="eastAsia" w:hAnsi="宋体" w:cs="宋体"/>
                <w:color w:val="auto"/>
                <w:spacing w:val="4"/>
                <w:w w:val="99"/>
                <w:highlight w:val="none"/>
              </w:rPr>
              <w:t>式</w:t>
            </w:r>
            <w:r>
              <w:rPr>
                <w:rFonts w:hint="eastAsia" w:hAnsi="宋体" w:cs="宋体"/>
                <w:color w:val="auto"/>
                <w:w w:val="99"/>
                <w:highlight w:val="none"/>
              </w:rPr>
              <w:t>打印机相</w:t>
            </w:r>
            <w:r>
              <w:rPr>
                <w:rFonts w:hint="eastAsia" w:hAnsi="宋体" w:cs="宋体"/>
                <w:color w:val="auto"/>
                <w:spacing w:val="2"/>
                <w:w w:val="99"/>
                <w:highlight w:val="none"/>
              </w:rPr>
              <w:t>关</w:t>
            </w:r>
            <w:r>
              <w:rPr>
                <w:rFonts w:hint="eastAsia" w:hAnsi="宋体" w:cs="宋体"/>
                <w:color w:val="auto"/>
                <w:w w:val="99"/>
                <w:highlight w:val="none"/>
              </w:rPr>
              <w:t>要求</w:t>
            </w:r>
          </w:p>
        </w:tc>
      </w:tr>
      <w:tr w14:paraId="52A9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5B577FB">
            <w:pPr>
              <w:ind w:firstLine="413"/>
              <w:jc w:val="center"/>
              <w:rPr>
                <w:rFonts w:hAnsi="宋体"/>
                <w:color w:val="auto"/>
                <w:highlight w:val="none"/>
              </w:rPr>
            </w:pPr>
            <w:r>
              <w:rPr>
                <w:rFonts w:hint="eastAsia" w:hAnsi="宋体"/>
                <w:color w:val="auto"/>
                <w:w w:val="99"/>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03E3BCDE">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09EC2E0">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CCD7BD2">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74F01B84">
            <w:pPr>
              <w:ind w:firstLine="413"/>
              <w:rPr>
                <w:rFonts w:hAnsi="宋体"/>
                <w:color w:val="auto"/>
                <w:highlight w:val="none"/>
              </w:rPr>
            </w:pPr>
            <w:r>
              <w:rPr>
                <w:rFonts w:hint="eastAsia" w:hAnsi="宋体" w:cs="宋体"/>
                <w:color w:val="auto"/>
                <w:w w:val="99"/>
                <w:highlight w:val="none"/>
              </w:rPr>
              <w:t>《投影</w:t>
            </w:r>
            <w:r>
              <w:rPr>
                <w:rFonts w:hint="eastAsia" w:hAnsi="宋体" w:cs="宋体"/>
                <w:color w:val="auto"/>
                <w:spacing w:val="2"/>
                <w:w w:val="99"/>
                <w:highlight w:val="none"/>
              </w:rPr>
              <w:t>机</w:t>
            </w:r>
            <w:r>
              <w:rPr>
                <w:rFonts w:hint="eastAsia" w:hAnsi="宋体" w:cs="宋体"/>
                <w:color w:val="auto"/>
                <w:w w:val="99"/>
                <w:highlight w:val="none"/>
              </w:rPr>
              <w:t>能效</w:t>
            </w:r>
            <w:r>
              <w:rPr>
                <w:rFonts w:hint="eastAsia" w:hAnsi="宋体" w:cs="宋体"/>
                <w:color w:val="auto"/>
                <w:spacing w:val="2"/>
                <w:w w:val="99"/>
                <w:highlight w:val="none"/>
              </w:rPr>
              <w:t>限</w:t>
            </w:r>
            <w:r>
              <w:rPr>
                <w:rFonts w:hint="eastAsia" w:hAnsi="宋体" w:cs="宋体"/>
                <w:color w:val="auto"/>
                <w:w w:val="99"/>
                <w:highlight w:val="none"/>
              </w:rPr>
              <w:t>定值</w:t>
            </w:r>
            <w:r>
              <w:rPr>
                <w:rFonts w:hint="eastAsia" w:hAnsi="宋体" w:cs="宋体"/>
                <w:color w:val="auto"/>
                <w:spacing w:val="2"/>
                <w:w w:val="99"/>
                <w:highlight w:val="none"/>
              </w:rPr>
              <w:t>及</w:t>
            </w:r>
            <w:r>
              <w:rPr>
                <w:rFonts w:hint="eastAsia" w:hAnsi="宋体" w:cs="宋体"/>
                <w:color w:val="auto"/>
                <w:w w:val="99"/>
                <w:highlight w:val="none"/>
              </w:rPr>
              <w:t>能</w:t>
            </w:r>
            <w:r>
              <w:rPr>
                <w:rFonts w:hint="eastAsia" w:hAnsi="宋体" w:cs="宋体"/>
                <w:color w:val="auto"/>
                <w:spacing w:val="2"/>
                <w:w w:val="99"/>
                <w:highlight w:val="none"/>
              </w:rPr>
              <w:t>效</w:t>
            </w:r>
            <w:r>
              <w:rPr>
                <w:rFonts w:hint="eastAsia" w:hAnsi="宋体" w:cs="宋体"/>
                <w:color w:val="auto"/>
                <w:w w:val="99"/>
                <w:highlight w:val="none"/>
              </w:rPr>
              <w:t>等级》（</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3</w:t>
            </w:r>
            <w:r>
              <w:rPr>
                <w:rFonts w:hint="eastAsia" w:hAnsi="宋体" w:cs="宋体"/>
                <w:color w:val="auto"/>
                <w:w w:val="99"/>
                <w:highlight w:val="none"/>
              </w:rPr>
              <w:t>20</w:t>
            </w:r>
            <w:r>
              <w:rPr>
                <w:rFonts w:hint="eastAsia" w:hAnsi="宋体" w:cs="宋体"/>
                <w:color w:val="auto"/>
                <w:spacing w:val="1"/>
                <w:w w:val="99"/>
                <w:highlight w:val="none"/>
              </w:rPr>
              <w:t>28</w:t>
            </w:r>
            <w:r>
              <w:rPr>
                <w:rFonts w:hint="eastAsia" w:hAnsi="宋体" w:cs="宋体"/>
                <w:color w:val="auto"/>
                <w:w w:val="99"/>
                <w:highlight w:val="none"/>
              </w:rPr>
              <w:t>）</w:t>
            </w:r>
          </w:p>
        </w:tc>
      </w:tr>
      <w:tr w14:paraId="6173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9D0429D">
            <w:pPr>
              <w:ind w:firstLine="420"/>
              <w:jc w:val="center"/>
              <w:rPr>
                <w:rFonts w:hAnsi="宋体"/>
                <w:color w:val="auto"/>
                <w:highlight w:val="none"/>
              </w:rPr>
            </w:pPr>
            <w:r>
              <w:rPr>
                <w:rFonts w:hint="eastAsia" w:hAnsi="宋体"/>
                <w:color w:val="auto"/>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1ED7D31">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A02020400多功能一体机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89E6B71">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7A25F57">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2419D4E5">
            <w:pPr>
              <w:ind w:firstLine="413"/>
              <w:rPr>
                <w:rFonts w:hAnsi="宋体"/>
                <w:color w:val="auto"/>
                <w:highlight w:val="none"/>
              </w:rPr>
            </w:pPr>
            <w:r>
              <w:rPr>
                <w:rFonts w:hint="eastAsia" w:hAnsi="宋体" w:cs="宋体"/>
                <w:color w:val="auto"/>
                <w:w w:val="99"/>
                <w:highlight w:val="none"/>
              </w:rPr>
              <w:t>《复印</w:t>
            </w:r>
            <w:r>
              <w:rPr>
                <w:rFonts w:hint="eastAsia" w:hAnsi="宋体" w:cs="宋体"/>
                <w:color w:val="auto"/>
                <w:spacing w:val="2"/>
                <w:w w:val="99"/>
                <w:highlight w:val="none"/>
              </w:rPr>
              <w:t>机</w:t>
            </w:r>
            <w:r>
              <w:rPr>
                <w:rFonts w:hint="eastAsia" w:hAnsi="宋体" w:cs="宋体"/>
                <w:color w:val="auto"/>
                <w:spacing w:val="-58"/>
                <w:w w:val="99"/>
                <w:highlight w:val="none"/>
              </w:rPr>
              <w:t>、</w:t>
            </w:r>
            <w:r>
              <w:rPr>
                <w:rFonts w:hint="eastAsia" w:hAnsi="宋体" w:cs="宋体"/>
                <w:color w:val="auto"/>
                <w:spacing w:val="2"/>
                <w:w w:val="99"/>
                <w:highlight w:val="none"/>
              </w:rPr>
              <w:t>打</w:t>
            </w:r>
            <w:r>
              <w:rPr>
                <w:rFonts w:hint="eastAsia" w:hAnsi="宋体" w:cs="宋体"/>
                <w:color w:val="auto"/>
                <w:w w:val="99"/>
                <w:highlight w:val="none"/>
              </w:rPr>
              <w:t>印机</w:t>
            </w:r>
            <w:r>
              <w:rPr>
                <w:rFonts w:hint="eastAsia" w:hAnsi="宋体" w:cs="宋体"/>
                <w:color w:val="auto"/>
                <w:spacing w:val="2"/>
                <w:w w:val="99"/>
                <w:highlight w:val="none"/>
              </w:rPr>
              <w:t>和</w:t>
            </w:r>
            <w:r>
              <w:rPr>
                <w:rFonts w:hint="eastAsia" w:hAnsi="宋体" w:cs="宋体"/>
                <w:color w:val="auto"/>
                <w:w w:val="99"/>
                <w:highlight w:val="none"/>
              </w:rPr>
              <w:t>传真</w:t>
            </w:r>
            <w:r>
              <w:rPr>
                <w:rFonts w:hint="eastAsia" w:hAnsi="宋体" w:cs="宋体"/>
                <w:color w:val="auto"/>
                <w:spacing w:val="2"/>
                <w:w w:val="99"/>
                <w:highlight w:val="none"/>
              </w:rPr>
              <w:t>机</w:t>
            </w:r>
            <w:r>
              <w:rPr>
                <w:rFonts w:hint="eastAsia" w:hAnsi="宋体" w:cs="宋体"/>
                <w:color w:val="auto"/>
                <w:w w:val="99"/>
                <w:highlight w:val="none"/>
              </w:rPr>
              <w:t>能效限定值及</w:t>
            </w:r>
            <w:r>
              <w:rPr>
                <w:rFonts w:hint="eastAsia" w:hAnsi="宋体" w:cs="宋体"/>
                <w:color w:val="auto"/>
                <w:spacing w:val="2"/>
                <w:w w:val="99"/>
                <w:highlight w:val="none"/>
              </w:rPr>
              <w:t>能</w:t>
            </w:r>
            <w:r>
              <w:rPr>
                <w:rFonts w:hint="eastAsia" w:hAnsi="宋体" w:cs="宋体"/>
                <w:color w:val="auto"/>
                <w:w w:val="99"/>
                <w:highlight w:val="none"/>
              </w:rPr>
              <w:t>效等</w:t>
            </w:r>
            <w:r>
              <w:rPr>
                <w:rFonts w:hint="eastAsia" w:hAnsi="宋体" w:cs="宋体"/>
                <w:color w:val="auto"/>
                <w:spacing w:val="2"/>
                <w:w w:val="99"/>
                <w:highlight w:val="none"/>
              </w:rPr>
              <w:t>级</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w:t>
            </w:r>
            <w:r>
              <w:rPr>
                <w:rFonts w:hint="eastAsia" w:hAnsi="宋体" w:cs="宋体"/>
                <w:color w:val="auto"/>
                <w:w w:val="99"/>
                <w:highlight w:val="none"/>
              </w:rPr>
              <w:t>52</w:t>
            </w:r>
            <w:r>
              <w:rPr>
                <w:rFonts w:hint="eastAsia" w:hAnsi="宋体" w:cs="宋体"/>
                <w:color w:val="auto"/>
                <w:spacing w:val="1"/>
                <w:w w:val="99"/>
                <w:highlight w:val="none"/>
              </w:rPr>
              <w:t>1</w:t>
            </w:r>
            <w:r>
              <w:rPr>
                <w:rFonts w:hint="eastAsia" w:hAnsi="宋体" w:cs="宋体"/>
                <w:color w:val="auto"/>
                <w:w w:val="99"/>
                <w:highlight w:val="none"/>
              </w:rPr>
              <w:t>）</w:t>
            </w:r>
          </w:p>
        </w:tc>
      </w:tr>
      <w:tr w14:paraId="5676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E35625F">
            <w:pPr>
              <w:pStyle w:val="74"/>
              <w:spacing w:before="160"/>
              <w:ind w:right="1"/>
              <w:jc w:val="center"/>
              <w:rPr>
                <w:color w:val="auto"/>
                <w:kern w:val="2"/>
                <w:sz w:val="21"/>
                <w:szCs w:val="21"/>
                <w:highlight w:val="none"/>
              </w:rPr>
            </w:pPr>
            <w:r>
              <w:rPr>
                <w:rFonts w:hint="eastAsia"/>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27BFB476">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A02051900泵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5E1BE8B">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A02051901离心泵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6DE0176A">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161C1844">
            <w:pPr>
              <w:pStyle w:val="74"/>
              <w:spacing w:before="4" w:line="276" w:lineRule="auto"/>
              <w:ind w:left="7" w:right="4"/>
              <w:rPr>
                <w:color w:val="auto"/>
                <w:kern w:val="2"/>
                <w:sz w:val="21"/>
                <w:szCs w:val="21"/>
                <w:highlight w:val="none"/>
              </w:rPr>
            </w:pPr>
            <w:r>
              <w:rPr>
                <w:rFonts w:hint="eastAsia"/>
                <w:color w:val="auto"/>
                <w:spacing w:val="12"/>
                <w:w w:val="99"/>
                <w:kern w:val="2"/>
                <w:sz w:val="21"/>
                <w:szCs w:val="21"/>
                <w:highlight w:val="none"/>
              </w:rPr>
              <w:t>《清水离心泵能效限定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及节</w:t>
            </w:r>
            <w:r>
              <w:rPr>
                <w:rFonts w:hint="eastAsia"/>
                <w:color w:val="auto"/>
                <w:w w:val="99"/>
                <w:kern w:val="2"/>
                <w:sz w:val="21"/>
                <w:szCs w:val="21"/>
                <w:highlight w:val="none"/>
              </w:rPr>
              <w:t>能评价值</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w:t>
            </w:r>
            <w:r>
              <w:rPr>
                <w:rFonts w:hint="eastAsia"/>
                <w:color w:val="auto"/>
                <w:w w:val="99"/>
                <w:kern w:val="2"/>
                <w:sz w:val="21"/>
                <w:szCs w:val="21"/>
                <w:highlight w:val="none"/>
              </w:rPr>
              <w:t>76</w:t>
            </w:r>
            <w:r>
              <w:rPr>
                <w:rFonts w:hint="eastAsia"/>
                <w:color w:val="auto"/>
                <w:spacing w:val="1"/>
                <w:w w:val="99"/>
                <w:kern w:val="2"/>
                <w:sz w:val="21"/>
                <w:szCs w:val="21"/>
                <w:highlight w:val="none"/>
              </w:rPr>
              <w:t>2</w:t>
            </w:r>
            <w:r>
              <w:rPr>
                <w:rFonts w:hint="eastAsia"/>
                <w:color w:val="auto"/>
                <w:w w:val="99"/>
                <w:kern w:val="2"/>
                <w:sz w:val="21"/>
                <w:szCs w:val="21"/>
                <w:highlight w:val="none"/>
              </w:rPr>
              <w:t>）</w:t>
            </w:r>
          </w:p>
        </w:tc>
      </w:tr>
      <w:tr w14:paraId="1517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B043B23">
            <w:pPr>
              <w:ind w:firstLine="420"/>
              <w:jc w:val="center"/>
              <w:rPr>
                <w:rFonts w:hAnsi="宋体"/>
                <w:color w:val="auto"/>
                <w:highlight w:val="none"/>
              </w:rPr>
            </w:pPr>
            <w:r>
              <w:rPr>
                <w:rFonts w:hint="eastAsia" w:hAnsi="宋体"/>
                <w:color w:val="auto"/>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A3C2591">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A02052300制冷空调设备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50C117A">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E5FAC46">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tcPr>
          <w:p w14:paraId="4A2D9A7E">
            <w:pPr>
              <w:pStyle w:val="74"/>
              <w:spacing w:before="30" w:line="276" w:lineRule="auto"/>
              <w:ind w:left="7" w:right="4"/>
              <w:jc w:val="both"/>
              <w:rPr>
                <w:color w:val="auto"/>
                <w:kern w:val="2"/>
                <w:sz w:val="21"/>
                <w:szCs w:val="21"/>
                <w:highlight w:val="none"/>
              </w:rPr>
            </w:pPr>
            <w:r>
              <w:rPr>
                <w:rFonts w:hint="eastAsia"/>
                <w:color w:val="auto"/>
                <w:spacing w:val="12"/>
                <w:w w:val="99"/>
                <w:kern w:val="2"/>
                <w:sz w:val="21"/>
                <w:szCs w:val="21"/>
                <w:highlight w:val="none"/>
              </w:rPr>
              <w:t>《冷水机组能效限定值</w:t>
            </w:r>
            <w:r>
              <w:rPr>
                <w:rFonts w:hint="eastAsia"/>
                <w:color w:val="auto"/>
                <w:spacing w:val="9"/>
                <w:w w:val="99"/>
                <w:kern w:val="2"/>
                <w:sz w:val="21"/>
                <w:szCs w:val="21"/>
                <w:highlight w:val="none"/>
              </w:rPr>
              <w:t>及</w:t>
            </w:r>
            <w:r>
              <w:rPr>
                <w:rFonts w:hint="eastAsia"/>
                <w:color w:val="auto"/>
                <w:spacing w:val="12"/>
                <w:w w:val="99"/>
                <w:kern w:val="2"/>
                <w:sz w:val="21"/>
                <w:szCs w:val="21"/>
                <w:highlight w:val="none"/>
              </w:rPr>
              <w:t>能效</w:t>
            </w:r>
            <w:r>
              <w:rPr>
                <w:rFonts w:hint="eastAsia"/>
                <w:color w:val="auto"/>
                <w:w w:val="99"/>
                <w:kern w:val="2"/>
                <w:sz w:val="21"/>
                <w:szCs w:val="21"/>
                <w:highlight w:val="none"/>
              </w:rPr>
              <w:t>等级</w:t>
            </w:r>
            <w:r>
              <w:rPr>
                <w:rFonts w:hint="eastAsia"/>
                <w:color w:val="auto"/>
                <w:spacing w:val="-3"/>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195</w:t>
            </w:r>
            <w:r>
              <w:rPr>
                <w:rFonts w:hint="eastAsia"/>
                <w:color w:val="auto"/>
                <w:w w:val="99"/>
                <w:kern w:val="2"/>
                <w:sz w:val="21"/>
                <w:szCs w:val="21"/>
                <w:highlight w:val="none"/>
              </w:rPr>
              <w:t>77</w:t>
            </w:r>
            <w:r>
              <w:rPr>
                <w:rFonts w:hint="eastAsia"/>
                <w:color w:val="auto"/>
                <w:spacing w:val="-3"/>
                <w:w w:val="99"/>
                <w:kern w:val="2"/>
                <w:sz w:val="21"/>
                <w:szCs w:val="21"/>
                <w:highlight w:val="none"/>
              </w:rPr>
              <w:t>），</w:t>
            </w:r>
            <w:r>
              <w:rPr>
                <w:rFonts w:hint="eastAsia"/>
                <w:color w:val="auto"/>
                <w:w w:val="99"/>
                <w:kern w:val="2"/>
                <w:sz w:val="21"/>
                <w:szCs w:val="21"/>
                <w:highlight w:val="none"/>
              </w:rPr>
              <w:t>《低</w:t>
            </w:r>
            <w:r>
              <w:rPr>
                <w:rFonts w:hint="eastAsia"/>
                <w:color w:val="auto"/>
                <w:spacing w:val="2"/>
                <w:w w:val="99"/>
                <w:kern w:val="2"/>
                <w:sz w:val="21"/>
                <w:szCs w:val="21"/>
                <w:highlight w:val="none"/>
              </w:rPr>
              <w:t>环</w:t>
            </w:r>
            <w:r>
              <w:rPr>
                <w:rFonts w:hint="eastAsia"/>
                <w:color w:val="auto"/>
                <w:w w:val="99"/>
                <w:kern w:val="2"/>
                <w:sz w:val="21"/>
                <w:szCs w:val="21"/>
                <w:highlight w:val="none"/>
              </w:rPr>
              <w:t>境温度空气源</w:t>
            </w:r>
            <w:r>
              <w:rPr>
                <w:rFonts w:hint="eastAsia"/>
                <w:color w:val="auto"/>
                <w:spacing w:val="2"/>
                <w:w w:val="99"/>
                <w:kern w:val="2"/>
                <w:sz w:val="21"/>
                <w:szCs w:val="21"/>
                <w:highlight w:val="none"/>
              </w:rPr>
              <w:t>热</w:t>
            </w:r>
            <w:r>
              <w:rPr>
                <w:rFonts w:hint="eastAsia"/>
                <w:color w:val="auto"/>
                <w:spacing w:val="-29"/>
                <w:w w:val="99"/>
                <w:kern w:val="2"/>
                <w:sz w:val="21"/>
                <w:szCs w:val="21"/>
                <w:highlight w:val="none"/>
              </w:rPr>
              <w:t>泵</w:t>
            </w:r>
            <w:r>
              <w:rPr>
                <w:rFonts w:hint="eastAsia"/>
                <w:color w:val="auto"/>
                <w:spacing w:val="2"/>
                <w:w w:val="99"/>
                <w:kern w:val="2"/>
                <w:sz w:val="21"/>
                <w:szCs w:val="21"/>
                <w:highlight w:val="none"/>
              </w:rPr>
              <w:t>（</w:t>
            </w:r>
            <w:r>
              <w:rPr>
                <w:rFonts w:hint="eastAsia"/>
                <w:color w:val="auto"/>
                <w:w w:val="99"/>
                <w:kern w:val="2"/>
                <w:sz w:val="21"/>
                <w:szCs w:val="21"/>
                <w:highlight w:val="none"/>
              </w:rPr>
              <w:t>冷水</w:t>
            </w:r>
            <w:r>
              <w:rPr>
                <w:rFonts w:hint="eastAsia"/>
                <w:color w:val="auto"/>
                <w:spacing w:val="-27"/>
                <w:w w:val="99"/>
                <w:kern w:val="2"/>
                <w:sz w:val="21"/>
                <w:szCs w:val="21"/>
                <w:highlight w:val="none"/>
              </w:rPr>
              <w:t>）</w:t>
            </w:r>
            <w:r>
              <w:rPr>
                <w:rFonts w:hint="eastAsia"/>
                <w:color w:val="auto"/>
                <w:w w:val="99"/>
                <w:kern w:val="2"/>
                <w:sz w:val="21"/>
                <w:szCs w:val="21"/>
                <w:highlight w:val="none"/>
              </w:rPr>
              <w:t>机组</w:t>
            </w:r>
            <w:r>
              <w:rPr>
                <w:rFonts w:hint="eastAsia"/>
                <w:color w:val="auto"/>
                <w:spacing w:val="2"/>
                <w:w w:val="99"/>
                <w:kern w:val="2"/>
                <w:sz w:val="21"/>
                <w:szCs w:val="21"/>
                <w:highlight w:val="none"/>
              </w:rPr>
              <w:t>能</w:t>
            </w:r>
            <w:r>
              <w:rPr>
                <w:rFonts w:hint="eastAsia"/>
                <w:color w:val="auto"/>
                <w:w w:val="99"/>
                <w:kern w:val="2"/>
                <w:sz w:val="21"/>
                <w:szCs w:val="21"/>
                <w:highlight w:val="none"/>
              </w:rPr>
              <w:t>效限定值及能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37</w:t>
            </w:r>
            <w:r>
              <w:rPr>
                <w:rFonts w:hint="eastAsia"/>
                <w:color w:val="auto"/>
                <w:w w:val="99"/>
                <w:kern w:val="2"/>
                <w:sz w:val="21"/>
                <w:szCs w:val="21"/>
                <w:highlight w:val="none"/>
              </w:rPr>
              <w:t>48</w:t>
            </w:r>
            <w:r>
              <w:rPr>
                <w:rFonts w:hint="eastAsia"/>
                <w:color w:val="auto"/>
                <w:spacing w:val="-2"/>
                <w:w w:val="99"/>
                <w:kern w:val="2"/>
                <w:sz w:val="21"/>
                <w:szCs w:val="21"/>
                <w:highlight w:val="none"/>
              </w:rPr>
              <w:t>0</w:t>
            </w:r>
            <w:r>
              <w:rPr>
                <w:rFonts w:hint="eastAsia"/>
                <w:color w:val="auto"/>
                <w:w w:val="99"/>
                <w:kern w:val="2"/>
                <w:sz w:val="21"/>
                <w:szCs w:val="21"/>
                <w:highlight w:val="none"/>
              </w:rPr>
              <w:t>）</w:t>
            </w:r>
          </w:p>
        </w:tc>
      </w:tr>
      <w:tr w14:paraId="4B5A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2FEE0B">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CF02A9">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B71CDF">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D145AE2">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31398">
            <w:pPr>
              <w:pStyle w:val="74"/>
              <w:spacing w:before="93"/>
              <w:ind w:left="7"/>
              <w:rPr>
                <w:color w:val="auto"/>
                <w:w w:val="99"/>
                <w:kern w:val="2"/>
                <w:sz w:val="21"/>
                <w:szCs w:val="21"/>
                <w:highlight w:val="none"/>
              </w:rPr>
            </w:pPr>
            <w:r>
              <w:rPr>
                <w:rFonts w:hint="eastAsia"/>
                <w:color w:val="auto"/>
                <w:w w:val="99"/>
                <w:kern w:val="2"/>
                <w:sz w:val="21"/>
                <w:szCs w:val="21"/>
                <w:highlight w:val="none"/>
              </w:rPr>
              <w:t>《溴化锂吸收式冷水机组能效限</w:t>
            </w:r>
          </w:p>
          <w:p w14:paraId="103CC670">
            <w:pPr>
              <w:ind w:firstLine="413"/>
              <w:rPr>
                <w:rFonts w:hAnsi="宋体"/>
                <w:color w:val="auto"/>
                <w:highlight w:val="none"/>
              </w:rPr>
            </w:pPr>
            <w:r>
              <w:rPr>
                <w:rFonts w:hint="eastAsia" w:hAnsi="宋体" w:cs="宋体"/>
                <w:color w:val="auto"/>
                <w:w w:val="99"/>
                <w:highlight w:val="none"/>
              </w:rPr>
              <w:t>定值及能效等级》（GB29540）</w:t>
            </w:r>
          </w:p>
        </w:tc>
      </w:tr>
      <w:tr w14:paraId="5A02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336EC4">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B6A643">
            <w:pPr>
              <w:pStyle w:val="74"/>
              <w:spacing w:line="276" w:lineRule="auto"/>
              <w:ind w:right="5"/>
              <w:jc w:val="center"/>
              <w:rPr>
                <w:rFonts w:hint="eastAsia"/>
                <w:color w:val="auto"/>
                <w:w w:val="99"/>
                <w:kern w:val="2"/>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1EF410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4F474ED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1921A4D8">
            <w:pPr>
              <w:pStyle w:val="74"/>
              <w:spacing w:before="160" w:line="276" w:lineRule="auto"/>
              <w:ind w:left="7" w:right="7"/>
              <w:rPr>
                <w:color w:val="auto"/>
                <w:kern w:val="2"/>
                <w:sz w:val="21"/>
                <w:szCs w:val="21"/>
                <w:highlight w:val="none"/>
              </w:rPr>
            </w:pPr>
            <w:r>
              <w:rPr>
                <w:rFonts w:hint="eastAsia"/>
                <w:color w:val="auto"/>
                <w:w w:val="99"/>
                <w:kern w:val="2"/>
                <w:sz w:val="21"/>
                <w:szCs w:val="21"/>
                <w:highlight w:val="none"/>
              </w:rPr>
              <w:t>《多联式空调（热泵）机组能效限定值及能源效率等级》（GB21454）</w:t>
            </w:r>
          </w:p>
        </w:tc>
      </w:tr>
      <w:tr w14:paraId="6D64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107765">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2F7C2C">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C79BFA">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9EB8735">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5D081B50">
            <w:pPr>
              <w:ind w:firstLine="413"/>
              <w:rPr>
                <w:rFonts w:hAnsi="宋体"/>
                <w:color w:val="auto"/>
                <w:highlight w:val="none"/>
              </w:rPr>
            </w:pPr>
            <w:r>
              <w:rPr>
                <w:rFonts w:hint="eastAsia" w:hAnsi="宋体" w:cs="宋体"/>
                <w:color w:val="auto"/>
                <w:w w:val="99"/>
                <w:highlight w:val="none"/>
              </w:rPr>
              <w:t>《单元式空气调节机能效限定值及能效等级》（GB19576）《风管送风式空调机组能效限定值及能效等级》（GB37479）</w:t>
            </w:r>
          </w:p>
        </w:tc>
      </w:tr>
      <w:tr w14:paraId="3F3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462863">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3D48B5">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DAA5DD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32B9FD45">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tcPr>
          <w:p w14:paraId="0D2402FB">
            <w:pPr>
              <w:pStyle w:val="74"/>
              <w:spacing w:before="83"/>
              <w:ind w:left="7"/>
              <w:rPr>
                <w:color w:val="auto"/>
                <w:w w:val="99"/>
                <w:kern w:val="2"/>
                <w:sz w:val="21"/>
                <w:szCs w:val="21"/>
                <w:highlight w:val="none"/>
              </w:rPr>
            </w:pPr>
            <w:r>
              <w:rPr>
                <w:rFonts w:hint="eastAsia"/>
                <w:color w:val="auto"/>
                <w:w w:val="99"/>
                <w:kern w:val="2"/>
                <w:sz w:val="21"/>
                <w:szCs w:val="21"/>
                <w:highlight w:val="none"/>
              </w:rPr>
              <w:t>《单元式空气调节机能效限定值</w:t>
            </w:r>
          </w:p>
          <w:p w14:paraId="16233433">
            <w:pPr>
              <w:pStyle w:val="74"/>
              <w:spacing w:before="83"/>
              <w:ind w:left="7"/>
              <w:rPr>
                <w:color w:val="auto"/>
                <w:kern w:val="2"/>
                <w:sz w:val="21"/>
                <w:szCs w:val="21"/>
                <w:highlight w:val="none"/>
              </w:rPr>
            </w:pPr>
            <w:r>
              <w:rPr>
                <w:rFonts w:hint="eastAsia"/>
                <w:color w:val="auto"/>
                <w:w w:val="99"/>
                <w:kern w:val="2"/>
                <w:sz w:val="21"/>
                <w:szCs w:val="21"/>
                <w:highlight w:val="none"/>
              </w:rPr>
              <w:t>及能效等级》（GB19576）</w:t>
            </w:r>
          </w:p>
        </w:tc>
      </w:tr>
      <w:tr w14:paraId="62CA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A63FBE">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CA069B">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1B69D8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A02052399其他制冷</w:t>
            </w:r>
          </w:p>
          <w:p w14:paraId="6DCB84B4">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F0B6489">
            <w:pPr>
              <w:pStyle w:val="74"/>
              <w:spacing w:line="276" w:lineRule="auto"/>
              <w:ind w:right="5"/>
              <w:jc w:val="center"/>
              <w:rPr>
                <w:rFonts w:hint="eastAsia"/>
                <w:color w:val="auto"/>
                <w:w w:val="99"/>
                <w:kern w:val="2"/>
                <w:sz w:val="21"/>
                <w:szCs w:val="21"/>
                <w:highlight w:val="none"/>
                <w:lang w:eastAsia="en-US"/>
              </w:rPr>
            </w:pPr>
            <w:r>
              <w:rPr>
                <w:rFonts w:hint="eastAsia"/>
                <w:color w:val="auto"/>
                <w:w w:val="99"/>
                <w:kern w:val="2"/>
                <w:sz w:val="21"/>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tcPr>
          <w:p w14:paraId="7AA9DCC4">
            <w:pPr>
              <w:pStyle w:val="74"/>
              <w:spacing w:line="254" w:lineRule="exact"/>
              <w:ind w:left="7"/>
              <w:rPr>
                <w:color w:val="auto"/>
                <w:w w:val="99"/>
                <w:kern w:val="2"/>
                <w:sz w:val="21"/>
                <w:szCs w:val="21"/>
                <w:highlight w:val="none"/>
              </w:rPr>
            </w:pPr>
            <w:r>
              <w:rPr>
                <w:rFonts w:hint="eastAsia"/>
                <w:color w:val="auto"/>
                <w:w w:val="99"/>
                <w:kern w:val="2"/>
                <w:sz w:val="21"/>
                <w:szCs w:val="21"/>
                <w:highlight w:val="none"/>
              </w:rPr>
              <w:t>《机械通风冷却塔第1部分：中小型开式冷却塔》（GB/T7190.1）</w:t>
            </w:r>
          </w:p>
          <w:p w14:paraId="27E354A5">
            <w:pPr>
              <w:pStyle w:val="74"/>
              <w:spacing w:line="254" w:lineRule="exact"/>
              <w:ind w:left="7"/>
              <w:rPr>
                <w:color w:val="auto"/>
                <w:kern w:val="2"/>
                <w:sz w:val="21"/>
                <w:szCs w:val="21"/>
                <w:highlight w:val="none"/>
              </w:rPr>
            </w:pPr>
            <w:r>
              <w:rPr>
                <w:rFonts w:hint="eastAsia"/>
                <w:color w:val="auto"/>
                <w:w w:val="99"/>
                <w:kern w:val="2"/>
                <w:sz w:val="21"/>
                <w:szCs w:val="21"/>
                <w:highlight w:val="none"/>
              </w:rPr>
              <w:t>《机械通风冷却塔第2部分：大型开式冷却塔》（GB/T7190.2）</w:t>
            </w:r>
          </w:p>
        </w:tc>
      </w:tr>
      <w:tr w14:paraId="38C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A5F1163">
            <w:pPr>
              <w:pStyle w:val="74"/>
              <w:ind w:right="1"/>
              <w:jc w:val="center"/>
              <w:rPr>
                <w:color w:val="auto"/>
                <w:kern w:val="2"/>
                <w:sz w:val="21"/>
                <w:szCs w:val="21"/>
                <w:highlight w:val="none"/>
              </w:rPr>
            </w:pPr>
            <w:r>
              <w:rPr>
                <w:rFonts w:hint="eastAsia"/>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345ACE7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A02060100电机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579E8B6">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86AA1C9">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87A086E">
            <w:pPr>
              <w:pStyle w:val="74"/>
              <w:spacing w:before="52" w:line="276" w:lineRule="auto"/>
              <w:ind w:left="7" w:right="4"/>
              <w:rPr>
                <w:color w:val="auto"/>
                <w:kern w:val="2"/>
                <w:sz w:val="21"/>
                <w:szCs w:val="21"/>
                <w:highlight w:val="none"/>
              </w:rPr>
            </w:pPr>
            <w:r>
              <w:rPr>
                <w:rFonts w:hint="eastAsia"/>
                <w:color w:val="auto"/>
                <w:w w:val="99"/>
                <w:kern w:val="2"/>
                <w:sz w:val="21"/>
                <w:szCs w:val="21"/>
                <w:highlight w:val="none"/>
              </w:rPr>
              <w:t>《中小型三相异步电动机能效限定值及能效等级》（GB18613）</w:t>
            </w:r>
          </w:p>
        </w:tc>
      </w:tr>
      <w:tr w14:paraId="6C32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336716B">
            <w:pPr>
              <w:pStyle w:val="74"/>
              <w:ind w:right="1"/>
              <w:jc w:val="center"/>
              <w:rPr>
                <w:color w:val="auto"/>
                <w:kern w:val="2"/>
                <w:sz w:val="21"/>
                <w:szCs w:val="21"/>
                <w:highlight w:val="none"/>
              </w:rPr>
            </w:pPr>
            <w:r>
              <w:rPr>
                <w:rFonts w:hint="eastAsia"/>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4723F55B">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A02060200变压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53BCC7B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8E52244">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0BE8958">
            <w:pPr>
              <w:pStyle w:val="74"/>
              <w:spacing w:before="30"/>
              <w:ind w:left="7"/>
              <w:rPr>
                <w:color w:val="auto"/>
                <w:kern w:val="2"/>
                <w:sz w:val="21"/>
                <w:szCs w:val="21"/>
                <w:highlight w:val="none"/>
              </w:rPr>
            </w:pPr>
            <w:r>
              <w:rPr>
                <w:rFonts w:hint="eastAsia"/>
                <w:color w:val="auto"/>
                <w:w w:val="99"/>
                <w:kern w:val="2"/>
                <w:sz w:val="21"/>
                <w:szCs w:val="21"/>
                <w:highlight w:val="none"/>
              </w:rPr>
              <w:t>《三相配电变压器能效限定值及</w:t>
            </w:r>
          </w:p>
        </w:tc>
      </w:tr>
      <w:tr w14:paraId="5B99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4C2C4A8">
            <w:pPr>
              <w:pStyle w:val="74"/>
              <w:ind w:right="1"/>
              <w:jc w:val="center"/>
              <w:rPr>
                <w:color w:val="auto"/>
                <w:kern w:val="2"/>
                <w:sz w:val="21"/>
                <w:szCs w:val="21"/>
                <w:highlight w:val="none"/>
              </w:rPr>
            </w:pPr>
            <w:r>
              <w:rPr>
                <w:rFonts w:hint="eastAsia"/>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6E74AB5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5C496C4">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8B6B7AD">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2D4CADF">
            <w:pPr>
              <w:pStyle w:val="74"/>
              <w:spacing w:before="126"/>
              <w:ind w:left="7"/>
              <w:rPr>
                <w:color w:val="auto"/>
                <w:kern w:val="2"/>
                <w:sz w:val="21"/>
                <w:szCs w:val="21"/>
                <w:highlight w:val="none"/>
              </w:rPr>
            </w:pPr>
            <w:r>
              <w:rPr>
                <w:rFonts w:hint="eastAsia"/>
                <w:color w:val="auto"/>
                <w:w w:val="99"/>
                <w:kern w:val="2"/>
                <w:sz w:val="21"/>
                <w:szCs w:val="21"/>
                <w:highlight w:val="none"/>
              </w:rPr>
              <w:t>《管形荧光灯镇流器能效限定值及能效等级》（GB17896）</w:t>
            </w:r>
          </w:p>
        </w:tc>
      </w:tr>
      <w:tr w14:paraId="790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76BF0C8">
            <w:pPr>
              <w:pStyle w:val="74"/>
              <w:jc w:val="center"/>
              <w:rPr>
                <w:color w:val="auto"/>
                <w:kern w:val="2"/>
                <w:sz w:val="21"/>
                <w:szCs w:val="21"/>
                <w:highlight w:val="none"/>
              </w:rPr>
            </w:pPr>
            <w:r>
              <w:rPr>
                <w:rFonts w:hint="eastAsia"/>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C15E72C">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9A56FEB">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53C177A5">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E546598">
            <w:pPr>
              <w:pStyle w:val="74"/>
              <w:spacing w:before="126"/>
              <w:ind w:left="7"/>
              <w:rPr>
                <w:color w:val="auto"/>
                <w:w w:val="99"/>
                <w:kern w:val="2"/>
                <w:sz w:val="21"/>
                <w:szCs w:val="21"/>
                <w:highlight w:val="none"/>
              </w:rPr>
            </w:pPr>
            <w:r>
              <w:rPr>
                <w:rFonts w:hint="eastAsia"/>
                <w:color w:val="auto"/>
                <w:w w:val="99"/>
                <w:kern w:val="2"/>
                <w:sz w:val="21"/>
                <w:szCs w:val="21"/>
                <w:highlight w:val="none"/>
              </w:rPr>
              <w:t>《家用电冰箱耗电量限定值及能效等级》（GB12021.2）</w:t>
            </w:r>
          </w:p>
        </w:tc>
      </w:tr>
      <w:tr w14:paraId="007F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64861B">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ED62E9">
            <w:pPr>
              <w:pStyle w:val="74"/>
              <w:spacing w:line="276" w:lineRule="auto"/>
              <w:ind w:right="5"/>
              <w:jc w:val="center"/>
              <w:rPr>
                <w:rFonts w:hint="eastAsia"/>
                <w:color w:val="auto"/>
                <w:w w:val="99"/>
                <w:kern w:val="2"/>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7856F62">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★A02061804空调机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A13AE0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43299E18">
            <w:pPr>
              <w:pStyle w:val="74"/>
              <w:spacing w:line="256" w:lineRule="exact"/>
              <w:ind w:left="7"/>
              <w:rPr>
                <w:color w:val="auto"/>
                <w:kern w:val="2"/>
                <w:sz w:val="21"/>
                <w:szCs w:val="21"/>
                <w:highlight w:val="none"/>
              </w:rPr>
            </w:pPr>
            <w:r>
              <w:rPr>
                <w:rFonts w:hint="eastAsia"/>
                <w:color w:val="auto"/>
                <w:w w:val="99"/>
                <w:kern w:val="2"/>
                <w:sz w:val="21"/>
                <w:szCs w:val="21"/>
                <w:highlight w:val="none"/>
              </w:rPr>
              <w:t>《房间空气调节器能效限定值及能效等级》（GB21455-2019）</w:t>
            </w:r>
          </w:p>
        </w:tc>
      </w:tr>
      <w:tr w14:paraId="7745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155B92">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0C780A">
            <w:pPr>
              <w:pStyle w:val="74"/>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806399">
            <w:pPr>
              <w:pStyle w:val="74"/>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EF9BB0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35CD0A10">
            <w:pPr>
              <w:pStyle w:val="74"/>
              <w:spacing w:before="160" w:line="276" w:lineRule="auto"/>
              <w:ind w:left="7" w:right="7"/>
              <w:rPr>
                <w:color w:val="auto"/>
                <w:kern w:val="2"/>
                <w:sz w:val="21"/>
                <w:szCs w:val="21"/>
                <w:highlight w:val="none"/>
              </w:rPr>
            </w:pPr>
            <w:r>
              <w:rPr>
                <w:rFonts w:hint="eastAsia"/>
                <w:color w:val="auto"/>
                <w:w w:val="99"/>
                <w:kern w:val="2"/>
                <w:sz w:val="21"/>
                <w:szCs w:val="21"/>
                <w:highlight w:val="none"/>
              </w:rPr>
              <w:t>《多联式空调（热泵）机组能效限定值及能源效率等级》（GB21454）</w:t>
            </w:r>
          </w:p>
        </w:tc>
      </w:tr>
      <w:tr w14:paraId="2B6E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E3B47D">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005FC5">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7E4A90">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D51D8C3">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17DA4B52">
            <w:pPr>
              <w:pStyle w:val="74"/>
              <w:spacing w:before="4"/>
              <w:ind w:left="7"/>
              <w:rPr>
                <w:color w:val="auto"/>
                <w:kern w:val="2"/>
                <w:sz w:val="21"/>
                <w:szCs w:val="21"/>
                <w:highlight w:val="none"/>
              </w:rPr>
            </w:pPr>
            <w:r>
              <w:rPr>
                <w:rFonts w:hint="eastAsia"/>
                <w:color w:val="auto"/>
                <w:w w:val="99"/>
                <w:kern w:val="2"/>
                <w:sz w:val="21"/>
                <w:szCs w:val="21"/>
                <w:highlight w:val="none"/>
              </w:rPr>
              <w:t>《单元式空气调节机能效限定值及能源效率等级》（GB19576）《风管送风式空调机组能效限定值及能效等级》（GB37479）</w:t>
            </w:r>
          </w:p>
        </w:tc>
      </w:tr>
      <w:tr w14:paraId="1C2F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5EDB35">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34CBDF">
            <w:pPr>
              <w:ind w:firstLine="420"/>
              <w:rPr>
                <w:rFonts w:hAnsi="宋体" w:cs="宋体"/>
                <w:color w:val="auto"/>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BC486A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A02061810洗衣机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CF6A8EA">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70A92D96">
            <w:pPr>
              <w:pStyle w:val="74"/>
              <w:spacing w:before="6" w:line="276" w:lineRule="auto"/>
              <w:ind w:left="7" w:right="4"/>
              <w:rPr>
                <w:color w:val="auto"/>
                <w:kern w:val="2"/>
                <w:sz w:val="21"/>
                <w:szCs w:val="21"/>
                <w:highlight w:val="none"/>
              </w:rPr>
            </w:pPr>
            <w:r>
              <w:rPr>
                <w:rFonts w:hint="eastAsia"/>
                <w:color w:val="auto"/>
                <w:w w:val="99"/>
                <w:kern w:val="2"/>
                <w:sz w:val="21"/>
                <w:szCs w:val="21"/>
                <w:highlight w:val="none"/>
              </w:rPr>
              <w:t>《电动洗衣机能效水效限定值及等级》（GB12021.4）</w:t>
            </w:r>
          </w:p>
        </w:tc>
      </w:tr>
      <w:tr w14:paraId="099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8D5F20">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74F066">
            <w:pPr>
              <w:ind w:firstLine="420"/>
              <w:rPr>
                <w:rFonts w:hAnsi="宋体" w:cs="宋体"/>
                <w:color w:val="auto"/>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A76F49C">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A02061819热水器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5D304DA">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★电热水器</w:t>
            </w:r>
          </w:p>
        </w:tc>
        <w:tc>
          <w:tcPr>
            <w:tcW w:w="3566" w:type="dxa"/>
            <w:tcBorders>
              <w:top w:val="single" w:color="000000" w:sz="4" w:space="0"/>
              <w:left w:val="single" w:color="000000" w:sz="4" w:space="0"/>
              <w:bottom w:val="single" w:color="000000" w:sz="4" w:space="0"/>
              <w:right w:val="single" w:color="000000" w:sz="4" w:space="0"/>
            </w:tcBorders>
          </w:tcPr>
          <w:p w14:paraId="66097244">
            <w:pPr>
              <w:pStyle w:val="74"/>
              <w:tabs>
                <w:tab w:val="left" w:pos="1608"/>
              </w:tabs>
              <w:spacing w:before="52" w:line="276" w:lineRule="auto"/>
              <w:ind w:left="7" w:right="4"/>
              <w:rPr>
                <w:color w:val="auto"/>
                <w:kern w:val="2"/>
                <w:sz w:val="21"/>
                <w:szCs w:val="21"/>
                <w:highlight w:val="none"/>
              </w:rPr>
            </w:pPr>
            <w:r>
              <w:rPr>
                <w:rFonts w:hint="eastAsia"/>
                <w:color w:val="auto"/>
                <w:spacing w:val="12"/>
                <w:w w:val="99"/>
                <w:kern w:val="2"/>
                <w:sz w:val="21"/>
                <w:szCs w:val="21"/>
                <w:highlight w:val="none"/>
              </w:rPr>
              <w:t>《储水式电热水器能效</w:t>
            </w:r>
            <w:r>
              <w:rPr>
                <w:rFonts w:hint="eastAsia"/>
                <w:color w:val="auto"/>
                <w:spacing w:val="9"/>
                <w:w w:val="99"/>
                <w:kern w:val="2"/>
                <w:sz w:val="21"/>
                <w:szCs w:val="21"/>
                <w:highlight w:val="none"/>
              </w:rPr>
              <w:t>限</w:t>
            </w:r>
            <w:r>
              <w:rPr>
                <w:rFonts w:hint="eastAsia"/>
                <w:color w:val="auto"/>
                <w:spacing w:val="12"/>
                <w:w w:val="99"/>
                <w:kern w:val="2"/>
                <w:sz w:val="21"/>
                <w:szCs w:val="21"/>
                <w:highlight w:val="none"/>
              </w:rPr>
              <w:t>定值</w:t>
            </w:r>
            <w:r>
              <w:rPr>
                <w:rFonts w:hint="eastAsia"/>
                <w:color w:val="auto"/>
                <w:w w:val="99"/>
                <w:kern w:val="2"/>
                <w:sz w:val="21"/>
                <w:szCs w:val="21"/>
                <w:highlight w:val="none"/>
              </w:rPr>
              <w:t>及能效等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51</w:t>
            </w:r>
            <w:r>
              <w:rPr>
                <w:rFonts w:hint="eastAsia"/>
                <w:color w:val="auto"/>
                <w:spacing w:val="1"/>
                <w:w w:val="99"/>
                <w:kern w:val="2"/>
                <w:sz w:val="21"/>
                <w:szCs w:val="21"/>
                <w:highlight w:val="none"/>
              </w:rPr>
              <w:t>9</w:t>
            </w:r>
            <w:r>
              <w:rPr>
                <w:rFonts w:hint="eastAsia"/>
                <w:color w:val="auto"/>
                <w:w w:val="99"/>
                <w:kern w:val="2"/>
                <w:sz w:val="21"/>
                <w:szCs w:val="21"/>
                <w:highlight w:val="none"/>
              </w:rPr>
              <w:t>）</w:t>
            </w:r>
          </w:p>
        </w:tc>
      </w:tr>
      <w:tr w14:paraId="35BF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5D4CD2">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A36ED7">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1D146F">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0A6B4E9">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燃气热水器</w:t>
            </w:r>
          </w:p>
        </w:tc>
        <w:tc>
          <w:tcPr>
            <w:tcW w:w="3566" w:type="dxa"/>
            <w:tcBorders>
              <w:top w:val="single" w:color="000000" w:sz="4" w:space="0"/>
              <w:left w:val="single" w:color="000000" w:sz="4" w:space="0"/>
              <w:bottom w:val="single" w:color="000000" w:sz="4" w:space="0"/>
              <w:right w:val="single" w:color="000000" w:sz="4" w:space="0"/>
            </w:tcBorders>
          </w:tcPr>
          <w:p w14:paraId="21A9BE7B">
            <w:pPr>
              <w:pStyle w:val="74"/>
              <w:spacing w:before="4" w:line="276" w:lineRule="auto"/>
              <w:ind w:left="7" w:right="4"/>
              <w:rPr>
                <w:color w:val="auto"/>
                <w:kern w:val="2"/>
                <w:sz w:val="21"/>
                <w:szCs w:val="21"/>
                <w:highlight w:val="none"/>
              </w:rPr>
            </w:pPr>
            <w:r>
              <w:rPr>
                <w:rFonts w:hint="eastAsia"/>
                <w:color w:val="auto"/>
                <w:spacing w:val="12"/>
                <w:w w:val="99"/>
                <w:kern w:val="2"/>
                <w:sz w:val="21"/>
                <w:szCs w:val="21"/>
                <w:highlight w:val="none"/>
              </w:rPr>
              <w:t>《家用燃气快速热水器</w:t>
            </w:r>
            <w:r>
              <w:rPr>
                <w:rFonts w:hint="eastAsia"/>
                <w:color w:val="auto"/>
                <w:spacing w:val="9"/>
                <w:w w:val="99"/>
                <w:kern w:val="2"/>
                <w:sz w:val="21"/>
                <w:szCs w:val="21"/>
                <w:highlight w:val="none"/>
              </w:rPr>
              <w:t>和</w:t>
            </w:r>
            <w:r>
              <w:rPr>
                <w:rFonts w:hint="eastAsia"/>
                <w:color w:val="auto"/>
                <w:spacing w:val="12"/>
                <w:w w:val="99"/>
                <w:kern w:val="2"/>
                <w:sz w:val="21"/>
                <w:szCs w:val="21"/>
                <w:highlight w:val="none"/>
              </w:rPr>
              <w:t>燃气</w:t>
            </w:r>
            <w:r>
              <w:rPr>
                <w:rFonts w:hint="eastAsia"/>
                <w:color w:val="auto"/>
                <w:w w:val="99"/>
                <w:kern w:val="2"/>
                <w:sz w:val="21"/>
                <w:szCs w:val="21"/>
                <w:highlight w:val="none"/>
              </w:rPr>
              <w:t>采暖热水</w:t>
            </w:r>
            <w:r>
              <w:rPr>
                <w:rFonts w:hint="eastAsia"/>
                <w:color w:val="auto"/>
                <w:spacing w:val="2"/>
                <w:w w:val="99"/>
                <w:kern w:val="2"/>
                <w:sz w:val="21"/>
                <w:szCs w:val="21"/>
                <w:highlight w:val="none"/>
              </w:rPr>
              <w:t>炉</w:t>
            </w:r>
            <w:r>
              <w:rPr>
                <w:rFonts w:hint="eastAsia"/>
                <w:color w:val="auto"/>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w:t>
            </w:r>
            <w:r>
              <w:rPr>
                <w:rFonts w:hint="eastAsia"/>
                <w:color w:val="auto"/>
                <w:spacing w:val="2"/>
                <w:w w:val="99"/>
                <w:kern w:val="2"/>
                <w:sz w:val="21"/>
                <w:szCs w:val="21"/>
                <w:highlight w:val="none"/>
              </w:rPr>
              <w:t>及</w:t>
            </w:r>
            <w:r>
              <w:rPr>
                <w:rFonts w:hint="eastAsia"/>
                <w:color w:val="auto"/>
                <w:w w:val="99"/>
                <w:kern w:val="2"/>
                <w:sz w:val="21"/>
                <w:szCs w:val="21"/>
                <w:highlight w:val="none"/>
              </w:rPr>
              <w:t>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w:t>
            </w:r>
            <w:r>
              <w:rPr>
                <w:rFonts w:hint="eastAsia"/>
                <w:color w:val="auto"/>
                <w:w w:val="99"/>
                <w:kern w:val="2"/>
                <w:sz w:val="21"/>
                <w:szCs w:val="21"/>
                <w:highlight w:val="none"/>
              </w:rPr>
              <w:t>06</w:t>
            </w:r>
            <w:r>
              <w:rPr>
                <w:rFonts w:hint="eastAsia"/>
                <w:color w:val="auto"/>
                <w:spacing w:val="1"/>
                <w:w w:val="99"/>
                <w:kern w:val="2"/>
                <w:sz w:val="21"/>
                <w:szCs w:val="21"/>
                <w:highlight w:val="none"/>
              </w:rPr>
              <w:t>65</w:t>
            </w:r>
            <w:r>
              <w:rPr>
                <w:rFonts w:hint="eastAsia"/>
                <w:color w:val="auto"/>
                <w:w w:val="99"/>
                <w:kern w:val="2"/>
                <w:sz w:val="21"/>
                <w:szCs w:val="21"/>
                <w:highlight w:val="none"/>
              </w:rPr>
              <w:t>）</w:t>
            </w:r>
          </w:p>
        </w:tc>
      </w:tr>
      <w:tr w14:paraId="51ED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7957B0">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07B5D">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3191B4">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F5A995">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热泵热水器</w:t>
            </w:r>
          </w:p>
        </w:tc>
        <w:tc>
          <w:tcPr>
            <w:tcW w:w="3566" w:type="dxa"/>
            <w:tcBorders>
              <w:top w:val="single" w:color="000000" w:sz="4" w:space="0"/>
              <w:left w:val="single" w:color="000000" w:sz="4" w:space="0"/>
              <w:bottom w:val="single" w:color="000000" w:sz="4" w:space="0"/>
              <w:right w:val="single" w:color="000000" w:sz="4" w:space="0"/>
            </w:tcBorders>
          </w:tcPr>
          <w:p w14:paraId="7354F3FC">
            <w:pPr>
              <w:pStyle w:val="74"/>
              <w:spacing w:before="93" w:line="276" w:lineRule="auto"/>
              <w:ind w:left="7" w:right="7"/>
              <w:rPr>
                <w:color w:val="auto"/>
                <w:kern w:val="2"/>
                <w:sz w:val="21"/>
                <w:szCs w:val="21"/>
                <w:highlight w:val="none"/>
              </w:rPr>
            </w:pPr>
            <w:r>
              <w:rPr>
                <w:rFonts w:hint="eastAsia"/>
                <w:color w:val="auto"/>
                <w:w w:val="99"/>
                <w:kern w:val="2"/>
                <w:sz w:val="21"/>
                <w:szCs w:val="21"/>
                <w:highlight w:val="none"/>
              </w:rPr>
              <w:t>《热泵</w:t>
            </w:r>
            <w:r>
              <w:rPr>
                <w:rFonts w:hint="eastAsia"/>
                <w:color w:val="auto"/>
                <w:spacing w:val="2"/>
                <w:w w:val="99"/>
                <w:kern w:val="2"/>
                <w:sz w:val="21"/>
                <w:szCs w:val="21"/>
                <w:highlight w:val="none"/>
              </w:rPr>
              <w:t>热</w:t>
            </w:r>
            <w:r>
              <w:rPr>
                <w:rFonts w:hint="eastAsia"/>
                <w:color w:val="auto"/>
                <w:w w:val="99"/>
                <w:kern w:val="2"/>
                <w:sz w:val="21"/>
                <w:szCs w:val="21"/>
                <w:highlight w:val="none"/>
              </w:rPr>
              <w:t>水</w:t>
            </w:r>
            <w:r>
              <w:rPr>
                <w:rFonts w:hint="eastAsia"/>
                <w:color w:val="auto"/>
                <w:spacing w:val="-27"/>
                <w:w w:val="99"/>
                <w:kern w:val="2"/>
                <w:sz w:val="21"/>
                <w:szCs w:val="21"/>
                <w:highlight w:val="none"/>
              </w:rPr>
              <w:t>机</w:t>
            </w:r>
            <w:r>
              <w:rPr>
                <w:rFonts w:hint="eastAsia"/>
                <w:color w:val="auto"/>
                <w:w w:val="99"/>
                <w:kern w:val="2"/>
                <w:sz w:val="21"/>
                <w:szCs w:val="21"/>
                <w:highlight w:val="none"/>
              </w:rPr>
              <w:t>（器</w:t>
            </w:r>
            <w:r>
              <w:rPr>
                <w:rFonts w:hint="eastAsia"/>
                <w:color w:val="auto"/>
                <w:spacing w:val="-27"/>
                <w:w w:val="99"/>
                <w:kern w:val="2"/>
                <w:sz w:val="21"/>
                <w:szCs w:val="21"/>
                <w:highlight w:val="none"/>
              </w:rPr>
              <w:t>）</w:t>
            </w:r>
            <w:r>
              <w:rPr>
                <w:rFonts w:hint="eastAsia"/>
                <w:color w:val="auto"/>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295</w:t>
            </w:r>
            <w:r>
              <w:rPr>
                <w:rFonts w:hint="eastAsia"/>
                <w:color w:val="auto"/>
                <w:w w:val="99"/>
                <w:kern w:val="2"/>
                <w:sz w:val="21"/>
                <w:szCs w:val="21"/>
                <w:highlight w:val="none"/>
              </w:rPr>
              <w:t>4</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6F4E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63CE93">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1FEE0A">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6D069A">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E6B1F64">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太阳能热水系统</w:t>
            </w:r>
          </w:p>
        </w:tc>
        <w:tc>
          <w:tcPr>
            <w:tcW w:w="3566" w:type="dxa"/>
            <w:tcBorders>
              <w:top w:val="single" w:color="000000" w:sz="4" w:space="0"/>
              <w:left w:val="single" w:color="000000" w:sz="4" w:space="0"/>
              <w:bottom w:val="single" w:color="000000" w:sz="4" w:space="0"/>
              <w:right w:val="single" w:color="000000" w:sz="4" w:space="0"/>
            </w:tcBorders>
          </w:tcPr>
          <w:p w14:paraId="3A801898">
            <w:pPr>
              <w:pStyle w:val="74"/>
              <w:spacing w:before="52" w:line="276" w:lineRule="auto"/>
              <w:ind w:left="7" w:right="4"/>
              <w:rPr>
                <w:color w:val="auto"/>
                <w:kern w:val="2"/>
                <w:sz w:val="21"/>
                <w:szCs w:val="21"/>
                <w:highlight w:val="none"/>
              </w:rPr>
            </w:pPr>
            <w:r>
              <w:rPr>
                <w:rFonts w:hint="eastAsia"/>
                <w:color w:val="auto"/>
                <w:spacing w:val="12"/>
                <w:w w:val="99"/>
                <w:kern w:val="2"/>
                <w:sz w:val="21"/>
                <w:szCs w:val="21"/>
                <w:highlight w:val="none"/>
              </w:rPr>
              <w:t>《家用太阳能热水系统</w:t>
            </w:r>
            <w:r>
              <w:rPr>
                <w:rFonts w:hint="eastAsia"/>
                <w:color w:val="auto"/>
                <w:spacing w:val="9"/>
                <w:w w:val="99"/>
                <w:kern w:val="2"/>
                <w:sz w:val="21"/>
                <w:szCs w:val="21"/>
                <w:highlight w:val="none"/>
              </w:rPr>
              <w:t>能</w:t>
            </w:r>
            <w:r>
              <w:rPr>
                <w:rFonts w:hint="eastAsia"/>
                <w:color w:val="auto"/>
                <w:spacing w:val="12"/>
                <w:w w:val="99"/>
                <w:kern w:val="2"/>
                <w:sz w:val="21"/>
                <w:szCs w:val="21"/>
                <w:highlight w:val="none"/>
              </w:rPr>
              <w:t>效限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26</w:t>
            </w:r>
            <w:r>
              <w:rPr>
                <w:rFonts w:hint="eastAsia"/>
                <w:color w:val="auto"/>
                <w:w w:val="99"/>
                <w:kern w:val="2"/>
                <w:sz w:val="21"/>
                <w:szCs w:val="21"/>
                <w:highlight w:val="none"/>
              </w:rPr>
              <w:t>96</w:t>
            </w:r>
            <w:r>
              <w:rPr>
                <w:rFonts w:hint="eastAsia"/>
                <w:color w:val="auto"/>
                <w:spacing w:val="-2"/>
                <w:w w:val="99"/>
                <w:kern w:val="2"/>
                <w:sz w:val="21"/>
                <w:szCs w:val="21"/>
                <w:highlight w:val="none"/>
              </w:rPr>
              <w:t>9</w:t>
            </w:r>
            <w:r>
              <w:rPr>
                <w:rFonts w:hint="eastAsia"/>
                <w:color w:val="auto"/>
                <w:w w:val="99"/>
                <w:kern w:val="2"/>
                <w:sz w:val="21"/>
                <w:szCs w:val="21"/>
                <w:highlight w:val="none"/>
              </w:rPr>
              <w:t>）</w:t>
            </w:r>
          </w:p>
        </w:tc>
      </w:tr>
      <w:tr w14:paraId="652C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D5FAE4B">
            <w:pPr>
              <w:pStyle w:val="74"/>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B89CACD">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A02061900照明</w:t>
            </w:r>
          </w:p>
          <w:p w14:paraId="431F8E5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F332D8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w:t>
            </w:r>
            <w:r>
              <w:rPr>
                <w:rFonts w:hint="eastAsia"/>
                <w:color w:val="auto"/>
                <w:w w:val="99"/>
                <w:kern w:val="2"/>
                <w:sz w:val="21"/>
                <w:szCs w:val="21"/>
                <w:highlight w:val="none"/>
                <w:lang w:val="en-US"/>
              </w:rPr>
              <w:t>普</w:t>
            </w:r>
            <w:r>
              <w:rPr>
                <w:rFonts w:hint="eastAsia"/>
                <w:color w:val="auto"/>
                <w:w w:val="99"/>
                <w:kern w:val="2"/>
                <w:sz w:val="21"/>
                <w:szCs w:val="21"/>
                <w:highlight w:val="none"/>
              </w:rPr>
              <w:t>通照明用双端荧光灯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BDC4B9D">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399DA062">
            <w:pPr>
              <w:pStyle w:val="74"/>
              <w:spacing w:before="133" w:line="276" w:lineRule="auto"/>
              <w:ind w:left="7" w:right="4"/>
              <w:rPr>
                <w:color w:val="auto"/>
                <w:kern w:val="2"/>
                <w:sz w:val="21"/>
                <w:szCs w:val="21"/>
                <w:highlight w:val="none"/>
              </w:rPr>
            </w:pPr>
            <w:r>
              <w:rPr>
                <w:rFonts w:hint="eastAsia"/>
                <w:color w:val="auto"/>
                <w:spacing w:val="12"/>
                <w:w w:val="99"/>
                <w:kern w:val="2"/>
                <w:sz w:val="21"/>
                <w:szCs w:val="21"/>
                <w:highlight w:val="none"/>
              </w:rPr>
              <w:t>《普通照明用双端荧光</w:t>
            </w:r>
            <w:r>
              <w:rPr>
                <w:rFonts w:hint="eastAsia"/>
                <w:color w:val="auto"/>
                <w:spacing w:val="9"/>
                <w:w w:val="99"/>
                <w:kern w:val="2"/>
                <w:sz w:val="21"/>
                <w:szCs w:val="21"/>
                <w:highlight w:val="none"/>
              </w:rPr>
              <w:t>灯</w:t>
            </w:r>
            <w:r>
              <w:rPr>
                <w:rFonts w:hint="eastAsia"/>
                <w:color w:val="auto"/>
                <w:spacing w:val="12"/>
                <w:w w:val="99"/>
                <w:kern w:val="2"/>
                <w:sz w:val="21"/>
                <w:szCs w:val="21"/>
                <w:highlight w:val="none"/>
              </w:rPr>
              <w:t>能效</w:t>
            </w:r>
            <w:r>
              <w:rPr>
                <w:rFonts w:hint="eastAsia"/>
                <w:color w:val="auto"/>
                <w:w w:val="99"/>
                <w:kern w:val="2"/>
                <w:sz w:val="21"/>
                <w:szCs w:val="21"/>
                <w:highlight w:val="none"/>
              </w:rPr>
              <w:t>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w:t>
            </w:r>
            <w:r>
              <w:rPr>
                <w:rFonts w:hint="eastAsia"/>
                <w:color w:val="auto"/>
                <w:w w:val="99"/>
                <w:kern w:val="2"/>
                <w:sz w:val="21"/>
                <w:szCs w:val="21"/>
                <w:highlight w:val="none"/>
              </w:rPr>
              <w:t>04</w:t>
            </w:r>
            <w:r>
              <w:rPr>
                <w:rFonts w:hint="eastAsia"/>
                <w:color w:val="auto"/>
                <w:spacing w:val="1"/>
                <w:w w:val="99"/>
                <w:kern w:val="2"/>
                <w:sz w:val="21"/>
                <w:szCs w:val="21"/>
                <w:highlight w:val="none"/>
              </w:rPr>
              <w:t>3</w:t>
            </w:r>
            <w:r>
              <w:rPr>
                <w:rFonts w:hint="eastAsia"/>
                <w:color w:val="auto"/>
                <w:w w:val="99"/>
                <w:kern w:val="2"/>
                <w:sz w:val="21"/>
                <w:szCs w:val="21"/>
                <w:highlight w:val="none"/>
              </w:rPr>
              <w:t>）</w:t>
            </w:r>
          </w:p>
        </w:tc>
      </w:tr>
      <w:tr w14:paraId="20AF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77E184">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ED0A5C">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9A1DE1B">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LED道路/隧道照明产品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4C3AC145">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8343FA2">
            <w:pPr>
              <w:pStyle w:val="74"/>
              <w:spacing w:before="92"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道</w:t>
            </w:r>
            <w:r>
              <w:rPr>
                <w:rFonts w:hint="eastAsia"/>
                <w:color w:val="auto"/>
                <w:spacing w:val="4"/>
                <w:w w:val="99"/>
                <w:kern w:val="2"/>
                <w:sz w:val="21"/>
                <w:szCs w:val="21"/>
                <w:highlight w:val="none"/>
              </w:rPr>
              <w:t>路和隧道照</w:t>
            </w:r>
            <w:r>
              <w:rPr>
                <w:rFonts w:hint="eastAsia"/>
                <w:color w:val="auto"/>
                <w:spacing w:val="2"/>
                <w:w w:val="99"/>
                <w:kern w:val="2"/>
                <w:sz w:val="21"/>
                <w:szCs w:val="21"/>
                <w:highlight w:val="none"/>
              </w:rPr>
              <w:t>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灯</w:t>
            </w:r>
            <w:r>
              <w:rPr>
                <w:rFonts w:hint="eastAsia"/>
                <w:color w:val="auto"/>
                <w:spacing w:val="2"/>
                <w:w w:val="99"/>
                <w:kern w:val="2"/>
                <w:sz w:val="21"/>
                <w:szCs w:val="21"/>
                <w:highlight w:val="none"/>
              </w:rPr>
              <w:t>具</w:t>
            </w:r>
            <w:r>
              <w:rPr>
                <w:rFonts w:hint="eastAsia"/>
                <w:color w:val="auto"/>
                <w:w w:val="99"/>
                <w:kern w:val="2"/>
                <w:sz w:val="21"/>
                <w:szCs w:val="21"/>
                <w:highlight w:val="none"/>
              </w:rPr>
              <w:t>能效限定</w:t>
            </w:r>
            <w:r>
              <w:rPr>
                <w:rFonts w:hint="eastAsia"/>
                <w:color w:val="auto"/>
                <w:spacing w:val="2"/>
                <w:w w:val="99"/>
                <w:kern w:val="2"/>
                <w:sz w:val="21"/>
                <w:szCs w:val="21"/>
                <w:highlight w:val="none"/>
              </w:rPr>
              <w:t>值</w:t>
            </w:r>
            <w:r>
              <w:rPr>
                <w:rFonts w:hint="eastAsia"/>
                <w:color w:val="auto"/>
                <w:w w:val="99"/>
                <w:kern w:val="2"/>
                <w:sz w:val="21"/>
                <w:szCs w:val="21"/>
                <w:highlight w:val="none"/>
              </w:rPr>
              <w:t>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106"/>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3747</w:t>
            </w:r>
            <w:r>
              <w:rPr>
                <w:rFonts w:hint="eastAsia"/>
                <w:color w:val="auto"/>
                <w:w w:val="99"/>
                <w:kern w:val="2"/>
                <w:sz w:val="21"/>
                <w:szCs w:val="21"/>
                <w:highlight w:val="none"/>
              </w:rPr>
              <w:t>8</w:t>
            </w:r>
          </w:p>
        </w:tc>
      </w:tr>
      <w:tr w14:paraId="2A28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E1EB26">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250045">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E2AF17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LED筒灯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712CA49">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016E820C">
            <w:pPr>
              <w:pStyle w:val="74"/>
              <w:spacing w:before="83"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室</w:t>
            </w:r>
            <w:r>
              <w:rPr>
                <w:rFonts w:hint="eastAsia"/>
                <w:color w:val="auto"/>
                <w:spacing w:val="4"/>
                <w:w w:val="99"/>
                <w:kern w:val="2"/>
                <w:sz w:val="21"/>
                <w:szCs w:val="21"/>
                <w:highlight w:val="none"/>
              </w:rPr>
              <w:t>内照明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产</w:t>
            </w:r>
            <w:r>
              <w:rPr>
                <w:rFonts w:hint="eastAsia"/>
                <w:color w:val="auto"/>
                <w:spacing w:val="2"/>
                <w:w w:val="99"/>
                <w:kern w:val="2"/>
                <w:sz w:val="21"/>
                <w:szCs w:val="21"/>
                <w:highlight w:val="none"/>
              </w:rPr>
              <w:t>品</w:t>
            </w:r>
            <w:r>
              <w:rPr>
                <w:rFonts w:hint="eastAsia"/>
                <w:color w:val="auto"/>
                <w:spacing w:val="4"/>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25</w:t>
            </w:r>
            <w:r>
              <w:rPr>
                <w:rFonts w:hint="eastAsia"/>
                <w:color w:val="auto"/>
                <w:spacing w:val="-2"/>
                <w:w w:val="99"/>
                <w:kern w:val="2"/>
                <w:sz w:val="21"/>
                <w:szCs w:val="21"/>
                <w:highlight w:val="none"/>
              </w:rPr>
              <w:t>5</w:t>
            </w:r>
            <w:r>
              <w:rPr>
                <w:rFonts w:hint="eastAsia"/>
                <w:color w:val="auto"/>
                <w:w w:val="99"/>
                <w:kern w:val="2"/>
                <w:sz w:val="21"/>
                <w:szCs w:val="21"/>
                <w:highlight w:val="none"/>
              </w:rPr>
              <w:t>）</w:t>
            </w:r>
          </w:p>
        </w:tc>
      </w:tr>
      <w:tr w14:paraId="77C7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9CA21B">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E59515">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8248266">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普通照明用非定向自镇流LED灯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3478A891">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605BE531">
            <w:pPr>
              <w:pStyle w:val="74"/>
              <w:spacing w:before="5"/>
              <w:rPr>
                <w:color w:val="auto"/>
                <w:kern w:val="2"/>
                <w:sz w:val="21"/>
                <w:szCs w:val="21"/>
                <w:highlight w:val="none"/>
              </w:rPr>
            </w:pPr>
          </w:p>
          <w:p w14:paraId="2BB1ACB6">
            <w:pPr>
              <w:pStyle w:val="74"/>
              <w:spacing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室</w:t>
            </w:r>
            <w:r>
              <w:rPr>
                <w:rFonts w:hint="eastAsia"/>
                <w:color w:val="auto"/>
                <w:spacing w:val="4"/>
                <w:w w:val="99"/>
                <w:kern w:val="2"/>
                <w:sz w:val="21"/>
                <w:szCs w:val="21"/>
                <w:highlight w:val="none"/>
              </w:rPr>
              <w:t>内照明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产</w:t>
            </w:r>
            <w:r>
              <w:rPr>
                <w:rFonts w:hint="eastAsia"/>
                <w:color w:val="auto"/>
                <w:spacing w:val="2"/>
                <w:w w:val="99"/>
                <w:kern w:val="2"/>
                <w:sz w:val="21"/>
                <w:szCs w:val="21"/>
                <w:highlight w:val="none"/>
              </w:rPr>
              <w:t>品</w:t>
            </w:r>
            <w:r>
              <w:rPr>
                <w:rFonts w:hint="eastAsia"/>
                <w:color w:val="auto"/>
                <w:spacing w:val="4"/>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25</w:t>
            </w:r>
            <w:r>
              <w:rPr>
                <w:rFonts w:hint="eastAsia"/>
                <w:color w:val="auto"/>
                <w:spacing w:val="-2"/>
                <w:w w:val="99"/>
                <w:kern w:val="2"/>
                <w:sz w:val="21"/>
                <w:szCs w:val="21"/>
                <w:highlight w:val="none"/>
              </w:rPr>
              <w:t>5</w:t>
            </w:r>
            <w:r>
              <w:rPr>
                <w:rFonts w:hint="eastAsia"/>
                <w:color w:val="auto"/>
                <w:w w:val="99"/>
                <w:kern w:val="2"/>
                <w:sz w:val="21"/>
                <w:szCs w:val="21"/>
                <w:highlight w:val="none"/>
              </w:rPr>
              <w:t>）</w:t>
            </w:r>
          </w:p>
        </w:tc>
      </w:tr>
      <w:tr w14:paraId="097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D14B56A">
            <w:pPr>
              <w:pStyle w:val="74"/>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018B2233">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1C351E1A">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A02091001普通电视设备（电视机）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9BA3F4B">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603F7BF">
            <w:pPr>
              <w:pStyle w:val="74"/>
              <w:spacing w:before="81" w:line="276" w:lineRule="auto"/>
              <w:ind w:left="7" w:right="4"/>
              <w:rPr>
                <w:color w:val="auto"/>
                <w:kern w:val="2"/>
                <w:sz w:val="21"/>
                <w:szCs w:val="21"/>
                <w:highlight w:val="none"/>
              </w:rPr>
            </w:pPr>
            <w:r>
              <w:rPr>
                <w:rFonts w:hint="eastAsia"/>
                <w:color w:val="auto"/>
                <w:spacing w:val="12"/>
                <w:w w:val="99"/>
                <w:kern w:val="2"/>
                <w:sz w:val="21"/>
                <w:szCs w:val="21"/>
                <w:highlight w:val="none"/>
              </w:rPr>
              <w:t>《平板电视能效限定值</w:t>
            </w:r>
            <w:r>
              <w:rPr>
                <w:rFonts w:hint="eastAsia"/>
                <w:color w:val="auto"/>
                <w:spacing w:val="9"/>
                <w:w w:val="99"/>
                <w:kern w:val="2"/>
                <w:sz w:val="21"/>
                <w:szCs w:val="21"/>
                <w:highlight w:val="none"/>
              </w:rPr>
              <w:t>及</w:t>
            </w:r>
            <w:r>
              <w:rPr>
                <w:rFonts w:hint="eastAsia"/>
                <w:color w:val="auto"/>
                <w:spacing w:val="12"/>
                <w:w w:val="99"/>
                <w:kern w:val="2"/>
                <w:sz w:val="21"/>
                <w:szCs w:val="21"/>
                <w:highlight w:val="none"/>
              </w:rPr>
              <w:t>能效</w:t>
            </w:r>
            <w:r>
              <w:rPr>
                <w:rFonts w:hint="eastAsia"/>
                <w:color w:val="auto"/>
                <w:w w:val="99"/>
                <w:kern w:val="2"/>
                <w:sz w:val="21"/>
                <w:szCs w:val="21"/>
                <w:highlight w:val="none"/>
              </w:rPr>
              <w:t>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248</w:t>
            </w:r>
            <w:r>
              <w:rPr>
                <w:rFonts w:hint="eastAsia"/>
                <w:color w:val="auto"/>
                <w:w w:val="99"/>
                <w:kern w:val="2"/>
                <w:sz w:val="21"/>
                <w:szCs w:val="21"/>
                <w:highlight w:val="none"/>
              </w:rPr>
              <w:t>50）</w:t>
            </w:r>
          </w:p>
        </w:tc>
      </w:tr>
      <w:tr w14:paraId="60C0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678FA69">
            <w:pPr>
              <w:pStyle w:val="74"/>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18B3C597">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7C20042">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54E4C7E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tcPr>
          <w:p w14:paraId="6FE45A80">
            <w:pPr>
              <w:pStyle w:val="74"/>
              <w:spacing w:before="28" w:line="276" w:lineRule="auto"/>
              <w:ind w:left="7" w:right="5"/>
              <w:rPr>
                <w:color w:val="auto"/>
                <w:kern w:val="2"/>
                <w:sz w:val="21"/>
                <w:szCs w:val="21"/>
                <w:highlight w:val="none"/>
              </w:rPr>
            </w:pPr>
            <w:r>
              <w:rPr>
                <w:rFonts w:hint="eastAsia"/>
                <w:color w:val="auto"/>
                <w:spacing w:val="12"/>
                <w:w w:val="99"/>
                <w:kern w:val="2"/>
                <w:sz w:val="21"/>
                <w:szCs w:val="21"/>
                <w:highlight w:val="none"/>
              </w:rPr>
              <w:t>以射频信号为主要信号</w:t>
            </w:r>
            <w:r>
              <w:rPr>
                <w:rFonts w:hint="eastAsia"/>
                <w:color w:val="auto"/>
                <w:spacing w:val="9"/>
                <w:w w:val="99"/>
                <w:kern w:val="2"/>
                <w:sz w:val="21"/>
                <w:szCs w:val="21"/>
                <w:highlight w:val="none"/>
              </w:rPr>
              <w:t>输</w:t>
            </w:r>
            <w:r>
              <w:rPr>
                <w:rFonts w:hint="eastAsia"/>
                <w:color w:val="auto"/>
                <w:spacing w:val="12"/>
                <w:w w:val="99"/>
                <w:kern w:val="2"/>
                <w:sz w:val="21"/>
                <w:szCs w:val="21"/>
                <w:highlight w:val="none"/>
              </w:rPr>
              <w:t>入的</w:t>
            </w:r>
            <w:r>
              <w:rPr>
                <w:rFonts w:hint="eastAsia"/>
                <w:color w:val="auto"/>
                <w:w w:val="99"/>
                <w:kern w:val="2"/>
                <w:sz w:val="21"/>
                <w:szCs w:val="21"/>
                <w:highlight w:val="none"/>
              </w:rPr>
              <w:t>监视器应</w:t>
            </w:r>
            <w:r>
              <w:rPr>
                <w:rFonts w:hint="eastAsia"/>
                <w:color w:val="auto"/>
                <w:spacing w:val="2"/>
                <w:w w:val="99"/>
                <w:kern w:val="2"/>
                <w:sz w:val="21"/>
                <w:szCs w:val="21"/>
                <w:highlight w:val="none"/>
              </w:rPr>
              <w:t>符</w:t>
            </w:r>
            <w:r>
              <w:rPr>
                <w:rFonts w:hint="eastAsia"/>
                <w:color w:val="auto"/>
                <w:spacing w:val="-58"/>
                <w:w w:val="99"/>
                <w:kern w:val="2"/>
                <w:sz w:val="21"/>
                <w:szCs w:val="21"/>
                <w:highlight w:val="none"/>
              </w:rPr>
              <w:t>合</w:t>
            </w:r>
            <w:r>
              <w:rPr>
                <w:rFonts w:hint="eastAsia"/>
                <w:color w:val="auto"/>
                <w:spacing w:val="2"/>
                <w:w w:val="99"/>
                <w:kern w:val="2"/>
                <w:sz w:val="21"/>
                <w:szCs w:val="21"/>
                <w:highlight w:val="none"/>
              </w:rPr>
              <w:t>《</w:t>
            </w:r>
            <w:r>
              <w:rPr>
                <w:rFonts w:hint="eastAsia"/>
                <w:color w:val="auto"/>
                <w:w w:val="99"/>
                <w:kern w:val="2"/>
                <w:sz w:val="21"/>
                <w:szCs w:val="21"/>
                <w:highlight w:val="none"/>
              </w:rPr>
              <w:t>平板</w:t>
            </w:r>
            <w:r>
              <w:rPr>
                <w:rFonts w:hint="eastAsia"/>
                <w:color w:val="auto"/>
                <w:spacing w:val="2"/>
                <w:w w:val="99"/>
                <w:kern w:val="2"/>
                <w:sz w:val="21"/>
                <w:szCs w:val="21"/>
                <w:highlight w:val="none"/>
              </w:rPr>
              <w:t>电</w:t>
            </w:r>
            <w:r>
              <w:rPr>
                <w:rFonts w:hint="eastAsia"/>
                <w:color w:val="auto"/>
                <w:w w:val="99"/>
                <w:kern w:val="2"/>
                <w:sz w:val="21"/>
                <w:szCs w:val="21"/>
                <w:highlight w:val="none"/>
              </w:rPr>
              <w:t>视能</w:t>
            </w:r>
            <w:r>
              <w:rPr>
                <w:rFonts w:hint="eastAsia"/>
                <w:color w:val="auto"/>
                <w:spacing w:val="2"/>
                <w:w w:val="99"/>
                <w:kern w:val="2"/>
                <w:sz w:val="21"/>
                <w:szCs w:val="21"/>
                <w:highlight w:val="none"/>
              </w:rPr>
              <w:t>效</w:t>
            </w:r>
            <w:r>
              <w:rPr>
                <w:rFonts w:hint="eastAsia"/>
                <w:color w:val="auto"/>
                <w:w w:val="99"/>
                <w:kern w:val="2"/>
                <w:sz w:val="21"/>
                <w:szCs w:val="21"/>
                <w:highlight w:val="none"/>
              </w:rPr>
              <w:t>限定值及能效</w:t>
            </w:r>
            <w:r>
              <w:rPr>
                <w:rFonts w:hint="eastAsia"/>
                <w:color w:val="auto"/>
                <w:spacing w:val="2"/>
                <w:w w:val="99"/>
                <w:kern w:val="2"/>
                <w:sz w:val="21"/>
                <w:szCs w:val="21"/>
                <w:highlight w:val="none"/>
              </w:rPr>
              <w:t>等</w:t>
            </w:r>
            <w:r>
              <w:rPr>
                <w:rFonts w:hint="eastAsia"/>
                <w:color w:val="auto"/>
                <w:w w:val="99"/>
                <w:kern w:val="2"/>
                <w:sz w:val="21"/>
                <w:szCs w:val="21"/>
                <w:highlight w:val="none"/>
              </w:rPr>
              <w:t>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24850</w:t>
            </w:r>
            <w:r>
              <w:rPr>
                <w:rFonts w:hint="eastAsia"/>
                <w:color w:val="auto"/>
                <w:spacing w:val="-3"/>
                <w:w w:val="99"/>
                <w:kern w:val="2"/>
                <w:sz w:val="21"/>
                <w:szCs w:val="21"/>
                <w:highlight w:val="none"/>
              </w:rPr>
              <w:t>）</w:t>
            </w:r>
            <w:r>
              <w:rPr>
                <w:rFonts w:hint="eastAsia"/>
                <w:color w:val="auto"/>
                <w:w w:val="99"/>
                <w:kern w:val="2"/>
                <w:sz w:val="21"/>
                <w:szCs w:val="21"/>
                <w:highlight w:val="none"/>
              </w:rPr>
              <w:t>，</w:t>
            </w:r>
            <w:r>
              <w:rPr>
                <w:rFonts w:hint="eastAsia"/>
                <w:color w:val="auto"/>
                <w:spacing w:val="12"/>
                <w:w w:val="99"/>
                <w:kern w:val="2"/>
                <w:sz w:val="21"/>
                <w:szCs w:val="21"/>
                <w:highlight w:val="none"/>
              </w:rPr>
              <w:t>以数字信号为主要信号</w:t>
            </w:r>
            <w:r>
              <w:rPr>
                <w:rFonts w:hint="eastAsia"/>
                <w:color w:val="auto"/>
                <w:spacing w:val="9"/>
                <w:w w:val="99"/>
                <w:kern w:val="2"/>
                <w:sz w:val="21"/>
                <w:szCs w:val="21"/>
                <w:highlight w:val="none"/>
              </w:rPr>
              <w:t>输</w:t>
            </w:r>
            <w:r>
              <w:rPr>
                <w:rFonts w:hint="eastAsia"/>
                <w:color w:val="auto"/>
                <w:spacing w:val="12"/>
                <w:w w:val="99"/>
                <w:kern w:val="2"/>
                <w:sz w:val="21"/>
                <w:szCs w:val="21"/>
                <w:highlight w:val="none"/>
              </w:rPr>
              <w:t>入的</w:t>
            </w:r>
            <w:r>
              <w:rPr>
                <w:rFonts w:hint="eastAsia"/>
                <w:color w:val="auto"/>
                <w:w w:val="99"/>
                <w:kern w:val="2"/>
                <w:sz w:val="21"/>
                <w:szCs w:val="21"/>
                <w:highlight w:val="none"/>
              </w:rPr>
              <w:t>监视器应</w:t>
            </w:r>
            <w:r>
              <w:rPr>
                <w:rFonts w:hint="eastAsia"/>
                <w:color w:val="auto"/>
                <w:spacing w:val="2"/>
                <w:w w:val="99"/>
                <w:kern w:val="2"/>
                <w:sz w:val="21"/>
                <w:szCs w:val="21"/>
                <w:highlight w:val="none"/>
              </w:rPr>
              <w:t>符</w:t>
            </w:r>
            <w:r>
              <w:rPr>
                <w:rFonts w:hint="eastAsia"/>
                <w:color w:val="auto"/>
                <w:spacing w:val="-58"/>
                <w:w w:val="99"/>
                <w:kern w:val="2"/>
                <w:sz w:val="21"/>
                <w:szCs w:val="21"/>
                <w:highlight w:val="none"/>
              </w:rPr>
              <w:t>合</w:t>
            </w:r>
            <w:r>
              <w:rPr>
                <w:rFonts w:hint="eastAsia"/>
                <w:color w:val="auto"/>
                <w:spacing w:val="2"/>
                <w:w w:val="99"/>
                <w:kern w:val="2"/>
                <w:sz w:val="21"/>
                <w:szCs w:val="21"/>
                <w:highlight w:val="none"/>
              </w:rPr>
              <w:t>《</w:t>
            </w:r>
            <w:r>
              <w:rPr>
                <w:rFonts w:hint="eastAsia"/>
                <w:color w:val="auto"/>
                <w:w w:val="99"/>
                <w:kern w:val="2"/>
                <w:sz w:val="21"/>
                <w:szCs w:val="21"/>
                <w:highlight w:val="none"/>
              </w:rPr>
              <w:t>计算</w:t>
            </w:r>
            <w:r>
              <w:rPr>
                <w:rFonts w:hint="eastAsia"/>
                <w:color w:val="auto"/>
                <w:spacing w:val="2"/>
                <w:w w:val="99"/>
                <w:kern w:val="2"/>
                <w:sz w:val="21"/>
                <w:szCs w:val="21"/>
                <w:highlight w:val="none"/>
              </w:rPr>
              <w:t>机</w:t>
            </w:r>
            <w:r>
              <w:rPr>
                <w:rFonts w:hint="eastAsia"/>
                <w:color w:val="auto"/>
                <w:w w:val="99"/>
                <w:kern w:val="2"/>
                <w:sz w:val="21"/>
                <w:szCs w:val="21"/>
                <w:highlight w:val="none"/>
              </w:rPr>
              <w:t>显示</w:t>
            </w:r>
            <w:r>
              <w:rPr>
                <w:rFonts w:hint="eastAsia"/>
                <w:color w:val="auto"/>
                <w:spacing w:val="2"/>
                <w:w w:val="99"/>
                <w:kern w:val="2"/>
                <w:sz w:val="21"/>
                <w:szCs w:val="21"/>
                <w:highlight w:val="none"/>
              </w:rPr>
              <w:t>器</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0</w:t>
            </w:r>
            <w:r>
              <w:rPr>
                <w:rFonts w:hint="eastAsia"/>
                <w:color w:val="auto"/>
                <w:w w:val="99"/>
                <w:kern w:val="2"/>
                <w:sz w:val="21"/>
                <w:szCs w:val="21"/>
                <w:highlight w:val="none"/>
              </w:rPr>
              <w:t>）</w:t>
            </w:r>
          </w:p>
        </w:tc>
      </w:tr>
      <w:tr w14:paraId="662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7AA1CBC5">
            <w:pPr>
              <w:pStyle w:val="74"/>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580955C">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A02241000饮食炊事机械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26763813">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商用燃气灶具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26A5A76D">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1EAD6F48">
            <w:pPr>
              <w:pStyle w:val="74"/>
              <w:spacing w:before="76" w:line="276" w:lineRule="auto"/>
              <w:ind w:left="7" w:right="4"/>
              <w:rPr>
                <w:color w:val="auto"/>
                <w:kern w:val="2"/>
                <w:sz w:val="21"/>
                <w:szCs w:val="21"/>
                <w:highlight w:val="none"/>
              </w:rPr>
            </w:pPr>
            <w:r>
              <w:rPr>
                <w:rFonts w:hint="eastAsia"/>
                <w:color w:val="auto"/>
                <w:spacing w:val="12"/>
                <w:w w:val="99"/>
                <w:kern w:val="2"/>
                <w:sz w:val="21"/>
                <w:szCs w:val="21"/>
                <w:highlight w:val="none"/>
              </w:rPr>
              <w:t>《商用燃气灶具能效限</w:t>
            </w:r>
            <w:r>
              <w:rPr>
                <w:rFonts w:hint="eastAsia"/>
                <w:color w:val="auto"/>
                <w:spacing w:val="9"/>
                <w:w w:val="99"/>
                <w:kern w:val="2"/>
                <w:sz w:val="21"/>
                <w:szCs w:val="21"/>
                <w:highlight w:val="none"/>
              </w:rPr>
              <w:t>定</w:t>
            </w:r>
            <w:r>
              <w:rPr>
                <w:rFonts w:hint="eastAsia"/>
                <w:color w:val="auto"/>
                <w:spacing w:val="12"/>
                <w:w w:val="99"/>
                <w:kern w:val="2"/>
                <w:sz w:val="21"/>
                <w:szCs w:val="21"/>
                <w:highlight w:val="none"/>
              </w:rPr>
              <w:t>值及</w:t>
            </w:r>
            <w:r>
              <w:rPr>
                <w:rFonts w:hint="eastAsia"/>
                <w:color w:val="auto"/>
                <w:w w:val="99"/>
                <w:kern w:val="2"/>
                <w:sz w:val="21"/>
                <w:szCs w:val="21"/>
                <w:highlight w:val="none"/>
              </w:rPr>
              <w:t>能效等级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53</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14:paraId="2549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8052519">
            <w:pPr>
              <w:ind w:firstLine="420"/>
              <w:jc w:val="center"/>
              <w:rPr>
                <w:rFonts w:hAnsi="宋体"/>
                <w:color w:val="auto"/>
                <w:highlight w:val="none"/>
              </w:rPr>
            </w:pPr>
            <w:r>
              <w:rPr>
                <w:rFonts w:hint="eastAsia" w:hAnsi="宋体"/>
                <w:color w:val="auto"/>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EDBB2DE">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★A05020105便器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407464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F589B15">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16CD3866">
            <w:pPr>
              <w:pStyle w:val="74"/>
              <w:spacing w:before="124"/>
              <w:ind w:left="7"/>
              <w:rPr>
                <w:color w:val="auto"/>
                <w:kern w:val="2"/>
                <w:sz w:val="21"/>
                <w:szCs w:val="21"/>
                <w:highlight w:val="none"/>
              </w:rPr>
            </w:pPr>
            <w:r>
              <w:rPr>
                <w:rFonts w:hint="eastAsia"/>
                <w:color w:val="auto"/>
                <w:w w:val="99"/>
                <w:kern w:val="2"/>
                <w:sz w:val="21"/>
                <w:szCs w:val="21"/>
                <w:highlight w:val="none"/>
              </w:rPr>
              <w:t>《坐便</w:t>
            </w:r>
            <w:r>
              <w:rPr>
                <w:rFonts w:hint="eastAsia"/>
                <w:color w:val="auto"/>
                <w:spacing w:val="2"/>
                <w:w w:val="99"/>
                <w:kern w:val="2"/>
                <w:sz w:val="21"/>
                <w:szCs w:val="21"/>
                <w:highlight w:val="none"/>
              </w:rPr>
              <w:t>器</w:t>
            </w:r>
            <w:r>
              <w:rPr>
                <w:rFonts w:hint="eastAsia"/>
                <w:color w:val="auto"/>
                <w:w w:val="99"/>
                <w:kern w:val="2"/>
                <w:sz w:val="21"/>
                <w:szCs w:val="21"/>
                <w:highlight w:val="none"/>
              </w:rPr>
              <w:t>水效</w:t>
            </w:r>
            <w:r>
              <w:rPr>
                <w:rFonts w:hint="eastAsia"/>
                <w:color w:val="auto"/>
                <w:spacing w:val="2"/>
                <w:w w:val="99"/>
                <w:kern w:val="2"/>
                <w:sz w:val="21"/>
                <w:szCs w:val="21"/>
                <w:highlight w:val="none"/>
              </w:rPr>
              <w:t>限</w:t>
            </w:r>
            <w:r>
              <w:rPr>
                <w:rFonts w:hint="eastAsia"/>
                <w:color w:val="auto"/>
                <w:w w:val="99"/>
                <w:kern w:val="2"/>
                <w:sz w:val="21"/>
                <w:szCs w:val="21"/>
                <w:highlight w:val="none"/>
              </w:rPr>
              <w:t>定值</w:t>
            </w:r>
            <w:r>
              <w:rPr>
                <w:rFonts w:hint="eastAsia"/>
                <w:color w:val="auto"/>
                <w:spacing w:val="2"/>
                <w:w w:val="99"/>
                <w:kern w:val="2"/>
                <w:sz w:val="21"/>
                <w:szCs w:val="21"/>
                <w:highlight w:val="none"/>
              </w:rPr>
              <w:t>及</w:t>
            </w:r>
            <w:r>
              <w:rPr>
                <w:rFonts w:hint="eastAsia"/>
                <w:color w:val="auto"/>
                <w:w w:val="99"/>
                <w:kern w:val="2"/>
                <w:sz w:val="21"/>
                <w:szCs w:val="21"/>
                <w:highlight w:val="none"/>
              </w:rPr>
              <w:t>水</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p>
          <w:p w14:paraId="6C5F8E5A">
            <w:pPr>
              <w:pStyle w:val="74"/>
              <w:spacing w:before="50"/>
              <w:ind w:left="7"/>
              <w:rPr>
                <w:color w:val="auto"/>
                <w:kern w:val="2"/>
                <w:sz w:val="21"/>
                <w:szCs w:val="21"/>
                <w:highlight w:val="none"/>
              </w:rPr>
            </w:pP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w:t>
            </w:r>
            <w:r>
              <w:rPr>
                <w:rFonts w:hint="eastAsia"/>
                <w:color w:val="auto"/>
                <w:w w:val="99"/>
                <w:kern w:val="2"/>
                <w:sz w:val="21"/>
                <w:szCs w:val="21"/>
                <w:highlight w:val="none"/>
              </w:rPr>
              <w:t>55</w:t>
            </w:r>
            <w:r>
              <w:rPr>
                <w:rFonts w:hint="eastAsia"/>
                <w:color w:val="auto"/>
                <w:spacing w:val="1"/>
                <w:w w:val="99"/>
                <w:kern w:val="2"/>
                <w:sz w:val="21"/>
                <w:szCs w:val="21"/>
                <w:highlight w:val="none"/>
              </w:rPr>
              <w:t>02</w:t>
            </w:r>
            <w:r>
              <w:rPr>
                <w:rFonts w:hint="eastAsia"/>
                <w:color w:val="auto"/>
                <w:w w:val="99"/>
                <w:kern w:val="2"/>
                <w:sz w:val="21"/>
                <w:szCs w:val="21"/>
                <w:highlight w:val="none"/>
              </w:rPr>
              <w:t>）</w:t>
            </w:r>
          </w:p>
        </w:tc>
      </w:tr>
      <w:tr w14:paraId="7CD5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5CF246">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73F6CF">
            <w:pPr>
              <w:pStyle w:val="74"/>
              <w:spacing w:line="276" w:lineRule="auto"/>
              <w:ind w:right="5"/>
              <w:jc w:val="center"/>
              <w:rPr>
                <w:rFonts w:hint="eastAsia"/>
                <w:color w:val="auto"/>
                <w:w w:val="99"/>
                <w:kern w:val="2"/>
                <w:sz w:val="21"/>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2DD5488">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D0867C6">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791379A8">
            <w:pPr>
              <w:pStyle w:val="74"/>
              <w:spacing w:before="124" w:line="276" w:lineRule="auto"/>
              <w:ind w:left="7" w:right="4"/>
              <w:rPr>
                <w:color w:val="auto"/>
                <w:kern w:val="2"/>
                <w:sz w:val="21"/>
                <w:szCs w:val="21"/>
                <w:highlight w:val="none"/>
              </w:rPr>
            </w:pPr>
            <w:r>
              <w:rPr>
                <w:rFonts w:hint="eastAsia"/>
                <w:color w:val="auto"/>
                <w:spacing w:val="12"/>
                <w:w w:val="99"/>
                <w:kern w:val="2"/>
                <w:sz w:val="21"/>
                <w:szCs w:val="21"/>
                <w:highlight w:val="none"/>
              </w:rPr>
              <w:t>《蹲便器用水效率限定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及用</w:t>
            </w:r>
            <w:r>
              <w:rPr>
                <w:rFonts w:hint="eastAsia"/>
                <w:color w:val="auto"/>
                <w:w w:val="99"/>
                <w:kern w:val="2"/>
                <w:sz w:val="21"/>
                <w:szCs w:val="21"/>
                <w:highlight w:val="none"/>
              </w:rPr>
              <w:t>水效率等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307</w:t>
            </w:r>
            <w:r>
              <w:rPr>
                <w:rFonts w:hint="eastAsia"/>
                <w:color w:val="auto"/>
                <w:w w:val="99"/>
                <w:kern w:val="2"/>
                <w:sz w:val="21"/>
                <w:szCs w:val="21"/>
                <w:highlight w:val="none"/>
              </w:rPr>
              <w:t>1</w:t>
            </w:r>
            <w:r>
              <w:rPr>
                <w:rFonts w:hint="eastAsia"/>
                <w:color w:val="auto"/>
                <w:spacing w:val="-1"/>
                <w:w w:val="99"/>
                <w:kern w:val="2"/>
                <w:sz w:val="21"/>
                <w:szCs w:val="21"/>
                <w:highlight w:val="none"/>
              </w:rPr>
              <w:t>7</w:t>
            </w:r>
            <w:r>
              <w:rPr>
                <w:rFonts w:hint="eastAsia"/>
                <w:color w:val="auto"/>
                <w:w w:val="99"/>
                <w:kern w:val="2"/>
                <w:sz w:val="21"/>
                <w:szCs w:val="21"/>
                <w:highlight w:val="none"/>
              </w:rPr>
              <w:t>）</w:t>
            </w:r>
          </w:p>
        </w:tc>
      </w:tr>
      <w:tr w14:paraId="19AE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4E6BDE">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8772C4">
            <w:pPr>
              <w:pStyle w:val="74"/>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D400044">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2946EDE">
            <w:pPr>
              <w:pStyle w:val="74"/>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7A9E0884">
            <w:pPr>
              <w:pStyle w:val="74"/>
              <w:spacing w:before="124" w:line="276" w:lineRule="auto"/>
              <w:ind w:left="7" w:right="4"/>
              <w:rPr>
                <w:color w:val="auto"/>
                <w:kern w:val="2"/>
                <w:sz w:val="21"/>
                <w:szCs w:val="21"/>
                <w:highlight w:val="none"/>
              </w:rPr>
            </w:pPr>
            <w:r>
              <w:rPr>
                <w:rFonts w:hint="eastAsia"/>
                <w:color w:val="auto"/>
                <w:spacing w:val="12"/>
                <w:w w:val="99"/>
                <w:kern w:val="2"/>
                <w:sz w:val="21"/>
                <w:szCs w:val="21"/>
                <w:highlight w:val="none"/>
              </w:rPr>
              <w:t>《小便器用水效率限定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及用</w:t>
            </w:r>
            <w:r>
              <w:rPr>
                <w:rFonts w:hint="eastAsia"/>
                <w:color w:val="auto"/>
                <w:w w:val="99"/>
                <w:kern w:val="2"/>
                <w:sz w:val="21"/>
                <w:szCs w:val="21"/>
                <w:highlight w:val="none"/>
              </w:rPr>
              <w:t>水效率等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w:t>
            </w:r>
            <w:r>
              <w:rPr>
                <w:rFonts w:hint="eastAsia"/>
                <w:color w:val="auto"/>
                <w:w w:val="99"/>
                <w:kern w:val="2"/>
                <w:sz w:val="21"/>
                <w:szCs w:val="21"/>
                <w:highlight w:val="none"/>
              </w:rPr>
              <w:t>7</w:t>
            </w:r>
            <w:r>
              <w:rPr>
                <w:rFonts w:hint="eastAsia"/>
                <w:color w:val="auto"/>
                <w:spacing w:val="-1"/>
                <w:w w:val="99"/>
                <w:kern w:val="2"/>
                <w:sz w:val="21"/>
                <w:szCs w:val="21"/>
                <w:highlight w:val="none"/>
              </w:rPr>
              <w:t>7</w:t>
            </w:r>
            <w:r>
              <w:rPr>
                <w:rFonts w:hint="eastAsia"/>
                <w:color w:val="auto"/>
                <w:w w:val="99"/>
                <w:kern w:val="2"/>
                <w:sz w:val="21"/>
                <w:szCs w:val="21"/>
                <w:highlight w:val="none"/>
              </w:rPr>
              <w:t>）</w:t>
            </w:r>
          </w:p>
        </w:tc>
      </w:tr>
      <w:tr w14:paraId="3D92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594A75E">
            <w:pPr>
              <w:pStyle w:val="74"/>
              <w:jc w:val="center"/>
              <w:rPr>
                <w:color w:val="auto"/>
                <w:kern w:val="2"/>
                <w:sz w:val="21"/>
                <w:szCs w:val="21"/>
                <w:highlight w:val="none"/>
              </w:rPr>
            </w:pPr>
            <w:r>
              <w:rPr>
                <w:rFonts w:hint="eastAsia"/>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ABCA88A">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★A05020106水嘴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44610A08">
            <w:pPr>
              <w:pStyle w:val="74"/>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C75F5E4">
            <w:pPr>
              <w:pStyle w:val="74"/>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44926723">
            <w:pPr>
              <w:pStyle w:val="74"/>
              <w:spacing w:before="153" w:line="276" w:lineRule="auto"/>
              <w:ind w:left="7" w:right="4"/>
              <w:rPr>
                <w:color w:val="auto"/>
                <w:kern w:val="2"/>
                <w:sz w:val="21"/>
                <w:szCs w:val="21"/>
                <w:highlight w:val="none"/>
              </w:rPr>
            </w:pPr>
            <w:r>
              <w:rPr>
                <w:rFonts w:hint="eastAsia"/>
                <w:color w:val="auto"/>
                <w:spacing w:val="10"/>
                <w:kern w:val="2"/>
                <w:sz w:val="21"/>
                <w:szCs w:val="21"/>
                <w:highlight w:val="none"/>
              </w:rPr>
              <w:t>《水嘴用水效率限定值及用水效</w:t>
            </w:r>
            <w:r>
              <w:rPr>
                <w:rFonts w:hint="eastAsia"/>
                <w:color w:val="auto"/>
                <w:kern w:val="2"/>
                <w:sz w:val="21"/>
                <w:szCs w:val="21"/>
                <w:highlight w:val="none"/>
              </w:rPr>
              <w:t>率等级》（GB 25501）</w:t>
            </w:r>
          </w:p>
        </w:tc>
      </w:tr>
      <w:tr w14:paraId="1FA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8F8AF88">
            <w:pPr>
              <w:pStyle w:val="74"/>
              <w:jc w:val="center"/>
              <w:rPr>
                <w:color w:val="auto"/>
                <w:kern w:val="2"/>
                <w:sz w:val="21"/>
                <w:szCs w:val="21"/>
                <w:highlight w:val="none"/>
              </w:rPr>
            </w:pPr>
            <w:r>
              <w:rPr>
                <w:rFonts w:hint="eastAsia"/>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434B0491">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592D0D9F">
            <w:pPr>
              <w:pStyle w:val="74"/>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C4D4B46">
            <w:pPr>
              <w:pStyle w:val="74"/>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01D1AB20">
            <w:pPr>
              <w:pStyle w:val="74"/>
              <w:spacing w:before="112" w:line="276" w:lineRule="auto"/>
              <w:ind w:left="7" w:right="4"/>
              <w:rPr>
                <w:color w:val="auto"/>
                <w:kern w:val="2"/>
                <w:sz w:val="21"/>
                <w:szCs w:val="21"/>
                <w:highlight w:val="none"/>
              </w:rPr>
            </w:pPr>
            <w:r>
              <w:rPr>
                <w:rFonts w:hint="eastAsia"/>
                <w:color w:val="auto"/>
                <w:spacing w:val="10"/>
                <w:kern w:val="2"/>
                <w:sz w:val="21"/>
                <w:szCs w:val="21"/>
                <w:highlight w:val="none"/>
              </w:rPr>
              <w:t>《便器冲洗阀用水效率限定值及</w:t>
            </w:r>
            <w:r>
              <w:rPr>
                <w:rFonts w:hint="eastAsia"/>
                <w:color w:val="auto"/>
                <w:kern w:val="2"/>
                <w:sz w:val="21"/>
                <w:szCs w:val="21"/>
                <w:highlight w:val="none"/>
              </w:rPr>
              <w:t>用水效率等级》（GB28379）</w:t>
            </w:r>
          </w:p>
        </w:tc>
      </w:tr>
      <w:tr w14:paraId="306E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2186248">
            <w:pPr>
              <w:pStyle w:val="74"/>
              <w:jc w:val="center"/>
              <w:rPr>
                <w:color w:val="auto"/>
                <w:kern w:val="2"/>
                <w:sz w:val="21"/>
                <w:szCs w:val="21"/>
                <w:highlight w:val="none"/>
              </w:rPr>
            </w:pPr>
            <w:r>
              <w:rPr>
                <w:rFonts w:hint="eastAsia"/>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65BEB2A0">
            <w:pPr>
              <w:pStyle w:val="74"/>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A05020110淋浴器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33A38DB">
            <w:pPr>
              <w:pStyle w:val="74"/>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DE53445">
            <w:pPr>
              <w:pStyle w:val="74"/>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6D47622E">
            <w:pPr>
              <w:pStyle w:val="74"/>
              <w:spacing w:before="131" w:line="276" w:lineRule="auto"/>
              <w:ind w:left="7" w:right="4"/>
              <w:rPr>
                <w:color w:val="auto"/>
                <w:kern w:val="2"/>
                <w:sz w:val="21"/>
                <w:szCs w:val="21"/>
                <w:highlight w:val="none"/>
              </w:rPr>
            </w:pPr>
            <w:r>
              <w:rPr>
                <w:rFonts w:hint="eastAsia"/>
                <w:color w:val="auto"/>
                <w:spacing w:val="10"/>
                <w:kern w:val="2"/>
                <w:sz w:val="21"/>
                <w:szCs w:val="21"/>
                <w:highlight w:val="none"/>
              </w:rPr>
              <w:t>《淋浴器用水效率限定值及用水</w:t>
            </w:r>
            <w:r>
              <w:rPr>
                <w:rFonts w:hint="eastAsia"/>
                <w:color w:val="auto"/>
                <w:kern w:val="2"/>
                <w:sz w:val="21"/>
                <w:szCs w:val="21"/>
                <w:highlight w:val="none"/>
              </w:rPr>
              <w:t>效率等级》（GB28378）</w:t>
            </w:r>
          </w:p>
        </w:tc>
      </w:tr>
    </w:tbl>
    <w:p w14:paraId="5B9352B9">
      <w:pPr>
        <w:pStyle w:val="3"/>
        <w:spacing w:line="360" w:lineRule="auto"/>
        <w:ind w:firstLine="408"/>
        <w:rPr>
          <w:rFonts w:hint="eastAsia" w:hAnsi="宋体"/>
          <w:color w:val="auto"/>
          <w:spacing w:val="-3"/>
          <w:sz w:val="21"/>
          <w:szCs w:val="21"/>
          <w:highlight w:val="none"/>
        </w:rPr>
      </w:pPr>
      <w:r>
        <w:rPr>
          <w:rFonts w:hint="eastAsia" w:hAnsi="宋体"/>
          <w:color w:val="auto"/>
          <w:spacing w:val="-3"/>
          <w:sz w:val="21"/>
          <w:szCs w:val="21"/>
          <w:highlight w:val="none"/>
        </w:rPr>
        <w:t>注：</w:t>
      </w:r>
    </w:p>
    <w:p w14:paraId="631E509C">
      <w:pPr>
        <w:pStyle w:val="3"/>
        <w:spacing w:line="360" w:lineRule="auto"/>
        <w:ind w:firstLine="408"/>
        <w:rPr>
          <w:rFonts w:hAnsi="宋体"/>
          <w:color w:val="auto"/>
          <w:kern w:val="2"/>
          <w:sz w:val="21"/>
          <w:szCs w:val="21"/>
          <w:highlight w:val="none"/>
        </w:rPr>
      </w:pPr>
      <w:r>
        <w:rPr>
          <w:rFonts w:hAnsi="宋体"/>
          <w:color w:val="auto"/>
          <w:spacing w:val="-3"/>
          <w:sz w:val="21"/>
          <w:szCs w:val="21"/>
          <w:highlight w:val="none"/>
        </w:rPr>
        <w:t>1.</w:t>
      </w:r>
      <w:r>
        <w:rPr>
          <w:rFonts w:hint="eastAsia" w:hAnsi="宋体"/>
          <w:color w:val="auto"/>
          <w:spacing w:val="-3"/>
          <w:sz w:val="21"/>
          <w:szCs w:val="21"/>
          <w:highlight w:val="none"/>
        </w:rPr>
        <w:t>节能产品认证应依据相关国家标准的最新版本，依据国家标准中二级能效（水效）</w:t>
      </w:r>
      <w:r>
        <w:rPr>
          <w:rFonts w:hint="eastAsia" w:hAnsi="宋体"/>
          <w:color w:val="auto"/>
          <w:sz w:val="21"/>
          <w:szCs w:val="21"/>
          <w:highlight w:val="none"/>
        </w:rPr>
        <w:t>指标。</w:t>
      </w:r>
    </w:p>
    <w:p w14:paraId="7DEBEA84">
      <w:pPr>
        <w:pStyle w:val="3"/>
        <w:spacing w:line="360" w:lineRule="auto"/>
        <w:ind w:firstLine="42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.以</w:t>
      </w:r>
      <w:r>
        <w:rPr>
          <w:rFonts w:hAnsi="宋体"/>
          <w:color w:val="auto"/>
          <w:sz w:val="21"/>
          <w:szCs w:val="21"/>
          <w:highlight w:val="none"/>
        </w:rPr>
        <w:t>“</w:t>
      </w:r>
      <w:r>
        <w:rPr>
          <w:rFonts w:hint="eastAsia" w:hAnsi="宋体" w:cs="宋体"/>
          <w:color w:val="auto"/>
          <w:szCs w:val="21"/>
          <w:highlight w:val="none"/>
        </w:rPr>
        <w:t>★</w:t>
      </w:r>
      <w:r>
        <w:rPr>
          <w:rFonts w:hAnsi="宋体"/>
          <w:color w:val="auto"/>
          <w:sz w:val="21"/>
          <w:szCs w:val="21"/>
          <w:highlight w:val="none"/>
        </w:rPr>
        <w:t>”</w:t>
      </w:r>
      <w:r>
        <w:rPr>
          <w:rFonts w:hint="eastAsia" w:hAnsi="宋体"/>
          <w:color w:val="auto"/>
          <w:sz w:val="21"/>
          <w:szCs w:val="21"/>
          <w:highlight w:val="none"/>
        </w:rPr>
        <w:t>标注的为政府强制采购产品。</w:t>
      </w:r>
    </w:p>
    <w:p w14:paraId="7121C52C">
      <w:pPr>
        <w:widowControl w:val="0"/>
        <w:ind w:firstLine="424" w:firstLineChars="202"/>
        <w:rPr>
          <w:rFonts w:ascii="宋体" w:hAnsi="宋体" w:eastAsia="宋体" w:cs="Times New Roman"/>
          <w:color w:val="auto"/>
          <w:highlight w:val="none"/>
        </w:rPr>
      </w:pPr>
    </w:p>
    <w:p w14:paraId="6BB7F7DE">
      <w:pPr>
        <w:widowControl w:val="0"/>
        <w:ind w:firstLine="424" w:firstLineChars="202"/>
        <w:rPr>
          <w:rFonts w:ascii="宋体" w:hAnsi="宋体" w:eastAsia="宋体" w:cs="Times New Roman"/>
          <w:color w:val="auto"/>
          <w:highlight w:val="none"/>
        </w:rPr>
      </w:pPr>
    </w:p>
    <w:p w14:paraId="5ADBD67E">
      <w:pPr>
        <w:widowControl w:val="0"/>
        <w:ind w:firstLine="424" w:firstLineChars="202"/>
        <w:rPr>
          <w:rFonts w:ascii="宋体" w:hAnsi="宋体" w:eastAsia="宋体" w:cs="Times New Roman"/>
          <w:color w:val="auto"/>
          <w:highlight w:val="none"/>
        </w:rPr>
      </w:pPr>
    </w:p>
    <w:p w14:paraId="527C9375">
      <w:pPr>
        <w:widowControl w:val="0"/>
        <w:ind w:firstLine="424" w:firstLineChars="202"/>
        <w:rPr>
          <w:rFonts w:ascii="宋体" w:hAnsi="宋体" w:eastAsia="宋体" w:cs="Times New Roman"/>
          <w:color w:val="auto"/>
          <w:highlight w:val="none"/>
        </w:rPr>
      </w:pPr>
    </w:p>
    <w:p w14:paraId="2EF27166">
      <w:pPr>
        <w:widowControl w:val="0"/>
        <w:ind w:firstLine="424" w:firstLineChars="202"/>
        <w:rPr>
          <w:rFonts w:ascii="宋体" w:hAnsi="宋体" w:eastAsia="宋体" w:cs="Times New Roman"/>
          <w:color w:val="auto"/>
          <w:highlight w:val="none"/>
        </w:rPr>
      </w:pPr>
    </w:p>
    <w:p w14:paraId="33EC89B8">
      <w:pPr>
        <w:widowControl w:val="0"/>
        <w:ind w:firstLine="424" w:firstLineChars="202"/>
        <w:rPr>
          <w:rFonts w:ascii="宋体" w:hAnsi="宋体" w:eastAsia="宋体" w:cs="Times New Roman"/>
          <w:color w:val="auto"/>
          <w:highlight w:val="none"/>
        </w:rPr>
      </w:pPr>
    </w:p>
    <w:p w14:paraId="075E3DB1">
      <w:pPr>
        <w:widowControl w:val="0"/>
        <w:ind w:firstLine="424" w:firstLineChars="202"/>
        <w:rPr>
          <w:rFonts w:ascii="宋体" w:hAnsi="宋体" w:eastAsia="宋体" w:cs="Times New Roman"/>
          <w:color w:val="auto"/>
          <w:highlight w:val="none"/>
        </w:rPr>
      </w:pPr>
    </w:p>
    <w:p w14:paraId="7E5E328A">
      <w:pPr>
        <w:widowControl w:val="0"/>
        <w:ind w:firstLine="424" w:firstLineChars="202"/>
        <w:rPr>
          <w:rFonts w:ascii="宋体" w:hAnsi="宋体" w:eastAsia="宋体" w:cs="Times New Roman"/>
          <w:color w:val="auto"/>
          <w:highlight w:val="none"/>
        </w:rPr>
      </w:pPr>
    </w:p>
    <w:p w14:paraId="3ED7FBA6">
      <w:pPr>
        <w:widowControl w:val="0"/>
        <w:ind w:firstLine="424" w:firstLineChars="202"/>
        <w:rPr>
          <w:rFonts w:ascii="宋体" w:hAnsi="宋体" w:eastAsia="宋体" w:cs="Times New Roman"/>
          <w:color w:val="auto"/>
          <w:highlight w:val="none"/>
        </w:rPr>
      </w:pPr>
    </w:p>
    <w:p w14:paraId="1EDDA02F">
      <w:pPr>
        <w:widowControl w:val="0"/>
        <w:ind w:firstLine="424" w:firstLineChars="202"/>
        <w:rPr>
          <w:rFonts w:ascii="宋体" w:hAnsi="宋体" w:eastAsia="宋体" w:cs="Times New Roman"/>
          <w:color w:val="auto"/>
          <w:highlight w:val="none"/>
        </w:rPr>
      </w:pPr>
    </w:p>
    <w:p w14:paraId="345CFA4E">
      <w:pPr>
        <w:widowControl w:val="0"/>
        <w:ind w:firstLine="424" w:firstLineChars="202"/>
        <w:rPr>
          <w:rFonts w:ascii="宋体" w:hAnsi="宋体" w:eastAsia="宋体" w:cs="Times New Roman"/>
          <w:color w:val="auto"/>
          <w:highlight w:val="none"/>
        </w:rPr>
      </w:pPr>
    </w:p>
    <w:p w14:paraId="51A061AA">
      <w:pPr>
        <w:widowControl w:val="0"/>
        <w:ind w:firstLine="424" w:firstLineChars="202"/>
        <w:rPr>
          <w:rFonts w:ascii="宋体" w:hAnsi="宋体" w:eastAsia="宋体" w:cs="Times New Roman"/>
          <w:color w:val="auto"/>
          <w:highlight w:val="none"/>
        </w:rPr>
      </w:pPr>
    </w:p>
    <w:p w14:paraId="532C2F3D">
      <w:pPr>
        <w:widowControl w:val="0"/>
        <w:ind w:firstLine="424" w:firstLineChars="202"/>
        <w:rPr>
          <w:rFonts w:ascii="宋体" w:hAnsi="宋体" w:eastAsia="宋体" w:cs="Times New Roman"/>
          <w:color w:val="auto"/>
          <w:highlight w:val="none"/>
        </w:rPr>
      </w:pPr>
    </w:p>
    <w:p w14:paraId="00B41BDA">
      <w:pPr>
        <w:widowControl w:val="0"/>
        <w:ind w:firstLine="424" w:firstLineChars="202"/>
        <w:rPr>
          <w:rFonts w:ascii="宋体" w:hAnsi="宋体" w:eastAsia="宋体" w:cs="Times New Roman"/>
          <w:color w:val="auto"/>
          <w:highlight w:val="none"/>
        </w:rPr>
      </w:pPr>
    </w:p>
    <w:p w14:paraId="14B47FE6">
      <w:pPr>
        <w:spacing w:line="240" w:lineRule="auto"/>
        <w:ind w:firstLine="0" w:firstLineChars="0"/>
        <w:rPr>
          <w:rFonts w:ascii="宋体" w:hAnsi="宋体" w:eastAsia="宋体" w:cs="Times New Roman"/>
          <w:color w:val="auto"/>
          <w:highlight w:val="none"/>
        </w:rPr>
      </w:pPr>
      <w:r>
        <w:rPr>
          <w:rFonts w:ascii="宋体" w:hAnsi="宋体" w:eastAsia="宋体" w:cs="Times New Roman"/>
          <w:color w:val="auto"/>
          <w:highlight w:val="none"/>
        </w:rPr>
        <w:br w:type="page"/>
      </w:r>
    </w:p>
    <w:p w14:paraId="0AEF34D6">
      <w:pPr>
        <w:ind w:firstLine="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14:paraId="2387A071">
      <w:pPr>
        <w:pStyle w:val="3"/>
        <w:ind w:firstLine="562"/>
        <w:jc w:val="center"/>
        <w:rPr>
          <w:b/>
          <w:color w:val="auto"/>
          <w:sz w:val="28"/>
          <w:szCs w:val="28"/>
          <w:highlight w:val="none"/>
        </w:rPr>
      </w:pPr>
      <w:r>
        <w:rPr>
          <w:rFonts w:hint="eastAsia"/>
          <w:b/>
          <w:color w:val="auto"/>
          <w:sz w:val="28"/>
          <w:szCs w:val="28"/>
          <w:highlight w:val="none"/>
        </w:rPr>
        <w:t>中小企业划型标准规定</w:t>
      </w:r>
    </w:p>
    <w:p w14:paraId="762135CE">
      <w:pPr>
        <w:pStyle w:val="3"/>
        <w:ind w:firstLine="480"/>
        <w:jc w:val="center"/>
        <w:rPr>
          <w:rFonts w:ascii="宋体" w:hAnsi="宋体"/>
          <w:color w:val="auto"/>
          <w:sz w:val="21"/>
          <w:szCs w:val="21"/>
          <w:highlight w:val="none"/>
        </w:rPr>
      </w:pPr>
      <w:r>
        <w:rPr>
          <w:rFonts w:hint="eastAsia" w:ascii="宋体" w:hAnsi="宋体"/>
          <w:color w:val="auto"/>
          <w:szCs w:val="21"/>
          <w:highlight w:val="none"/>
        </w:rPr>
        <w:t>工信部联企业[2011]300号</w:t>
      </w:r>
    </w:p>
    <w:p w14:paraId="642060C8">
      <w:pPr>
        <w:pStyle w:val="3"/>
        <w:ind w:firstLine="480"/>
        <w:rPr>
          <w:color w:val="auto"/>
          <w:szCs w:val="21"/>
          <w:highlight w:val="none"/>
        </w:rPr>
      </w:pPr>
    </w:p>
    <w:p w14:paraId="7236E887">
      <w:pPr>
        <w:pStyle w:val="3"/>
        <w:ind w:firstLine="480"/>
        <w:rPr>
          <w:rFonts w:hint="eastAsia"/>
          <w:color w:val="auto"/>
          <w:szCs w:val="21"/>
          <w:highlight w:val="none"/>
        </w:rPr>
      </w:pPr>
      <w:r>
        <w:rPr>
          <w:rFonts w:hint="eastAsia"/>
          <w:color w:val="auto"/>
          <w:szCs w:val="21"/>
          <w:highlight w:val="none"/>
        </w:rPr>
        <w:t>一、根据《中华人民共和国中小企业促进法》和《国务院关于进一步促进中小企业发展的若干意见》(国发[2009]36号)，制定本规定。</w:t>
      </w:r>
    </w:p>
    <w:p w14:paraId="5CA4308A">
      <w:pPr>
        <w:pStyle w:val="3"/>
        <w:ind w:firstLine="480"/>
        <w:rPr>
          <w:rFonts w:hint="eastAsia"/>
          <w:color w:val="auto"/>
          <w:szCs w:val="21"/>
          <w:highlight w:val="none"/>
        </w:rPr>
      </w:pPr>
      <w:r>
        <w:rPr>
          <w:rFonts w:hint="eastAsia"/>
          <w:color w:val="auto"/>
          <w:szCs w:val="21"/>
          <w:highlight w:val="none"/>
        </w:rPr>
        <w:t>二、中小企业划分为中型、小型、微型三种类型，具体标准根据企业从业人员、营业收入、资产总额等指标，结合行业特点制定。</w:t>
      </w:r>
    </w:p>
    <w:p w14:paraId="53E685DB">
      <w:pPr>
        <w:pStyle w:val="3"/>
        <w:ind w:firstLine="480"/>
        <w:rPr>
          <w:rFonts w:hint="eastAsia"/>
          <w:color w:val="auto"/>
          <w:szCs w:val="21"/>
          <w:highlight w:val="none"/>
        </w:rPr>
      </w:pPr>
      <w:r>
        <w:rPr>
          <w:rFonts w:hint="eastAsia"/>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F1C8F0">
      <w:pPr>
        <w:pStyle w:val="3"/>
        <w:ind w:firstLine="480"/>
        <w:rPr>
          <w:rFonts w:hint="eastAsia"/>
          <w:color w:val="auto"/>
          <w:szCs w:val="21"/>
          <w:highlight w:val="none"/>
        </w:rPr>
      </w:pPr>
      <w:r>
        <w:rPr>
          <w:rFonts w:hint="eastAsia"/>
          <w:color w:val="auto"/>
          <w:szCs w:val="21"/>
          <w:highlight w:val="none"/>
        </w:rPr>
        <w:t>四、各行业划型标准为：</w:t>
      </w:r>
    </w:p>
    <w:p w14:paraId="069632CA">
      <w:pPr>
        <w:pStyle w:val="3"/>
        <w:ind w:firstLine="480"/>
        <w:rPr>
          <w:rFonts w:hint="eastAsia"/>
          <w:color w:val="auto"/>
          <w:szCs w:val="21"/>
          <w:highlight w:val="none"/>
        </w:rPr>
      </w:pPr>
      <w:r>
        <w:rPr>
          <w:rFonts w:hint="eastAsia"/>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7BC5B18C">
      <w:pPr>
        <w:pStyle w:val="3"/>
        <w:ind w:firstLine="480"/>
        <w:rPr>
          <w:rFonts w:hint="eastAsia"/>
          <w:color w:val="auto"/>
          <w:szCs w:val="21"/>
          <w:highlight w:val="none"/>
        </w:rPr>
      </w:pPr>
      <w:r>
        <w:rPr>
          <w:rFonts w:hint="eastAsia"/>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332158">
      <w:pPr>
        <w:pStyle w:val="3"/>
        <w:ind w:firstLine="480"/>
        <w:rPr>
          <w:rFonts w:hint="eastAsia"/>
          <w:color w:val="auto"/>
          <w:szCs w:val="21"/>
          <w:highlight w:val="none"/>
        </w:rPr>
      </w:pPr>
      <w:r>
        <w:rPr>
          <w:rFonts w:hint="eastAsia"/>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509DAC">
      <w:pPr>
        <w:pStyle w:val="3"/>
        <w:ind w:firstLine="480"/>
        <w:rPr>
          <w:rFonts w:hint="eastAsia"/>
          <w:color w:val="auto"/>
          <w:szCs w:val="21"/>
          <w:highlight w:val="none"/>
        </w:rPr>
      </w:pPr>
      <w:r>
        <w:rPr>
          <w:rFonts w:hint="eastAsia"/>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C8DEAA">
      <w:pPr>
        <w:pStyle w:val="3"/>
        <w:ind w:firstLine="480"/>
        <w:rPr>
          <w:rFonts w:hint="eastAsia"/>
          <w:color w:val="auto"/>
          <w:szCs w:val="21"/>
          <w:highlight w:val="none"/>
        </w:rPr>
      </w:pPr>
      <w:r>
        <w:rPr>
          <w:rFonts w:hint="eastAsia"/>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259ADD">
      <w:pPr>
        <w:pStyle w:val="3"/>
        <w:ind w:firstLine="480"/>
        <w:rPr>
          <w:rFonts w:hint="eastAsia"/>
          <w:color w:val="auto"/>
          <w:szCs w:val="21"/>
          <w:highlight w:val="none"/>
        </w:rPr>
      </w:pPr>
      <w:r>
        <w:rPr>
          <w:rFonts w:hint="eastAsia"/>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F1C549">
      <w:pPr>
        <w:pStyle w:val="3"/>
        <w:ind w:firstLine="480"/>
        <w:rPr>
          <w:rFonts w:hint="eastAsia"/>
          <w:color w:val="auto"/>
          <w:szCs w:val="21"/>
          <w:highlight w:val="none"/>
        </w:rPr>
      </w:pPr>
      <w:r>
        <w:rPr>
          <w:rFonts w:hint="eastAsia"/>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C01868">
      <w:pPr>
        <w:pStyle w:val="3"/>
        <w:ind w:firstLine="480"/>
        <w:rPr>
          <w:rFonts w:hint="eastAsia"/>
          <w:color w:val="auto"/>
          <w:szCs w:val="21"/>
          <w:highlight w:val="none"/>
        </w:rPr>
      </w:pPr>
      <w:r>
        <w:rPr>
          <w:rFonts w:hint="eastAsia"/>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19551B">
      <w:pPr>
        <w:pStyle w:val="3"/>
        <w:ind w:firstLine="480"/>
        <w:rPr>
          <w:rFonts w:hint="eastAsia"/>
          <w:color w:val="auto"/>
          <w:szCs w:val="21"/>
          <w:highlight w:val="none"/>
        </w:rPr>
      </w:pPr>
      <w:r>
        <w:rPr>
          <w:rFonts w:hint="eastAsia"/>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971DA6">
      <w:pPr>
        <w:pStyle w:val="3"/>
        <w:ind w:firstLine="480"/>
        <w:rPr>
          <w:rFonts w:hint="eastAsia"/>
          <w:color w:val="auto"/>
          <w:szCs w:val="21"/>
          <w:highlight w:val="none"/>
        </w:rPr>
      </w:pPr>
      <w:r>
        <w:rPr>
          <w:rFonts w:hint="eastAsia"/>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05D4D6">
      <w:pPr>
        <w:pStyle w:val="3"/>
        <w:ind w:firstLine="480"/>
        <w:rPr>
          <w:rFonts w:hint="eastAsia"/>
          <w:color w:val="auto"/>
          <w:szCs w:val="21"/>
          <w:highlight w:val="none"/>
        </w:rPr>
      </w:pPr>
      <w:r>
        <w:rPr>
          <w:rFonts w:hint="eastAsia"/>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E34612">
      <w:pPr>
        <w:pStyle w:val="3"/>
        <w:ind w:firstLine="480"/>
        <w:rPr>
          <w:rFonts w:hint="eastAsia"/>
          <w:color w:val="auto"/>
          <w:szCs w:val="21"/>
          <w:highlight w:val="none"/>
        </w:rPr>
      </w:pPr>
      <w:r>
        <w:rPr>
          <w:rFonts w:hint="eastAsia"/>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42A1F8">
      <w:pPr>
        <w:pStyle w:val="3"/>
        <w:ind w:firstLine="480"/>
        <w:rPr>
          <w:rFonts w:hint="eastAsia"/>
          <w:color w:val="auto"/>
          <w:szCs w:val="21"/>
          <w:highlight w:val="none"/>
        </w:rPr>
      </w:pPr>
      <w:r>
        <w:rPr>
          <w:rFonts w:hint="eastAsia"/>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D2B577">
      <w:pPr>
        <w:pStyle w:val="3"/>
        <w:ind w:firstLine="480"/>
        <w:rPr>
          <w:rFonts w:hint="eastAsia"/>
          <w:color w:val="auto"/>
          <w:szCs w:val="21"/>
          <w:highlight w:val="none"/>
        </w:rPr>
      </w:pPr>
      <w:r>
        <w:rPr>
          <w:rFonts w:hint="eastAsia"/>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CA2CEB">
      <w:pPr>
        <w:pStyle w:val="3"/>
        <w:ind w:firstLine="480"/>
        <w:rPr>
          <w:rFonts w:hint="eastAsia"/>
          <w:color w:val="auto"/>
          <w:szCs w:val="21"/>
          <w:highlight w:val="none"/>
        </w:rPr>
      </w:pPr>
      <w:r>
        <w:rPr>
          <w:rFonts w:hint="eastAsia"/>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48E0FE">
      <w:pPr>
        <w:pStyle w:val="3"/>
        <w:ind w:firstLine="480"/>
        <w:rPr>
          <w:rFonts w:hint="eastAsia"/>
          <w:color w:val="auto"/>
          <w:szCs w:val="21"/>
          <w:highlight w:val="none"/>
        </w:rPr>
      </w:pPr>
      <w:r>
        <w:rPr>
          <w:rFonts w:hint="eastAsia"/>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3AEBA7A3">
      <w:pPr>
        <w:pStyle w:val="3"/>
        <w:ind w:firstLine="480"/>
        <w:rPr>
          <w:rFonts w:hint="eastAsia"/>
          <w:color w:val="auto"/>
          <w:szCs w:val="21"/>
          <w:highlight w:val="none"/>
        </w:rPr>
      </w:pPr>
      <w:r>
        <w:rPr>
          <w:rFonts w:hint="eastAsia"/>
          <w:color w:val="auto"/>
          <w:szCs w:val="21"/>
          <w:highlight w:val="none"/>
        </w:rPr>
        <w:t>五、企业类型的划分以统计部门的统计数据为依据。</w:t>
      </w:r>
    </w:p>
    <w:p w14:paraId="58B23046">
      <w:pPr>
        <w:pStyle w:val="3"/>
        <w:ind w:firstLine="480"/>
        <w:rPr>
          <w:rFonts w:hint="eastAsia"/>
          <w:color w:val="auto"/>
          <w:szCs w:val="21"/>
          <w:highlight w:val="none"/>
        </w:rPr>
      </w:pPr>
      <w:r>
        <w:rPr>
          <w:rFonts w:hint="eastAsia"/>
          <w:color w:val="auto"/>
          <w:szCs w:val="21"/>
          <w:highlight w:val="none"/>
        </w:rPr>
        <w:t>六、本规定适用于在中华人民共和国境内依法设立的各类所有制和各种组织形式的企业。个体工商户和本规定以外的行业，参照本规定进行划型。</w:t>
      </w:r>
    </w:p>
    <w:p w14:paraId="7B0CA772">
      <w:pPr>
        <w:pStyle w:val="3"/>
        <w:ind w:firstLine="480"/>
        <w:rPr>
          <w:rFonts w:hint="eastAsia"/>
          <w:color w:val="auto"/>
          <w:szCs w:val="21"/>
          <w:highlight w:val="none"/>
        </w:rPr>
      </w:pPr>
      <w:r>
        <w:rPr>
          <w:rFonts w:hint="eastAsia"/>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0818EF7">
      <w:pPr>
        <w:pStyle w:val="3"/>
        <w:ind w:firstLine="480"/>
        <w:rPr>
          <w:rFonts w:hint="eastAsia"/>
          <w:color w:val="auto"/>
          <w:szCs w:val="21"/>
          <w:highlight w:val="none"/>
        </w:rPr>
      </w:pPr>
      <w:r>
        <w:rPr>
          <w:rFonts w:hint="eastAsia"/>
          <w:color w:val="auto"/>
          <w:szCs w:val="21"/>
          <w:highlight w:val="none"/>
        </w:rPr>
        <w:t>八、本规定由工业和信息化部、国家统计局会同有关部门根据《国民经济行业分类》修订情况和企业发展变化情况适时修订。</w:t>
      </w:r>
    </w:p>
    <w:p w14:paraId="4DEB7D7F">
      <w:pPr>
        <w:pStyle w:val="3"/>
        <w:ind w:firstLine="480"/>
        <w:rPr>
          <w:rFonts w:hint="eastAsia"/>
          <w:color w:val="auto"/>
          <w:szCs w:val="21"/>
          <w:highlight w:val="none"/>
        </w:rPr>
      </w:pPr>
      <w:r>
        <w:rPr>
          <w:rFonts w:hint="eastAsia"/>
          <w:color w:val="auto"/>
          <w:szCs w:val="21"/>
          <w:highlight w:val="none"/>
        </w:rPr>
        <w:t>九、本规定由工业和信息化部、国家统计局会同有关部门负责解释。</w:t>
      </w:r>
    </w:p>
    <w:p w14:paraId="55728096">
      <w:pPr>
        <w:pStyle w:val="3"/>
        <w:ind w:firstLine="48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24CF254E">
      <w:pPr>
        <w:widowControl w:val="0"/>
        <w:ind w:firstLine="424" w:firstLineChars="202"/>
        <w:rPr>
          <w:rFonts w:ascii="宋体" w:hAnsi="宋体" w:eastAsia="宋体" w:cs="Times New Roman"/>
          <w:color w:val="auto"/>
          <w:highlight w:val="none"/>
        </w:rPr>
      </w:pPr>
    </w:p>
    <w:p w14:paraId="344CAE30">
      <w:pPr>
        <w:pStyle w:val="9"/>
        <w:rPr>
          <w:rFonts w:ascii="宋体" w:hAnsi="宋体" w:eastAsia="宋体" w:cs="Times New Roman"/>
          <w:color w:val="auto"/>
          <w:highlight w:val="none"/>
        </w:rPr>
      </w:pPr>
    </w:p>
    <w:p w14:paraId="01F65D4F">
      <w:pPr>
        <w:pStyle w:val="9"/>
        <w:rPr>
          <w:rFonts w:ascii="宋体" w:hAnsi="宋体" w:eastAsia="宋体" w:cs="Times New Roman"/>
          <w:color w:val="auto"/>
          <w:highlight w:val="none"/>
        </w:rPr>
      </w:pPr>
    </w:p>
    <w:p w14:paraId="32701CE0">
      <w:pPr>
        <w:pStyle w:val="9"/>
        <w:rPr>
          <w:rFonts w:ascii="宋体" w:hAnsi="宋体" w:eastAsia="宋体" w:cs="Times New Roman"/>
          <w:color w:val="auto"/>
          <w:highlight w:val="none"/>
        </w:rPr>
      </w:pPr>
    </w:p>
    <w:p w14:paraId="3CB6894C">
      <w:pPr>
        <w:pStyle w:val="9"/>
        <w:rPr>
          <w:rFonts w:ascii="宋体" w:hAnsi="宋体" w:eastAsia="宋体" w:cs="Times New Roman"/>
          <w:color w:val="auto"/>
          <w:highlight w:val="none"/>
        </w:rPr>
      </w:pPr>
    </w:p>
    <w:p w14:paraId="11C792DC">
      <w:pPr>
        <w:pStyle w:val="9"/>
        <w:rPr>
          <w:rFonts w:ascii="宋体" w:hAnsi="宋体" w:eastAsia="宋体" w:cs="Times New Roman"/>
          <w:color w:val="auto"/>
          <w:highlight w:val="none"/>
        </w:rPr>
      </w:pPr>
    </w:p>
    <w:p w14:paraId="012E8898">
      <w:pPr>
        <w:pStyle w:val="9"/>
        <w:rPr>
          <w:rFonts w:ascii="宋体" w:hAnsi="宋体" w:eastAsia="宋体" w:cs="Times New Roman"/>
          <w:color w:val="auto"/>
          <w:highlight w:val="none"/>
        </w:rPr>
      </w:pPr>
    </w:p>
    <w:p w14:paraId="750DA366">
      <w:pPr>
        <w:pStyle w:val="9"/>
        <w:rPr>
          <w:rFonts w:ascii="宋体" w:hAnsi="宋体" w:eastAsia="宋体" w:cs="Times New Roman"/>
          <w:color w:val="auto"/>
          <w:highlight w:val="none"/>
        </w:rPr>
      </w:pPr>
    </w:p>
    <w:p w14:paraId="0E970669">
      <w:pPr>
        <w:pStyle w:val="9"/>
        <w:rPr>
          <w:rFonts w:ascii="宋体" w:hAnsi="宋体" w:eastAsia="宋体" w:cs="Times New Roman"/>
          <w:color w:val="auto"/>
          <w:highlight w:val="none"/>
        </w:rPr>
      </w:pPr>
    </w:p>
    <w:p w14:paraId="06394C68">
      <w:pPr>
        <w:pStyle w:val="9"/>
        <w:rPr>
          <w:rFonts w:ascii="宋体" w:hAnsi="宋体" w:eastAsia="宋体" w:cs="Times New Roman"/>
          <w:color w:val="auto"/>
          <w:highlight w:val="none"/>
        </w:rPr>
      </w:pPr>
    </w:p>
    <w:p w14:paraId="21EF3592">
      <w:pPr>
        <w:pStyle w:val="9"/>
        <w:rPr>
          <w:rFonts w:ascii="宋体" w:hAnsi="宋体" w:eastAsia="宋体" w:cs="Times New Roman"/>
          <w:color w:val="auto"/>
          <w:highlight w:val="none"/>
        </w:rPr>
      </w:pPr>
    </w:p>
    <w:p w14:paraId="2489BB19">
      <w:pPr>
        <w:pStyle w:val="9"/>
        <w:rPr>
          <w:rFonts w:ascii="宋体" w:hAnsi="宋体" w:eastAsia="宋体" w:cs="Times New Roman"/>
          <w:color w:val="auto"/>
          <w:highlight w:val="none"/>
        </w:rPr>
      </w:pPr>
    </w:p>
    <w:p w14:paraId="5127288A">
      <w:pPr>
        <w:pStyle w:val="9"/>
        <w:rPr>
          <w:rFonts w:ascii="宋体" w:hAnsi="宋体" w:eastAsia="宋体" w:cs="Times New Roman"/>
          <w:color w:val="auto"/>
          <w:highlight w:val="none"/>
        </w:rPr>
      </w:pPr>
    </w:p>
    <w:p w14:paraId="3FE6B47D">
      <w:pPr>
        <w:pStyle w:val="44"/>
        <w:rPr>
          <w:color w:val="auto"/>
          <w:highlight w:val="none"/>
        </w:rPr>
      </w:pPr>
      <w:bookmarkStart w:id="26" w:name="_Toc74322608"/>
      <w:bookmarkStart w:id="27" w:name="_Toc76480568"/>
      <w:r>
        <w:rPr>
          <w:rFonts w:hint="eastAsia"/>
          <w:color w:val="auto"/>
          <w:highlight w:val="none"/>
        </w:rPr>
        <w:t>第四章 评审程序、评审方法和评审标准</w:t>
      </w:r>
      <w:bookmarkEnd w:id="26"/>
      <w:bookmarkEnd w:id="27"/>
    </w:p>
    <w:p w14:paraId="7A93E5F9">
      <w:pPr>
        <w:pStyle w:val="62"/>
        <w:rPr>
          <w:color w:val="auto"/>
          <w:highlight w:val="none"/>
        </w:rPr>
      </w:pPr>
      <w:r>
        <w:rPr>
          <w:rFonts w:hint="eastAsia"/>
          <w:color w:val="auto"/>
          <w:highlight w:val="none"/>
        </w:rPr>
        <w:t>一、评审程序和评审方法</w:t>
      </w:r>
    </w:p>
    <w:p w14:paraId="4247E037">
      <w:pPr>
        <w:spacing w:line="360" w:lineRule="auto"/>
        <w:ind w:firstLine="482" w:firstLineChars="200"/>
        <w:rPr>
          <w:rFonts w:ascii="黑体" w:hAnsi="黑体" w:eastAsia="黑体" w:cs="宋体"/>
          <w:b/>
          <w:bCs/>
          <w:color w:val="000000"/>
          <w:sz w:val="24"/>
          <w:highlight w:val="none"/>
        </w:rPr>
      </w:pPr>
      <w:r>
        <w:rPr>
          <w:rFonts w:ascii="黑体" w:hAnsi="黑体" w:eastAsia="黑体" w:cs="宋体"/>
          <w:b/>
          <w:bCs/>
          <w:color w:val="000000"/>
          <w:sz w:val="24"/>
          <w:highlight w:val="none"/>
        </w:rPr>
        <w:t>1</w:t>
      </w:r>
      <w:r>
        <w:rPr>
          <w:rFonts w:hint="eastAsia" w:ascii="黑体" w:hAnsi="黑体" w:eastAsia="黑体" w:cs="宋体"/>
          <w:b/>
          <w:bCs/>
          <w:color w:val="000000"/>
          <w:sz w:val="24"/>
          <w:highlight w:val="none"/>
        </w:rPr>
        <w:t>.确认谈判文件</w:t>
      </w:r>
    </w:p>
    <w:p w14:paraId="398E3A4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由谈判小组确认谈判文件。</w:t>
      </w:r>
    </w:p>
    <w:p w14:paraId="698DDD0F">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2</w:t>
      </w:r>
      <w:r>
        <w:rPr>
          <w:rFonts w:hint="eastAsia" w:ascii="黑体" w:hAnsi="黑体" w:eastAsia="黑体" w:cs="宋体"/>
          <w:b/>
          <w:bCs/>
          <w:color w:val="000000"/>
          <w:sz w:val="24"/>
          <w:highlight w:val="none"/>
        </w:rPr>
        <w:t>.资格审查</w:t>
      </w:r>
    </w:p>
    <w:p w14:paraId="49CF5670">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.1响应文件开启后，谈判小组依法对供应商的资格证明文件进行审查。</w:t>
      </w:r>
    </w:p>
    <w:p w14:paraId="3CD1AD9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注：</w:t>
      </w:r>
      <w:r>
        <w:rPr>
          <w:rFonts w:hint="eastAsia"/>
          <w:color w:val="000000"/>
          <w:highlight w:val="none"/>
        </w:rPr>
        <w:t>谈判小组</w:t>
      </w:r>
      <w:r>
        <w:rPr>
          <w:rFonts w:hint="eastAsia" w:ascii="宋体" w:hAnsi="宋体" w:cs="宋体"/>
          <w:color w:val="000000"/>
          <w:szCs w:val="21"/>
          <w:highlight w:val="none"/>
        </w:rPr>
        <w:t>在资格审查结束前，对供应商进行信用查询。</w:t>
      </w:r>
    </w:p>
    <w:p w14:paraId="52FDB34E">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（1）查询渠道：广西政府采购云平台“信用中国”网站(www.creditchina.gov.cn)、中国政府采购网(www.ccgp.gov.cn)链接入口。</w:t>
      </w:r>
    </w:p>
    <w:p w14:paraId="4249757E">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（2）信用查询截止时点：资格审查结束前。</w:t>
      </w:r>
    </w:p>
    <w:p w14:paraId="7B0A7DD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（3）查询记录和证据留存方式：在查询网站中直接查询，截图另存为电子文档作为评审资料保存。</w:t>
      </w:r>
    </w:p>
    <w:p w14:paraId="45D82B6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szCs w:val="21"/>
          <w:highlight w:val="none"/>
        </w:rPr>
        <w:t>。</w:t>
      </w:r>
    </w:p>
    <w:p w14:paraId="04D73E47">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.2资格审查标准为本谈判文件中载明对供应商资格要求的条件。本项目资格审查采用合格制，凡符合谈判文件规定的供应商资格要求的供应商均通过资格审查。</w:t>
      </w:r>
    </w:p>
    <w:p w14:paraId="2EE73368">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.3 供应商有下列情形之一的，资格审查不通过，其响应文件按无效处理：</w:t>
      </w:r>
    </w:p>
    <w:p w14:paraId="4DCD84A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rPr>
        <w:t>）不具备谈判文件中规定的资格要求的；</w:t>
      </w:r>
    </w:p>
    <w:p w14:paraId="375BC8B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（2）未按谈判文件规定的方式获取本谈判文件的供应商；</w:t>
      </w:r>
    </w:p>
    <w:p w14:paraId="551C4C00">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s="宋体"/>
          <w:color w:val="000000"/>
          <w:szCs w:val="21"/>
          <w:highlight w:val="none"/>
        </w:rPr>
        <w:t>）响应文件中的资格证明文件缺少任一项“供应商须知前附表”资格证明文件规定的“必须提供”的文件资料的；</w:t>
      </w:r>
    </w:p>
    <w:p w14:paraId="4433DD7A">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4</w:t>
      </w:r>
      <w:r>
        <w:rPr>
          <w:rFonts w:hint="eastAsia" w:ascii="宋体" w:hAnsi="宋体" w:cs="宋体"/>
          <w:color w:val="000000"/>
          <w:szCs w:val="21"/>
          <w:highlight w:val="none"/>
        </w:rPr>
        <w:t>）响应文件中的资格证明文件出现任一项不符合“供应商须知前附表”资格证明文件规定的“必须提供”的文件资料要求或者无效的；</w:t>
      </w:r>
    </w:p>
    <w:p w14:paraId="0C6F1DE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06714AF">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.4通过资格审查的合格供应商不足3家（本章</w:t>
      </w:r>
      <w:r>
        <w:rPr>
          <w:rFonts w:ascii="宋体" w:hAnsi="宋体" w:cs="宋体"/>
          <w:color w:val="000000"/>
          <w:szCs w:val="21"/>
          <w:highlight w:val="none"/>
        </w:rPr>
        <w:t>3.7</w:t>
      </w:r>
      <w:r>
        <w:rPr>
          <w:rFonts w:hint="eastAsia" w:ascii="宋体" w:hAnsi="宋体" w:cs="宋体"/>
          <w:color w:val="000000"/>
          <w:szCs w:val="21"/>
          <w:highlight w:val="none"/>
        </w:rPr>
        <w:t>条规定除外）的，不得进入符合性审查环节，应当重新开展采购活动。</w:t>
      </w:r>
    </w:p>
    <w:p w14:paraId="6587CCC7">
      <w:pPr>
        <w:spacing w:line="360" w:lineRule="auto"/>
        <w:ind w:firstLine="482" w:firstLineChars="200"/>
        <w:rPr>
          <w:rFonts w:hint="eastAsia" w:ascii="黑体" w:hAnsi="黑体" w:eastAsia="黑体" w:cs="宋体"/>
          <w:b/>
          <w:bCs/>
          <w:color w:val="000000"/>
          <w:sz w:val="24"/>
          <w:highlight w:val="none"/>
        </w:rPr>
      </w:pPr>
      <w:r>
        <w:rPr>
          <w:rFonts w:ascii="黑体" w:hAnsi="黑体" w:eastAsia="黑体" w:cs="宋体"/>
          <w:b/>
          <w:bCs/>
          <w:color w:val="000000"/>
          <w:sz w:val="24"/>
          <w:highlight w:val="none"/>
        </w:rPr>
        <w:t>3</w:t>
      </w:r>
      <w:r>
        <w:rPr>
          <w:rFonts w:hint="eastAsia" w:ascii="黑体" w:hAnsi="黑体" w:eastAsia="黑体" w:cs="宋体"/>
          <w:b/>
          <w:bCs/>
          <w:color w:val="000000"/>
          <w:sz w:val="24"/>
          <w:highlight w:val="none"/>
        </w:rPr>
        <w:t>.符合性审查</w:t>
      </w:r>
    </w:p>
    <w:p w14:paraId="40465DF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.1</w:t>
      </w:r>
      <w:r>
        <w:rPr>
          <w:rFonts w:hint="eastAsia" w:ascii="宋体" w:hAnsi="宋体" w:cs="宋体"/>
          <w:color w:val="000000"/>
          <w:szCs w:val="21"/>
          <w:highlight w:val="none"/>
        </w:rPr>
        <w:t>谈判小组应当对符合资格的供应商的响应文件进行竞标报价、商务、技术等实质性要求符合性审查，以确定其是否满足谈判文件的实质性要求。</w:t>
      </w:r>
    </w:p>
    <w:p w14:paraId="17339CD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.2</w:t>
      </w:r>
      <w:r>
        <w:rPr>
          <w:rFonts w:hint="eastAsia" w:ascii="宋体" w:hAnsi="宋体" w:cs="宋体"/>
          <w:color w:val="000000"/>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24929C">
      <w:pPr>
        <w:spacing w:line="360" w:lineRule="auto"/>
        <w:ind w:firstLine="420" w:firstLineChars="200"/>
        <w:rPr>
          <w:rFonts w:hint="eastAsia" w:ascii="宋体" w:hAnsi="宋体" w:cs="宋体"/>
          <w:color w:val="000000"/>
          <w:spacing w:val="-6"/>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000000"/>
          <w:highlight w:val="none"/>
        </w:rPr>
        <w:t>签章</w:t>
      </w:r>
      <w:r>
        <w:rPr>
          <w:rFonts w:hint="eastAsia" w:ascii="宋体" w:hAnsi="宋体" w:cs="宋体"/>
          <w:color w:val="000000"/>
          <w:spacing w:val="-6"/>
          <w:szCs w:val="21"/>
          <w:highlight w:val="none"/>
        </w:rPr>
        <w:t>。</w:t>
      </w:r>
    </w:p>
    <w:p w14:paraId="554DBBF3">
      <w:pPr>
        <w:spacing w:line="36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500AC6E2">
      <w:pPr>
        <w:spacing w:line="360" w:lineRule="auto"/>
        <w:ind w:firstLine="396" w:firstLineChars="200"/>
        <w:rPr>
          <w:rFonts w:hint="eastAsia" w:ascii="宋体" w:hAnsi="宋体" w:cs="宋体"/>
          <w:color w:val="000000"/>
          <w:szCs w:val="21"/>
          <w:highlight w:val="none"/>
        </w:rPr>
      </w:pPr>
      <w:r>
        <w:rPr>
          <w:rFonts w:ascii="宋体" w:hAnsi="宋体" w:cs="宋体"/>
          <w:color w:val="000000"/>
          <w:spacing w:val="-6"/>
          <w:szCs w:val="21"/>
          <w:highlight w:val="none"/>
        </w:rPr>
        <w:t>3.4</w:t>
      </w:r>
      <w:r>
        <w:rPr>
          <w:rFonts w:hint="eastAsia" w:ascii="宋体" w:hAnsi="宋体" w:cs="宋体"/>
          <w:color w:val="000000"/>
          <w:szCs w:val="21"/>
          <w:highlight w:val="none"/>
        </w:rPr>
        <w:t xml:space="preserve">首次响应文件报价出现前后不一致的，按照下列规定修正： </w:t>
      </w:r>
    </w:p>
    <w:p w14:paraId="1CC0058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（1）响应文件中报价表内容与响应文件中相应内容不一致的，以报价表为准；</w:t>
      </w:r>
    </w:p>
    <w:p w14:paraId="1246EF5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（2）大写金额和小写金额不一致的，以大写金额为准；</w:t>
      </w:r>
    </w:p>
    <w:p w14:paraId="571BE75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（3）单价金额小数点或者百分比有明显错位的，以报价表的总价为准，并修改单价；</w:t>
      </w:r>
    </w:p>
    <w:p w14:paraId="5D10FF1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（4）总价金额与按单价汇总金额不一致的，以单价金额计算结果为准。</w:t>
      </w:r>
    </w:p>
    <w:p w14:paraId="310DF22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同时出现两种以上不一致的，按照以上（1）-（4）规定的顺序逐条进行修正。修正后的报价经供应商确认后产生约束力，供应商不确认的，其响应文件按无效响应处理。</w:t>
      </w:r>
    </w:p>
    <w:p w14:paraId="35FB40B6">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商务技术报价评审</w:t>
      </w:r>
    </w:p>
    <w:p w14:paraId="69957C9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在评审时，如发现下列情形之一的，将被视为响应文件无效处理：</w:t>
      </w:r>
    </w:p>
    <w:p w14:paraId="7F9026A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（1）商务技术评审</w:t>
      </w:r>
    </w:p>
    <w:p w14:paraId="2992F69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1）响应文件未按谈判文件要求签署、盖章的；</w:t>
      </w:r>
    </w:p>
    <w:p w14:paraId="79C008F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2）委托代理人未能出具有效身份证或者出具的身份证与授权委托书中的信息不符的； </w:t>
      </w:r>
    </w:p>
    <w:p w14:paraId="3BCEDFC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3）提交的竞标保证金无效的或者未按照谈判文件的规定提交竞标保证金；</w:t>
      </w:r>
    </w:p>
    <w:p w14:paraId="6B14977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A7FE84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5）商务要求允许负偏离的条款数超过“供应商须知前附表”规定项数的；</w:t>
      </w:r>
    </w:p>
    <w:p w14:paraId="61F88C0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6）未对竞标有效期作出响应或者响应文件承诺的竞标有效期不满足谈判文件要求；</w:t>
      </w:r>
    </w:p>
    <w:p w14:paraId="7A0A78C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7）响应文件的实质性内容未使用中文表述、使用计量单位不符合谈判文件要求的；</w:t>
      </w:r>
    </w:p>
    <w:p w14:paraId="680DD30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8）响应文件中的文件资料因填写不齐全或者内容虚假或者出现其他情形而导致被谈判小组认定无效的；</w:t>
      </w:r>
    </w:p>
    <w:p w14:paraId="7ABAB9D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9）响应文件含有采购人不能接受的附加条件的；</w:t>
      </w:r>
    </w:p>
    <w:p w14:paraId="74DD0E8A">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0）属于“供应商须知正文”第7.</w:t>
      </w:r>
      <w:r>
        <w:rPr>
          <w:rFonts w:ascii="宋体" w:hAnsi="宋体" w:cs="宋体"/>
          <w:color w:val="000000"/>
          <w:szCs w:val="21"/>
          <w:highlight w:val="none"/>
        </w:rPr>
        <w:t>5</w:t>
      </w:r>
      <w:r>
        <w:rPr>
          <w:rFonts w:hint="eastAsia" w:ascii="宋体" w:hAnsi="宋体" w:cs="宋体"/>
          <w:color w:val="000000"/>
          <w:szCs w:val="21"/>
          <w:highlight w:val="none"/>
        </w:rPr>
        <w:t>条的情形的；</w:t>
      </w:r>
    </w:p>
    <w:p w14:paraId="3D4A26E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11）技术评审允许负偏离的条款数超过“供应商须知前附表”规定项数的；</w:t>
      </w:r>
    </w:p>
    <w:p w14:paraId="0126B18C">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2）虚假竞标，或者出现其他情形而导致被谈判小组认定无效的；</w:t>
      </w:r>
    </w:p>
    <w:p w14:paraId="2A28440A">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3）</w:t>
      </w:r>
      <w:bookmarkStart w:id="28" w:name="_Hlk71704147"/>
      <w:r>
        <w:rPr>
          <w:rFonts w:hint="eastAsia" w:ascii="宋体" w:hAnsi="宋体" w:cs="宋体"/>
          <w:color w:val="000000"/>
          <w:szCs w:val="21"/>
          <w:highlight w:val="none"/>
        </w:rPr>
        <w:t>谈判文件未载明允许提供备选（替代）竞标方案或明确不允许提供备选（替代）竞标方案时，供应商提供了备选（替代）竞标方案的；</w:t>
      </w:r>
      <w:bookmarkEnd w:id="28"/>
    </w:p>
    <w:p w14:paraId="0DE63E0B">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4）响应文件标注的项目名称或者项目编号与谈判文件标注的项目名称或者项目编号不一致的；</w:t>
      </w:r>
    </w:p>
    <w:p w14:paraId="1027275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w:t>
      </w:r>
      <w:r>
        <w:rPr>
          <w:rFonts w:hint="eastAsia" w:ascii="宋体" w:hAnsi="宋体"/>
          <w:color w:val="000000"/>
          <w:szCs w:val="21"/>
          <w:highlight w:val="none"/>
        </w:rPr>
        <w:t>谈判文件明确不允许分包，响应文件拟分包的；</w:t>
      </w:r>
    </w:p>
    <w:p w14:paraId="10262A75">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6）未响应谈判文件实质性要求；</w:t>
      </w:r>
    </w:p>
    <w:p w14:paraId="7DA4E17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17）法律、法规和谈判文件规定的其他无效情形。</w:t>
      </w:r>
    </w:p>
    <w:p w14:paraId="0CFEDD5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2）报</w:t>
      </w:r>
      <w:r>
        <w:rPr>
          <w:rFonts w:hint="eastAsia" w:ascii="宋体" w:hAnsi="宋体" w:cs="宋体"/>
          <w:color w:val="000000"/>
          <w:szCs w:val="21"/>
          <w:highlight w:val="none"/>
        </w:rPr>
        <w:t>价评审</w:t>
      </w:r>
    </w:p>
    <w:p w14:paraId="2483FFE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1）响应文件未提供“供应商须知前附表”报价文件中规定的“竞标报价表”的；</w:t>
      </w:r>
    </w:p>
    <w:p w14:paraId="689E997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2）未采用人民币报价或者未按照谈判文件标明的币种报价的；</w:t>
      </w:r>
    </w:p>
    <w:p w14:paraId="1A7580D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4CD3889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7AED2C7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798D02B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olor w:val="000000"/>
          <w:szCs w:val="21"/>
          <w:highlight w:val="none"/>
        </w:rPr>
        <w:t>响应文件响应的标的数量及单位与竞争性谈判采购文件要求实质性不一致的。</w:t>
      </w:r>
    </w:p>
    <w:p w14:paraId="03159A6E">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2121508">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0004E279">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.8除本章3.7条规定的情形外，通过符合性审查的合格供应商不足3家的，不得进入谈判环节，应当重新开展采购活动。</w:t>
      </w:r>
    </w:p>
    <w:p w14:paraId="24AF6BBC">
      <w:pPr>
        <w:spacing w:line="360" w:lineRule="auto"/>
        <w:ind w:firstLine="482" w:firstLineChars="200"/>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4</w:t>
      </w:r>
      <w:r>
        <w:rPr>
          <w:rFonts w:ascii="黑体" w:hAnsi="黑体" w:eastAsia="黑体" w:cs="宋体"/>
          <w:b/>
          <w:bCs/>
          <w:color w:val="000000"/>
          <w:sz w:val="24"/>
          <w:highlight w:val="none"/>
        </w:rPr>
        <w:t>.</w:t>
      </w:r>
      <w:r>
        <w:rPr>
          <w:rFonts w:hint="eastAsia" w:ascii="黑体" w:hAnsi="黑体" w:eastAsia="黑体" w:cs="宋体"/>
          <w:b/>
          <w:bCs/>
          <w:color w:val="000000"/>
          <w:sz w:val="24"/>
          <w:highlight w:val="none"/>
        </w:rPr>
        <w:t>谈判程序</w:t>
      </w:r>
    </w:p>
    <w:p w14:paraId="08CEED62">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r>
        <w:rPr>
          <w:rFonts w:ascii="宋体" w:hAnsi="宋体" w:cs="宋体"/>
          <w:color w:val="000000"/>
          <w:kern w:val="0"/>
          <w:szCs w:val="21"/>
          <w:highlight w:val="none"/>
        </w:rPr>
        <w:t>.1</w:t>
      </w:r>
      <w:r>
        <w:rPr>
          <w:rFonts w:hint="eastAsia" w:ascii="宋体" w:hAnsi="宋体" w:cs="宋体"/>
          <w:color w:val="000000"/>
          <w:kern w:val="0"/>
          <w:szCs w:val="21"/>
          <w:highlight w:val="none"/>
        </w:rPr>
        <w:t>谈判小组</w:t>
      </w:r>
      <w:r>
        <w:rPr>
          <w:rFonts w:hint="eastAsia" w:ascii="宋体" w:hAnsi="宋体" w:cs="宋体"/>
          <w:color w:val="000000"/>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440F8BA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.2</w:t>
      </w:r>
      <w:r>
        <w:rPr>
          <w:rFonts w:hint="eastAsia" w:ascii="宋体" w:hAnsi="宋体" w:cs="宋体"/>
          <w:color w:val="000000"/>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2CFEAD8D">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4.3</w:t>
      </w:r>
      <w:r>
        <w:rPr>
          <w:rFonts w:hint="eastAsia" w:ascii="宋体" w:hAnsi="宋体" w:cs="宋体"/>
          <w:color w:val="000000"/>
          <w:szCs w:val="21"/>
          <w:highlight w:val="none"/>
        </w:rPr>
        <w:t>对谈判文件作出的实质性变动是谈判文件的有效组成部分，由谈判小组及时以电子澄清函形式同时通知所有参加谈判的供应商。</w:t>
      </w:r>
    </w:p>
    <w:p w14:paraId="3D908BA8">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4.4</w:t>
      </w:r>
      <w:r>
        <w:rPr>
          <w:rFonts w:hint="eastAsia" w:ascii="宋体" w:hAnsi="宋体" w:cs="宋体"/>
          <w:color w:val="000000"/>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923439F">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4.5</w:t>
      </w:r>
      <w:r>
        <w:rPr>
          <w:rFonts w:hint="eastAsia" w:ascii="宋体" w:hAnsi="宋体" w:cs="宋体"/>
          <w:color w:val="000000"/>
          <w:szCs w:val="21"/>
          <w:highlight w:val="none"/>
        </w:rPr>
        <w:t>谈判中，谈判的任何一方不得透露与谈判有关的其他供应商的技术资料、价格和其他信息。</w:t>
      </w:r>
    </w:p>
    <w:p w14:paraId="7654956B">
      <w:pPr>
        <w:widowControl/>
        <w:tabs>
          <w:tab w:val="left" w:pos="540"/>
        </w:tabs>
        <w:spacing w:line="360" w:lineRule="auto"/>
        <w:ind w:firstLine="420" w:firstLineChars="200"/>
        <w:jc w:val="left"/>
        <w:rPr>
          <w:rFonts w:hint="eastAsia" w:ascii="宋体" w:hAnsi="宋体" w:cs="宋体"/>
          <w:color w:val="000000"/>
          <w:szCs w:val="21"/>
          <w:highlight w:val="none"/>
        </w:rPr>
      </w:pPr>
      <w:r>
        <w:rPr>
          <w:rFonts w:ascii="宋体" w:hAnsi="宋体" w:cs="宋体"/>
          <w:color w:val="000000"/>
          <w:szCs w:val="21"/>
          <w:highlight w:val="none"/>
        </w:rPr>
        <w:t>4.6</w:t>
      </w:r>
      <w:r>
        <w:rPr>
          <w:rFonts w:hint="eastAsia" w:ascii="宋体" w:hAnsi="宋体" w:cs="宋体"/>
          <w:color w:val="000000"/>
          <w:szCs w:val="21"/>
          <w:highlight w:val="none"/>
        </w:rPr>
        <w:t>谈判小组应对谈判过程和重要谈判内容进行记录。</w:t>
      </w:r>
    </w:p>
    <w:p w14:paraId="61E50D7E">
      <w:pPr>
        <w:tabs>
          <w:tab w:val="left" w:pos="2835"/>
        </w:tabs>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rPr>
        <w:t>7除本章第3.7条外，</w:t>
      </w:r>
      <w:r>
        <w:rPr>
          <w:rFonts w:hint="eastAsia" w:ascii="宋体" w:hAnsi="宋体"/>
          <w:color w:val="000000"/>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000000"/>
          <w:szCs w:val="21"/>
          <w:highlight w:val="none"/>
        </w:rPr>
        <w:t>。</w:t>
      </w:r>
    </w:p>
    <w:p w14:paraId="2F716AA2">
      <w:pPr>
        <w:spacing w:line="360" w:lineRule="auto"/>
        <w:ind w:firstLine="482" w:firstLineChars="200"/>
        <w:rPr>
          <w:rFonts w:ascii="黑体" w:hAnsi="黑体" w:eastAsia="黑体" w:cs="宋体"/>
          <w:b/>
          <w:bCs/>
          <w:color w:val="000000"/>
          <w:sz w:val="24"/>
          <w:highlight w:val="none"/>
        </w:rPr>
      </w:pPr>
      <w:r>
        <w:rPr>
          <w:rFonts w:hint="eastAsia" w:ascii="黑体" w:hAnsi="黑体" w:eastAsia="黑体" w:cs="宋体"/>
          <w:b/>
          <w:bCs/>
          <w:color w:val="000000"/>
          <w:sz w:val="24"/>
          <w:highlight w:val="none"/>
        </w:rPr>
        <w:t>5</w:t>
      </w:r>
      <w:r>
        <w:rPr>
          <w:rFonts w:ascii="黑体" w:hAnsi="黑体" w:eastAsia="黑体" w:cs="宋体"/>
          <w:b/>
          <w:bCs/>
          <w:color w:val="000000"/>
          <w:sz w:val="24"/>
          <w:highlight w:val="none"/>
        </w:rPr>
        <w:t>.</w:t>
      </w:r>
      <w:r>
        <w:rPr>
          <w:rFonts w:hint="eastAsia" w:ascii="黑体" w:hAnsi="黑体" w:eastAsia="黑体" w:cs="宋体"/>
          <w:b/>
          <w:bCs/>
          <w:color w:val="000000"/>
          <w:sz w:val="24"/>
          <w:highlight w:val="none"/>
        </w:rPr>
        <w:t xml:space="preserve"> 最后报价</w:t>
      </w:r>
    </w:p>
    <w:p w14:paraId="69E73F1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.1</w:t>
      </w:r>
      <w:r>
        <w:rPr>
          <w:rFonts w:hint="eastAsia" w:ascii="宋体" w:hAnsi="宋体" w:cs="宋体"/>
          <w:color w:val="000000"/>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2DBFAEE">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0C85D4CA">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5.3</w:t>
      </w:r>
      <w:r>
        <w:rPr>
          <w:rFonts w:hint="eastAsia" w:ascii="宋体" w:hAnsi="宋体" w:cs="宋体"/>
          <w:color w:val="000000"/>
          <w:szCs w:val="21"/>
          <w:highlight w:val="none"/>
        </w:rPr>
        <w:t>最后报价是供应商响应文件的有效组成部分。</w:t>
      </w:r>
    </w:p>
    <w:p w14:paraId="70119FB1">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5.4</w:t>
      </w:r>
      <w:r>
        <w:rPr>
          <w:rFonts w:hint="eastAsia" w:ascii="宋体" w:hAnsi="宋体" w:cs="宋体"/>
          <w:color w:val="000000"/>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4EDEB600">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5.5</w:t>
      </w:r>
      <w:r>
        <w:rPr>
          <w:rFonts w:hint="eastAsia" w:ascii="宋体" w:hAnsi="宋体" w:cs="宋体"/>
          <w:color w:val="000000"/>
          <w:szCs w:val="21"/>
          <w:highlight w:val="none"/>
        </w:rPr>
        <w:t>供应商未在规定时间内提交最后报价的，视为退出谈判，其响应文件按无效处理。</w:t>
      </w:r>
    </w:p>
    <w:p w14:paraId="307D70C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.6</w:t>
      </w:r>
      <w:r>
        <w:rPr>
          <w:rFonts w:hint="eastAsia" w:ascii="宋体" w:hAnsi="宋体" w:cs="宋体"/>
          <w:color w:val="000000"/>
          <w:szCs w:val="21"/>
          <w:highlight w:val="none"/>
        </w:rPr>
        <w:t>最后报价统一开启后，谈判小组对最后报价进行有效性、完整性和响应程度的审查。</w:t>
      </w:r>
    </w:p>
    <w:p w14:paraId="2AD03D84">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5.7</w:t>
      </w:r>
      <w:r>
        <w:rPr>
          <w:rFonts w:hint="eastAsia" w:ascii="宋体" w:hAnsi="宋体" w:cs="宋体"/>
          <w:color w:val="000000"/>
          <w:szCs w:val="21"/>
          <w:highlight w:val="none"/>
        </w:rPr>
        <w:t>最后报价出现前后不一致的，按照本章第</w:t>
      </w:r>
      <w:r>
        <w:rPr>
          <w:rFonts w:ascii="宋体" w:hAnsi="宋体" w:cs="宋体"/>
          <w:color w:val="000000"/>
          <w:szCs w:val="21"/>
          <w:highlight w:val="none"/>
        </w:rPr>
        <w:t>3.4</w:t>
      </w:r>
      <w:r>
        <w:rPr>
          <w:rFonts w:hint="eastAsia" w:ascii="宋体" w:hAnsi="宋体" w:cs="宋体"/>
          <w:color w:val="000000"/>
          <w:szCs w:val="21"/>
          <w:highlight w:val="none"/>
        </w:rPr>
        <w:t xml:space="preserve">条的规定修正。 </w:t>
      </w:r>
    </w:p>
    <w:p w14:paraId="2D49A104">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5.8</w:t>
      </w:r>
      <w:r>
        <w:rPr>
          <w:rFonts w:hint="eastAsia" w:ascii="宋体" w:hAnsi="宋体" w:cs="宋体"/>
          <w:color w:val="000000"/>
          <w:szCs w:val="21"/>
          <w:highlight w:val="none"/>
        </w:rPr>
        <w:t>修正后的报价出现下列情形的，按无效响应处理：</w:t>
      </w:r>
    </w:p>
    <w:p w14:paraId="4165269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（1）供应商不确认的（全流程电子化评标采取在线确认）；</w:t>
      </w:r>
    </w:p>
    <w:p w14:paraId="4A39553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（2）经供应商确认修正后的竞标报价（包含首次报价、最后报价）超过所竞标分标规定的采购预算金额或者最高限价的（如本项目公布了最高限价）；</w:t>
      </w:r>
    </w:p>
    <w:p w14:paraId="553CE0B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（3）经供应商确认修正后的竞标报价（包含首次报价、最后报价）超过分项采购预算金额或者最高限价的（如本项目公布了最高限价）。</w:t>
      </w:r>
    </w:p>
    <w:p w14:paraId="6AC0FACA">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5.9</w:t>
      </w:r>
      <w:r>
        <w:rPr>
          <w:rFonts w:hint="eastAsia" w:ascii="宋体" w:hAnsi="宋体" w:cs="宋体"/>
          <w:color w:val="000000"/>
          <w:szCs w:val="21"/>
          <w:highlight w:val="none"/>
        </w:rPr>
        <w:t>经供应商确认修正后的最后报价作为评审及签订合同的依据。</w:t>
      </w:r>
    </w:p>
    <w:p w14:paraId="687F988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5.10供应商出现最后报价按无效响应处理或者响应文件按无效处理时</w:t>
      </w:r>
      <w:r>
        <w:rPr>
          <w:rFonts w:hint="eastAsia" w:ascii="宋体" w:hAnsi="宋体"/>
          <w:color w:val="000000"/>
          <w:sz w:val="22"/>
          <w:szCs w:val="22"/>
          <w:highlight w:val="none"/>
        </w:rPr>
        <w:t>，谈判小组应当告知有关供应商</w:t>
      </w:r>
      <w:r>
        <w:rPr>
          <w:rFonts w:hint="eastAsia" w:ascii="宋体" w:hAnsi="宋体" w:cs="宋体"/>
          <w:color w:val="000000"/>
          <w:szCs w:val="21"/>
          <w:highlight w:val="none"/>
        </w:rPr>
        <w:t>。</w:t>
      </w:r>
    </w:p>
    <w:p w14:paraId="52329756">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5.1</w:t>
      </w:r>
      <w:r>
        <w:rPr>
          <w:rFonts w:hint="eastAsia" w:ascii="宋体" w:hAnsi="宋体" w:cs="宋体"/>
          <w:color w:val="000000"/>
          <w:szCs w:val="21"/>
          <w:highlight w:val="none"/>
        </w:rPr>
        <w:t>1最后报价结束后，谈判小组不得再与供应商进行任何形式的商谈。</w:t>
      </w:r>
    </w:p>
    <w:p w14:paraId="37F16E0A">
      <w:pPr>
        <w:spacing w:line="360" w:lineRule="auto"/>
        <w:ind w:firstLine="472" w:firstLineChars="196"/>
        <w:rPr>
          <w:rFonts w:ascii="黑体" w:hAnsi="黑体" w:eastAsia="黑体" w:cs="宋体"/>
          <w:b/>
          <w:bCs/>
          <w:color w:val="000000"/>
          <w:sz w:val="24"/>
          <w:highlight w:val="none"/>
        </w:rPr>
      </w:pPr>
      <w:r>
        <w:rPr>
          <w:rFonts w:ascii="黑体" w:hAnsi="黑体" w:eastAsia="黑体" w:cs="宋体"/>
          <w:b/>
          <w:bCs/>
          <w:color w:val="000000"/>
          <w:sz w:val="24"/>
          <w:highlight w:val="none"/>
        </w:rPr>
        <w:t>6.</w:t>
      </w:r>
      <w:r>
        <w:rPr>
          <w:rFonts w:hint="eastAsia" w:ascii="黑体" w:hAnsi="黑体" w:eastAsia="黑体" w:cs="宋体"/>
          <w:b/>
          <w:bCs/>
          <w:color w:val="000000"/>
          <w:sz w:val="24"/>
          <w:highlight w:val="none"/>
        </w:rPr>
        <w:t xml:space="preserve"> 最后报价政府采购政策性扣除</w:t>
      </w:r>
    </w:p>
    <w:p w14:paraId="5112753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w:t>
      </w:r>
      <w:r>
        <w:rPr>
          <w:rFonts w:ascii="宋体" w:hAnsi="宋体" w:cs="宋体"/>
          <w:color w:val="000000"/>
          <w:szCs w:val="21"/>
          <w:highlight w:val="none"/>
        </w:rPr>
        <w:t>.1</w:t>
      </w:r>
      <w:r>
        <w:rPr>
          <w:rFonts w:hint="eastAsia" w:ascii="宋体" w:hAnsi="宋体" w:cs="宋体"/>
          <w:color w:val="000000"/>
          <w:szCs w:val="21"/>
          <w:highlight w:val="none"/>
        </w:rPr>
        <w:t>评审价为供应商的最后报价进行政策性扣除后的价格，评审价只是作为评审时使用。最终成交供应商的成交金额等于最后报价（如有修正，以确认修正后的最后报价为准）。</w:t>
      </w:r>
      <w:r>
        <w:rPr>
          <w:rFonts w:hint="eastAsia" w:ascii="宋体" w:hAnsi="宋体" w:cs="宋体"/>
          <w:b/>
          <w:color w:val="000000"/>
          <w:szCs w:val="21"/>
          <w:highlight w:val="none"/>
        </w:rPr>
        <w:t>（注：专门面向中小微企业预留项目不再重复享受政策，</w:t>
      </w:r>
      <w:r>
        <w:rPr>
          <w:rFonts w:hint="eastAsia" w:ascii="宋体" w:hAnsi="宋体" w:cs="宋体"/>
          <w:b/>
          <w:color w:val="000000"/>
          <w:highlight w:val="none"/>
        </w:rPr>
        <w:t>评审价＝最后报价</w:t>
      </w:r>
      <w:r>
        <w:rPr>
          <w:rFonts w:hint="eastAsia" w:ascii="宋体" w:hAnsi="宋体" w:cs="宋体"/>
          <w:b/>
          <w:color w:val="000000"/>
          <w:szCs w:val="21"/>
          <w:highlight w:val="none"/>
        </w:rPr>
        <w:t>）</w:t>
      </w:r>
    </w:p>
    <w:p w14:paraId="693528A0">
      <w:pPr>
        <w:spacing w:line="360" w:lineRule="auto"/>
        <w:ind w:firstLine="420" w:firstLineChars="200"/>
        <w:rPr>
          <w:rFonts w:hint="eastAsia" w:ascii="宋体" w:hAnsi="宋体" w:cs="宋体"/>
          <w:color w:val="000000"/>
          <w:highlight w:val="none"/>
        </w:rPr>
      </w:pPr>
      <w:r>
        <w:rPr>
          <w:rFonts w:ascii="宋体" w:hAnsi="宋体" w:cs="宋体"/>
          <w:color w:val="000000"/>
          <w:szCs w:val="21"/>
          <w:highlight w:val="none"/>
        </w:rPr>
        <w:t>6.2</w:t>
      </w:r>
      <w:r>
        <w:rPr>
          <w:rFonts w:hint="eastAsia" w:ascii="宋体" w:hAnsi="宋体" w:cs="宋体"/>
          <w:color w:val="000000"/>
          <w:highlight w:val="none"/>
        </w:rPr>
        <w:t>政策性扣除计算方法。</w:t>
      </w:r>
    </w:p>
    <w:p w14:paraId="2D8363F8">
      <w:pPr>
        <w:spacing w:line="360" w:lineRule="auto"/>
        <w:ind w:firstLine="369" w:firstLineChars="176"/>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根据《政府采购促进中小企业发展管理办法》（财库〔2020〕46号）的规定，及</w:t>
      </w:r>
      <w:r>
        <w:rPr>
          <w:rFonts w:hint="eastAsia" w:ascii="宋体" w:hAnsi="宋体"/>
          <w:b/>
          <w:color w:val="000000"/>
          <w:szCs w:val="21"/>
          <w:highlight w:val="none"/>
        </w:rPr>
        <w:t>《广西壮族自治区财政厅关于持续优化政府采购营商环境推动高质量发展的通知》（桂财采〔2024〕55号）规定，</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且其竞标全部货物由小微企业制造的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对供应商的竞标报价给予20%的扣除，扣除后的价格为评审价，即评审价=竞标报价×（1-2</w:t>
      </w:r>
      <w:r>
        <w:rPr>
          <w:rFonts w:ascii="宋体" w:hAnsi="宋体"/>
          <w:bCs/>
          <w:color w:val="000000"/>
          <w:szCs w:val="21"/>
          <w:highlight w:val="none"/>
        </w:rPr>
        <w:t>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 （范围为4%-6%） 的扣除，用扣除后的价格参加评审，扣除后的价格为评审价，即评审价=竞标报价×（1-4%）。</w:t>
      </w:r>
    </w:p>
    <w:p w14:paraId="0B6A465D">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6.3</w:t>
      </w:r>
      <w:r>
        <w:rPr>
          <w:rFonts w:hint="eastAsia" w:ascii="宋体" w:hAnsi="宋体" w:cs="宋体"/>
          <w:color w:val="000000"/>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szCs w:val="21"/>
          <w:highlight w:val="none"/>
        </w:rPr>
        <w:t>监狱企业属于小型、微型企业的，</w:t>
      </w:r>
      <w:r>
        <w:rPr>
          <w:rFonts w:hint="eastAsia" w:ascii="宋体" w:hAnsi="宋体" w:cs="宋体"/>
          <w:color w:val="000000"/>
          <w:szCs w:val="21"/>
          <w:highlight w:val="none"/>
        </w:rPr>
        <w:t>不重复享受政策。</w:t>
      </w:r>
    </w:p>
    <w:p w14:paraId="47F72990">
      <w:pPr>
        <w:spacing w:line="360" w:lineRule="auto"/>
        <w:ind w:firstLine="420" w:firstLineChars="200"/>
        <w:rPr>
          <w:rFonts w:hint="eastAsia" w:ascii="宋体" w:hAnsi="宋体" w:cs="宋体"/>
          <w:color w:val="000000"/>
          <w:highlight w:val="none"/>
        </w:rPr>
      </w:pPr>
      <w:r>
        <w:rPr>
          <w:rFonts w:ascii="宋体" w:hAnsi="宋体" w:cs="宋体"/>
          <w:color w:val="000000"/>
          <w:szCs w:val="21"/>
          <w:highlight w:val="none"/>
        </w:rPr>
        <w:t>6.4</w:t>
      </w:r>
      <w:r>
        <w:rPr>
          <w:rFonts w:hint="eastAsia" w:ascii="宋体" w:hAnsi="宋体" w:cs="宋体"/>
          <w:color w:val="000000"/>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000000"/>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25D854D">
      <w:pPr>
        <w:spacing w:line="360" w:lineRule="auto"/>
        <w:ind w:firstLine="420" w:firstLineChars="200"/>
        <w:rPr>
          <w:rFonts w:ascii="宋体" w:hAnsi="宋体" w:cs="宋体"/>
          <w:color w:val="000000"/>
          <w:highlight w:val="none"/>
        </w:rPr>
      </w:pPr>
      <w:r>
        <w:rPr>
          <w:rFonts w:ascii="宋体" w:hAnsi="宋体" w:cs="宋体"/>
          <w:color w:val="000000"/>
          <w:highlight w:val="none"/>
        </w:rPr>
        <w:t>6.5</w:t>
      </w:r>
      <w:r>
        <w:rPr>
          <w:rFonts w:hint="eastAsia" w:ascii="宋体" w:hAnsi="宋体" w:cs="宋体"/>
          <w:color w:val="000000"/>
          <w:highlight w:val="none"/>
        </w:rPr>
        <w:t>除上述情况外，评审价＝最后报价。</w:t>
      </w:r>
    </w:p>
    <w:p w14:paraId="5FC1577D">
      <w:pPr>
        <w:widowControl w:val="0"/>
        <w:ind w:firstLine="420"/>
        <w:jc w:val="both"/>
        <w:rPr>
          <w:rFonts w:ascii="宋体" w:hAnsi="宋体" w:eastAsia="宋体" w:cs="Times New Roman"/>
          <w:color w:val="auto"/>
          <w:kern w:val="0"/>
          <w:highlight w:val="none"/>
        </w:rPr>
      </w:pPr>
    </w:p>
    <w:p w14:paraId="34959B9F">
      <w:pPr>
        <w:spacing w:line="360" w:lineRule="auto"/>
        <w:ind w:left="0" w:leftChars="0" w:firstLine="0" w:firstLineChars="0"/>
        <w:jc w:val="center"/>
        <w:rPr>
          <w:rFonts w:hint="eastAsia" w:ascii="宋体" w:hAnsi="宋体"/>
          <w:b/>
          <w:color w:val="000000"/>
          <w:sz w:val="32"/>
          <w:szCs w:val="32"/>
          <w:highlight w:val="none"/>
        </w:rPr>
      </w:pPr>
      <w:r>
        <w:rPr>
          <w:rFonts w:hint="eastAsia" w:ascii="宋体" w:hAnsi="宋体"/>
          <w:b/>
          <w:color w:val="000000"/>
          <w:sz w:val="32"/>
          <w:szCs w:val="32"/>
          <w:highlight w:val="none"/>
        </w:rPr>
        <w:t>二、评定成交的标准</w:t>
      </w:r>
    </w:p>
    <w:p w14:paraId="15D9AD40">
      <w:pPr>
        <w:spacing w:line="360" w:lineRule="auto"/>
        <w:ind w:firstLine="482" w:firstLineChars="200"/>
        <w:rPr>
          <w:rFonts w:ascii="黑体" w:hAnsi="黑体" w:eastAsia="黑体" w:cs="宋体"/>
          <w:b/>
          <w:bCs/>
          <w:color w:val="000000"/>
          <w:sz w:val="24"/>
          <w:highlight w:val="none"/>
        </w:rPr>
      </w:pPr>
      <w:r>
        <w:rPr>
          <w:rFonts w:ascii="黑体" w:hAnsi="黑体" w:eastAsia="黑体" w:cs="宋体"/>
          <w:b/>
          <w:bCs/>
          <w:color w:val="000000"/>
          <w:sz w:val="24"/>
          <w:highlight w:val="none"/>
        </w:rPr>
        <w:t>7.</w:t>
      </w:r>
      <w:r>
        <w:rPr>
          <w:rFonts w:hint="eastAsia" w:ascii="黑体" w:hAnsi="黑体" w:eastAsia="黑体" w:cs="宋体"/>
          <w:b/>
          <w:bCs/>
          <w:color w:val="000000"/>
          <w:sz w:val="24"/>
          <w:highlight w:val="none"/>
        </w:rPr>
        <w:t xml:space="preserve"> 成交候选人推荐</w:t>
      </w:r>
    </w:p>
    <w:p w14:paraId="10FD3ECF">
      <w:pPr>
        <w:spacing w:line="360" w:lineRule="auto"/>
        <w:ind w:firstLine="420" w:firstLineChars="200"/>
        <w:contextualSpacing/>
        <w:rPr>
          <w:rFonts w:hAnsi="宋体"/>
          <w:color w:val="000000"/>
          <w:highlight w:val="none"/>
        </w:rPr>
      </w:pPr>
      <w:r>
        <w:rPr>
          <w:rFonts w:hint="eastAsia" w:ascii="宋体" w:hAnsi="宋体" w:cs="宋体"/>
          <w:color w:val="000000"/>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000000"/>
          <w:highlight w:val="none"/>
        </w:rPr>
        <w:t>6</w:t>
      </w:r>
      <w:r>
        <w:rPr>
          <w:rFonts w:hint="eastAsia" w:ascii="宋体" w:hAnsi="宋体" w:cs="宋体"/>
          <w:color w:val="000000"/>
          <w:highlight w:val="none"/>
        </w:rPr>
        <w:t>条规定的顺序推荐），并编写评审报告，评审报告</w:t>
      </w:r>
      <w:r>
        <w:rPr>
          <w:rFonts w:hint="eastAsia" w:hAnsi="宋体"/>
          <w:color w:val="000000"/>
          <w:highlight w:val="none"/>
        </w:rPr>
        <w:t>通过电子交易平台向采购人、采购代理机构提交。</w:t>
      </w:r>
    </w:p>
    <w:p w14:paraId="12BDA615">
      <w:pPr>
        <w:pStyle w:val="63"/>
        <w:numPr>
          <w:ilvl w:val="0"/>
          <w:numId w:val="0"/>
        </w:numPr>
        <w:ind w:firstLine="424" w:firstLineChars="176"/>
        <w:rPr>
          <w:color w:val="auto"/>
          <w:highlight w:val="none"/>
        </w:rPr>
        <w:sectPr>
          <w:pgSz w:w="11906" w:h="16838"/>
          <w:pgMar w:top="1701" w:right="1701" w:bottom="1701" w:left="1701" w:header="851" w:footer="992" w:gutter="0"/>
          <w:cols w:space="425" w:num="1"/>
          <w:docGrid w:linePitch="312" w:charSpace="0"/>
        </w:sectPr>
      </w:pPr>
    </w:p>
    <w:p w14:paraId="5083DED9">
      <w:pPr>
        <w:pStyle w:val="44"/>
        <w:rPr>
          <w:color w:val="auto"/>
          <w:highlight w:val="none"/>
        </w:rPr>
        <w:sectPr>
          <w:pgSz w:w="11906" w:h="16838"/>
          <w:pgMar w:top="1701" w:right="1701" w:bottom="1701" w:left="1701" w:header="851" w:footer="992" w:gutter="0"/>
          <w:cols w:space="425" w:num="1"/>
          <w:vAlign w:val="center"/>
          <w:docGrid w:linePitch="312" w:charSpace="0"/>
        </w:sectPr>
      </w:pPr>
      <w:bookmarkStart w:id="29" w:name="_Toc76480569"/>
      <w:r>
        <w:rPr>
          <w:rFonts w:hint="eastAsia"/>
          <w:color w:val="auto"/>
          <w:highlight w:val="none"/>
        </w:rPr>
        <w:t>第五章 响应文件格式</w:t>
      </w:r>
      <w:bookmarkEnd w:id="29"/>
    </w:p>
    <w:p w14:paraId="0F861238">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w:t>
      </w:r>
      <w:r>
        <w:rPr>
          <w:rFonts w:hint="eastAsia" w:ascii="宋体" w:hAnsi="宋体" w:eastAsia="宋体" w:cs="Times New Roman"/>
          <w:b/>
          <w:bCs/>
          <w:color w:val="auto"/>
          <w:sz w:val="32"/>
          <w:szCs w:val="32"/>
          <w:highlight w:val="none"/>
          <w:lang w:eastAsia="zh-CN"/>
        </w:rPr>
        <w:t>谈判</w:t>
      </w:r>
      <w:r>
        <w:rPr>
          <w:rFonts w:hint="eastAsia" w:ascii="宋体" w:hAnsi="宋体" w:eastAsia="宋体" w:cs="Times New Roman"/>
          <w:b/>
          <w:bCs/>
          <w:color w:val="auto"/>
          <w:sz w:val="32"/>
          <w:szCs w:val="32"/>
          <w:highlight w:val="none"/>
        </w:rPr>
        <w:t>文件规定及供应商提供的材料自行编写目录（部分格式后附）。</w:t>
      </w:r>
    </w:p>
    <w:p w14:paraId="00A49BD1">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0D509FA9">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7CC9D1DB">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4F648980">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0BD3C746">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3A7B2A47">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4A20089C">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0E0E77FE">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0BCECA20">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514A77EA">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5E7BB5BC">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39DD2812">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147BA09C">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3F58EC35">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14:paraId="24D2917D">
      <w:pPr>
        <w:widowControl w:val="0"/>
        <w:snapToGrid w:val="0"/>
        <w:spacing w:before="120" w:beforeLines="50" w:after="50"/>
        <w:ind w:firstLine="645" w:firstLineChars="0"/>
        <w:jc w:val="both"/>
        <w:rPr>
          <w:color w:val="auto"/>
          <w:highlight w:val="none"/>
        </w:rPr>
      </w:pPr>
    </w:p>
    <w:p w14:paraId="4E379203">
      <w:pPr>
        <w:pStyle w:val="68"/>
        <w:rPr>
          <w:color w:val="auto"/>
          <w:highlight w:val="none"/>
        </w:rPr>
      </w:pPr>
      <w:r>
        <w:rPr>
          <w:rFonts w:hint="eastAsia"/>
          <w:color w:val="auto"/>
          <w:highlight w:val="none"/>
        </w:rPr>
        <w:t>一、资格证明文件格式</w:t>
      </w:r>
    </w:p>
    <w:p w14:paraId="4CB57A9E">
      <w:pPr>
        <w:pStyle w:val="55"/>
        <w:rPr>
          <w:color w:val="auto"/>
          <w:highlight w:val="none"/>
        </w:rPr>
      </w:pPr>
      <w:r>
        <w:rPr>
          <w:color w:val="auto"/>
          <w:highlight w:val="none"/>
        </w:rPr>
        <w:t>1.</w:t>
      </w:r>
      <w:r>
        <w:rPr>
          <w:rFonts w:hint="eastAsia"/>
          <w:color w:val="auto"/>
          <w:highlight w:val="none"/>
        </w:rPr>
        <w:t>资格证明文件封面格式</w:t>
      </w:r>
    </w:p>
    <w:p w14:paraId="76CA40ED">
      <w:pPr>
        <w:ind w:firstLine="199" w:firstLineChars="83"/>
        <w:rPr>
          <w:color w:val="auto"/>
          <w:sz w:val="24"/>
          <w:szCs w:val="24"/>
          <w:highlight w:val="none"/>
        </w:rPr>
      </w:pPr>
    </w:p>
    <w:p w14:paraId="57C6A7FF">
      <w:pPr>
        <w:ind w:firstLine="199" w:firstLineChars="83"/>
        <w:rPr>
          <w:color w:val="auto"/>
          <w:sz w:val="24"/>
          <w:szCs w:val="24"/>
          <w:highlight w:val="none"/>
        </w:rPr>
      </w:pPr>
    </w:p>
    <w:p w14:paraId="3BFBD332">
      <w:pPr>
        <w:ind w:firstLine="0" w:firstLineChars="0"/>
        <w:jc w:val="center"/>
        <w:rPr>
          <w:rFonts w:ascii="宋体" w:hAnsi="Calibri" w:eastAsia="宋体" w:cs="Times New Roman"/>
          <w:b/>
          <w:bCs/>
          <w:color w:val="auto"/>
          <w:sz w:val="44"/>
          <w:szCs w:val="44"/>
          <w:highlight w:val="none"/>
        </w:rPr>
      </w:pPr>
      <w:r>
        <w:rPr>
          <w:rFonts w:hint="eastAsia" w:ascii="宋体" w:hAnsi="Calibri" w:eastAsia="宋体" w:cs="Times New Roman"/>
          <w:b/>
          <w:bCs/>
          <w:color w:val="auto"/>
          <w:sz w:val="44"/>
          <w:szCs w:val="44"/>
          <w:highlight w:val="none"/>
        </w:rPr>
        <w:t>资格证明文件</w:t>
      </w:r>
    </w:p>
    <w:p w14:paraId="5DE7B06C">
      <w:pPr>
        <w:ind w:firstLine="480"/>
        <w:rPr>
          <w:rFonts w:ascii="宋体" w:hAnsi="Calibri" w:eastAsia="宋体" w:cs="Times New Roman"/>
          <w:color w:val="auto"/>
          <w:sz w:val="24"/>
          <w:szCs w:val="24"/>
          <w:highlight w:val="none"/>
        </w:rPr>
      </w:pPr>
    </w:p>
    <w:p w14:paraId="1941FC9A">
      <w:pPr>
        <w:ind w:firstLine="480"/>
        <w:rPr>
          <w:rFonts w:ascii="宋体" w:hAnsi="Calibri" w:eastAsia="宋体" w:cs="Times New Roman"/>
          <w:color w:val="auto"/>
          <w:sz w:val="24"/>
          <w:szCs w:val="24"/>
          <w:highlight w:val="none"/>
        </w:rPr>
      </w:pPr>
    </w:p>
    <w:p w14:paraId="0FC8B5E1">
      <w:pPr>
        <w:ind w:firstLine="480"/>
        <w:rPr>
          <w:rFonts w:ascii="宋体" w:hAnsi="Calibri" w:eastAsia="宋体" w:cs="Times New Roman"/>
          <w:color w:val="auto"/>
          <w:sz w:val="24"/>
          <w:szCs w:val="24"/>
          <w:highlight w:val="none"/>
        </w:rPr>
      </w:pPr>
    </w:p>
    <w:p w14:paraId="28B16B6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094560F0">
      <w:pPr>
        <w:ind w:firstLine="1132" w:firstLineChars="354"/>
        <w:rPr>
          <w:rFonts w:ascii="宋体" w:hAnsi="Calibri" w:eastAsia="宋体" w:cs="Times New Roman"/>
          <w:color w:val="auto"/>
          <w:sz w:val="32"/>
          <w:szCs w:val="32"/>
          <w:highlight w:val="none"/>
        </w:rPr>
      </w:pPr>
    </w:p>
    <w:p w14:paraId="4EB0154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1C1B67E0">
      <w:pPr>
        <w:ind w:firstLine="1132" w:firstLineChars="354"/>
        <w:rPr>
          <w:rFonts w:hint="eastAsia" w:ascii="宋体" w:hAnsi="Calibri" w:eastAsia="宋体" w:cs="Times New Roman"/>
          <w:color w:val="auto"/>
          <w:sz w:val="32"/>
          <w:szCs w:val="32"/>
          <w:highlight w:val="none"/>
          <w:lang w:eastAsia="zh-CN"/>
        </w:rPr>
      </w:pPr>
    </w:p>
    <w:p w14:paraId="69029F63">
      <w:pPr>
        <w:ind w:firstLine="1132" w:firstLineChars="354"/>
        <w:rPr>
          <w:rFonts w:hint="eastAsia" w:ascii="宋体" w:hAnsi="Calibri" w:eastAsia="宋体" w:cs="Times New Roman"/>
          <w:color w:val="auto"/>
          <w:sz w:val="32"/>
          <w:szCs w:val="32"/>
          <w:highlight w:val="none"/>
          <w:lang w:eastAsia="zh-CN"/>
        </w:rPr>
      </w:pPr>
      <w:r>
        <w:rPr>
          <w:rFonts w:hint="eastAsia" w:ascii="宋体" w:hAnsi="Calibri" w:eastAsia="宋体" w:cs="Times New Roman"/>
          <w:color w:val="auto"/>
          <w:sz w:val="32"/>
          <w:szCs w:val="32"/>
          <w:highlight w:val="none"/>
          <w:lang w:eastAsia="zh-CN"/>
        </w:rPr>
        <w:t>所竞分标：</w:t>
      </w:r>
    </w:p>
    <w:p w14:paraId="19C1E8C2">
      <w:pPr>
        <w:ind w:firstLine="0" w:firstLineChars="0"/>
        <w:rPr>
          <w:rFonts w:ascii="宋体" w:hAnsi="Calibri" w:eastAsia="宋体" w:cs="Times New Roman"/>
          <w:color w:val="auto"/>
          <w:sz w:val="32"/>
          <w:szCs w:val="32"/>
          <w:highlight w:val="none"/>
        </w:rPr>
      </w:pPr>
    </w:p>
    <w:p w14:paraId="1890497A">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00A31D4B">
      <w:pPr>
        <w:ind w:firstLine="1132" w:firstLineChars="354"/>
        <w:rPr>
          <w:rFonts w:ascii="宋体" w:hAnsi="Calibri" w:eastAsia="宋体" w:cs="Times New Roman"/>
          <w:color w:val="auto"/>
          <w:sz w:val="32"/>
          <w:szCs w:val="32"/>
          <w:highlight w:val="none"/>
        </w:rPr>
      </w:pPr>
    </w:p>
    <w:p w14:paraId="1F06BC0D">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34B488C4">
      <w:pPr>
        <w:ind w:firstLine="420"/>
        <w:rPr>
          <w:rFonts w:ascii="宋体" w:hAnsi="Calibri" w:eastAsia="宋体" w:cs="Times New Roman"/>
          <w:color w:val="auto"/>
          <w:highlight w:val="none"/>
        </w:rPr>
      </w:pPr>
    </w:p>
    <w:p w14:paraId="60C229C5">
      <w:pPr>
        <w:spacing w:before="260" w:after="260" w:line="415" w:lineRule="auto"/>
        <w:ind w:firstLine="0" w:firstLineChars="0"/>
        <w:jc w:val="center"/>
        <w:rPr>
          <w:color w:val="auto"/>
          <w:highlight w:val="none"/>
        </w:rPr>
      </w:pPr>
      <w:r>
        <w:rPr>
          <w:color w:val="auto"/>
          <w:highlight w:val="none"/>
        </w:rPr>
        <w:br w:type="page"/>
      </w:r>
    </w:p>
    <w:p w14:paraId="5062A01F">
      <w:pPr>
        <w:pStyle w:val="55"/>
        <w:rPr>
          <w:color w:val="auto"/>
          <w:highlight w:val="none"/>
        </w:rPr>
      </w:pPr>
      <w:r>
        <w:rPr>
          <w:color w:val="auto"/>
          <w:highlight w:val="none"/>
        </w:rPr>
        <w:t>2.</w:t>
      </w:r>
      <w:r>
        <w:rPr>
          <w:rFonts w:hint="eastAsia"/>
          <w:color w:val="auto"/>
          <w:highlight w:val="none"/>
        </w:rPr>
        <w:t>资格证明文件目录</w:t>
      </w:r>
    </w:p>
    <w:p w14:paraId="288DFB5D">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w:t>
      </w:r>
      <w:r>
        <w:rPr>
          <w:rFonts w:hint="eastAsia" w:ascii="宋体" w:hAnsi="宋体" w:eastAsia="宋体" w:cs="Times New Roman"/>
          <w:b/>
          <w:bCs/>
          <w:color w:val="auto"/>
          <w:sz w:val="32"/>
          <w:szCs w:val="32"/>
          <w:highlight w:val="none"/>
          <w:lang w:eastAsia="zh-CN"/>
        </w:rPr>
        <w:t>谈判</w:t>
      </w:r>
      <w:r>
        <w:rPr>
          <w:rFonts w:hint="eastAsia" w:ascii="宋体" w:hAnsi="宋体" w:eastAsia="宋体" w:cs="Times New Roman"/>
          <w:b/>
          <w:bCs/>
          <w:color w:val="auto"/>
          <w:sz w:val="32"/>
          <w:szCs w:val="32"/>
          <w:highlight w:val="none"/>
        </w:rPr>
        <w:t>文件规定及供应商提供的材料自行编写目录（部分格式后附）。</w:t>
      </w:r>
    </w:p>
    <w:p w14:paraId="11B4B100">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14:paraId="60D019D9">
      <w:pPr>
        <w:pStyle w:val="55"/>
        <w:rPr>
          <w:color w:val="auto"/>
          <w:highlight w:val="none"/>
        </w:rPr>
      </w:pPr>
      <w:r>
        <w:rPr>
          <w:rFonts w:hint="eastAsia"/>
          <w:color w:val="auto"/>
          <w:highlight w:val="none"/>
        </w:rPr>
        <w:t>3</w:t>
      </w:r>
      <w:r>
        <w:rPr>
          <w:color w:val="auto"/>
          <w:highlight w:val="none"/>
        </w:rPr>
        <w:t>.</w:t>
      </w:r>
      <w:r>
        <w:rPr>
          <w:rFonts w:hint="eastAsia"/>
          <w:color w:val="auto"/>
          <w:highlight w:val="none"/>
        </w:rPr>
        <w:t>供应商直接控股关系信息表</w:t>
      </w:r>
    </w:p>
    <w:p w14:paraId="1CF4F6AA">
      <w:pPr>
        <w:ind w:firstLine="420"/>
        <w:rPr>
          <w:color w:val="auto"/>
          <w:highlight w:val="none"/>
        </w:rPr>
      </w:pPr>
    </w:p>
    <w:p w14:paraId="41AA51A5">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供应商直接控股股东信息表</w:t>
      </w:r>
    </w:p>
    <w:p w14:paraId="0AF88824">
      <w:pPr>
        <w:ind w:firstLine="420"/>
        <w:rPr>
          <w:color w:val="auto"/>
          <w:highlight w:val="none"/>
        </w:rPr>
      </w:pPr>
    </w:p>
    <w:tbl>
      <w:tblPr>
        <w:tblStyle w:val="31"/>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212"/>
        <w:gridCol w:w="851"/>
        <w:gridCol w:w="3969"/>
        <w:gridCol w:w="702"/>
      </w:tblGrid>
      <w:tr w14:paraId="4F54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60" w:type="dxa"/>
            <w:shd w:val="clear" w:color="auto" w:fill="auto"/>
            <w:tcMar>
              <w:top w:w="120" w:type="dxa"/>
              <w:left w:w="120" w:type="dxa"/>
              <w:bottom w:w="120" w:type="dxa"/>
              <w:right w:w="120" w:type="dxa"/>
            </w:tcMar>
            <w:vAlign w:val="center"/>
          </w:tcPr>
          <w:p w14:paraId="7AC799BF">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12" w:type="dxa"/>
            <w:shd w:val="clear" w:color="auto" w:fill="auto"/>
            <w:tcMar>
              <w:top w:w="120" w:type="dxa"/>
              <w:left w:w="120" w:type="dxa"/>
              <w:bottom w:w="120" w:type="dxa"/>
              <w:right w:w="120" w:type="dxa"/>
            </w:tcMar>
            <w:vAlign w:val="center"/>
          </w:tcPr>
          <w:p w14:paraId="1F5FA59E">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851" w:type="dxa"/>
            <w:shd w:val="clear" w:color="auto" w:fill="auto"/>
            <w:tcMar>
              <w:top w:w="120" w:type="dxa"/>
              <w:left w:w="120" w:type="dxa"/>
              <w:bottom w:w="120" w:type="dxa"/>
              <w:right w:w="120" w:type="dxa"/>
            </w:tcMar>
            <w:vAlign w:val="center"/>
          </w:tcPr>
          <w:p w14:paraId="75E4368A">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shd w:val="clear" w:color="auto" w:fill="auto"/>
            <w:tcMar>
              <w:top w:w="120" w:type="dxa"/>
              <w:left w:w="120" w:type="dxa"/>
              <w:bottom w:w="120" w:type="dxa"/>
              <w:right w:w="120" w:type="dxa"/>
            </w:tcMar>
            <w:vAlign w:val="center"/>
          </w:tcPr>
          <w:p w14:paraId="48DCD5D5">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02" w:type="dxa"/>
            <w:shd w:val="clear" w:color="auto" w:fill="auto"/>
            <w:tcMar>
              <w:top w:w="120" w:type="dxa"/>
              <w:left w:w="120" w:type="dxa"/>
              <w:bottom w:w="120" w:type="dxa"/>
              <w:right w:w="120" w:type="dxa"/>
            </w:tcMar>
            <w:vAlign w:val="center"/>
          </w:tcPr>
          <w:p w14:paraId="108DD054">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61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68511FDA">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2" w:type="dxa"/>
            <w:shd w:val="clear" w:color="auto" w:fill="auto"/>
            <w:tcMar>
              <w:top w:w="120" w:type="dxa"/>
              <w:left w:w="120" w:type="dxa"/>
              <w:bottom w:w="120" w:type="dxa"/>
              <w:right w:w="120" w:type="dxa"/>
            </w:tcMar>
            <w:vAlign w:val="center"/>
          </w:tcPr>
          <w:p w14:paraId="3ED69925">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14:paraId="0C6ED1F0">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14:paraId="41DB5D32">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67514DB2">
            <w:pPr>
              <w:ind w:firstLine="0" w:firstLineChars="0"/>
              <w:jc w:val="center"/>
              <w:rPr>
                <w:rFonts w:ascii="宋体" w:hAnsi="宋体" w:cs="宋体"/>
                <w:color w:val="auto"/>
                <w:kern w:val="0"/>
                <w:sz w:val="24"/>
                <w:highlight w:val="none"/>
              </w:rPr>
            </w:pPr>
          </w:p>
        </w:tc>
      </w:tr>
      <w:tr w14:paraId="7E1A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73D2217F">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12" w:type="dxa"/>
            <w:shd w:val="clear" w:color="auto" w:fill="auto"/>
            <w:tcMar>
              <w:top w:w="120" w:type="dxa"/>
              <w:left w:w="120" w:type="dxa"/>
              <w:bottom w:w="120" w:type="dxa"/>
              <w:right w:w="120" w:type="dxa"/>
            </w:tcMar>
            <w:vAlign w:val="center"/>
          </w:tcPr>
          <w:p w14:paraId="64C10541">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14:paraId="5F598466">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14:paraId="166C259A">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2FD9D32B">
            <w:pPr>
              <w:ind w:firstLine="0" w:firstLineChars="0"/>
              <w:jc w:val="center"/>
              <w:rPr>
                <w:rFonts w:ascii="宋体" w:hAnsi="宋体" w:cs="宋体"/>
                <w:color w:val="auto"/>
                <w:kern w:val="0"/>
                <w:sz w:val="24"/>
                <w:highlight w:val="none"/>
              </w:rPr>
            </w:pPr>
          </w:p>
        </w:tc>
      </w:tr>
      <w:tr w14:paraId="2F65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0AEF7A5C">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12" w:type="dxa"/>
            <w:shd w:val="clear" w:color="auto" w:fill="auto"/>
            <w:tcMar>
              <w:top w:w="120" w:type="dxa"/>
              <w:left w:w="120" w:type="dxa"/>
              <w:bottom w:w="120" w:type="dxa"/>
              <w:right w:w="120" w:type="dxa"/>
            </w:tcMar>
            <w:vAlign w:val="center"/>
          </w:tcPr>
          <w:p w14:paraId="11D59415">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14:paraId="4B8C4641">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14:paraId="7C0CBBC8">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4A489602">
            <w:pPr>
              <w:ind w:firstLine="0" w:firstLineChars="0"/>
              <w:jc w:val="center"/>
              <w:rPr>
                <w:rFonts w:ascii="宋体" w:hAnsi="宋体" w:cs="宋体"/>
                <w:color w:val="auto"/>
                <w:kern w:val="0"/>
                <w:sz w:val="24"/>
                <w:highlight w:val="none"/>
              </w:rPr>
            </w:pPr>
          </w:p>
        </w:tc>
      </w:tr>
      <w:tr w14:paraId="7909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601A9B45">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12" w:type="dxa"/>
            <w:shd w:val="clear" w:color="auto" w:fill="auto"/>
            <w:tcMar>
              <w:top w:w="120" w:type="dxa"/>
              <w:left w:w="120" w:type="dxa"/>
              <w:bottom w:w="120" w:type="dxa"/>
              <w:right w:w="120" w:type="dxa"/>
            </w:tcMar>
            <w:vAlign w:val="center"/>
          </w:tcPr>
          <w:p w14:paraId="1A9ACDAC">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14:paraId="6C26D971">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14:paraId="6B09D3B4">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54B920EF">
            <w:pPr>
              <w:ind w:firstLine="0" w:firstLineChars="0"/>
              <w:jc w:val="center"/>
              <w:rPr>
                <w:rFonts w:ascii="宋体" w:hAnsi="宋体" w:cs="宋体"/>
                <w:color w:val="auto"/>
                <w:kern w:val="0"/>
                <w:sz w:val="24"/>
                <w:highlight w:val="none"/>
              </w:rPr>
            </w:pPr>
          </w:p>
        </w:tc>
      </w:tr>
    </w:tbl>
    <w:p w14:paraId="5FD8D1D5">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2C2761AE">
      <w:pPr>
        <w:snapToGrid w:val="0"/>
        <w:ind w:firstLine="480"/>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374BEC">
      <w:pPr>
        <w:snapToGrid w:val="0"/>
        <w:ind w:firstLine="480"/>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5832694">
      <w:pPr>
        <w:snapToGrid w:val="0"/>
        <w:ind w:firstLine="480"/>
        <w:rPr>
          <w:rFonts w:ascii="宋体" w:hAnsi="宋体"/>
          <w:b/>
          <w:bCs/>
          <w:color w:val="auto"/>
          <w:sz w:val="24"/>
          <w:highlight w:val="none"/>
        </w:rPr>
      </w:pPr>
      <w:r>
        <w:rPr>
          <w:rFonts w:hint="eastAsia" w:ascii="宋体" w:hAnsi="宋体"/>
          <w:color w:val="auto"/>
          <w:sz w:val="24"/>
          <w:highlight w:val="none"/>
        </w:rPr>
        <w:t>3.</w:t>
      </w:r>
      <w:r>
        <w:rPr>
          <w:rFonts w:hint="eastAsia" w:ascii="宋体" w:hAnsi="宋体" w:cs="宋体"/>
          <w:b/>
          <w:bCs/>
          <w:color w:val="auto"/>
          <w:sz w:val="24"/>
          <w:highlight w:val="none"/>
        </w:rPr>
        <w:t>供应商不存在直接控股股东的，</w:t>
      </w:r>
      <w:r>
        <w:rPr>
          <w:rFonts w:hint="eastAsia" w:ascii="宋体" w:hAnsi="宋体"/>
          <w:b/>
          <w:bCs/>
          <w:color w:val="auto"/>
          <w:sz w:val="24"/>
          <w:highlight w:val="none"/>
        </w:rPr>
        <w:t>则在“直接控股股东名称”填“无”</w:t>
      </w:r>
      <w:r>
        <w:rPr>
          <w:rFonts w:hint="eastAsia" w:ascii="宋体" w:hAnsi="宋体" w:cs="宋体"/>
          <w:b/>
          <w:bCs/>
          <w:color w:val="auto"/>
          <w:sz w:val="24"/>
          <w:highlight w:val="none"/>
        </w:rPr>
        <w:t>。</w:t>
      </w:r>
    </w:p>
    <w:p w14:paraId="35EEAFD2">
      <w:pPr>
        <w:snapToGrid w:val="0"/>
        <w:ind w:firstLine="480"/>
        <w:rPr>
          <w:rFonts w:ascii="宋体" w:hAnsi="宋体"/>
          <w:color w:val="auto"/>
          <w:sz w:val="24"/>
          <w:highlight w:val="none"/>
        </w:rPr>
      </w:pPr>
    </w:p>
    <w:p w14:paraId="1FFE5196">
      <w:pPr>
        <w:snapToGrid w:val="0"/>
        <w:ind w:firstLine="480"/>
        <w:rPr>
          <w:rFonts w:ascii="宋体" w:hAnsi="宋体"/>
          <w:color w:val="auto"/>
          <w:sz w:val="24"/>
          <w:highlight w:val="none"/>
        </w:rPr>
      </w:pPr>
    </w:p>
    <w:p w14:paraId="6DB402E1">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21695F8C">
      <w:pPr>
        <w:spacing w:line="600" w:lineRule="auto"/>
        <w:ind w:firstLine="0" w:firstLineChars="0"/>
        <w:rPr>
          <w:rFonts w:ascii="宋体" w:hAnsi="宋体"/>
          <w:color w:val="auto"/>
          <w:sz w:val="24"/>
          <w:szCs w:val="22"/>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p w14:paraId="689B18EB">
      <w:pPr>
        <w:spacing w:before="260" w:after="260" w:line="415" w:lineRule="auto"/>
        <w:ind w:firstLine="0" w:firstLineChars="0"/>
        <w:jc w:val="center"/>
        <w:rPr>
          <w:rFonts w:ascii="宋体" w:hAnsi="宋体" w:eastAsia="宋体" w:cs="方正小标宋简体"/>
          <w:b/>
          <w:color w:val="auto"/>
          <w:sz w:val="44"/>
          <w:szCs w:val="44"/>
          <w:highlight w:val="none"/>
        </w:rPr>
      </w:pPr>
      <w:r>
        <w:rPr>
          <w:rFonts w:ascii="宋体" w:hAnsi="宋体" w:eastAsia="宋体" w:cs="方正小标宋简体"/>
          <w:b/>
          <w:color w:val="auto"/>
          <w:sz w:val="44"/>
          <w:szCs w:val="44"/>
          <w:highlight w:val="none"/>
        </w:rPr>
        <w:br w:type="page"/>
      </w:r>
    </w:p>
    <w:p w14:paraId="281025B5">
      <w:pPr>
        <w:pStyle w:val="55"/>
        <w:rPr>
          <w:color w:val="auto"/>
          <w:highlight w:val="none"/>
        </w:rPr>
      </w:pPr>
      <w:r>
        <w:rPr>
          <w:rFonts w:hint="eastAsia"/>
          <w:color w:val="auto"/>
          <w:highlight w:val="none"/>
        </w:rPr>
        <w:t>4</w:t>
      </w:r>
      <w:r>
        <w:rPr>
          <w:color w:val="auto"/>
          <w:highlight w:val="none"/>
        </w:rPr>
        <w:t>.</w:t>
      </w:r>
      <w:r>
        <w:rPr>
          <w:rFonts w:hint="eastAsia"/>
          <w:color w:val="auto"/>
          <w:highlight w:val="none"/>
        </w:rPr>
        <w:t>供应商直接管理关系信息表</w:t>
      </w:r>
    </w:p>
    <w:p w14:paraId="6E08DC03">
      <w:pPr>
        <w:ind w:firstLine="420"/>
        <w:rPr>
          <w:color w:val="auto"/>
          <w:highlight w:val="none"/>
        </w:rPr>
      </w:pPr>
    </w:p>
    <w:p w14:paraId="167CC61C">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供应商直接管理关系信息表</w:t>
      </w:r>
    </w:p>
    <w:p w14:paraId="622A70FA">
      <w:pPr>
        <w:ind w:firstLine="420"/>
        <w:rPr>
          <w:color w:val="auto"/>
          <w:highlight w:val="none"/>
        </w:rPr>
      </w:pPr>
    </w:p>
    <w:tbl>
      <w:tblPr>
        <w:tblStyle w:val="31"/>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917"/>
        <w:gridCol w:w="2850"/>
        <w:gridCol w:w="1821"/>
      </w:tblGrid>
      <w:tr w14:paraId="1B0B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06" w:type="dxa"/>
            <w:shd w:val="clear" w:color="auto" w:fill="auto"/>
            <w:tcMar>
              <w:top w:w="120" w:type="dxa"/>
              <w:left w:w="120" w:type="dxa"/>
              <w:bottom w:w="120" w:type="dxa"/>
              <w:right w:w="120" w:type="dxa"/>
            </w:tcMar>
            <w:vAlign w:val="center"/>
          </w:tcPr>
          <w:p w14:paraId="161AB64B">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917" w:type="dxa"/>
            <w:shd w:val="clear" w:color="auto" w:fill="auto"/>
            <w:tcMar>
              <w:top w:w="120" w:type="dxa"/>
              <w:left w:w="120" w:type="dxa"/>
              <w:bottom w:w="120" w:type="dxa"/>
              <w:right w:w="120" w:type="dxa"/>
            </w:tcMar>
            <w:vAlign w:val="center"/>
          </w:tcPr>
          <w:p w14:paraId="0AC3CFDE">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850" w:type="dxa"/>
            <w:shd w:val="clear" w:color="auto" w:fill="auto"/>
            <w:tcMar>
              <w:top w:w="120" w:type="dxa"/>
              <w:left w:w="120" w:type="dxa"/>
              <w:bottom w:w="120" w:type="dxa"/>
              <w:right w:w="120" w:type="dxa"/>
            </w:tcMar>
            <w:vAlign w:val="center"/>
          </w:tcPr>
          <w:p w14:paraId="11733E71">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821" w:type="dxa"/>
            <w:shd w:val="clear" w:color="auto" w:fill="auto"/>
            <w:tcMar>
              <w:top w:w="120" w:type="dxa"/>
              <w:left w:w="120" w:type="dxa"/>
              <w:bottom w:w="120" w:type="dxa"/>
              <w:right w:w="120" w:type="dxa"/>
            </w:tcMar>
            <w:vAlign w:val="center"/>
          </w:tcPr>
          <w:p w14:paraId="19335D47">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674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3F86F2D6">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17" w:type="dxa"/>
            <w:shd w:val="clear" w:color="auto" w:fill="auto"/>
            <w:tcMar>
              <w:top w:w="120" w:type="dxa"/>
              <w:left w:w="120" w:type="dxa"/>
              <w:bottom w:w="120" w:type="dxa"/>
              <w:right w:w="120" w:type="dxa"/>
            </w:tcMar>
            <w:vAlign w:val="center"/>
          </w:tcPr>
          <w:p w14:paraId="2BADA162">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69E55210">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4D6FC2EE">
            <w:pPr>
              <w:ind w:firstLine="0" w:firstLineChars="0"/>
              <w:jc w:val="center"/>
              <w:rPr>
                <w:rFonts w:ascii="宋体" w:hAnsi="宋体" w:cs="宋体"/>
                <w:color w:val="auto"/>
                <w:kern w:val="0"/>
                <w:sz w:val="24"/>
                <w:highlight w:val="none"/>
              </w:rPr>
            </w:pPr>
          </w:p>
        </w:tc>
      </w:tr>
      <w:tr w14:paraId="1C8F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19AABAC3">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17" w:type="dxa"/>
            <w:shd w:val="clear" w:color="auto" w:fill="auto"/>
            <w:tcMar>
              <w:top w:w="120" w:type="dxa"/>
              <w:left w:w="120" w:type="dxa"/>
              <w:bottom w:w="120" w:type="dxa"/>
              <w:right w:w="120" w:type="dxa"/>
            </w:tcMar>
            <w:vAlign w:val="center"/>
          </w:tcPr>
          <w:p w14:paraId="6F41CFB3">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2A05D208">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5F654900">
            <w:pPr>
              <w:ind w:firstLine="0" w:firstLineChars="0"/>
              <w:jc w:val="center"/>
              <w:rPr>
                <w:rFonts w:ascii="宋体" w:hAnsi="宋体" w:cs="宋体"/>
                <w:color w:val="auto"/>
                <w:kern w:val="0"/>
                <w:sz w:val="24"/>
                <w:highlight w:val="none"/>
              </w:rPr>
            </w:pPr>
          </w:p>
        </w:tc>
      </w:tr>
      <w:tr w14:paraId="1AEA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5A1C9DE1">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17" w:type="dxa"/>
            <w:shd w:val="clear" w:color="auto" w:fill="auto"/>
            <w:tcMar>
              <w:top w:w="120" w:type="dxa"/>
              <w:left w:w="120" w:type="dxa"/>
              <w:bottom w:w="120" w:type="dxa"/>
              <w:right w:w="120" w:type="dxa"/>
            </w:tcMar>
            <w:vAlign w:val="center"/>
          </w:tcPr>
          <w:p w14:paraId="459B2AA4">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529D38ED">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24EBF2F4">
            <w:pPr>
              <w:ind w:firstLine="0" w:firstLineChars="0"/>
              <w:jc w:val="center"/>
              <w:rPr>
                <w:rFonts w:ascii="宋体" w:hAnsi="宋体" w:cs="宋体"/>
                <w:color w:val="auto"/>
                <w:kern w:val="0"/>
                <w:sz w:val="24"/>
                <w:highlight w:val="none"/>
              </w:rPr>
            </w:pPr>
          </w:p>
        </w:tc>
      </w:tr>
      <w:tr w14:paraId="68A2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315E3FD1">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17" w:type="dxa"/>
            <w:shd w:val="clear" w:color="auto" w:fill="auto"/>
            <w:tcMar>
              <w:top w:w="120" w:type="dxa"/>
              <w:left w:w="120" w:type="dxa"/>
              <w:bottom w:w="120" w:type="dxa"/>
              <w:right w:w="120" w:type="dxa"/>
            </w:tcMar>
            <w:vAlign w:val="center"/>
          </w:tcPr>
          <w:p w14:paraId="50D27A4A">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57D57676">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1FBD8AB6">
            <w:pPr>
              <w:ind w:firstLine="0" w:firstLineChars="0"/>
              <w:jc w:val="center"/>
              <w:rPr>
                <w:rFonts w:ascii="宋体" w:hAnsi="宋体" w:cs="宋体"/>
                <w:color w:val="auto"/>
                <w:kern w:val="0"/>
                <w:sz w:val="24"/>
                <w:highlight w:val="none"/>
              </w:rPr>
            </w:pPr>
          </w:p>
        </w:tc>
      </w:tr>
    </w:tbl>
    <w:p w14:paraId="112CCF54">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17DCCBCF">
      <w:pPr>
        <w:snapToGrid w:val="0"/>
        <w:ind w:firstLine="480"/>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BC6B2FE">
      <w:pPr>
        <w:snapToGrid w:val="0"/>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E6CB689">
      <w:pPr>
        <w:widowControl w:val="0"/>
        <w:ind w:firstLine="482"/>
        <w:contextualSpacing/>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3.供应商不存在直接管理关系的，则在“直接管理关系单位名称”填“无”。</w:t>
      </w:r>
    </w:p>
    <w:p w14:paraId="6E0AB696">
      <w:pPr>
        <w:snapToGrid w:val="0"/>
        <w:ind w:firstLine="480"/>
        <w:rPr>
          <w:rFonts w:ascii="宋体" w:hAnsi="宋体"/>
          <w:color w:val="auto"/>
          <w:sz w:val="24"/>
          <w:highlight w:val="none"/>
        </w:rPr>
      </w:pPr>
    </w:p>
    <w:p w14:paraId="1B73DE28">
      <w:pPr>
        <w:snapToGrid w:val="0"/>
        <w:ind w:firstLine="480"/>
        <w:rPr>
          <w:rFonts w:ascii="宋体" w:hAnsi="宋体"/>
          <w:color w:val="auto"/>
          <w:sz w:val="24"/>
          <w:highlight w:val="none"/>
        </w:rPr>
      </w:pPr>
    </w:p>
    <w:p w14:paraId="65C58940">
      <w:pPr>
        <w:snapToGrid w:val="0"/>
        <w:ind w:firstLine="480"/>
        <w:rPr>
          <w:rFonts w:ascii="宋体" w:hAnsi="宋体"/>
          <w:color w:val="auto"/>
          <w:sz w:val="24"/>
          <w:highlight w:val="none"/>
        </w:rPr>
      </w:pPr>
    </w:p>
    <w:p w14:paraId="16BBE402">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5B2BE66A">
      <w:pPr>
        <w:spacing w:line="600" w:lineRule="auto"/>
        <w:ind w:firstLine="0" w:firstLineChars="0"/>
        <w:rPr>
          <w:rFonts w:ascii="宋体" w:hAnsi="宋体"/>
          <w:color w:val="auto"/>
          <w:sz w:val="24"/>
          <w:szCs w:val="22"/>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p w14:paraId="2522F801">
      <w:pPr>
        <w:snapToGrid w:val="0"/>
        <w:spacing w:before="50" w:after="120" w:afterLines="50"/>
        <w:ind w:firstLine="420"/>
        <w:rPr>
          <w:rFonts w:ascii="宋体" w:hAnsi="宋体"/>
          <w:color w:val="auto"/>
          <w:highlight w:val="none"/>
        </w:rPr>
      </w:pPr>
    </w:p>
    <w:p w14:paraId="78701272">
      <w:pPr>
        <w:ind w:firstLine="0" w:firstLineChars="0"/>
        <w:rPr>
          <w:color w:val="auto"/>
          <w:highlight w:val="none"/>
        </w:rPr>
      </w:pPr>
    </w:p>
    <w:p w14:paraId="74211278">
      <w:pPr>
        <w:spacing w:before="260" w:after="260" w:line="415" w:lineRule="auto"/>
        <w:ind w:firstLine="0" w:firstLineChars="0"/>
        <w:jc w:val="center"/>
        <w:rPr>
          <w:color w:val="auto"/>
          <w:highlight w:val="none"/>
        </w:rPr>
      </w:pPr>
      <w:r>
        <w:rPr>
          <w:color w:val="auto"/>
          <w:highlight w:val="none"/>
        </w:rPr>
        <w:br w:type="page"/>
      </w:r>
    </w:p>
    <w:p w14:paraId="29E9BFCC">
      <w:pPr>
        <w:pStyle w:val="55"/>
        <w:rPr>
          <w:color w:val="auto"/>
          <w:highlight w:val="none"/>
        </w:rPr>
      </w:pPr>
      <w:r>
        <w:rPr>
          <w:color w:val="auto"/>
          <w:highlight w:val="none"/>
        </w:rPr>
        <w:t>5.</w:t>
      </w:r>
      <w:r>
        <w:rPr>
          <w:rFonts w:hint="eastAsia"/>
          <w:color w:val="auto"/>
          <w:highlight w:val="none"/>
        </w:rPr>
        <w:t>竞标声明</w:t>
      </w:r>
    </w:p>
    <w:p w14:paraId="2903221E">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竞标声明</w:t>
      </w:r>
    </w:p>
    <w:p w14:paraId="2DF81AFC">
      <w:pPr>
        <w:ind w:firstLine="0" w:firstLineChars="0"/>
        <w:rPr>
          <w:b/>
          <w:bCs/>
          <w:color w:val="auto"/>
          <w:sz w:val="24"/>
          <w:szCs w:val="24"/>
          <w:highlight w:val="none"/>
          <w:u w:val="single"/>
        </w:rPr>
      </w:pPr>
      <w:r>
        <w:rPr>
          <w:rFonts w:hint="eastAsia" w:ascii="宋体" w:hAnsi="宋体" w:cs="宋体"/>
          <w:b/>
          <w:bCs/>
          <w:color w:val="auto"/>
          <w:sz w:val="24"/>
          <w:highlight w:val="none"/>
        </w:rPr>
        <w:t>致：</w:t>
      </w:r>
      <w:r>
        <w:rPr>
          <w:rFonts w:hint="eastAsia"/>
          <w:b/>
          <w:bCs/>
          <w:color w:val="auto"/>
          <w:sz w:val="24"/>
          <w:szCs w:val="24"/>
          <w:highlight w:val="none"/>
          <w:u w:val="single"/>
        </w:rPr>
        <w:t>（采购人名称）：</w:t>
      </w:r>
    </w:p>
    <w:p w14:paraId="25D8FE0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E72E18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项目的竞标，为便于贵方公正、择优地确定成交供应商及其竞标产品和服务，我方就本次竞标有关事项郑重声明如下：</w:t>
      </w:r>
    </w:p>
    <w:p w14:paraId="2EDC6C1C">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3E19B09D">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2.我方不是为本次采购项目提供整体设计、规范编制或者项目管理、监理、检测等服务的供应商。</w:t>
      </w:r>
    </w:p>
    <w:p w14:paraId="44EEA55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5F5DEF66">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文件的约定履行合同责任和义务；</w:t>
      </w:r>
    </w:p>
    <w:p w14:paraId="5CA7E564">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文件，包括澄清或者更正公告（如有）；</w:t>
      </w:r>
    </w:p>
    <w:p w14:paraId="44801966">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有关的一切数据或者资料；</w:t>
      </w:r>
    </w:p>
    <w:p w14:paraId="5E8972E8">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文件规定的竞标有效期。</w:t>
      </w:r>
    </w:p>
    <w:p w14:paraId="2C450575">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14:paraId="0111651E">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08912757">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C3B7E7A">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EB0EBE7">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466C1DA">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89332C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2E45048D">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91F0F94">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auto"/>
          <w:sz w:val="24"/>
          <w:szCs w:val="24"/>
          <w:highlight w:val="none"/>
        </w:rPr>
        <w:t>两项内容中必须选择一项</w:t>
      </w:r>
      <w:r>
        <w:rPr>
          <w:rFonts w:hint="eastAsia" w:ascii="宋体" w:hAnsi="宋体" w:cs="宋体"/>
          <w:color w:val="auto"/>
          <w:sz w:val="24"/>
          <w:szCs w:val="24"/>
          <w:highlight w:val="none"/>
        </w:rPr>
        <w:t>）</w:t>
      </w:r>
    </w:p>
    <w:p w14:paraId="718E9ED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5F3DF302">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59DA4BAD">
      <w:pPr>
        <w:pStyle w:val="19"/>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7.与本</w:t>
      </w:r>
      <w:r>
        <w:rPr>
          <w:rFonts w:hint="eastAsia" w:hAnsi="宋体" w:cs="宋体"/>
          <w:color w:val="auto"/>
          <w:sz w:val="24"/>
          <w:szCs w:val="24"/>
          <w:highlight w:val="none"/>
          <w:lang w:eastAsia="zh-CN"/>
        </w:rPr>
        <w:t>谈判</w:t>
      </w:r>
      <w:r>
        <w:rPr>
          <w:rFonts w:hint="eastAsia" w:hAnsi="宋体" w:cs="宋体"/>
          <w:color w:val="auto"/>
          <w:sz w:val="24"/>
          <w:szCs w:val="24"/>
          <w:highlight w:val="none"/>
        </w:rPr>
        <w:t>有关的一切正式往来信函请寄：</w:t>
      </w:r>
    </w:p>
    <w:p w14:paraId="7D8070CC">
      <w:pPr>
        <w:pStyle w:val="19"/>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联系人</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联系</w:t>
      </w:r>
      <w:r>
        <w:rPr>
          <w:rFonts w:hAnsi="宋体" w:cs="宋体"/>
          <w:color w:val="auto"/>
          <w:sz w:val="24"/>
          <w:szCs w:val="24"/>
          <w:highlight w:val="none"/>
        </w:rPr>
        <w:t>电话：</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14:paraId="3F821AE1">
      <w:pPr>
        <w:pStyle w:val="19"/>
        <w:spacing w:line="360" w:lineRule="auto"/>
        <w:ind w:firstLine="480"/>
        <w:contextualSpacing/>
        <w:jc w:val="left"/>
        <w:rPr>
          <w:rFonts w:hAnsi="宋体" w:cs="宋体"/>
          <w:color w:val="auto"/>
          <w:sz w:val="24"/>
          <w:szCs w:val="24"/>
          <w:highlight w:val="none"/>
          <w:u w:val="singl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14:paraId="12AF9A1E">
      <w:pPr>
        <w:pStyle w:val="19"/>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p>
    <w:p w14:paraId="0694FFFA">
      <w:pPr>
        <w:pStyle w:val="16"/>
        <w:tabs>
          <w:tab w:val="left" w:pos="939"/>
        </w:tabs>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74DD747D">
      <w:pPr>
        <w:pStyle w:val="16"/>
        <w:tabs>
          <w:tab w:val="left" w:pos="939"/>
        </w:tabs>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6EA1D2F">
      <w:pPr>
        <w:pStyle w:val="16"/>
        <w:tabs>
          <w:tab w:val="left" w:pos="939"/>
        </w:tabs>
        <w:spacing w:line="360" w:lineRule="auto"/>
        <w:ind w:left="0" w:leftChars="0" w:firstLine="360" w:firstLineChars="150"/>
        <w:jc w:val="left"/>
        <w:rPr>
          <w:rFonts w:ascii="宋体" w:hAnsi="宋体" w:cs="宋体"/>
          <w:color w:val="auto"/>
          <w:sz w:val="24"/>
          <w:highlight w:val="none"/>
        </w:rPr>
      </w:pPr>
      <w:r>
        <w:rPr>
          <w:rFonts w:hint="eastAsia" w:ascii="宋体" w:hAnsi="宋体" w:cs="宋体"/>
          <w:color w:val="auto"/>
          <w:sz w:val="24"/>
          <w:highlight w:val="none"/>
        </w:rPr>
        <w:t>特此承诺。</w:t>
      </w:r>
    </w:p>
    <w:p w14:paraId="397C369B">
      <w:pPr>
        <w:pStyle w:val="16"/>
        <w:tabs>
          <w:tab w:val="left" w:pos="939"/>
        </w:tabs>
        <w:spacing w:line="360" w:lineRule="auto"/>
        <w:ind w:left="0" w:leftChars="0" w:firstLine="360" w:firstLineChars="150"/>
        <w:jc w:val="left"/>
        <w:rPr>
          <w:rFonts w:ascii="宋体" w:hAnsi="宋体" w:cs="宋体"/>
          <w:color w:val="auto"/>
          <w:sz w:val="24"/>
          <w:highlight w:val="none"/>
        </w:rPr>
      </w:pPr>
    </w:p>
    <w:p w14:paraId="20C314EE">
      <w:pPr>
        <w:widowControl w:val="0"/>
        <w:ind w:firstLine="0" w:firstLineChars="0"/>
        <w:contextualSpacing/>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Times New Roman"/>
          <w:b/>
          <w:color w:val="auto"/>
          <w:sz w:val="24"/>
          <w:szCs w:val="24"/>
          <w:highlight w:val="none"/>
        </w:rPr>
        <w:t>如为联合体竞标，盖章处须加盖联合体牵头人电子签章并由联合体牵头人法定代表人分别签字或者盖章或者电子签名，否则响应文件按无效处理。</w:t>
      </w:r>
    </w:p>
    <w:p w14:paraId="068996E6">
      <w:pPr>
        <w:pStyle w:val="16"/>
        <w:tabs>
          <w:tab w:val="left" w:pos="939"/>
        </w:tabs>
        <w:spacing w:line="360" w:lineRule="auto"/>
        <w:ind w:left="0" w:leftChars="0" w:firstLine="360" w:firstLineChars="150"/>
        <w:jc w:val="left"/>
        <w:rPr>
          <w:rFonts w:ascii="宋体" w:hAnsi="宋体" w:cs="宋体"/>
          <w:color w:val="auto"/>
          <w:sz w:val="24"/>
          <w:highlight w:val="none"/>
        </w:rPr>
      </w:pPr>
    </w:p>
    <w:p w14:paraId="0881A542">
      <w:pPr>
        <w:spacing w:line="600" w:lineRule="auto"/>
        <w:ind w:firstLine="0" w:firstLineChars="0"/>
        <w:rPr>
          <w:color w:val="auto"/>
          <w:sz w:val="24"/>
          <w:szCs w:val="24"/>
          <w:highlight w:val="none"/>
        </w:rPr>
      </w:pPr>
      <w:r>
        <w:rPr>
          <w:rFonts w:hint="eastAsia"/>
          <w:color w:val="auto"/>
          <w:sz w:val="24"/>
          <w:szCs w:val="24"/>
          <w:highlight w:val="none"/>
        </w:rPr>
        <w:t xml:space="preserve">          </w:t>
      </w:r>
      <w:r>
        <w:rPr>
          <w:rFonts w:hint="eastAsia" w:ascii="宋体" w:hAnsi="宋体"/>
          <w:color w:val="auto"/>
          <w:sz w:val="24"/>
          <w:szCs w:val="24"/>
          <w:highlight w:val="none"/>
        </w:rPr>
        <w:t>法定代表人或者委托代理人</w:t>
      </w:r>
      <w:r>
        <w:rPr>
          <w:rFonts w:hint="eastAsia"/>
          <w:color w:val="auto"/>
          <w:sz w:val="24"/>
          <w:szCs w:val="24"/>
          <w:highlight w:val="none"/>
        </w:rPr>
        <w:t>（</w:t>
      </w:r>
      <w:r>
        <w:rPr>
          <w:rFonts w:hint="eastAsia"/>
          <w:b/>
          <w:bCs/>
          <w:color w:val="auto"/>
          <w:sz w:val="24"/>
          <w:szCs w:val="24"/>
          <w:highlight w:val="none"/>
        </w:rPr>
        <w:t>签字或者盖章或者电子签名</w:t>
      </w:r>
      <w:r>
        <w:rPr>
          <w:rFonts w:hint="eastAsia"/>
          <w:color w:val="auto"/>
          <w:sz w:val="24"/>
          <w:szCs w:val="24"/>
          <w:highlight w:val="none"/>
        </w:rPr>
        <w:t>）：</w:t>
      </w:r>
      <w:r>
        <w:rPr>
          <w:rFonts w:hint="eastAsia"/>
          <w:color w:val="auto"/>
          <w:sz w:val="24"/>
          <w:szCs w:val="24"/>
          <w:highlight w:val="none"/>
          <w:u w:val="single"/>
        </w:rPr>
        <w:t xml:space="preserve">          </w:t>
      </w:r>
    </w:p>
    <w:p w14:paraId="258D357B">
      <w:pPr>
        <w:spacing w:line="600" w:lineRule="auto"/>
        <w:ind w:firstLine="0" w:firstLineChars="0"/>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供应商（</w:t>
      </w:r>
      <w:r>
        <w:rPr>
          <w:rFonts w:hint="eastAsia"/>
          <w:b/>
          <w:bCs/>
          <w:color w:val="auto"/>
          <w:sz w:val="24"/>
          <w:szCs w:val="24"/>
          <w:highlight w:val="none"/>
        </w:rPr>
        <w:t>电子签章</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p w14:paraId="7A1EA9D9">
      <w:pPr>
        <w:wordWrap w:val="0"/>
        <w:spacing w:line="600" w:lineRule="auto"/>
        <w:ind w:firstLine="480" w:firstLineChars="0"/>
        <w:jc w:val="right"/>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 xml:space="preserve">日 </w:t>
      </w:r>
      <w:r>
        <w:rPr>
          <w:color w:val="auto"/>
          <w:sz w:val="24"/>
          <w:szCs w:val="24"/>
          <w:highlight w:val="none"/>
        </w:rPr>
        <w:t xml:space="preserve">   </w:t>
      </w:r>
    </w:p>
    <w:p w14:paraId="62638E92">
      <w:pPr>
        <w:spacing w:line="600" w:lineRule="auto"/>
        <w:ind w:firstLine="480" w:firstLineChars="0"/>
        <w:jc w:val="right"/>
        <w:rPr>
          <w:color w:val="auto"/>
          <w:sz w:val="24"/>
          <w:szCs w:val="24"/>
          <w:highlight w:val="none"/>
        </w:rPr>
      </w:pPr>
    </w:p>
    <w:p w14:paraId="635851CD">
      <w:pPr>
        <w:spacing w:line="600" w:lineRule="auto"/>
        <w:ind w:firstLine="480" w:firstLineChars="0"/>
        <w:rPr>
          <w:color w:val="auto"/>
          <w:sz w:val="24"/>
          <w:szCs w:val="24"/>
          <w:highlight w:val="none"/>
        </w:rPr>
      </w:pPr>
    </w:p>
    <w:p w14:paraId="3072EEE2">
      <w:pPr>
        <w:ind w:firstLine="420"/>
        <w:rPr>
          <w:color w:val="auto"/>
          <w:highlight w:val="none"/>
        </w:rPr>
      </w:pPr>
    </w:p>
    <w:p w14:paraId="43AAAC22">
      <w:pPr>
        <w:ind w:firstLine="562"/>
        <w:rPr>
          <w:rFonts w:ascii="宋体" w:eastAsia="宋体" w:hAnsiTheme="minorEastAsia"/>
          <w:b/>
          <w:bCs/>
          <w:color w:val="auto"/>
          <w:sz w:val="28"/>
          <w:szCs w:val="44"/>
          <w:highlight w:val="none"/>
        </w:rPr>
      </w:pPr>
    </w:p>
    <w:p w14:paraId="2835F882">
      <w:pPr>
        <w:spacing w:before="260" w:after="260" w:line="415" w:lineRule="auto"/>
        <w:ind w:firstLine="0" w:firstLineChars="0"/>
        <w:jc w:val="center"/>
        <w:rPr>
          <w:rFonts w:ascii="宋体" w:eastAsia="宋体" w:hAnsiTheme="minorEastAsia"/>
          <w:b/>
          <w:bCs/>
          <w:color w:val="auto"/>
          <w:sz w:val="28"/>
          <w:szCs w:val="44"/>
          <w:highlight w:val="none"/>
        </w:rPr>
      </w:pPr>
      <w:r>
        <w:rPr>
          <w:color w:val="auto"/>
          <w:highlight w:val="none"/>
        </w:rPr>
        <w:br w:type="page"/>
      </w:r>
    </w:p>
    <w:p w14:paraId="57C3736D">
      <w:pPr>
        <w:pStyle w:val="68"/>
        <w:rPr>
          <w:color w:val="auto"/>
          <w:highlight w:val="none"/>
        </w:rPr>
      </w:pPr>
      <w:r>
        <w:rPr>
          <w:rFonts w:hint="eastAsia"/>
          <w:color w:val="auto"/>
          <w:highlight w:val="none"/>
        </w:rPr>
        <w:t>二、报价文件格式</w:t>
      </w:r>
    </w:p>
    <w:p w14:paraId="6700660B">
      <w:pPr>
        <w:pStyle w:val="55"/>
        <w:rPr>
          <w:color w:val="auto"/>
          <w:highlight w:val="none"/>
        </w:rPr>
      </w:pPr>
      <w:r>
        <w:rPr>
          <w:rFonts w:hint="eastAsia"/>
          <w:color w:val="auto"/>
          <w:highlight w:val="none"/>
        </w:rPr>
        <w:t>1.报价文件封面格式</w:t>
      </w:r>
    </w:p>
    <w:p w14:paraId="438130B2">
      <w:pPr>
        <w:ind w:firstLine="199" w:firstLineChars="83"/>
        <w:rPr>
          <w:rFonts w:ascii="宋体" w:hAnsi="Calibri" w:eastAsia="宋体" w:cs="Times New Roman"/>
          <w:color w:val="auto"/>
          <w:sz w:val="24"/>
          <w:szCs w:val="24"/>
          <w:highlight w:val="none"/>
        </w:rPr>
      </w:pPr>
    </w:p>
    <w:p w14:paraId="3F95F460">
      <w:pPr>
        <w:ind w:firstLine="199" w:firstLineChars="83"/>
        <w:rPr>
          <w:rFonts w:ascii="宋体" w:hAnsi="Calibri" w:eastAsia="宋体" w:cs="Times New Roman"/>
          <w:color w:val="auto"/>
          <w:sz w:val="24"/>
          <w:szCs w:val="24"/>
          <w:highlight w:val="none"/>
        </w:rPr>
      </w:pPr>
    </w:p>
    <w:p w14:paraId="58546526">
      <w:pPr>
        <w:ind w:firstLine="199" w:firstLineChars="83"/>
        <w:rPr>
          <w:rFonts w:ascii="宋体" w:hAnsi="Calibri" w:eastAsia="宋体" w:cs="Times New Roman"/>
          <w:color w:val="auto"/>
          <w:sz w:val="24"/>
          <w:szCs w:val="24"/>
          <w:highlight w:val="none"/>
        </w:rPr>
      </w:pPr>
    </w:p>
    <w:p w14:paraId="55F2F0AF">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报价文件</w:t>
      </w:r>
    </w:p>
    <w:p w14:paraId="6E951F7C">
      <w:pPr>
        <w:ind w:firstLine="480"/>
        <w:rPr>
          <w:rFonts w:ascii="宋体" w:hAnsi="Calibri" w:eastAsia="宋体" w:cs="Times New Roman"/>
          <w:color w:val="auto"/>
          <w:sz w:val="24"/>
          <w:szCs w:val="24"/>
          <w:highlight w:val="none"/>
        </w:rPr>
      </w:pPr>
    </w:p>
    <w:p w14:paraId="57121BB9">
      <w:pPr>
        <w:ind w:firstLine="480"/>
        <w:rPr>
          <w:rFonts w:ascii="宋体" w:hAnsi="Calibri" w:eastAsia="宋体" w:cs="Times New Roman"/>
          <w:color w:val="auto"/>
          <w:sz w:val="24"/>
          <w:szCs w:val="24"/>
          <w:highlight w:val="none"/>
        </w:rPr>
      </w:pPr>
    </w:p>
    <w:p w14:paraId="0139BAC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1909BB7E">
      <w:pPr>
        <w:ind w:firstLine="1132" w:firstLineChars="354"/>
        <w:rPr>
          <w:rFonts w:ascii="宋体" w:hAnsi="Calibri" w:eastAsia="宋体" w:cs="Times New Roman"/>
          <w:color w:val="auto"/>
          <w:sz w:val="32"/>
          <w:szCs w:val="32"/>
          <w:highlight w:val="none"/>
        </w:rPr>
      </w:pPr>
    </w:p>
    <w:p w14:paraId="320B826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096A57E1">
      <w:pPr>
        <w:ind w:firstLine="0" w:firstLineChars="0"/>
        <w:rPr>
          <w:rFonts w:hint="eastAsia" w:ascii="宋体" w:hAnsi="Calibri" w:eastAsia="宋体" w:cs="Times New Roman"/>
          <w:color w:val="auto"/>
          <w:sz w:val="32"/>
          <w:szCs w:val="32"/>
          <w:highlight w:val="none"/>
          <w:lang w:eastAsia="zh-CN"/>
        </w:rPr>
      </w:pPr>
    </w:p>
    <w:p w14:paraId="0C4F758B">
      <w:pPr>
        <w:ind w:firstLine="1132" w:firstLineChars="354"/>
        <w:rPr>
          <w:rFonts w:hint="eastAsia" w:ascii="宋体" w:hAnsi="Calibri" w:eastAsia="宋体" w:cs="Times New Roman"/>
          <w:color w:val="auto"/>
          <w:sz w:val="32"/>
          <w:szCs w:val="32"/>
          <w:highlight w:val="none"/>
          <w:lang w:eastAsia="zh-CN"/>
        </w:rPr>
      </w:pPr>
      <w:r>
        <w:rPr>
          <w:rFonts w:hint="eastAsia" w:ascii="宋体" w:hAnsi="Calibri" w:eastAsia="宋体" w:cs="Times New Roman"/>
          <w:color w:val="auto"/>
          <w:sz w:val="32"/>
          <w:szCs w:val="32"/>
          <w:highlight w:val="none"/>
          <w:lang w:eastAsia="zh-CN"/>
        </w:rPr>
        <w:t>所竞分标：</w:t>
      </w:r>
    </w:p>
    <w:p w14:paraId="6215E88E">
      <w:pPr>
        <w:ind w:firstLine="1132" w:firstLineChars="354"/>
        <w:rPr>
          <w:rFonts w:hint="eastAsia" w:ascii="宋体" w:hAnsi="Calibri" w:eastAsia="宋体" w:cs="Times New Roman"/>
          <w:color w:val="auto"/>
          <w:sz w:val="32"/>
          <w:szCs w:val="32"/>
          <w:highlight w:val="none"/>
        </w:rPr>
      </w:pPr>
    </w:p>
    <w:p w14:paraId="5AE1F576">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4F8A7132">
      <w:pPr>
        <w:ind w:firstLine="1132" w:firstLineChars="354"/>
        <w:rPr>
          <w:rFonts w:ascii="宋体" w:hAnsi="Calibri" w:eastAsia="宋体" w:cs="Times New Roman"/>
          <w:color w:val="auto"/>
          <w:sz w:val="32"/>
          <w:szCs w:val="32"/>
          <w:highlight w:val="none"/>
        </w:rPr>
      </w:pPr>
    </w:p>
    <w:p w14:paraId="32C0F203">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1869C68E">
      <w:pPr>
        <w:spacing w:before="260" w:after="260" w:line="415" w:lineRule="auto"/>
        <w:ind w:firstLine="0" w:firstLineChars="0"/>
        <w:jc w:val="center"/>
        <w:rPr>
          <w:color w:val="auto"/>
          <w:highlight w:val="none"/>
        </w:rPr>
      </w:pPr>
      <w:r>
        <w:rPr>
          <w:color w:val="auto"/>
          <w:highlight w:val="none"/>
        </w:rPr>
        <w:br w:type="page"/>
      </w:r>
    </w:p>
    <w:p w14:paraId="06B115A8">
      <w:pPr>
        <w:pStyle w:val="55"/>
        <w:rPr>
          <w:color w:val="auto"/>
          <w:highlight w:val="none"/>
        </w:rPr>
      </w:pPr>
      <w:r>
        <w:rPr>
          <w:color w:val="auto"/>
          <w:highlight w:val="none"/>
        </w:rPr>
        <w:t>2.</w:t>
      </w:r>
      <w:r>
        <w:rPr>
          <w:rFonts w:hint="eastAsia"/>
          <w:color w:val="auto"/>
          <w:highlight w:val="none"/>
        </w:rPr>
        <w:t>报价文件目录</w:t>
      </w:r>
    </w:p>
    <w:p w14:paraId="4DAFD9DA">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w:t>
      </w:r>
      <w:r>
        <w:rPr>
          <w:rFonts w:hint="eastAsia" w:ascii="宋体" w:hAnsi="宋体" w:eastAsia="宋体" w:cs="Times New Roman"/>
          <w:b/>
          <w:bCs/>
          <w:color w:val="auto"/>
          <w:sz w:val="32"/>
          <w:szCs w:val="32"/>
          <w:highlight w:val="none"/>
          <w:lang w:eastAsia="zh-CN"/>
        </w:rPr>
        <w:t>谈判</w:t>
      </w:r>
      <w:r>
        <w:rPr>
          <w:rFonts w:hint="eastAsia" w:ascii="宋体" w:hAnsi="宋体" w:eastAsia="宋体" w:cs="Times New Roman"/>
          <w:b/>
          <w:bCs/>
          <w:color w:val="auto"/>
          <w:sz w:val="32"/>
          <w:szCs w:val="32"/>
          <w:highlight w:val="none"/>
        </w:rPr>
        <w:t>文件规定及供应商提供的材料自行编写目录（部分格式后附）。</w:t>
      </w:r>
    </w:p>
    <w:p w14:paraId="1B19BC55">
      <w:pPr>
        <w:spacing w:before="260" w:after="260" w:line="415" w:lineRule="auto"/>
        <w:ind w:firstLine="0" w:firstLineChars="0"/>
        <w:jc w:val="center"/>
        <w:rPr>
          <w:color w:val="auto"/>
          <w:highlight w:val="none"/>
        </w:rPr>
      </w:pPr>
      <w:r>
        <w:rPr>
          <w:color w:val="auto"/>
          <w:highlight w:val="none"/>
        </w:rPr>
        <w:br w:type="page"/>
      </w:r>
    </w:p>
    <w:p w14:paraId="128575F6">
      <w:pPr>
        <w:pStyle w:val="55"/>
        <w:rPr>
          <w:color w:val="auto"/>
          <w:highlight w:val="none"/>
        </w:rPr>
      </w:pPr>
      <w:r>
        <w:rPr>
          <w:color w:val="auto"/>
          <w:highlight w:val="none"/>
        </w:rPr>
        <w:t>3</w:t>
      </w:r>
      <w:r>
        <w:rPr>
          <w:rFonts w:hint="eastAsia"/>
          <w:color w:val="auto"/>
          <w:highlight w:val="none"/>
        </w:rPr>
        <w:t>.竞标报价表</w:t>
      </w:r>
    </w:p>
    <w:p w14:paraId="254B70CB">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竞标报价表</w:t>
      </w:r>
    </w:p>
    <w:p w14:paraId="54EB7CB4">
      <w:pPr>
        <w:ind w:firstLine="0" w:firstLineChars="0"/>
        <w:jc w:val="left"/>
        <w:rPr>
          <w:color w:val="auto"/>
          <w:sz w:val="24"/>
          <w:szCs w:val="24"/>
          <w:highlight w:val="none"/>
        </w:rPr>
      </w:pPr>
      <w:r>
        <w:rPr>
          <w:rFonts w:hint="eastAsia"/>
          <w:color w:val="auto"/>
          <w:sz w:val="24"/>
          <w:szCs w:val="24"/>
          <w:highlight w:val="none"/>
          <w:lang w:eastAsia="zh-CN"/>
        </w:rPr>
        <w:t>所竞分标：</w:t>
      </w:r>
      <w:r>
        <w:rPr>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单位：元</w:t>
      </w:r>
    </w:p>
    <w:tbl>
      <w:tblPr>
        <w:tblStyle w:val="3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50"/>
        <w:gridCol w:w="975"/>
        <w:gridCol w:w="1082"/>
        <w:gridCol w:w="739"/>
        <w:gridCol w:w="675"/>
        <w:gridCol w:w="986"/>
        <w:gridCol w:w="1179"/>
        <w:gridCol w:w="700"/>
      </w:tblGrid>
      <w:tr w14:paraId="5D88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4A97DB26">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520C6BE2">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标的名称</w:t>
            </w:r>
          </w:p>
        </w:tc>
        <w:tc>
          <w:tcPr>
            <w:tcW w:w="975" w:type="dxa"/>
            <w:tcBorders>
              <w:top w:val="single" w:color="auto" w:sz="4" w:space="0"/>
              <w:left w:val="single" w:color="auto" w:sz="4" w:space="0"/>
              <w:bottom w:val="single" w:color="auto" w:sz="4" w:space="0"/>
              <w:right w:val="single" w:color="auto" w:sz="4" w:space="0"/>
            </w:tcBorders>
            <w:vAlign w:val="center"/>
          </w:tcPr>
          <w:p w14:paraId="2ED6DCC0">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color w:val="auto"/>
                <w:highlight w:val="none"/>
                <w:lang w:eastAsia="zh-CN"/>
              </w:rPr>
            </w:pPr>
            <w:r>
              <w:rPr>
                <w:rFonts w:hint="eastAsia" w:ascii="宋体" w:hAnsi="宋体" w:eastAsia="宋体" w:cs="宋体"/>
                <w:b/>
                <w:color w:val="auto"/>
                <w:highlight w:val="none"/>
                <w:lang w:eastAsia="zh-CN"/>
              </w:rPr>
              <w:t>品牌</w:t>
            </w:r>
          </w:p>
        </w:tc>
        <w:tc>
          <w:tcPr>
            <w:tcW w:w="1082" w:type="dxa"/>
            <w:tcBorders>
              <w:top w:val="single" w:color="auto" w:sz="4" w:space="0"/>
              <w:left w:val="single" w:color="auto" w:sz="4" w:space="0"/>
              <w:bottom w:val="single" w:color="auto" w:sz="4" w:space="0"/>
              <w:right w:val="single" w:color="auto" w:sz="4" w:space="0"/>
            </w:tcBorders>
            <w:vAlign w:val="center"/>
          </w:tcPr>
          <w:p w14:paraId="65EF7980">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规格型号</w:t>
            </w:r>
          </w:p>
        </w:tc>
        <w:tc>
          <w:tcPr>
            <w:tcW w:w="739" w:type="dxa"/>
            <w:tcBorders>
              <w:top w:val="single" w:color="auto" w:sz="4" w:space="0"/>
              <w:left w:val="single" w:color="auto" w:sz="4" w:space="0"/>
              <w:bottom w:val="single" w:color="auto" w:sz="4" w:space="0"/>
              <w:right w:val="single" w:color="auto" w:sz="4" w:space="0"/>
            </w:tcBorders>
            <w:vAlign w:val="center"/>
          </w:tcPr>
          <w:p w14:paraId="0C77AF86">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color w:val="auto"/>
                <w:highlight w:val="none"/>
              </w:rPr>
            </w:pPr>
            <w:r>
              <w:rPr>
                <w:rFonts w:hint="eastAsia" w:ascii="宋体" w:hAnsi="宋体" w:eastAsia="宋体" w:cs="宋体"/>
                <w:b/>
                <w:color w:val="auto"/>
                <w:highlight w:val="none"/>
              </w:rPr>
              <w:t>数量</w:t>
            </w:r>
            <w:r>
              <w:rPr>
                <w:rFonts w:hint="eastAsia" w:ascii="宋体" w:hAnsi="宋体" w:eastAsia="宋体" w:cs="宋体"/>
                <w:color w:val="auto"/>
                <w:highlight w:val="none"/>
              </w:rPr>
              <w:t>①</w:t>
            </w:r>
          </w:p>
        </w:tc>
        <w:tc>
          <w:tcPr>
            <w:tcW w:w="675" w:type="dxa"/>
            <w:tcBorders>
              <w:top w:val="single" w:color="auto" w:sz="4" w:space="0"/>
              <w:left w:val="single" w:color="auto" w:sz="4" w:space="0"/>
              <w:bottom w:val="single" w:color="auto" w:sz="4" w:space="0"/>
              <w:right w:val="single" w:color="auto" w:sz="4" w:space="0"/>
            </w:tcBorders>
            <w:vAlign w:val="center"/>
          </w:tcPr>
          <w:p w14:paraId="50674036">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color w:val="auto"/>
                <w:highlight w:val="none"/>
              </w:rPr>
              <w:t>单位</w:t>
            </w:r>
          </w:p>
        </w:tc>
        <w:tc>
          <w:tcPr>
            <w:tcW w:w="986" w:type="dxa"/>
            <w:tcBorders>
              <w:top w:val="single" w:color="auto" w:sz="4" w:space="0"/>
              <w:left w:val="single" w:color="auto" w:sz="4" w:space="0"/>
              <w:bottom w:val="single" w:color="auto" w:sz="4" w:space="0"/>
              <w:right w:val="single" w:color="auto" w:sz="4" w:space="0"/>
            </w:tcBorders>
            <w:vAlign w:val="center"/>
          </w:tcPr>
          <w:p w14:paraId="2E2ADB6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单价（元）</w:t>
            </w:r>
            <w:r>
              <w:rPr>
                <w:rFonts w:hint="eastAsia" w:ascii="宋体" w:hAnsi="宋体" w:eastAsia="宋体" w:cs="宋体"/>
                <w:color w:val="auto"/>
                <w:highlight w:val="none"/>
              </w:rPr>
              <w:t>②</w:t>
            </w:r>
          </w:p>
        </w:tc>
        <w:tc>
          <w:tcPr>
            <w:tcW w:w="1179" w:type="dxa"/>
            <w:tcBorders>
              <w:top w:val="single" w:color="auto" w:sz="4" w:space="0"/>
              <w:left w:val="single" w:color="auto" w:sz="4" w:space="0"/>
              <w:bottom w:val="single" w:color="auto" w:sz="4" w:space="0"/>
              <w:right w:val="single" w:color="auto" w:sz="4" w:space="0"/>
            </w:tcBorders>
            <w:vAlign w:val="center"/>
          </w:tcPr>
          <w:p w14:paraId="518F97D5">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金额（元）</w:t>
            </w:r>
            <w:r>
              <w:rPr>
                <w:rFonts w:hint="eastAsia" w:ascii="宋体" w:hAnsi="宋体" w:eastAsia="宋体" w:cs="宋体"/>
                <w:color w:val="auto"/>
                <w:highlight w:val="none"/>
              </w:rPr>
              <w:t>③=①×②</w:t>
            </w:r>
          </w:p>
        </w:tc>
        <w:tc>
          <w:tcPr>
            <w:tcW w:w="700" w:type="dxa"/>
            <w:tcBorders>
              <w:top w:val="single" w:color="auto" w:sz="4" w:space="0"/>
              <w:left w:val="single" w:color="auto" w:sz="4" w:space="0"/>
              <w:bottom w:val="single" w:color="auto" w:sz="4" w:space="0"/>
              <w:right w:val="single" w:color="auto" w:sz="4" w:space="0"/>
            </w:tcBorders>
            <w:vAlign w:val="center"/>
          </w:tcPr>
          <w:p w14:paraId="16D3D15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14:paraId="16C2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071593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1</w:t>
            </w:r>
          </w:p>
        </w:tc>
        <w:tc>
          <w:tcPr>
            <w:tcW w:w="1850" w:type="dxa"/>
            <w:tcBorders>
              <w:top w:val="single" w:color="auto" w:sz="4" w:space="0"/>
              <w:left w:val="single" w:color="auto" w:sz="4" w:space="0"/>
              <w:bottom w:val="single" w:color="auto" w:sz="4" w:space="0"/>
              <w:right w:val="single" w:color="auto" w:sz="4" w:space="0"/>
            </w:tcBorders>
            <w:vAlign w:val="center"/>
          </w:tcPr>
          <w:p w14:paraId="10FE69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19BC750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C64484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4E1944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47ED59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2E1C00C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FEFAE30">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D5C5892">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50A7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67346E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2</w:t>
            </w:r>
          </w:p>
        </w:tc>
        <w:tc>
          <w:tcPr>
            <w:tcW w:w="1850" w:type="dxa"/>
            <w:tcBorders>
              <w:top w:val="single" w:color="auto" w:sz="4" w:space="0"/>
              <w:left w:val="single" w:color="auto" w:sz="4" w:space="0"/>
              <w:bottom w:val="single" w:color="auto" w:sz="4" w:space="0"/>
              <w:right w:val="single" w:color="auto" w:sz="4" w:space="0"/>
            </w:tcBorders>
            <w:vAlign w:val="center"/>
          </w:tcPr>
          <w:p w14:paraId="693203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107201C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929A00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639FA7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20ECF9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3E7FC75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37B08CB">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4E4309E">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6E2D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4F8B217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3</w:t>
            </w:r>
          </w:p>
        </w:tc>
        <w:tc>
          <w:tcPr>
            <w:tcW w:w="1850" w:type="dxa"/>
            <w:tcBorders>
              <w:top w:val="single" w:color="auto" w:sz="4" w:space="0"/>
              <w:left w:val="single" w:color="auto" w:sz="4" w:space="0"/>
              <w:bottom w:val="single" w:color="auto" w:sz="4" w:space="0"/>
              <w:right w:val="single" w:color="auto" w:sz="4" w:space="0"/>
            </w:tcBorders>
            <w:vAlign w:val="center"/>
          </w:tcPr>
          <w:p w14:paraId="4D8791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371182B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74DD24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1D421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1EC2A6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4466EB1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3E14C13B">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1F1A9C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7E0D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2767E8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eastAsia" w:eastAsia="宋体"/>
                <w:color w:val="auto"/>
                <w:highlight w:val="none"/>
                <w:lang w:eastAsia="zh-CN" w:bidi="ar"/>
              </w:rPr>
            </w:pPr>
            <w:r>
              <w:rPr>
                <w:rStyle w:val="81"/>
                <w:rFonts w:hint="eastAsia" w:eastAsia="宋体"/>
                <w:color w:val="auto"/>
                <w:highlight w:val="none"/>
                <w:lang w:eastAsia="zh-CN" w:bidi="ar"/>
              </w:rPr>
              <w:t>…</w:t>
            </w:r>
          </w:p>
        </w:tc>
        <w:tc>
          <w:tcPr>
            <w:tcW w:w="1850" w:type="dxa"/>
            <w:tcBorders>
              <w:top w:val="single" w:color="auto" w:sz="4" w:space="0"/>
              <w:left w:val="single" w:color="auto" w:sz="4" w:space="0"/>
              <w:bottom w:val="single" w:color="auto" w:sz="4" w:space="0"/>
              <w:right w:val="single" w:color="auto" w:sz="4" w:space="0"/>
            </w:tcBorders>
            <w:vAlign w:val="center"/>
          </w:tcPr>
          <w:p w14:paraId="671953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val="en-US" w:eastAsia="zh-CN"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107ED3A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0B7F3C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7F2151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13598C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5D40A25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01C37E7">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228A677">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4440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14:paraId="0928C258">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lang w:eastAsia="zh-CN"/>
              </w:rPr>
              <w:t>交付使用时间</w:t>
            </w:r>
            <w:r>
              <w:rPr>
                <w:rFonts w:hint="eastAsia" w:ascii="宋体" w:hAnsi="宋体" w:eastAsia="宋体" w:cs="宋体"/>
                <w:color w:val="auto"/>
                <w:highlight w:val="none"/>
              </w:rPr>
              <w:t>：</w:t>
            </w:r>
            <w:r>
              <w:rPr>
                <w:rFonts w:hint="eastAsia" w:ascii="宋体" w:hAnsi="宋体" w:eastAsia="宋体" w:cs="宋体"/>
                <w:kern w:val="2"/>
                <w:sz w:val="21"/>
                <w:szCs w:val="21"/>
                <w:highlight w:val="none"/>
                <w:lang w:val="en-US" w:eastAsia="zh-CN" w:bidi="ar"/>
              </w:rPr>
              <w:t>自合同签订之日起</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日内安装调试完毕并验收合格。</w:t>
            </w:r>
          </w:p>
        </w:tc>
      </w:tr>
      <w:tr w14:paraId="14CE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14:paraId="3824099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rPr>
              <w:t>合计金额大写：人民币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14:paraId="51A1BBD7">
      <w:pPr>
        <w:ind w:firstLine="0" w:firstLineChars="0"/>
        <w:rPr>
          <w:rFonts w:hint="eastAsia"/>
          <w:color w:val="auto"/>
          <w:sz w:val="24"/>
          <w:szCs w:val="24"/>
          <w:highlight w:val="none"/>
        </w:rPr>
      </w:pPr>
    </w:p>
    <w:p w14:paraId="5BB2FAEF">
      <w:pPr>
        <w:ind w:firstLine="0" w:firstLineChars="0"/>
        <w:rPr>
          <w:color w:val="auto"/>
          <w:sz w:val="24"/>
          <w:szCs w:val="24"/>
          <w:highlight w:val="none"/>
        </w:rPr>
      </w:pPr>
      <w:r>
        <w:rPr>
          <w:rFonts w:hint="eastAsia"/>
          <w:color w:val="auto"/>
          <w:sz w:val="24"/>
          <w:szCs w:val="24"/>
          <w:highlight w:val="none"/>
        </w:rPr>
        <w:t xml:space="preserve">注: </w:t>
      </w:r>
    </w:p>
    <w:p w14:paraId="25E8D2AA">
      <w:pPr>
        <w:snapToGrid w:val="0"/>
        <w:ind w:firstLine="48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.供应商的报价表必须加盖供应商电子签章并由法定代表人或者委托代理人签字或者盖章或者电子签名，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0520DFCC">
      <w:pPr>
        <w:snapToGrid w:val="0"/>
        <w:ind w:firstLine="480"/>
        <w:rPr>
          <w:rFonts w:ascii="宋体" w:hAnsi="宋体" w:cs="仿宋_GB2312"/>
          <w:b/>
          <w:color w:val="auto"/>
          <w:sz w:val="24"/>
          <w:highlight w:val="none"/>
        </w:rPr>
      </w:pPr>
      <w:r>
        <w:rPr>
          <w:rFonts w:ascii="宋体" w:hAnsi="宋体" w:cs="仿宋_GB2312"/>
          <w:bCs/>
          <w:color w:val="auto"/>
          <w:sz w:val="24"/>
          <w:highlight w:val="none"/>
        </w:rPr>
        <w:t>2</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报价一经涂改，应在涂改处加盖供应商公章或者加盖电子签章或者由法定代表人或者授权委托人签字（或者电子签名），</w:t>
      </w:r>
      <w:r>
        <w:rPr>
          <w:rFonts w:hint="eastAsia" w:ascii="宋体" w:hAnsi="宋体" w:cs="仿宋_GB2312"/>
          <w:b/>
          <w:bCs/>
          <w:color w:val="auto"/>
          <w:sz w:val="24"/>
          <w:highlight w:val="none"/>
        </w:rPr>
        <w:t>否则其响应文件按无效处理</w:t>
      </w:r>
      <w:r>
        <w:rPr>
          <w:rFonts w:hint="eastAsia" w:ascii="宋体" w:hAnsi="宋体" w:cs="仿宋_GB2312"/>
          <w:color w:val="auto"/>
          <w:sz w:val="24"/>
          <w:highlight w:val="none"/>
        </w:rPr>
        <w:t>。</w:t>
      </w:r>
    </w:p>
    <w:p w14:paraId="5F326671">
      <w:pPr>
        <w:snapToGrid w:val="0"/>
        <w:ind w:firstLine="480"/>
        <w:rPr>
          <w:rFonts w:hint="eastAsia"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46D2E7A">
      <w:pPr>
        <w:snapToGrid w:val="0"/>
        <w:ind w:firstLine="480"/>
        <w:rPr>
          <w:rFonts w:hint="default" w:eastAsiaTheme="minorEastAsia"/>
          <w:color w:val="auto"/>
          <w:highlight w:val="none"/>
          <w:lang w:val="en-US" w:eastAsia="zh-CN"/>
        </w:rPr>
      </w:pPr>
      <w:r>
        <w:rPr>
          <w:rFonts w:hint="eastAsia" w:ascii="宋体" w:hAnsi="宋体" w:cs="仿宋_GB2312"/>
          <w:b/>
          <w:color w:val="auto"/>
          <w:sz w:val="24"/>
          <w:highlight w:val="none"/>
          <w:lang w:val="en-US" w:eastAsia="zh-CN"/>
        </w:rPr>
        <w:t>4.竞标总报价超过预算总金额或单项报价超过单项限价的，</w:t>
      </w:r>
      <w:r>
        <w:rPr>
          <w:rFonts w:hint="eastAsia" w:ascii="宋体" w:hAnsi="宋体" w:cs="仿宋_GB2312"/>
          <w:b/>
          <w:bCs/>
          <w:color w:val="auto"/>
          <w:sz w:val="24"/>
          <w:highlight w:val="none"/>
        </w:rPr>
        <w:t>响应文件按无效处理</w:t>
      </w:r>
      <w:r>
        <w:rPr>
          <w:rFonts w:hint="eastAsia" w:ascii="宋体" w:hAnsi="宋体" w:cs="仿宋_GB2312"/>
          <w:color w:val="auto"/>
          <w:sz w:val="24"/>
          <w:highlight w:val="none"/>
        </w:rPr>
        <w:t>。</w:t>
      </w:r>
    </w:p>
    <w:p w14:paraId="3F3F4695">
      <w:pPr>
        <w:spacing w:line="600" w:lineRule="auto"/>
        <w:ind w:firstLine="0" w:firstLineChars="0"/>
        <w:rPr>
          <w:rFonts w:hint="eastAsia" w:ascii="宋体" w:hAnsi="宋体"/>
          <w:color w:val="auto"/>
          <w:sz w:val="24"/>
          <w:szCs w:val="24"/>
          <w:highlight w:val="none"/>
        </w:rPr>
      </w:pPr>
      <w:bookmarkStart w:id="30" w:name="_Toc19686837"/>
    </w:p>
    <w:p w14:paraId="17C30EC0">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2A7EF271">
      <w:pPr>
        <w:spacing w:line="600" w:lineRule="auto"/>
        <w:ind w:firstLine="0" w:firstLineChars="0"/>
        <w:rPr>
          <w:rFonts w:ascii="宋体" w:hAnsi="宋体"/>
          <w:color w:val="auto"/>
          <w:spacing w:val="20"/>
          <w:sz w:val="24"/>
          <w:szCs w:val="24"/>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w:t>
      </w:r>
    </w:p>
    <w:p w14:paraId="5A344FBA">
      <w:pPr>
        <w:spacing w:line="600" w:lineRule="auto"/>
        <w:ind w:firstLine="0" w:firstLineChars="0"/>
        <w:rPr>
          <w:rFonts w:ascii="宋体" w:hAnsi="宋体"/>
          <w:color w:val="auto"/>
          <w:sz w:val="24"/>
          <w:szCs w:val="22"/>
          <w:highlight w:val="none"/>
        </w:rPr>
      </w:pPr>
      <w:r>
        <w:rPr>
          <w:rFonts w:hint="eastAsia" w:ascii="宋体" w:hAnsi="宋体"/>
          <w:color w:val="auto"/>
          <w:spacing w:val="20"/>
          <w:sz w:val="24"/>
          <w:szCs w:val="24"/>
          <w:highlight w:val="none"/>
        </w:rPr>
        <w:t>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bookmarkEnd w:id="30"/>
    <w:p w14:paraId="2B5ACCCB">
      <w:pPr>
        <w:pStyle w:val="68"/>
        <w:rPr>
          <w:rFonts w:hint="eastAsia"/>
          <w:color w:val="auto"/>
          <w:highlight w:val="none"/>
        </w:rPr>
      </w:pPr>
    </w:p>
    <w:p w14:paraId="613A9744">
      <w:pPr>
        <w:pStyle w:val="68"/>
        <w:rPr>
          <w:color w:val="auto"/>
          <w:highlight w:val="none"/>
        </w:rPr>
      </w:pPr>
      <w:r>
        <w:rPr>
          <w:rFonts w:hint="eastAsia"/>
          <w:color w:val="auto"/>
          <w:highlight w:val="none"/>
        </w:rPr>
        <w:t>三、商务技术文件格式</w:t>
      </w:r>
    </w:p>
    <w:p w14:paraId="66B047D2">
      <w:pPr>
        <w:pStyle w:val="55"/>
        <w:rPr>
          <w:color w:val="auto"/>
          <w:highlight w:val="none"/>
        </w:rPr>
      </w:pPr>
      <w:r>
        <w:rPr>
          <w:rFonts w:hint="eastAsia"/>
          <w:color w:val="auto"/>
          <w:highlight w:val="none"/>
        </w:rPr>
        <w:t>1.商务技术文件封面格式</w:t>
      </w:r>
    </w:p>
    <w:p w14:paraId="56220C61">
      <w:pPr>
        <w:ind w:firstLine="199" w:firstLineChars="83"/>
        <w:rPr>
          <w:rFonts w:ascii="宋体" w:hAnsi="Calibri" w:eastAsia="宋体" w:cs="Times New Roman"/>
          <w:color w:val="auto"/>
          <w:sz w:val="24"/>
          <w:szCs w:val="24"/>
          <w:highlight w:val="none"/>
        </w:rPr>
      </w:pPr>
    </w:p>
    <w:p w14:paraId="633810B9">
      <w:pPr>
        <w:ind w:firstLine="199" w:firstLineChars="83"/>
        <w:rPr>
          <w:rFonts w:ascii="宋体" w:hAnsi="Calibri" w:eastAsia="宋体" w:cs="Times New Roman"/>
          <w:color w:val="auto"/>
          <w:sz w:val="24"/>
          <w:szCs w:val="24"/>
          <w:highlight w:val="none"/>
        </w:rPr>
      </w:pPr>
    </w:p>
    <w:p w14:paraId="3B6DDD38">
      <w:pPr>
        <w:ind w:firstLine="199" w:firstLineChars="83"/>
        <w:rPr>
          <w:rFonts w:ascii="宋体" w:hAnsi="Calibri" w:eastAsia="宋体" w:cs="Times New Roman"/>
          <w:color w:val="auto"/>
          <w:sz w:val="24"/>
          <w:szCs w:val="24"/>
          <w:highlight w:val="none"/>
        </w:rPr>
      </w:pPr>
    </w:p>
    <w:p w14:paraId="4F1A133E">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商务技术文件</w:t>
      </w:r>
    </w:p>
    <w:p w14:paraId="7EE8BB0E">
      <w:pPr>
        <w:ind w:firstLine="480"/>
        <w:rPr>
          <w:rFonts w:ascii="宋体" w:hAnsi="Calibri" w:eastAsia="宋体" w:cs="Times New Roman"/>
          <w:color w:val="auto"/>
          <w:sz w:val="24"/>
          <w:szCs w:val="24"/>
          <w:highlight w:val="none"/>
        </w:rPr>
      </w:pPr>
    </w:p>
    <w:p w14:paraId="04A0276D">
      <w:pPr>
        <w:ind w:firstLine="480"/>
        <w:rPr>
          <w:rFonts w:ascii="宋体" w:hAnsi="Calibri" w:eastAsia="宋体" w:cs="Times New Roman"/>
          <w:color w:val="auto"/>
          <w:sz w:val="24"/>
          <w:szCs w:val="24"/>
          <w:highlight w:val="none"/>
        </w:rPr>
      </w:pPr>
    </w:p>
    <w:p w14:paraId="07BA301C">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696936B9">
      <w:pPr>
        <w:ind w:firstLine="1132" w:firstLineChars="354"/>
        <w:rPr>
          <w:rFonts w:ascii="宋体" w:hAnsi="Calibri" w:eastAsia="宋体" w:cs="Times New Roman"/>
          <w:color w:val="auto"/>
          <w:sz w:val="32"/>
          <w:szCs w:val="32"/>
          <w:highlight w:val="none"/>
        </w:rPr>
      </w:pPr>
    </w:p>
    <w:p w14:paraId="738C77B2">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2C4D67B9">
      <w:pPr>
        <w:ind w:firstLine="0" w:firstLineChars="0"/>
        <w:rPr>
          <w:rFonts w:hint="eastAsia" w:ascii="宋体" w:hAnsi="Calibri" w:eastAsia="宋体" w:cs="Times New Roman"/>
          <w:color w:val="auto"/>
          <w:sz w:val="32"/>
          <w:szCs w:val="32"/>
          <w:highlight w:val="none"/>
        </w:rPr>
      </w:pPr>
    </w:p>
    <w:p w14:paraId="6E1CFCC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所竞分标：</w:t>
      </w:r>
    </w:p>
    <w:p w14:paraId="4F63394F">
      <w:pPr>
        <w:ind w:firstLine="1132" w:firstLineChars="354"/>
        <w:rPr>
          <w:rFonts w:hint="eastAsia" w:ascii="宋体" w:hAnsi="Calibri" w:eastAsia="宋体" w:cs="Times New Roman"/>
          <w:color w:val="auto"/>
          <w:sz w:val="32"/>
          <w:szCs w:val="32"/>
          <w:highlight w:val="none"/>
        </w:rPr>
      </w:pPr>
    </w:p>
    <w:p w14:paraId="53C5E43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0C9B9198">
      <w:pPr>
        <w:ind w:firstLine="1132" w:firstLineChars="354"/>
        <w:rPr>
          <w:rFonts w:ascii="宋体" w:hAnsi="Calibri" w:eastAsia="宋体" w:cs="Times New Roman"/>
          <w:color w:val="auto"/>
          <w:sz w:val="32"/>
          <w:szCs w:val="32"/>
          <w:highlight w:val="none"/>
        </w:rPr>
      </w:pPr>
    </w:p>
    <w:p w14:paraId="1A523300">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255E5151">
      <w:pPr>
        <w:spacing w:before="260" w:after="260" w:line="415" w:lineRule="auto"/>
        <w:ind w:firstLine="0" w:firstLineChars="0"/>
        <w:jc w:val="center"/>
        <w:rPr>
          <w:color w:val="auto"/>
          <w:highlight w:val="none"/>
        </w:rPr>
      </w:pPr>
      <w:r>
        <w:rPr>
          <w:color w:val="auto"/>
          <w:highlight w:val="none"/>
        </w:rPr>
        <w:br w:type="page"/>
      </w:r>
    </w:p>
    <w:p w14:paraId="504A466C">
      <w:pPr>
        <w:pStyle w:val="55"/>
        <w:rPr>
          <w:color w:val="auto"/>
          <w:highlight w:val="none"/>
        </w:rPr>
      </w:pPr>
      <w:r>
        <w:rPr>
          <w:color w:val="auto"/>
          <w:highlight w:val="none"/>
        </w:rPr>
        <w:t>2.</w:t>
      </w:r>
      <w:r>
        <w:rPr>
          <w:rFonts w:hint="eastAsia"/>
          <w:color w:val="auto"/>
          <w:highlight w:val="none"/>
        </w:rPr>
        <w:t>商务技术文件目录</w:t>
      </w:r>
    </w:p>
    <w:p w14:paraId="7C858FE9">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w:t>
      </w:r>
      <w:r>
        <w:rPr>
          <w:rFonts w:hint="eastAsia" w:ascii="宋体" w:hAnsi="宋体" w:eastAsia="宋体" w:cs="Times New Roman"/>
          <w:b/>
          <w:bCs/>
          <w:color w:val="auto"/>
          <w:sz w:val="32"/>
          <w:szCs w:val="32"/>
          <w:highlight w:val="none"/>
          <w:lang w:eastAsia="zh-CN"/>
        </w:rPr>
        <w:t>谈判</w:t>
      </w:r>
      <w:r>
        <w:rPr>
          <w:rFonts w:hint="eastAsia" w:ascii="宋体" w:hAnsi="宋体" w:eastAsia="宋体" w:cs="Times New Roman"/>
          <w:b/>
          <w:bCs/>
          <w:color w:val="auto"/>
          <w:sz w:val="32"/>
          <w:szCs w:val="32"/>
          <w:highlight w:val="none"/>
        </w:rPr>
        <w:t>文件规定及供应商提供的材料自行编写目录（部分格式后附）。</w:t>
      </w:r>
    </w:p>
    <w:p w14:paraId="487F4D42">
      <w:pPr>
        <w:ind w:firstLine="420"/>
        <w:rPr>
          <w:color w:val="auto"/>
          <w:highlight w:val="none"/>
        </w:rPr>
      </w:pPr>
    </w:p>
    <w:p w14:paraId="4F4DCFC8">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14:paraId="4C609A6B">
      <w:pPr>
        <w:pStyle w:val="55"/>
        <w:rPr>
          <w:color w:val="auto"/>
          <w:highlight w:val="none"/>
        </w:rPr>
      </w:pPr>
      <w:r>
        <w:rPr>
          <w:color w:val="auto"/>
          <w:highlight w:val="none"/>
        </w:rPr>
        <w:t>3</w:t>
      </w:r>
      <w:r>
        <w:rPr>
          <w:rFonts w:hint="eastAsia"/>
          <w:color w:val="auto"/>
          <w:highlight w:val="none"/>
        </w:rPr>
        <w:t>.无串通竞标行为的承诺函</w:t>
      </w:r>
    </w:p>
    <w:p w14:paraId="0715096A">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无串通竞标行为的承诺函</w:t>
      </w:r>
    </w:p>
    <w:p w14:paraId="7C26E454">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2D482AC">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133EEF31">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6A1C57E">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6D2568B">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8C4FFD4">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E94BC25">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w:t>
      </w:r>
      <w:r>
        <w:rPr>
          <w:rFonts w:hint="eastAsia" w:ascii="宋体" w:hAnsi="宋体" w:cs="仿宋_GB2312"/>
          <w:color w:val="auto"/>
          <w:sz w:val="24"/>
          <w:highlight w:val="none"/>
          <w:lang w:eastAsia="zh-CN"/>
        </w:rPr>
        <w:t>响应保证金</w:t>
      </w:r>
      <w:r>
        <w:rPr>
          <w:rFonts w:hint="eastAsia" w:ascii="宋体" w:hAnsi="宋体" w:cs="仿宋_GB2312"/>
          <w:color w:val="auto"/>
          <w:sz w:val="24"/>
          <w:highlight w:val="none"/>
        </w:rPr>
        <w:t>从同一单位或者个人账户转出。</w:t>
      </w:r>
    </w:p>
    <w:p w14:paraId="2EA03418">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3AF51E1">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D53773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E312AC5">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5B6878E">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D04678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w:t>
      </w:r>
      <w:r>
        <w:rPr>
          <w:rFonts w:hint="eastAsia" w:ascii="宋体" w:hAnsi="宋体" w:cs="仿宋_GB2312"/>
          <w:color w:val="auto"/>
          <w:sz w:val="24"/>
          <w:highlight w:val="none"/>
          <w:lang w:eastAsia="zh-CN"/>
        </w:rPr>
        <w:t>谈判</w:t>
      </w:r>
      <w:r>
        <w:rPr>
          <w:rFonts w:hint="eastAsia" w:ascii="宋体" w:hAnsi="宋体" w:cs="仿宋_GB2312"/>
          <w:color w:val="auto"/>
          <w:sz w:val="24"/>
          <w:highlight w:val="none"/>
        </w:rPr>
        <w:t>项目中事先约定轮流以高价位或者低价位成交，或者事先约定由某一特定供应商成交，然后再参加竞标；</w:t>
      </w:r>
    </w:p>
    <w:p w14:paraId="4C3E94C7">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DC1C55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A27FB2E">
      <w:pPr>
        <w:ind w:firstLine="482"/>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68D2E07">
      <w:pPr>
        <w:wordWrap w:val="0"/>
        <w:spacing w:line="600" w:lineRule="auto"/>
        <w:ind w:firstLine="0" w:firstLineChars="0"/>
        <w:jc w:val="right"/>
        <w:rPr>
          <w:rFonts w:ascii="宋体" w:hAnsi="宋体"/>
          <w:color w:val="auto"/>
          <w:spacing w:val="20"/>
          <w:sz w:val="24"/>
          <w:szCs w:val="24"/>
          <w:highlight w:val="none"/>
          <w:u w:val="singl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01D50473">
      <w:pPr>
        <w:spacing w:line="600" w:lineRule="auto"/>
        <w:ind w:firstLine="0" w:firstLineChars="0"/>
        <w:jc w:val="right"/>
        <w:rPr>
          <w:color w:val="auto"/>
          <w:sz w:val="24"/>
          <w:szCs w:val="24"/>
          <w:highlight w:val="none"/>
          <w:lang w:val="zh-CN"/>
        </w:rPr>
      </w:pP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14:paraId="0A328B70">
      <w:pPr>
        <w:pStyle w:val="55"/>
        <w:rPr>
          <w:color w:val="auto"/>
          <w:highlight w:val="none"/>
        </w:rPr>
      </w:pPr>
      <w:r>
        <w:rPr>
          <w:color w:val="auto"/>
          <w:highlight w:val="none"/>
        </w:rPr>
        <w:t>4</w:t>
      </w:r>
      <w:r>
        <w:rPr>
          <w:rFonts w:hint="eastAsia"/>
          <w:color w:val="auto"/>
          <w:highlight w:val="none"/>
        </w:rPr>
        <w:t>.法定代表人证明书</w:t>
      </w:r>
    </w:p>
    <w:p w14:paraId="16CA7EB8">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法定代表人证明书</w:t>
      </w:r>
    </w:p>
    <w:p w14:paraId="7092C9A0">
      <w:pPr>
        <w:ind w:firstLine="0" w:firstLineChars="0"/>
        <w:rPr>
          <w:color w:val="auto"/>
          <w:sz w:val="24"/>
          <w:szCs w:val="24"/>
          <w:highlight w:val="none"/>
          <w:u w:val="single"/>
        </w:rPr>
      </w:pPr>
      <w:r>
        <w:rPr>
          <w:rFonts w:hint="eastAsia"/>
          <w:color w:val="auto"/>
          <w:sz w:val="24"/>
          <w:szCs w:val="24"/>
          <w:highlight w:val="none"/>
        </w:rPr>
        <w:t>供应商名称：</w:t>
      </w:r>
      <w:r>
        <w:rPr>
          <w:rFonts w:hint="eastAsia"/>
          <w:color w:val="auto"/>
          <w:sz w:val="24"/>
          <w:szCs w:val="24"/>
          <w:highlight w:val="none"/>
          <w:u w:val="single"/>
        </w:rPr>
        <w:t xml:space="preserve">                                                        </w:t>
      </w:r>
    </w:p>
    <w:p w14:paraId="1ED032CC">
      <w:pPr>
        <w:ind w:firstLine="0" w:firstLineChars="0"/>
        <w:rPr>
          <w:color w:val="auto"/>
          <w:sz w:val="24"/>
          <w:szCs w:val="24"/>
          <w:highlight w:val="none"/>
          <w:u w:val="single"/>
        </w:rPr>
      </w:pPr>
      <w:r>
        <w:rPr>
          <w:rFonts w:hint="eastAsia"/>
          <w:color w:val="auto"/>
          <w:sz w:val="24"/>
          <w:szCs w:val="24"/>
          <w:highlight w:val="none"/>
        </w:rPr>
        <w:t>地    址：</w:t>
      </w:r>
      <w:r>
        <w:rPr>
          <w:rFonts w:hint="eastAsia"/>
          <w:color w:val="auto"/>
          <w:sz w:val="24"/>
          <w:szCs w:val="24"/>
          <w:highlight w:val="none"/>
          <w:u w:val="single"/>
        </w:rPr>
        <w:t xml:space="preserve">                                                        </w:t>
      </w:r>
    </w:p>
    <w:p w14:paraId="3D7C268E">
      <w:pPr>
        <w:ind w:firstLine="0" w:firstLineChars="0"/>
        <w:rPr>
          <w:color w:val="auto"/>
          <w:sz w:val="24"/>
          <w:szCs w:val="24"/>
          <w:highlight w:val="none"/>
          <w:u w:val="single"/>
        </w:rPr>
      </w:pPr>
      <w:r>
        <w:rPr>
          <w:rFonts w:hint="eastAsia"/>
          <w:color w:val="auto"/>
          <w:sz w:val="24"/>
          <w:szCs w:val="24"/>
          <w:highlight w:val="none"/>
        </w:rPr>
        <w:t>姓    名：</w:t>
      </w:r>
      <w:r>
        <w:rPr>
          <w:rFonts w:hint="eastAsia"/>
          <w:color w:val="auto"/>
          <w:sz w:val="24"/>
          <w:szCs w:val="24"/>
          <w:highlight w:val="none"/>
          <w:u w:val="single"/>
        </w:rPr>
        <w:t xml:space="preserve">                        </w:t>
      </w:r>
      <w:r>
        <w:rPr>
          <w:rFonts w:hint="eastAsia"/>
          <w:color w:val="auto"/>
          <w:sz w:val="24"/>
          <w:szCs w:val="24"/>
          <w:highlight w:val="none"/>
        </w:rPr>
        <w:t xml:space="preserve">  性      别：</w:t>
      </w:r>
      <w:r>
        <w:rPr>
          <w:rFonts w:hint="eastAsia"/>
          <w:color w:val="auto"/>
          <w:sz w:val="24"/>
          <w:szCs w:val="24"/>
          <w:highlight w:val="none"/>
          <w:u w:val="single"/>
        </w:rPr>
        <w:t xml:space="preserve">                  </w:t>
      </w:r>
    </w:p>
    <w:p w14:paraId="1263D9DB">
      <w:pPr>
        <w:ind w:firstLine="0" w:firstLineChars="0"/>
        <w:rPr>
          <w:color w:val="auto"/>
          <w:sz w:val="24"/>
          <w:szCs w:val="24"/>
          <w:highlight w:val="none"/>
          <w:u w:val="single"/>
        </w:rPr>
      </w:pPr>
      <w:r>
        <w:rPr>
          <w:rFonts w:hint="eastAsia"/>
          <w:color w:val="auto"/>
          <w:sz w:val="24"/>
          <w:szCs w:val="24"/>
          <w:highlight w:val="none"/>
        </w:rPr>
        <w:t>年    龄：</w:t>
      </w:r>
      <w:r>
        <w:rPr>
          <w:rFonts w:hint="eastAsia"/>
          <w:color w:val="auto"/>
          <w:sz w:val="24"/>
          <w:szCs w:val="24"/>
          <w:highlight w:val="none"/>
          <w:u w:val="single"/>
        </w:rPr>
        <w:t xml:space="preserve">                        </w:t>
      </w:r>
      <w:r>
        <w:rPr>
          <w:rFonts w:hint="eastAsia"/>
          <w:color w:val="auto"/>
          <w:sz w:val="24"/>
          <w:szCs w:val="24"/>
          <w:highlight w:val="none"/>
        </w:rPr>
        <w:t xml:space="preserve">  职      务：</w:t>
      </w:r>
      <w:r>
        <w:rPr>
          <w:rFonts w:hint="eastAsia"/>
          <w:color w:val="auto"/>
          <w:sz w:val="24"/>
          <w:szCs w:val="24"/>
          <w:highlight w:val="none"/>
          <w:u w:val="single"/>
        </w:rPr>
        <w:t xml:space="preserve">                  </w:t>
      </w:r>
    </w:p>
    <w:p w14:paraId="76C03CEC">
      <w:pPr>
        <w:ind w:firstLine="0" w:firstLineChars="0"/>
        <w:rPr>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14:paraId="40D42295">
      <w:pPr>
        <w:ind w:firstLine="0" w:firstLineChars="0"/>
        <w:rPr>
          <w:color w:val="auto"/>
          <w:sz w:val="24"/>
          <w:szCs w:val="24"/>
          <w:highlight w:val="none"/>
        </w:rPr>
      </w:pPr>
      <w:r>
        <w:rPr>
          <w:rFonts w:hint="eastAsia"/>
          <w:color w:val="auto"/>
          <w:sz w:val="24"/>
          <w:szCs w:val="24"/>
          <w:highlight w:val="none"/>
        </w:rPr>
        <w:t>系</w:t>
      </w:r>
      <w:r>
        <w:rPr>
          <w:rFonts w:hint="eastAsia"/>
          <w:color w:val="auto"/>
          <w:sz w:val="24"/>
          <w:szCs w:val="24"/>
          <w:highlight w:val="none"/>
          <w:u w:val="single"/>
        </w:rPr>
        <w:t xml:space="preserve">            （供应商名称）              </w:t>
      </w:r>
      <w:r>
        <w:rPr>
          <w:rFonts w:hint="eastAsia"/>
          <w:color w:val="auto"/>
          <w:sz w:val="24"/>
          <w:szCs w:val="24"/>
          <w:highlight w:val="none"/>
        </w:rPr>
        <w:t>的法定代表人。</w:t>
      </w:r>
    </w:p>
    <w:p w14:paraId="13F3B768">
      <w:pPr>
        <w:ind w:firstLine="0" w:firstLineChars="0"/>
        <w:rPr>
          <w:color w:val="auto"/>
          <w:sz w:val="24"/>
          <w:szCs w:val="24"/>
          <w:highlight w:val="none"/>
        </w:rPr>
      </w:pPr>
      <w:r>
        <w:rPr>
          <w:rFonts w:hint="eastAsia"/>
          <w:color w:val="auto"/>
          <w:sz w:val="24"/>
          <w:szCs w:val="24"/>
          <w:highlight w:val="none"/>
        </w:rPr>
        <w:t>特此证明。</w:t>
      </w:r>
    </w:p>
    <w:p w14:paraId="40F09BC4">
      <w:pPr>
        <w:ind w:firstLine="0" w:firstLineChars="0"/>
        <w:rPr>
          <w:color w:val="auto"/>
          <w:sz w:val="24"/>
          <w:szCs w:val="24"/>
          <w:highlight w:val="none"/>
        </w:rPr>
      </w:pPr>
    </w:p>
    <w:p w14:paraId="0195F2C0">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14:paraId="6CB67E6D">
      <w:pPr>
        <w:ind w:firstLine="0" w:firstLineChars="0"/>
        <w:rPr>
          <w:color w:val="auto"/>
          <w:sz w:val="24"/>
          <w:szCs w:val="24"/>
          <w:highlight w:val="none"/>
        </w:rPr>
      </w:pPr>
    </w:p>
    <w:p w14:paraId="5BACEF39">
      <w:pPr>
        <w:spacing w:line="600" w:lineRule="auto"/>
        <w:ind w:firstLine="0" w:firstLineChars="0"/>
        <w:rPr>
          <w:color w:val="auto"/>
          <w:sz w:val="24"/>
          <w:szCs w:val="24"/>
          <w:highlight w:val="none"/>
          <w:lang w:val="zh-CN"/>
        </w:rPr>
      </w:pPr>
      <w:r>
        <w:rPr>
          <w:rFonts w:hint="eastAsia"/>
          <w:color w:val="auto"/>
          <w:sz w:val="24"/>
          <w:szCs w:val="24"/>
          <w:highlight w:val="none"/>
          <w:lang w:val="zh-CN"/>
        </w:rPr>
        <w:t xml:space="preserve">                                    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515353C1">
      <w:pPr>
        <w:wordWrap w:val="0"/>
        <w:spacing w:line="600" w:lineRule="auto"/>
        <w:ind w:firstLine="0" w:firstLineChars="0"/>
        <w:jc w:val="right"/>
        <w:rPr>
          <w:color w:val="auto"/>
          <w:sz w:val="24"/>
          <w:szCs w:val="24"/>
          <w:highlight w:val="none"/>
          <w:lang w:val="zh-CN"/>
        </w:rPr>
      </w:pP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14:paraId="46594A74">
      <w:pPr>
        <w:ind w:firstLine="0" w:firstLineChars="0"/>
        <w:rPr>
          <w:color w:val="auto"/>
          <w:sz w:val="24"/>
          <w:szCs w:val="24"/>
          <w:highlight w:val="none"/>
        </w:rPr>
      </w:pPr>
    </w:p>
    <w:p w14:paraId="2C928373">
      <w:pPr>
        <w:ind w:firstLine="0" w:firstLineChars="0"/>
        <w:rPr>
          <w:color w:val="auto"/>
          <w:sz w:val="24"/>
          <w:szCs w:val="24"/>
          <w:highlight w:val="none"/>
        </w:rPr>
      </w:pPr>
      <w:r>
        <w:rPr>
          <w:rFonts w:hint="eastAsia"/>
          <w:color w:val="auto"/>
          <w:sz w:val="24"/>
          <w:szCs w:val="24"/>
          <w:highlight w:val="none"/>
        </w:rPr>
        <w:t>注：自然人竞标的无需提供，联合体竞标的只需牵头人出具。</w:t>
      </w:r>
    </w:p>
    <w:p w14:paraId="2991AFEA">
      <w:pPr>
        <w:spacing w:before="260" w:after="260" w:line="415" w:lineRule="auto"/>
        <w:ind w:firstLine="0" w:firstLineChars="0"/>
        <w:jc w:val="center"/>
        <w:rPr>
          <w:color w:val="auto"/>
          <w:highlight w:val="none"/>
        </w:rPr>
      </w:pPr>
      <w:r>
        <w:rPr>
          <w:color w:val="auto"/>
          <w:highlight w:val="none"/>
        </w:rPr>
        <w:br w:type="page"/>
      </w:r>
    </w:p>
    <w:p w14:paraId="3B1C2ED2">
      <w:pPr>
        <w:pStyle w:val="55"/>
        <w:rPr>
          <w:color w:val="auto"/>
          <w:highlight w:val="none"/>
        </w:rPr>
      </w:pPr>
      <w:r>
        <w:rPr>
          <w:color w:val="auto"/>
          <w:highlight w:val="none"/>
        </w:rPr>
        <w:t>5.</w:t>
      </w:r>
      <w:r>
        <w:rPr>
          <w:rFonts w:hint="eastAsia"/>
          <w:color w:val="auto"/>
          <w:highlight w:val="none"/>
        </w:rPr>
        <w:t>授权委托书格式</w:t>
      </w:r>
    </w:p>
    <w:p w14:paraId="6390513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授权委托书</w:t>
      </w:r>
    </w:p>
    <w:p w14:paraId="5E76A2F3">
      <w:pPr>
        <w:spacing w:line="276" w:lineRule="auto"/>
        <w:ind w:firstLine="0" w:firstLineChars="0"/>
        <w:jc w:val="center"/>
        <w:rPr>
          <w:b/>
          <w:bCs/>
          <w:color w:val="auto"/>
          <w:sz w:val="32"/>
          <w:szCs w:val="32"/>
          <w:highlight w:val="none"/>
        </w:rPr>
      </w:pPr>
      <w:r>
        <w:rPr>
          <w:rFonts w:hint="eastAsia"/>
          <w:b/>
          <w:bCs/>
          <w:color w:val="auto"/>
          <w:sz w:val="32"/>
          <w:szCs w:val="32"/>
          <w:highlight w:val="none"/>
        </w:rPr>
        <w:t>（非联合体竞标格式）</w:t>
      </w:r>
    </w:p>
    <w:p w14:paraId="3D668AD7">
      <w:pPr>
        <w:spacing w:line="276" w:lineRule="auto"/>
        <w:ind w:firstLine="0" w:firstLineChars="0"/>
        <w:jc w:val="center"/>
        <w:rPr>
          <w:b/>
          <w:bCs/>
          <w:color w:val="auto"/>
          <w:sz w:val="32"/>
          <w:szCs w:val="32"/>
          <w:highlight w:val="none"/>
        </w:rPr>
      </w:pPr>
      <w:r>
        <w:rPr>
          <w:rFonts w:hint="eastAsia"/>
          <w:b/>
          <w:bCs/>
          <w:color w:val="auto"/>
          <w:sz w:val="32"/>
          <w:szCs w:val="32"/>
          <w:highlight w:val="none"/>
        </w:rPr>
        <w:t>（如有委托时）</w:t>
      </w:r>
    </w:p>
    <w:p w14:paraId="7C9EA65D">
      <w:pPr>
        <w:ind w:firstLine="0" w:firstLineChars="0"/>
        <w:rPr>
          <w:color w:val="auto"/>
          <w:sz w:val="24"/>
          <w:szCs w:val="24"/>
          <w:highlight w:val="none"/>
        </w:rPr>
      </w:pPr>
      <w:bookmarkStart w:id="31" w:name="_Hlk75765700"/>
      <w:r>
        <w:rPr>
          <w:rFonts w:hint="eastAsia"/>
          <w:color w:val="auto"/>
          <w:sz w:val="24"/>
          <w:szCs w:val="24"/>
          <w:highlight w:val="none"/>
        </w:rPr>
        <w:t>致：</w:t>
      </w:r>
      <w:r>
        <w:rPr>
          <w:rFonts w:hint="eastAsia"/>
          <w:color w:val="auto"/>
          <w:sz w:val="24"/>
          <w:szCs w:val="24"/>
          <w:highlight w:val="none"/>
          <w:u w:val="single"/>
        </w:rPr>
        <w:t xml:space="preserve"> 采购人名称 </w:t>
      </w:r>
    </w:p>
    <w:bookmarkEnd w:id="31"/>
    <w:p w14:paraId="3F340AF3">
      <w:pPr>
        <w:ind w:firstLine="480"/>
        <w:rPr>
          <w:color w:val="auto"/>
          <w:sz w:val="24"/>
          <w:szCs w:val="24"/>
          <w:highlight w:val="none"/>
        </w:rPr>
      </w:pPr>
      <w:r>
        <w:rPr>
          <w:rFonts w:hint="eastAsia"/>
          <w:color w:val="auto"/>
          <w:sz w:val="24"/>
          <w:szCs w:val="24"/>
          <w:highlight w:val="none"/>
        </w:rPr>
        <w:t>我</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（供应商名称）的（</w:t>
      </w:r>
      <w:r>
        <w:rPr>
          <w:rFonts w:hint="eastAsia"/>
          <w:b/>
          <w:bCs/>
          <w:color w:val="auto"/>
          <w:sz w:val="24"/>
          <w:szCs w:val="24"/>
          <w:highlight w:val="none"/>
          <w:u w:val="single"/>
        </w:rPr>
        <w:t>□法定代表人/□负责人/□自然人本人</w:t>
      </w:r>
      <w:r>
        <w:rPr>
          <w:rFonts w:hint="eastAsia"/>
          <w:color w:val="auto"/>
          <w:sz w:val="24"/>
          <w:szCs w:val="24"/>
          <w:highlight w:val="none"/>
        </w:rPr>
        <w:t>），现授权委托</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（姓名）以我方的名义参加</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项目的</w:t>
      </w:r>
      <w:r>
        <w:rPr>
          <w:rFonts w:hint="eastAsia" w:ascii="宋体" w:hAnsi="宋体" w:cs="仿宋_GB2312"/>
          <w:color w:val="auto"/>
          <w:sz w:val="24"/>
          <w:highlight w:val="none"/>
        </w:rPr>
        <w:t>竞标</w:t>
      </w:r>
      <w:r>
        <w:rPr>
          <w:rFonts w:hint="eastAsia"/>
          <w:color w:val="auto"/>
          <w:sz w:val="24"/>
          <w:szCs w:val="24"/>
          <w:highlight w:val="none"/>
        </w:rPr>
        <w:t>活动，并代表我方全权办理针对上述项目的所有采购程序和环节的具体事务和签署相关文件。</w:t>
      </w:r>
    </w:p>
    <w:p w14:paraId="209A8AA7">
      <w:pPr>
        <w:ind w:firstLine="480"/>
        <w:rPr>
          <w:color w:val="auto"/>
          <w:sz w:val="24"/>
          <w:szCs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r>
        <w:rPr>
          <w:rFonts w:hint="eastAsia"/>
          <w:color w:val="auto"/>
          <w:sz w:val="24"/>
          <w:szCs w:val="24"/>
          <w:highlight w:val="none"/>
        </w:rPr>
        <w:t>。</w:t>
      </w:r>
    </w:p>
    <w:p w14:paraId="6146696C">
      <w:pPr>
        <w:ind w:firstLine="480"/>
        <w:rPr>
          <w:color w:val="auto"/>
          <w:sz w:val="24"/>
          <w:szCs w:val="24"/>
          <w:highlight w:val="none"/>
        </w:rPr>
      </w:pPr>
      <w:r>
        <w:rPr>
          <w:rFonts w:hint="eastAsia"/>
          <w:color w:val="auto"/>
          <w:sz w:val="24"/>
          <w:szCs w:val="24"/>
          <w:highlight w:val="none"/>
        </w:rPr>
        <w:t>本授权书自签署之日起生效，在撤销授权的书面通知以前，本授权书一直有效。委托代理人在授权书有效期内签署的所有文件不因授权的撤销而失效。</w:t>
      </w:r>
    </w:p>
    <w:p w14:paraId="0B769029">
      <w:pPr>
        <w:ind w:firstLine="480"/>
        <w:rPr>
          <w:color w:val="auto"/>
          <w:sz w:val="24"/>
          <w:szCs w:val="24"/>
          <w:highlight w:val="none"/>
        </w:rPr>
      </w:pPr>
      <w:r>
        <w:rPr>
          <w:rFonts w:hint="eastAsia"/>
          <w:color w:val="auto"/>
          <w:sz w:val="24"/>
          <w:szCs w:val="24"/>
          <w:highlight w:val="none"/>
        </w:rPr>
        <w:t>委托代理人无转委托权，特此委托。</w:t>
      </w:r>
    </w:p>
    <w:p w14:paraId="4D51DEF7">
      <w:pPr>
        <w:ind w:firstLine="0" w:firstLineChars="0"/>
        <w:rPr>
          <w:rFonts w:ascii="黑体" w:hAnsi="黑体" w:eastAsia="黑体"/>
          <w:b/>
          <w:bCs/>
          <w:color w:val="auto"/>
          <w:sz w:val="28"/>
          <w:szCs w:val="28"/>
          <w:highlight w:val="none"/>
        </w:rPr>
      </w:pPr>
    </w:p>
    <w:p w14:paraId="0C518416">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附件：委托代理人有效身份证正反面复印件</w:t>
      </w:r>
    </w:p>
    <w:p w14:paraId="7FFC5094">
      <w:pPr>
        <w:spacing w:line="480" w:lineRule="auto"/>
        <w:ind w:firstLine="0" w:firstLineChars="0"/>
        <w:rPr>
          <w:color w:val="auto"/>
          <w:sz w:val="24"/>
          <w:szCs w:val="24"/>
          <w:highlight w:val="none"/>
        </w:rPr>
      </w:pPr>
    </w:p>
    <w:p w14:paraId="18EAA69D">
      <w:pPr>
        <w:spacing w:line="480" w:lineRule="auto"/>
        <w:ind w:firstLine="424" w:firstLineChars="177"/>
        <w:rPr>
          <w:color w:val="auto"/>
          <w:sz w:val="24"/>
          <w:szCs w:val="24"/>
          <w:highlight w:val="none"/>
        </w:rPr>
      </w:pPr>
      <w:r>
        <w:rPr>
          <w:rFonts w:hint="eastAsia"/>
          <w:color w:val="auto"/>
          <w:sz w:val="24"/>
          <w:szCs w:val="24"/>
          <w:highlight w:val="none"/>
        </w:rPr>
        <w:t>法定代表人（</w:t>
      </w:r>
      <w:r>
        <w:rPr>
          <w:rFonts w:hint="eastAsia"/>
          <w:b/>
          <w:bCs/>
          <w:color w:val="auto"/>
          <w:sz w:val="24"/>
          <w:szCs w:val="24"/>
          <w:highlight w:val="none"/>
        </w:rPr>
        <w:t>签字或者盖章或者电子签名</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p>
    <w:p w14:paraId="408CEDE8">
      <w:pPr>
        <w:spacing w:line="480" w:lineRule="auto"/>
        <w:ind w:firstLine="424" w:firstLineChars="177"/>
        <w:rPr>
          <w:color w:val="auto"/>
          <w:sz w:val="24"/>
          <w:szCs w:val="24"/>
          <w:highlight w:val="none"/>
        </w:rPr>
      </w:pPr>
      <w:r>
        <w:rPr>
          <w:rFonts w:hint="eastAsia"/>
          <w:color w:val="auto"/>
          <w:sz w:val="24"/>
          <w:szCs w:val="24"/>
          <w:highlight w:val="none"/>
        </w:rPr>
        <w:t>委托代理人（</w:t>
      </w:r>
      <w:r>
        <w:rPr>
          <w:rFonts w:hint="eastAsia"/>
          <w:b/>
          <w:bCs/>
          <w:color w:val="auto"/>
          <w:sz w:val="24"/>
          <w:szCs w:val="24"/>
          <w:highlight w:val="none"/>
        </w:rPr>
        <w:t>签字或者电子签名</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14:paraId="17CFED6B">
      <w:pPr>
        <w:spacing w:line="480" w:lineRule="auto"/>
        <w:ind w:firstLine="480"/>
        <w:rPr>
          <w:color w:val="auto"/>
          <w:sz w:val="24"/>
          <w:szCs w:val="24"/>
          <w:highlight w:val="none"/>
          <w:u w:val="single"/>
        </w:rPr>
      </w:pPr>
      <w:r>
        <w:rPr>
          <w:rFonts w:hint="eastAsia"/>
          <w:color w:val="auto"/>
          <w:sz w:val="24"/>
          <w:szCs w:val="24"/>
          <w:highlight w:val="none"/>
        </w:rPr>
        <w:t>委托代理人身份证号码：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p w14:paraId="35888FE8">
      <w:pPr>
        <w:spacing w:line="480" w:lineRule="auto"/>
        <w:ind w:firstLine="0" w:firstLineChars="0"/>
        <w:rPr>
          <w:color w:val="auto"/>
          <w:sz w:val="24"/>
          <w:szCs w:val="24"/>
          <w:highlight w:val="none"/>
          <w:lang w:val="zh-CN"/>
        </w:rPr>
      </w:pPr>
      <w:r>
        <w:rPr>
          <w:rFonts w:hint="eastAsia"/>
          <w:color w:val="auto"/>
          <w:sz w:val="24"/>
          <w:szCs w:val="24"/>
          <w:highlight w:val="none"/>
          <w:lang w:val="zh-CN"/>
        </w:rPr>
        <w:t xml:space="preserve">                                    供应商</w:t>
      </w:r>
      <w:r>
        <w:rPr>
          <w:rFonts w:hint="eastAsia"/>
          <w:color w:val="auto"/>
          <w:sz w:val="24"/>
          <w:szCs w:val="24"/>
          <w:highlight w:val="none"/>
        </w:rPr>
        <w:t>（</w:t>
      </w:r>
      <w:r>
        <w:rPr>
          <w:rFonts w:hint="eastAsia" w:ascii="宋体" w:hAnsi="宋体"/>
          <w:b/>
          <w:bCs/>
          <w:color w:val="auto"/>
          <w:w w:val="94"/>
          <w:kern w:val="0"/>
          <w:sz w:val="24"/>
          <w:szCs w:val="24"/>
          <w:highlight w:val="none"/>
        </w:rPr>
        <w:t>电子签</w:t>
      </w:r>
      <w:r>
        <w:rPr>
          <w:rFonts w:hint="eastAsia" w:ascii="宋体" w:hAnsi="宋体"/>
          <w:b/>
          <w:bCs/>
          <w:color w:val="auto"/>
          <w:spacing w:val="30"/>
          <w:w w:val="94"/>
          <w:kern w:val="0"/>
          <w:sz w:val="24"/>
          <w:szCs w:val="24"/>
          <w:highlight w:val="none"/>
        </w:rPr>
        <w:t>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14:paraId="76659D10">
      <w:pPr>
        <w:wordWrap w:val="0"/>
        <w:spacing w:line="480" w:lineRule="auto"/>
        <w:ind w:firstLine="480"/>
        <w:jc w:val="right"/>
        <w:rPr>
          <w:color w:val="auto"/>
          <w:sz w:val="24"/>
          <w:szCs w:val="24"/>
          <w:highlight w:val="none"/>
        </w:rPr>
      </w:pP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14:paraId="0DE1C3A2">
      <w:pPr>
        <w:ind w:firstLine="0" w:firstLineChars="0"/>
        <w:rPr>
          <w:color w:val="auto"/>
          <w:sz w:val="24"/>
          <w:szCs w:val="24"/>
          <w:highlight w:val="none"/>
        </w:rPr>
      </w:pPr>
      <w:r>
        <w:rPr>
          <w:rFonts w:hint="eastAsia"/>
          <w:color w:val="auto"/>
          <w:sz w:val="24"/>
          <w:szCs w:val="24"/>
          <w:highlight w:val="none"/>
        </w:rPr>
        <w:t>注：1.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2A67FE68">
      <w:pPr>
        <w:ind w:firstLine="424" w:firstLineChars="177"/>
        <w:rPr>
          <w:rFonts w:ascii="宋体" w:hAnsi="宋体" w:eastAsia="宋体" w:cs="方正小标宋简体"/>
          <w:b/>
          <w:color w:val="auto"/>
          <w:sz w:val="44"/>
          <w:szCs w:val="44"/>
          <w:highlight w:val="none"/>
        </w:rPr>
      </w:pPr>
      <w:r>
        <w:rPr>
          <w:color w:val="auto"/>
          <w:sz w:val="24"/>
          <w:szCs w:val="24"/>
          <w:highlight w:val="none"/>
        </w:rPr>
        <w:t>2</w:t>
      </w:r>
      <w:r>
        <w:rPr>
          <w:rFonts w:hint="eastAsia"/>
          <w:color w:val="auto"/>
          <w:sz w:val="24"/>
          <w:szCs w:val="24"/>
          <w:highlight w:val="none"/>
        </w:rPr>
        <w:t>.法人、其他组织竞标时“我方”是指“我单位”，自然人竞标时“我方”是指“本人”。</w:t>
      </w:r>
    </w:p>
    <w:p w14:paraId="7BA001DC">
      <w:pPr>
        <w:pStyle w:val="55"/>
        <w:rPr>
          <w:color w:val="auto"/>
          <w:highlight w:val="none"/>
        </w:rPr>
      </w:pPr>
      <w:r>
        <w:rPr>
          <w:color w:val="auto"/>
          <w:highlight w:val="none"/>
        </w:rPr>
        <w:t>6</w:t>
      </w:r>
      <w:r>
        <w:rPr>
          <w:rFonts w:hint="eastAsia"/>
          <w:color w:val="auto"/>
          <w:highlight w:val="none"/>
        </w:rPr>
        <w:t>.商务要求偏离表格式</w:t>
      </w:r>
    </w:p>
    <w:p w14:paraId="7F0BC92E">
      <w:pPr>
        <w:ind w:firstLine="420"/>
        <w:rPr>
          <w:color w:val="auto"/>
          <w:highlight w:val="none"/>
        </w:rPr>
      </w:pPr>
    </w:p>
    <w:p w14:paraId="7E27E5CD">
      <w:pPr>
        <w:snapToGrid w:val="0"/>
        <w:spacing w:before="50" w:after="50"/>
        <w:ind w:firstLine="0" w:firstLineChars="0"/>
        <w:jc w:val="center"/>
        <w:rPr>
          <w:rFonts w:hint="eastAsia"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商务要求偏离表（格式）</w:t>
      </w:r>
    </w:p>
    <w:p w14:paraId="40EB292C">
      <w:pPr>
        <w:pStyle w:val="24"/>
        <w:ind w:left="0" w:leftChars="0" w:firstLine="0" w:firstLineChars="0"/>
        <w:rPr>
          <w:color w:val="auto"/>
          <w:highlight w:val="none"/>
        </w:rPr>
      </w:pPr>
      <w:r>
        <w:rPr>
          <w:rFonts w:hint="eastAsia"/>
          <w:color w:val="auto"/>
          <w:sz w:val="24"/>
          <w:szCs w:val="24"/>
          <w:highlight w:val="none"/>
          <w:lang w:eastAsia="zh-CN"/>
        </w:rPr>
        <w:t>所竞分标：</w:t>
      </w:r>
    </w:p>
    <w:tbl>
      <w:tblPr>
        <w:tblStyle w:val="31"/>
        <w:tblW w:w="8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4"/>
        <w:gridCol w:w="1858"/>
        <w:gridCol w:w="1670"/>
        <w:gridCol w:w="1537"/>
        <w:gridCol w:w="1413"/>
      </w:tblGrid>
      <w:tr w14:paraId="0FCE3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2A9E098B">
            <w:pPr>
              <w:ind w:firstLine="0" w:firstLineChars="0"/>
              <w:jc w:val="center"/>
              <w:rPr>
                <w:rFonts w:ascii="宋体"/>
                <w:color w:val="auto"/>
                <w:sz w:val="24"/>
                <w:szCs w:val="24"/>
                <w:highlight w:val="none"/>
              </w:rPr>
            </w:pPr>
            <w:r>
              <w:rPr>
                <w:rFonts w:hint="eastAsia" w:ascii="宋体"/>
                <w:color w:val="auto"/>
                <w:sz w:val="24"/>
                <w:szCs w:val="24"/>
                <w:highlight w:val="none"/>
              </w:rPr>
              <w:t>项目</w:t>
            </w:r>
          </w:p>
        </w:tc>
        <w:tc>
          <w:tcPr>
            <w:tcW w:w="1858" w:type="dxa"/>
            <w:tcBorders>
              <w:top w:val="single" w:color="auto" w:sz="4" w:space="0"/>
              <w:left w:val="single" w:color="auto" w:sz="4" w:space="0"/>
              <w:bottom w:val="single" w:color="auto" w:sz="4" w:space="0"/>
              <w:right w:val="single" w:color="auto" w:sz="4" w:space="0"/>
            </w:tcBorders>
            <w:vAlign w:val="center"/>
          </w:tcPr>
          <w:p w14:paraId="6E6F9EC2">
            <w:pPr>
              <w:ind w:firstLine="0" w:firstLineChars="0"/>
              <w:jc w:val="center"/>
              <w:rPr>
                <w:rFonts w:ascii="宋体"/>
                <w:color w:val="auto"/>
                <w:sz w:val="24"/>
                <w:szCs w:val="24"/>
                <w:highlight w:val="none"/>
              </w:rPr>
            </w:pPr>
            <w:r>
              <w:rPr>
                <w:rFonts w:hint="eastAsia" w:ascii="宋体" w:hAnsi="宋体" w:cs="仿宋_GB2312"/>
                <w:color w:val="auto"/>
                <w:sz w:val="24"/>
                <w:szCs w:val="24"/>
                <w:highlight w:val="none"/>
                <w:lang w:eastAsia="zh-CN"/>
              </w:rPr>
              <w:t>谈判</w:t>
            </w:r>
            <w:r>
              <w:rPr>
                <w:rFonts w:hint="eastAsia" w:ascii="宋体" w:hAnsi="宋体" w:cs="仿宋_GB2312"/>
                <w:color w:val="auto"/>
                <w:sz w:val="24"/>
                <w:szCs w:val="24"/>
                <w:highlight w:val="none"/>
              </w:rPr>
              <w:t>文件商务要求</w:t>
            </w:r>
          </w:p>
        </w:tc>
        <w:tc>
          <w:tcPr>
            <w:tcW w:w="1670" w:type="dxa"/>
            <w:tcBorders>
              <w:top w:val="single" w:color="auto" w:sz="4" w:space="0"/>
              <w:left w:val="single" w:color="auto" w:sz="4" w:space="0"/>
              <w:bottom w:val="single" w:color="auto" w:sz="4" w:space="0"/>
              <w:right w:val="single" w:color="auto" w:sz="4" w:space="0"/>
            </w:tcBorders>
            <w:vAlign w:val="center"/>
          </w:tcPr>
          <w:p w14:paraId="46E711E8">
            <w:pPr>
              <w:ind w:firstLine="0" w:firstLineChars="0"/>
              <w:jc w:val="center"/>
              <w:rPr>
                <w:rFonts w:ascii="宋体"/>
                <w:color w:val="auto"/>
                <w:sz w:val="24"/>
                <w:szCs w:val="24"/>
                <w:highlight w:val="none"/>
              </w:rPr>
            </w:pPr>
            <w:r>
              <w:rPr>
                <w:rFonts w:hint="eastAsia" w:ascii="宋体" w:hAnsi="宋体" w:cs="仿宋_GB2312"/>
                <w:color w:val="auto"/>
                <w:sz w:val="24"/>
                <w:szCs w:val="24"/>
                <w:highlight w:val="none"/>
              </w:rPr>
              <w:t>供应商的响应</w:t>
            </w:r>
          </w:p>
        </w:tc>
        <w:tc>
          <w:tcPr>
            <w:tcW w:w="1537" w:type="dxa"/>
            <w:tcBorders>
              <w:top w:val="single" w:color="auto" w:sz="4" w:space="0"/>
              <w:left w:val="single" w:color="auto" w:sz="4" w:space="0"/>
              <w:bottom w:val="single" w:color="auto" w:sz="4" w:space="0"/>
              <w:right w:val="single" w:color="auto" w:sz="4" w:space="0"/>
            </w:tcBorders>
            <w:vAlign w:val="center"/>
          </w:tcPr>
          <w:p w14:paraId="02541854">
            <w:pPr>
              <w:ind w:firstLine="0" w:firstLineChars="0"/>
              <w:jc w:val="center"/>
              <w:rPr>
                <w:rFonts w:ascii="宋体"/>
                <w:color w:val="auto"/>
                <w:sz w:val="24"/>
                <w:szCs w:val="24"/>
                <w:highlight w:val="none"/>
              </w:rPr>
            </w:pPr>
            <w:r>
              <w:rPr>
                <w:rFonts w:hint="eastAsia" w:ascii="宋体"/>
                <w:color w:val="auto"/>
                <w:sz w:val="24"/>
                <w:szCs w:val="24"/>
                <w:highlight w:val="none"/>
              </w:rPr>
              <w:t>偏离说明</w:t>
            </w:r>
          </w:p>
        </w:tc>
        <w:tc>
          <w:tcPr>
            <w:tcW w:w="1413" w:type="dxa"/>
            <w:tcBorders>
              <w:top w:val="single" w:color="auto" w:sz="4" w:space="0"/>
              <w:left w:val="single" w:color="auto" w:sz="4" w:space="0"/>
              <w:bottom w:val="single" w:color="auto" w:sz="4" w:space="0"/>
              <w:right w:val="single" w:color="auto" w:sz="4" w:space="0"/>
            </w:tcBorders>
            <w:vAlign w:val="center"/>
          </w:tcPr>
          <w:p w14:paraId="2658F9BD">
            <w:pPr>
              <w:ind w:firstLine="0" w:firstLineChars="0"/>
              <w:jc w:val="center"/>
              <w:rPr>
                <w:rFonts w:ascii="宋体"/>
                <w:color w:val="auto"/>
                <w:sz w:val="24"/>
                <w:szCs w:val="24"/>
                <w:highlight w:val="none"/>
              </w:rPr>
            </w:pPr>
            <w:r>
              <w:rPr>
                <w:rFonts w:hint="eastAsia" w:ascii="宋体"/>
                <w:color w:val="auto"/>
                <w:sz w:val="24"/>
                <w:szCs w:val="24"/>
                <w:highlight w:val="none"/>
              </w:rPr>
              <w:t>相关资料</w:t>
            </w:r>
            <w:r>
              <w:rPr>
                <w:rFonts w:ascii="宋体"/>
                <w:color w:val="auto"/>
                <w:sz w:val="24"/>
                <w:szCs w:val="24"/>
                <w:highlight w:val="none"/>
              </w:rPr>
              <w:t>所在</w:t>
            </w:r>
            <w:r>
              <w:rPr>
                <w:rFonts w:hint="eastAsia" w:ascii="宋体"/>
                <w:color w:val="auto"/>
                <w:sz w:val="24"/>
                <w:szCs w:val="24"/>
                <w:highlight w:val="none"/>
              </w:rPr>
              <w:t>页码</w:t>
            </w:r>
          </w:p>
        </w:tc>
      </w:tr>
      <w:tr w14:paraId="2B610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209EC606">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default" w:ascii="宋体" w:hAnsi="宋体" w:eastAsia="宋体" w:cs="宋体"/>
                <w:color w:val="auto"/>
                <w:highlight w:val="none"/>
                <w:lang w:eastAsia="zh-CN" w:bidi="ar"/>
              </w:rPr>
            </w:pPr>
            <w:r>
              <w:rPr>
                <w:rFonts w:hint="eastAsia" w:ascii="宋体" w:hAnsi="宋体" w:eastAsia="宋体" w:cs="宋体"/>
                <w:color w:val="auto"/>
                <w:kern w:val="2"/>
                <w:sz w:val="21"/>
                <w:szCs w:val="21"/>
                <w:highlight w:val="none"/>
                <w:lang w:val="en-US" w:eastAsia="zh-CN" w:bidi="ar"/>
              </w:rPr>
              <w:t>交付时间和地点</w:t>
            </w:r>
          </w:p>
        </w:tc>
        <w:tc>
          <w:tcPr>
            <w:tcW w:w="1858" w:type="dxa"/>
            <w:tcBorders>
              <w:top w:val="single" w:color="auto" w:sz="4" w:space="0"/>
              <w:left w:val="single" w:color="auto" w:sz="4" w:space="0"/>
              <w:bottom w:val="single" w:color="auto" w:sz="4" w:space="0"/>
              <w:right w:val="single" w:color="auto" w:sz="4" w:space="0"/>
            </w:tcBorders>
            <w:vAlign w:val="center"/>
          </w:tcPr>
          <w:p w14:paraId="2AD9A73E">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3D2BA8C6">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7C0794B7">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0E1C728D">
            <w:pPr>
              <w:ind w:firstLine="0" w:firstLineChars="0"/>
              <w:rPr>
                <w:rFonts w:ascii="宋体"/>
                <w:color w:val="auto"/>
                <w:sz w:val="24"/>
                <w:szCs w:val="24"/>
                <w:highlight w:val="none"/>
              </w:rPr>
            </w:pPr>
          </w:p>
        </w:tc>
      </w:tr>
      <w:tr w14:paraId="74B02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1C40709C">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default" w:ascii="宋体" w:hAnsi="宋体" w:eastAsia="宋体" w:cs="宋体"/>
                <w:color w:val="auto"/>
                <w:highlight w:val="none"/>
                <w:lang w:eastAsia="zh-CN" w:bidi="ar"/>
              </w:rPr>
            </w:pPr>
            <w:r>
              <w:rPr>
                <w:rFonts w:hint="eastAsia" w:ascii="宋体" w:hAnsi="宋体" w:eastAsia="宋体" w:cs="宋体"/>
                <w:color w:val="auto"/>
                <w:kern w:val="2"/>
                <w:sz w:val="21"/>
                <w:szCs w:val="21"/>
                <w:highlight w:val="none"/>
                <w:lang w:val="en-US" w:eastAsia="zh-CN" w:bidi="ar"/>
              </w:rPr>
              <w:t>合同签订时间</w:t>
            </w:r>
          </w:p>
        </w:tc>
        <w:tc>
          <w:tcPr>
            <w:tcW w:w="1858" w:type="dxa"/>
            <w:tcBorders>
              <w:top w:val="single" w:color="auto" w:sz="4" w:space="0"/>
              <w:left w:val="single" w:color="auto" w:sz="4" w:space="0"/>
              <w:bottom w:val="single" w:color="auto" w:sz="4" w:space="0"/>
              <w:right w:val="single" w:color="auto" w:sz="4" w:space="0"/>
            </w:tcBorders>
            <w:vAlign w:val="center"/>
          </w:tcPr>
          <w:p w14:paraId="196EC727">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067E3E02">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3EF81ABF">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26E36FD9">
            <w:pPr>
              <w:ind w:firstLine="0" w:firstLineChars="0"/>
              <w:rPr>
                <w:rFonts w:ascii="宋体"/>
                <w:color w:val="auto"/>
                <w:sz w:val="24"/>
                <w:szCs w:val="24"/>
                <w:highlight w:val="none"/>
              </w:rPr>
            </w:pPr>
          </w:p>
        </w:tc>
      </w:tr>
      <w:tr w14:paraId="08CB9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2E0633DC">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default" w:ascii="宋体" w:hAnsi="宋体" w:eastAsia="宋体" w:cs="宋体"/>
                <w:color w:val="auto"/>
                <w:highlight w:val="none"/>
                <w:lang w:eastAsia="zh-CN" w:bidi="ar"/>
              </w:rPr>
            </w:pPr>
            <w:r>
              <w:rPr>
                <w:rFonts w:hint="eastAsia" w:ascii="宋体" w:hAnsi="宋体" w:eastAsia="宋体" w:cs="宋体"/>
                <w:color w:val="auto"/>
                <w:kern w:val="2"/>
                <w:sz w:val="21"/>
                <w:szCs w:val="21"/>
                <w:highlight w:val="none"/>
                <w:lang w:val="en-US" w:eastAsia="zh-CN" w:bidi="ar"/>
              </w:rPr>
              <w:t>付款条件</w:t>
            </w:r>
          </w:p>
        </w:tc>
        <w:tc>
          <w:tcPr>
            <w:tcW w:w="1858" w:type="dxa"/>
            <w:tcBorders>
              <w:top w:val="single" w:color="auto" w:sz="4" w:space="0"/>
              <w:left w:val="single" w:color="auto" w:sz="4" w:space="0"/>
              <w:bottom w:val="single" w:color="auto" w:sz="4" w:space="0"/>
              <w:right w:val="single" w:color="auto" w:sz="4" w:space="0"/>
            </w:tcBorders>
            <w:vAlign w:val="center"/>
          </w:tcPr>
          <w:p w14:paraId="2A8512F6">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7C0B203">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0B47EA32">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7ADE5CEB">
            <w:pPr>
              <w:ind w:firstLine="0" w:firstLineChars="0"/>
              <w:rPr>
                <w:rFonts w:ascii="宋体"/>
                <w:color w:val="auto"/>
                <w:sz w:val="24"/>
                <w:szCs w:val="24"/>
                <w:highlight w:val="none"/>
              </w:rPr>
            </w:pPr>
          </w:p>
        </w:tc>
      </w:tr>
      <w:tr w14:paraId="337E1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7FD5EF75">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default" w:ascii="宋体" w:hAnsi="宋体" w:eastAsia="宋体" w:cs="宋体"/>
                <w:color w:val="auto"/>
                <w:highlight w:val="none"/>
                <w:lang w:eastAsia="zh-CN" w:bidi="ar"/>
              </w:rPr>
            </w:pPr>
            <w:r>
              <w:rPr>
                <w:rFonts w:hint="eastAsia" w:ascii="宋体" w:hAnsi="宋体" w:eastAsia="宋体" w:cs="宋体"/>
                <w:color w:val="auto"/>
                <w:kern w:val="2"/>
                <w:sz w:val="21"/>
                <w:szCs w:val="21"/>
                <w:highlight w:val="none"/>
                <w:lang w:val="en-US" w:eastAsia="zh-CN" w:bidi="ar"/>
              </w:rPr>
              <w:t>售后服务</w:t>
            </w:r>
          </w:p>
        </w:tc>
        <w:tc>
          <w:tcPr>
            <w:tcW w:w="1858" w:type="dxa"/>
            <w:tcBorders>
              <w:top w:val="single" w:color="auto" w:sz="4" w:space="0"/>
              <w:left w:val="single" w:color="auto" w:sz="4" w:space="0"/>
              <w:bottom w:val="single" w:color="auto" w:sz="4" w:space="0"/>
              <w:right w:val="single" w:color="auto" w:sz="4" w:space="0"/>
            </w:tcBorders>
            <w:vAlign w:val="center"/>
          </w:tcPr>
          <w:p w14:paraId="00D30A25">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3AB94377">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5C55984B">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33F66079">
            <w:pPr>
              <w:ind w:firstLine="0" w:firstLineChars="0"/>
              <w:rPr>
                <w:rFonts w:ascii="宋体"/>
                <w:color w:val="auto"/>
                <w:sz w:val="24"/>
                <w:szCs w:val="24"/>
                <w:highlight w:val="none"/>
              </w:rPr>
            </w:pPr>
          </w:p>
        </w:tc>
      </w:tr>
      <w:tr w14:paraId="4525C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0386AC78">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eastAsia" w:eastAsia="宋体"/>
                <w:color w:val="auto"/>
                <w:highlight w:val="none"/>
                <w:lang w:eastAsia="zh-CN" w:bidi="ar"/>
              </w:rPr>
            </w:pPr>
            <w:r>
              <w:rPr>
                <w:rFonts w:hint="eastAsia" w:ascii="宋体" w:hAnsi="宋体" w:eastAsia="宋体" w:cs="宋体"/>
                <w:color w:val="auto"/>
                <w:kern w:val="2"/>
                <w:sz w:val="21"/>
                <w:szCs w:val="21"/>
                <w:highlight w:val="none"/>
                <w:lang w:val="en-US" w:eastAsia="zh-CN" w:bidi="ar"/>
              </w:rPr>
              <w:t>质保期</w:t>
            </w:r>
          </w:p>
        </w:tc>
        <w:tc>
          <w:tcPr>
            <w:tcW w:w="1858" w:type="dxa"/>
            <w:tcBorders>
              <w:top w:val="single" w:color="auto" w:sz="4" w:space="0"/>
              <w:left w:val="single" w:color="auto" w:sz="4" w:space="0"/>
              <w:bottom w:val="single" w:color="auto" w:sz="4" w:space="0"/>
              <w:right w:val="single" w:color="auto" w:sz="4" w:space="0"/>
            </w:tcBorders>
            <w:vAlign w:val="center"/>
          </w:tcPr>
          <w:p w14:paraId="26D4FB36">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23D9C238">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36F7AB90">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6FF5B613">
            <w:pPr>
              <w:ind w:firstLine="0" w:firstLineChars="0"/>
              <w:rPr>
                <w:rFonts w:ascii="宋体"/>
                <w:color w:val="auto"/>
                <w:sz w:val="24"/>
                <w:szCs w:val="24"/>
                <w:highlight w:val="none"/>
              </w:rPr>
            </w:pPr>
          </w:p>
        </w:tc>
      </w:tr>
      <w:tr w14:paraId="2E8C3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2980315D">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eastAsia" w:eastAsia="宋体"/>
                <w:color w:val="auto"/>
                <w:highlight w:val="none"/>
                <w:lang w:eastAsia="zh-CN" w:bidi="ar"/>
              </w:rPr>
            </w:pPr>
            <w:r>
              <w:rPr>
                <w:rFonts w:hint="eastAsia" w:ascii="宋体" w:hAnsi="宋体" w:eastAsia="宋体" w:cs="宋体"/>
                <w:color w:val="auto"/>
                <w:kern w:val="2"/>
                <w:sz w:val="21"/>
                <w:szCs w:val="21"/>
                <w:highlight w:val="none"/>
                <w:lang w:val="en-US" w:eastAsia="zh-CN" w:bidi="ar"/>
              </w:rPr>
              <w:t>验收标准</w:t>
            </w:r>
          </w:p>
        </w:tc>
        <w:tc>
          <w:tcPr>
            <w:tcW w:w="1858" w:type="dxa"/>
            <w:tcBorders>
              <w:top w:val="single" w:color="auto" w:sz="4" w:space="0"/>
              <w:left w:val="single" w:color="auto" w:sz="4" w:space="0"/>
              <w:bottom w:val="single" w:color="auto" w:sz="4" w:space="0"/>
              <w:right w:val="single" w:color="auto" w:sz="4" w:space="0"/>
            </w:tcBorders>
            <w:vAlign w:val="center"/>
          </w:tcPr>
          <w:p w14:paraId="0DD72DD8">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783375E">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4802852F">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3F4AC05F">
            <w:pPr>
              <w:ind w:firstLine="0" w:firstLineChars="0"/>
              <w:rPr>
                <w:rFonts w:ascii="宋体"/>
                <w:color w:val="auto"/>
                <w:sz w:val="24"/>
                <w:szCs w:val="24"/>
                <w:highlight w:val="none"/>
              </w:rPr>
            </w:pPr>
          </w:p>
        </w:tc>
      </w:tr>
      <w:tr w14:paraId="3B2FC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6AEF3036">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eastAsia" w:eastAsia="宋体"/>
                <w:color w:val="auto"/>
                <w:highlight w:val="none"/>
                <w:lang w:eastAsia="zh-CN" w:bidi="ar"/>
              </w:rPr>
            </w:pPr>
            <w:r>
              <w:rPr>
                <w:rFonts w:hint="eastAsia" w:ascii="宋体" w:hAnsi="宋体" w:eastAsia="宋体" w:cs="宋体"/>
                <w:color w:val="auto"/>
                <w:kern w:val="2"/>
                <w:sz w:val="21"/>
                <w:szCs w:val="21"/>
                <w:highlight w:val="none"/>
                <w:lang w:val="en-US" w:eastAsia="zh-CN" w:bidi="ar"/>
              </w:rPr>
              <w:t>备品备件及耗材等要求</w:t>
            </w:r>
          </w:p>
        </w:tc>
        <w:tc>
          <w:tcPr>
            <w:tcW w:w="1858" w:type="dxa"/>
            <w:tcBorders>
              <w:top w:val="single" w:color="auto" w:sz="4" w:space="0"/>
              <w:left w:val="single" w:color="auto" w:sz="4" w:space="0"/>
              <w:bottom w:val="single" w:color="auto" w:sz="4" w:space="0"/>
              <w:right w:val="single" w:color="auto" w:sz="4" w:space="0"/>
            </w:tcBorders>
            <w:vAlign w:val="center"/>
          </w:tcPr>
          <w:p w14:paraId="3A954D2D">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3C2DAF54">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7C304FD5">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37239980">
            <w:pPr>
              <w:ind w:firstLine="0" w:firstLineChars="0"/>
              <w:rPr>
                <w:rFonts w:ascii="宋体"/>
                <w:color w:val="auto"/>
                <w:sz w:val="24"/>
                <w:szCs w:val="24"/>
                <w:highlight w:val="none"/>
              </w:rPr>
            </w:pPr>
          </w:p>
        </w:tc>
      </w:tr>
      <w:tr w14:paraId="19808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14:paraId="49B74643">
            <w:pPr>
              <w:keepNext w:val="0"/>
              <w:keepLines w:val="0"/>
              <w:widowControl w:val="0"/>
              <w:suppressLineNumbers w:val="0"/>
              <w:spacing w:before="0" w:beforeAutospacing="0" w:after="0" w:afterAutospacing="0" w:line="360" w:lineRule="auto"/>
              <w:ind w:left="0" w:leftChars="0" w:right="0" w:rightChars="0" w:firstLine="0" w:firstLineChars="0"/>
              <w:jc w:val="center"/>
              <w:rPr>
                <w:rStyle w:val="81"/>
                <w:rFonts w:hint="eastAsia" w:eastAsia="宋体"/>
                <w:color w:val="auto"/>
                <w:highlight w:val="none"/>
                <w:lang w:eastAsia="zh-CN" w:bidi="ar"/>
              </w:rPr>
            </w:pPr>
            <w:r>
              <w:rPr>
                <w:rFonts w:hint="eastAsia" w:ascii="宋体" w:hAnsi="宋体" w:eastAsia="宋体" w:cs="宋体"/>
                <w:color w:val="auto"/>
                <w:kern w:val="2"/>
                <w:sz w:val="21"/>
                <w:szCs w:val="21"/>
                <w:highlight w:val="none"/>
                <w:lang w:val="en-US" w:eastAsia="zh-CN" w:bidi="ar"/>
              </w:rPr>
              <w:t>其他要求</w:t>
            </w:r>
          </w:p>
        </w:tc>
        <w:tc>
          <w:tcPr>
            <w:tcW w:w="1858" w:type="dxa"/>
            <w:tcBorders>
              <w:top w:val="single" w:color="auto" w:sz="4" w:space="0"/>
              <w:left w:val="single" w:color="auto" w:sz="4" w:space="0"/>
              <w:bottom w:val="single" w:color="auto" w:sz="4" w:space="0"/>
              <w:right w:val="single" w:color="auto" w:sz="4" w:space="0"/>
            </w:tcBorders>
            <w:vAlign w:val="center"/>
          </w:tcPr>
          <w:p w14:paraId="02A64BE7">
            <w:pPr>
              <w:ind w:firstLine="0" w:firstLineChars="0"/>
              <w:rPr>
                <w:rFonts w:ascii="宋体"/>
                <w:color w:val="auto"/>
                <w:sz w:val="24"/>
                <w:szCs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73472881">
            <w:pPr>
              <w:ind w:firstLine="0" w:firstLineChars="0"/>
              <w:rPr>
                <w:rFonts w:ascii="宋体"/>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66B2A000">
            <w:pPr>
              <w:ind w:firstLine="0" w:firstLineChars="0"/>
              <w:rPr>
                <w:rFonts w:asci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tcPr>
          <w:p w14:paraId="4C58FBCC">
            <w:pPr>
              <w:ind w:firstLine="0" w:firstLineChars="0"/>
              <w:rPr>
                <w:rFonts w:ascii="宋体"/>
                <w:color w:val="auto"/>
                <w:sz w:val="24"/>
                <w:szCs w:val="24"/>
                <w:highlight w:val="none"/>
              </w:rPr>
            </w:pPr>
          </w:p>
        </w:tc>
      </w:tr>
    </w:tbl>
    <w:p w14:paraId="05F4764F">
      <w:pPr>
        <w:ind w:firstLine="0" w:firstLineChars="0"/>
        <w:rPr>
          <w:rFonts w:ascii="宋体"/>
          <w:color w:val="auto"/>
          <w:sz w:val="24"/>
          <w:szCs w:val="24"/>
          <w:highlight w:val="none"/>
        </w:rPr>
      </w:pPr>
      <w:r>
        <w:rPr>
          <w:rFonts w:hint="eastAsia" w:ascii="宋体"/>
          <w:color w:val="auto"/>
          <w:sz w:val="24"/>
          <w:szCs w:val="24"/>
          <w:highlight w:val="none"/>
        </w:rPr>
        <w:t>注：</w:t>
      </w:r>
    </w:p>
    <w:p w14:paraId="51A4F123">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w:t>
      </w:r>
      <w:r>
        <w:rPr>
          <w:rFonts w:hint="eastAsia" w:ascii="宋体" w:eastAsia="宋体"/>
          <w:color w:val="auto"/>
          <w:sz w:val="24"/>
          <w:szCs w:val="24"/>
          <w:highlight w:val="none"/>
          <w:lang w:eastAsia="zh-CN"/>
        </w:rPr>
        <w:t>谈判</w:t>
      </w:r>
      <w:r>
        <w:rPr>
          <w:rFonts w:hint="eastAsia" w:ascii="宋体" w:eastAsia="宋体"/>
          <w:color w:val="auto"/>
          <w:sz w:val="24"/>
          <w:szCs w:val="24"/>
          <w:highlight w:val="none"/>
        </w:rPr>
        <w:t>文件“第三章 采购需求”中的商务要求逐条作出明确响应，并作出偏离说明。</w:t>
      </w:r>
    </w:p>
    <w:p w14:paraId="6ECAFA33">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w:t>
      </w:r>
      <w:r>
        <w:rPr>
          <w:rFonts w:hint="eastAsia" w:ascii="宋体"/>
          <w:b/>
          <w:bCs/>
          <w:color w:val="auto"/>
          <w:sz w:val="24"/>
          <w:szCs w:val="24"/>
          <w:highlight w:val="none"/>
          <w:lang w:eastAsia="zh-CN"/>
        </w:rPr>
        <w:t>谈判</w:t>
      </w:r>
      <w:r>
        <w:rPr>
          <w:rFonts w:hint="eastAsia" w:ascii="宋体"/>
          <w:b/>
          <w:bCs/>
          <w:color w:val="auto"/>
          <w:sz w:val="24"/>
          <w:szCs w:val="24"/>
          <w:highlight w:val="none"/>
        </w:rPr>
        <w:t>文件要求在“偏离说明”中注明“正偏离”、“负偏离”或者“无偏离”。既不属于“正偏离”也不属于“负偏离”即为“无偏离”。</w:t>
      </w:r>
    </w:p>
    <w:p w14:paraId="317B17A4">
      <w:pPr>
        <w:ind w:firstLine="0" w:firstLineChars="0"/>
        <w:rPr>
          <w:rFonts w:ascii="宋体"/>
          <w:color w:val="auto"/>
          <w:sz w:val="24"/>
          <w:szCs w:val="24"/>
          <w:highlight w:val="none"/>
        </w:rPr>
      </w:pPr>
    </w:p>
    <w:p w14:paraId="5E055BED">
      <w:pPr>
        <w:ind w:firstLine="0" w:firstLineChars="0"/>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p>
    <w:p w14:paraId="2FF7883D">
      <w:pPr>
        <w:ind w:firstLine="0" w:firstLineChars="0"/>
        <w:rPr>
          <w:color w:val="auto"/>
          <w:highlight w:val="none"/>
        </w:rPr>
        <w:sectPr>
          <w:pgSz w:w="11906" w:h="16838"/>
          <w:pgMar w:top="1701" w:right="1701" w:bottom="1701" w:left="1701" w:header="851" w:footer="992" w:gutter="0"/>
          <w:cols w:space="425" w:num="1"/>
          <w:docGrid w:linePitch="312" w:charSpace="0"/>
        </w:sectPr>
      </w:pPr>
    </w:p>
    <w:p w14:paraId="290AF136">
      <w:pPr>
        <w:pStyle w:val="55"/>
        <w:rPr>
          <w:color w:val="auto"/>
          <w:highlight w:val="none"/>
        </w:rPr>
      </w:pPr>
      <w:r>
        <w:rPr>
          <w:color w:val="auto"/>
          <w:highlight w:val="none"/>
        </w:rPr>
        <w:t>7.</w:t>
      </w:r>
      <w:r>
        <w:rPr>
          <w:rFonts w:hint="eastAsia"/>
          <w:color w:val="auto"/>
          <w:highlight w:val="none"/>
        </w:rPr>
        <w:t>技术要求偏离表格式</w:t>
      </w:r>
    </w:p>
    <w:p w14:paraId="771C55AA">
      <w:pPr>
        <w:ind w:firstLine="420"/>
        <w:rPr>
          <w:color w:val="auto"/>
          <w:highlight w:val="none"/>
        </w:rPr>
      </w:pPr>
    </w:p>
    <w:p w14:paraId="19FA124F">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技术要求偏离表（格式）</w:t>
      </w:r>
    </w:p>
    <w:p w14:paraId="24F7BDE1">
      <w:pPr>
        <w:pStyle w:val="24"/>
        <w:ind w:left="0" w:leftChars="0" w:firstLine="0" w:firstLineChars="0"/>
        <w:rPr>
          <w:color w:val="auto"/>
          <w:highlight w:val="none"/>
        </w:rPr>
      </w:pPr>
      <w:r>
        <w:rPr>
          <w:rFonts w:hint="eastAsia"/>
          <w:color w:val="auto"/>
          <w:sz w:val="24"/>
          <w:szCs w:val="24"/>
          <w:highlight w:val="none"/>
          <w:lang w:eastAsia="zh-CN"/>
        </w:rPr>
        <w:t>所竞分标：</w:t>
      </w:r>
    </w:p>
    <w:tbl>
      <w:tblPr>
        <w:tblStyle w:val="31"/>
        <w:tblW w:w="84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266"/>
        <w:gridCol w:w="2426"/>
        <w:gridCol w:w="2553"/>
        <w:gridCol w:w="1393"/>
      </w:tblGrid>
      <w:tr w14:paraId="618A7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53B86796">
            <w:pPr>
              <w:widowControl w:val="0"/>
              <w:ind w:firstLine="0" w:firstLineChars="0"/>
              <w:contextualSpacing/>
              <w:jc w:val="center"/>
              <w:rPr>
                <w:rFonts w:ascii="宋体" w:hAnsi="宋体" w:eastAsia="宋体" w:cs="仿宋_GB2312"/>
                <w:color w:val="auto"/>
                <w:sz w:val="24"/>
                <w:szCs w:val="24"/>
                <w:highlight w:val="none"/>
              </w:rPr>
            </w:pPr>
            <w:bookmarkStart w:id="32" w:name="_Toc295404981"/>
            <w:bookmarkStart w:id="33" w:name="_Toc383699906"/>
            <w:bookmarkStart w:id="34" w:name="_Toc254970588"/>
            <w:bookmarkStart w:id="35" w:name="_Toc254970729"/>
            <w:bookmarkStart w:id="36" w:name="_Toc173066401"/>
            <w:bookmarkStart w:id="37" w:name="_Toc301781611"/>
            <w:bookmarkStart w:id="38" w:name="_Toc297193185"/>
            <w:bookmarkStart w:id="39" w:name="_Toc173211900"/>
            <w:bookmarkStart w:id="40" w:name="_Toc373333689"/>
            <w:r>
              <w:rPr>
                <w:rFonts w:hint="eastAsia" w:ascii="宋体" w:hAnsi="宋体" w:eastAsia="宋体" w:cs="仿宋_GB2312"/>
                <w:color w:val="auto"/>
                <w:sz w:val="24"/>
                <w:szCs w:val="24"/>
                <w:highlight w:val="none"/>
              </w:rPr>
              <w:t>序号</w:t>
            </w:r>
            <w:bookmarkEnd w:id="32"/>
            <w:bookmarkEnd w:id="33"/>
            <w:bookmarkEnd w:id="34"/>
            <w:bookmarkEnd w:id="35"/>
            <w:bookmarkEnd w:id="36"/>
            <w:bookmarkEnd w:id="37"/>
            <w:bookmarkEnd w:id="38"/>
            <w:bookmarkEnd w:id="39"/>
            <w:bookmarkEnd w:id="40"/>
          </w:p>
        </w:tc>
        <w:tc>
          <w:tcPr>
            <w:tcW w:w="1266" w:type="dxa"/>
            <w:tcBorders>
              <w:right w:val="single" w:color="auto" w:sz="4" w:space="0"/>
            </w:tcBorders>
            <w:vAlign w:val="center"/>
          </w:tcPr>
          <w:p w14:paraId="54AD7639">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标的名称</w:t>
            </w:r>
          </w:p>
        </w:tc>
        <w:tc>
          <w:tcPr>
            <w:tcW w:w="2426" w:type="dxa"/>
            <w:tcBorders>
              <w:left w:val="single" w:color="auto" w:sz="4" w:space="0"/>
            </w:tcBorders>
            <w:vAlign w:val="center"/>
          </w:tcPr>
          <w:p w14:paraId="6853FA21">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eastAsia="zh-CN"/>
              </w:rPr>
              <w:t>谈判</w:t>
            </w:r>
            <w:r>
              <w:rPr>
                <w:rFonts w:hint="eastAsia" w:ascii="宋体" w:hAnsi="宋体" w:eastAsia="宋体" w:cs="仿宋_GB2312"/>
                <w:color w:val="auto"/>
                <w:sz w:val="24"/>
                <w:szCs w:val="24"/>
                <w:highlight w:val="none"/>
              </w:rPr>
              <w:t>文件技术要求</w:t>
            </w:r>
          </w:p>
        </w:tc>
        <w:tc>
          <w:tcPr>
            <w:tcW w:w="2553" w:type="dxa"/>
            <w:vAlign w:val="center"/>
          </w:tcPr>
          <w:p w14:paraId="67C1C1C8">
            <w:pPr>
              <w:widowControl w:val="0"/>
              <w:ind w:firstLine="0" w:firstLineChars="0"/>
              <w:contextualSpacing/>
              <w:jc w:val="center"/>
              <w:rPr>
                <w:rFonts w:ascii="宋体" w:hAnsi="宋体" w:eastAsia="宋体" w:cs="仿宋_GB2312"/>
                <w:color w:val="auto"/>
                <w:sz w:val="24"/>
                <w:szCs w:val="24"/>
                <w:highlight w:val="none"/>
              </w:rPr>
            </w:pPr>
            <w:bookmarkStart w:id="41" w:name="_Toc383699908"/>
            <w:bookmarkStart w:id="42" w:name="_Toc297193187"/>
            <w:bookmarkStart w:id="43" w:name="_Toc301781613"/>
            <w:bookmarkStart w:id="44" w:name="_Toc254970590"/>
            <w:bookmarkStart w:id="45" w:name="_Toc254970731"/>
            <w:bookmarkStart w:id="46" w:name="_Toc295404983"/>
            <w:bookmarkStart w:id="47" w:name="_Toc173211902"/>
            <w:bookmarkStart w:id="48" w:name="_Toc373333691"/>
            <w:bookmarkStart w:id="49" w:name="_Toc173066403"/>
            <w:r>
              <w:rPr>
                <w:rFonts w:hint="eastAsia" w:ascii="宋体" w:hAnsi="宋体" w:eastAsia="宋体" w:cs="仿宋_GB2312"/>
                <w:color w:val="auto"/>
                <w:sz w:val="24"/>
                <w:szCs w:val="24"/>
                <w:highlight w:val="none"/>
              </w:rPr>
              <w:t>竞标响应</w:t>
            </w:r>
            <w:bookmarkEnd w:id="41"/>
            <w:bookmarkEnd w:id="42"/>
            <w:bookmarkEnd w:id="43"/>
            <w:bookmarkEnd w:id="44"/>
            <w:bookmarkEnd w:id="45"/>
            <w:bookmarkEnd w:id="46"/>
            <w:bookmarkEnd w:id="47"/>
            <w:bookmarkEnd w:id="48"/>
            <w:bookmarkEnd w:id="49"/>
          </w:p>
        </w:tc>
        <w:tc>
          <w:tcPr>
            <w:tcW w:w="1393" w:type="dxa"/>
            <w:vAlign w:val="center"/>
          </w:tcPr>
          <w:p w14:paraId="38B0BE1E">
            <w:pPr>
              <w:widowControl w:val="0"/>
              <w:ind w:firstLine="0" w:firstLineChars="0"/>
              <w:contextualSpacing/>
              <w:jc w:val="center"/>
              <w:rPr>
                <w:rFonts w:ascii="宋体" w:hAnsi="宋体" w:eastAsia="宋体" w:cs="仿宋_GB2312"/>
                <w:color w:val="auto"/>
                <w:sz w:val="24"/>
                <w:szCs w:val="24"/>
                <w:highlight w:val="none"/>
              </w:rPr>
            </w:pPr>
            <w:bookmarkStart w:id="50" w:name="_Toc173211903"/>
            <w:bookmarkStart w:id="51" w:name="_Toc383699909"/>
            <w:bookmarkStart w:id="52" w:name="_Toc373333692"/>
            <w:bookmarkStart w:id="53" w:name="_Toc254970732"/>
            <w:bookmarkStart w:id="54" w:name="_Toc295404984"/>
            <w:bookmarkStart w:id="55" w:name="_Toc173066404"/>
            <w:bookmarkStart w:id="56" w:name="_Toc254970591"/>
            <w:bookmarkStart w:id="57" w:name="_Toc301781614"/>
            <w:bookmarkStart w:id="58" w:name="_Toc297193188"/>
            <w:r>
              <w:rPr>
                <w:rFonts w:hint="eastAsia" w:ascii="宋体" w:hAnsi="宋体" w:eastAsia="宋体" w:cs="仿宋_GB2312"/>
                <w:color w:val="auto"/>
                <w:sz w:val="24"/>
                <w:szCs w:val="24"/>
                <w:highlight w:val="none"/>
              </w:rPr>
              <w:t>偏离</w:t>
            </w:r>
            <w:bookmarkEnd w:id="50"/>
            <w:bookmarkEnd w:id="51"/>
            <w:bookmarkEnd w:id="52"/>
            <w:bookmarkEnd w:id="53"/>
            <w:bookmarkEnd w:id="54"/>
            <w:bookmarkEnd w:id="55"/>
            <w:bookmarkEnd w:id="56"/>
            <w:bookmarkEnd w:id="57"/>
            <w:bookmarkEnd w:id="58"/>
            <w:bookmarkStart w:id="59" w:name="_Toc254970592"/>
            <w:bookmarkStart w:id="60" w:name="_Toc383699910"/>
            <w:bookmarkStart w:id="61" w:name="_Toc373333693"/>
            <w:bookmarkStart w:id="62" w:name="_Toc173211904"/>
            <w:bookmarkStart w:id="63" w:name="_Toc254970733"/>
            <w:bookmarkStart w:id="64" w:name="_Toc297193189"/>
            <w:bookmarkStart w:id="65" w:name="_Toc301781615"/>
            <w:bookmarkStart w:id="66" w:name="_Toc295404985"/>
            <w:bookmarkStart w:id="67" w:name="_Toc173066405"/>
            <w:r>
              <w:rPr>
                <w:rFonts w:hint="eastAsia" w:ascii="宋体" w:hAnsi="宋体" w:eastAsia="宋体" w:cs="仿宋_GB2312"/>
                <w:color w:val="auto"/>
                <w:sz w:val="24"/>
                <w:szCs w:val="24"/>
                <w:highlight w:val="none"/>
              </w:rPr>
              <w:t>说明</w:t>
            </w:r>
            <w:bookmarkEnd w:id="59"/>
            <w:bookmarkEnd w:id="60"/>
            <w:bookmarkEnd w:id="61"/>
            <w:bookmarkEnd w:id="62"/>
            <w:bookmarkEnd w:id="63"/>
            <w:bookmarkEnd w:id="64"/>
            <w:bookmarkEnd w:id="65"/>
            <w:bookmarkEnd w:id="66"/>
            <w:bookmarkEnd w:id="67"/>
          </w:p>
        </w:tc>
      </w:tr>
      <w:tr w14:paraId="1B9CE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56" w:type="dxa"/>
            <w:vAlign w:val="center"/>
          </w:tcPr>
          <w:p w14:paraId="187D715E">
            <w:pPr>
              <w:widowControl w:val="0"/>
              <w:ind w:firstLine="0" w:firstLineChars="0"/>
              <w:contextualSpacing/>
              <w:jc w:val="center"/>
              <w:rPr>
                <w:rFonts w:ascii="宋体" w:hAnsi="宋体" w:eastAsia="宋体" w:cs="仿宋_GB2312"/>
                <w:color w:val="auto"/>
                <w:sz w:val="24"/>
                <w:szCs w:val="24"/>
                <w:highlight w:val="none"/>
              </w:rPr>
            </w:pPr>
            <w:bookmarkStart w:id="68" w:name="_Toc173211905"/>
            <w:bookmarkStart w:id="69" w:name="_Toc173066406"/>
            <w:bookmarkStart w:id="70" w:name="_Toc297193190"/>
            <w:bookmarkStart w:id="71" w:name="_Toc295404986"/>
            <w:bookmarkStart w:id="72" w:name="_Toc301781616"/>
            <w:bookmarkStart w:id="73" w:name="_Toc254970734"/>
            <w:bookmarkStart w:id="74" w:name="_Toc254970593"/>
            <w:bookmarkStart w:id="75" w:name="_Toc383699911"/>
            <w:bookmarkStart w:id="76" w:name="_Toc373333694"/>
            <w:r>
              <w:rPr>
                <w:rFonts w:hint="eastAsia" w:ascii="宋体" w:hAnsi="宋体" w:eastAsia="宋体" w:cs="仿宋_GB2312"/>
                <w:color w:val="auto"/>
                <w:sz w:val="24"/>
                <w:szCs w:val="24"/>
                <w:highlight w:val="none"/>
              </w:rPr>
              <w:t>1</w:t>
            </w:r>
            <w:bookmarkEnd w:id="68"/>
            <w:bookmarkEnd w:id="69"/>
            <w:bookmarkEnd w:id="70"/>
            <w:bookmarkEnd w:id="71"/>
            <w:bookmarkEnd w:id="72"/>
            <w:bookmarkEnd w:id="73"/>
            <w:bookmarkEnd w:id="74"/>
            <w:bookmarkEnd w:id="75"/>
            <w:bookmarkEnd w:id="76"/>
          </w:p>
        </w:tc>
        <w:tc>
          <w:tcPr>
            <w:tcW w:w="1266" w:type="dxa"/>
            <w:tcBorders>
              <w:right w:val="single" w:color="auto" w:sz="4" w:space="0"/>
            </w:tcBorders>
            <w:vAlign w:val="center"/>
          </w:tcPr>
          <w:p w14:paraId="71559DA5">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14:paraId="14641B4F">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14:paraId="1BE433E7">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14:paraId="43FC1502">
            <w:pPr>
              <w:widowControl w:val="0"/>
              <w:ind w:firstLine="0" w:firstLineChars="0"/>
              <w:contextualSpacing/>
              <w:jc w:val="center"/>
              <w:rPr>
                <w:rFonts w:ascii="宋体" w:hAnsi="宋体" w:eastAsia="宋体" w:cs="仿宋_GB2312"/>
                <w:color w:val="auto"/>
                <w:sz w:val="24"/>
                <w:szCs w:val="24"/>
                <w:highlight w:val="none"/>
              </w:rPr>
            </w:pPr>
          </w:p>
        </w:tc>
      </w:tr>
      <w:tr w14:paraId="4C48E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56" w:type="dxa"/>
            <w:vAlign w:val="center"/>
          </w:tcPr>
          <w:p w14:paraId="73F576A8">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1266" w:type="dxa"/>
            <w:tcBorders>
              <w:right w:val="single" w:color="auto" w:sz="4" w:space="0"/>
            </w:tcBorders>
            <w:vAlign w:val="center"/>
          </w:tcPr>
          <w:p w14:paraId="3A7AC404">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14:paraId="47084E5F">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14:paraId="1FAA337C">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14:paraId="47FE274D">
            <w:pPr>
              <w:widowControl w:val="0"/>
              <w:ind w:firstLine="0" w:firstLineChars="0"/>
              <w:contextualSpacing/>
              <w:jc w:val="center"/>
              <w:rPr>
                <w:rFonts w:ascii="宋体" w:hAnsi="宋体" w:eastAsia="宋体" w:cs="仿宋_GB2312"/>
                <w:color w:val="auto"/>
                <w:sz w:val="24"/>
                <w:szCs w:val="24"/>
                <w:highlight w:val="none"/>
              </w:rPr>
            </w:pPr>
          </w:p>
        </w:tc>
      </w:tr>
      <w:tr w14:paraId="281332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56" w:type="dxa"/>
            <w:vAlign w:val="center"/>
          </w:tcPr>
          <w:p w14:paraId="2F95DCC5">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1266" w:type="dxa"/>
            <w:tcBorders>
              <w:right w:val="single" w:color="auto" w:sz="4" w:space="0"/>
            </w:tcBorders>
            <w:vAlign w:val="center"/>
          </w:tcPr>
          <w:p w14:paraId="71F44C16">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14:paraId="46D3791A">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14:paraId="675DB284">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14:paraId="761817AC">
            <w:pPr>
              <w:widowControl w:val="0"/>
              <w:ind w:firstLine="0" w:firstLineChars="0"/>
              <w:contextualSpacing/>
              <w:jc w:val="center"/>
              <w:rPr>
                <w:rFonts w:ascii="宋体" w:hAnsi="宋体" w:eastAsia="宋体" w:cs="仿宋_GB2312"/>
                <w:color w:val="auto"/>
                <w:sz w:val="24"/>
                <w:szCs w:val="24"/>
                <w:highlight w:val="none"/>
              </w:rPr>
            </w:pPr>
          </w:p>
        </w:tc>
      </w:tr>
      <w:tr w14:paraId="2BF50D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0C70AD76">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1266" w:type="dxa"/>
            <w:tcBorders>
              <w:right w:val="single" w:color="auto" w:sz="4" w:space="0"/>
            </w:tcBorders>
            <w:vAlign w:val="center"/>
          </w:tcPr>
          <w:p w14:paraId="11F3D171">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14:paraId="16A3ECDF">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14:paraId="3C2F38DB">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14:paraId="6C79789B">
            <w:pPr>
              <w:widowControl w:val="0"/>
              <w:ind w:firstLine="0" w:firstLineChars="0"/>
              <w:contextualSpacing/>
              <w:jc w:val="center"/>
              <w:rPr>
                <w:rFonts w:ascii="宋体" w:hAnsi="宋体" w:eastAsia="宋体" w:cs="仿宋_GB2312"/>
                <w:color w:val="auto"/>
                <w:sz w:val="24"/>
                <w:szCs w:val="24"/>
                <w:highlight w:val="none"/>
              </w:rPr>
            </w:pPr>
          </w:p>
        </w:tc>
      </w:tr>
    </w:tbl>
    <w:p w14:paraId="0CCFCDD8">
      <w:pPr>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注：</w:t>
      </w:r>
    </w:p>
    <w:p w14:paraId="6B212166">
      <w:pPr>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1.说明：应对照</w:t>
      </w:r>
      <w:r>
        <w:rPr>
          <w:rFonts w:hint="eastAsia" w:ascii="宋体" w:hAnsi="宋体" w:eastAsia="宋体"/>
          <w:color w:val="auto"/>
          <w:sz w:val="24"/>
          <w:szCs w:val="24"/>
          <w:highlight w:val="none"/>
          <w:lang w:eastAsia="zh-CN"/>
        </w:rPr>
        <w:t>谈判</w:t>
      </w:r>
      <w:r>
        <w:rPr>
          <w:rFonts w:hint="eastAsia" w:ascii="宋体" w:hAnsi="宋体" w:eastAsia="宋体"/>
          <w:color w:val="auto"/>
          <w:sz w:val="24"/>
          <w:szCs w:val="24"/>
          <w:highlight w:val="none"/>
        </w:rPr>
        <w:t>文件“第三章 采购需求”中的技术要求逐条作出明确响应，并作出偏离说明。</w:t>
      </w:r>
    </w:p>
    <w:p w14:paraId="3B319794">
      <w:pPr>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供应商应根据自身的承诺，对照</w:t>
      </w:r>
      <w:r>
        <w:rPr>
          <w:rFonts w:hint="eastAsia" w:ascii="宋体" w:hAnsi="宋体" w:eastAsia="宋体"/>
          <w:b/>
          <w:bCs/>
          <w:color w:val="auto"/>
          <w:sz w:val="24"/>
          <w:szCs w:val="24"/>
          <w:highlight w:val="none"/>
          <w:lang w:eastAsia="zh-CN"/>
        </w:rPr>
        <w:t>谈判</w:t>
      </w:r>
      <w:r>
        <w:rPr>
          <w:rFonts w:hint="eastAsia" w:ascii="宋体" w:hAnsi="宋体" w:eastAsia="宋体"/>
          <w:b/>
          <w:bCs/>
          <w:color w:val="auto"/>
          <w:sz w:val="24"/>
          <w:szCs w:val="24"/>
          <w:highlight w:val="none"/>
        </w:rPr>
        <w:t>文件要求，在“偏离说明”中注明“正偏离”、“负偏离”或者“无偏离”。既不属于“正偏离”也不属于“负偏离”即为“无偏离”。</w:t>
      </w:r>
    </w:p>
    <w:p w14:paraId="313713D5">
      <w:pPr>
        <w:ind w:firstLine="0" w:firstLineChars="0"/>
        <w:jc w:val="center"/>
        <w:rPr>
          <w:rFonts w:ascii="宋体" w:hAnsi="宋体" w:eastAsia="宋体"/>
          <w:color w:val="auto"/>
          <w:sz w:val="24"/>
          <w:szCs w:val="24"/>
          <w:highlight w:val="none"/>
        </w:rPr>
      </w:pPr>
    </w:p>
    <w:p w14:paraId="5B14FF42">
      <w:pPr>
        <w:ind w:firstLine="0" w:firstLineChars="0"/>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p>
    <w:p w14:paraId="1354BAC8">
      <w:pPr>
        <w:spacing w:before="260" w:after="260" w:line="415" w:lineRule="auto"/>
        <w:ind w:firstLine="0" w:firstLineChars="0"/>
        <w:jc w:val="center"/>
        <w:rPr>
          <w:color w:val="auto"/>
          <w:highlight w:val="none"/>
        </w:rPr>
      </w:pPr>
      <w:r>
        <w:rPr>
          <w:color w:val="auto"/>
          <w:highlight w:val="none"/>
        </w:rPr>
        <w:br w:type="page"/>
      </w:r>
    </w:p>
    <w:p w14:paraId="1C678F0A">
      <w:pPr>
        <w:pStyle w:val="55"/>
        <w:numPr>
          <w:ilvl w:val="0"/>
          <w:numId w:val="0"/>
        </w:numPr>
        <w:ind w:firstLine="0" w:firstLineChars="0"/>
        <w:rPr>
          <w:rFonts w:hint="eastAsia"/>
          <w:highlight w:val="none"/>
        </w:rPr>
      </w:pPr>
      <w:r>
        <w:rPr>
          <w:rFonts w:hint="eastAsia" w:ascii="宋体" w:hAnsi="宋体" w:eastAsia="宋体" w:cstheme="minorBidi"/>
          <w:b/>
          <w:bCs w:val="0"/>
          <w:kern w:val="2"/>
          <w:sz w:val="24"/>
          <w:szCs w:val="24"/>
          <w:highlight w:val="none"/>
          <w:lang w:val="en-US" w:eastAsia="zh-CN" w:bidi="ar-SA"/>
        </w:rPr>
        <w:t>8.</w:t>
      </w:r>
      <w:r>
        <w:rPr>
          <w:rFonts w:hint="eastAsia"/>
          <w:highlight w:val="none"/>
        </w:rPr>
        <w:t>设备配置清单</w:t>
      </w:r>
    </w:p>
    <w:p w14:paraId="5827FA97">
      <w:pPr>
        <w:widowControl/>
        <w:snapToGrid w:val="0"/>
        <w:spacing w:before="50" w:after="50"/>
        <w:jc w:val="center"/>
        <w:rPr>
          <w:rFonts w:hint="eastAsia" w:hAnsi="宋体" w:cs="方正小标宋简体"/>
          <w:b/>
          <w:sz w:val="44"/>
          <w:szCs w:val="44"/>
          <w:highlight w:val="none"/>
        </w:rPr>
      </w:pPr>
      <w:r>
        <w:rPr>
          <w:rFonts w:hint="eastAsia" w:hAnsi="宋体" w:cs="方正小标宋简体"/>
          <w:b/>
          <w:sz w:val="44"/>
          <w:szCs w:val="44"/>
          <w:highlight w:val="none"/>
        </w:rPr>
        <w:t>设备配置清单</w:t>
      </w:r>
    </w:p>
    <w:tbl>
      <w:tblPr>
        <w:tblStyle w:val="31"/>
        <w:tblW w:w="486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9"/>
        <w:gridCol w:w="1602"/>
        <w:gridCol w:w="1425"/>
        <w:gridCol w:w="1201"/>
        <w:gridCol w:w="1212"/>
        <w:gridCol w:w="1117"/>
        <w:gridCol w:w="1139"/>
      </w:tblGrid>
      <w:tr w14:paraId="7B8A3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1DD92341">
            <w:pPr>
              <w:widowControl/>
              <w:ind w:left="0" w:leftChars="0" w:firstLine="0" w:firstLineChars="0"/>
              <w:jc w:val="center"/>
              <w:rPr>
                <w:rFonts w:hint="eastAsia" w:hAnsi="宋体"/>
                <w:sz w:val="24"/>
                <w:highlight w:val="none"/>
              </w:rPr>
            </w:pPr>
            <w:r>
              <w:rPr>
                <w:rFonts w:hint="eastAsia" w:hAnsi="宋体"/>
                <w:sz w:val="24"/>
                <w:highlight w:val="none"/>
              </w:rPr>
              <w:t>序号</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6CF444FB">
            <w:pPr>
              <w:widowControl/>
              <w:ind w:left="0" w:leftChars="0" w:firstLine="0" w:firstLineChars="0"/>
              <w:jc w:val="center"/>
              <w:rPr>
                <w:rFonts w:hint="eastAsia" w:hAnsi="宋体"/>
                <w:sz w:val="24"/>
                <w:highlight w:val="none"/>
              </w:rPr>
            </w:pPr>
            <w:r>
              <w:rPr>
                <w:rFonts w:hint="eastAsia" w:hAnsi="宋体"/>
                <w:sz w:val="24"/>
                <w:highlight w:val="none"/>
              </w:rPr>
              <w:t>名称</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62AF87C7">
            <w:pPr>
              <w:widowControl/>
              <w:ind w:left="0" w:leftChars="0" w:firstLine="0" w:firstLineChars="0"/>
              <w:jc w:val="center"/>
              <w:rPr>
                <w:rFonts w:hint="eastAsia" w:hAnsi="宋体"/>
                <w:sz w:val="24"/>
                <w:highlight w:val="none"/>
              </w:rPr>
            </w:pPr>
            <w:r>
              <w:rPr>
                <w:rFonts w:hint="eastAsia" w:hAnsi="宋体"/>
                <w:sz w:val="24"/>
                <w:highlight w:val="none"/>
              </w:rPr>
              <w:t>数量及单位</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2483CC52">
            <w:pPr>
              <w:widowControl/>
              <w:ind w:left="0" w:leftChars="0" w:firstLine="0" w:firstLineChars="0"/>
              <w:jc w:val="center"/>
              <w:rPr>
                <w:rFonts w:hint="eastAsia" w:hAnsi="宋体"/>
                <w:sz w:val="24"/>
                <w:highlight w:val="none"/>
              </w:rPr>
            </w:pPr>
            <w:r>
              <w:rPr>
                <w:rFonts w:hint="eastAsia" w:hAnsi="宋体"/>
                <w:sz w:val="24"/>
                <w:highlight w:val="none"/>
              </w:rPr>
              <w:t>品牌</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6CF5036">
            <w:pPr>
              <w:widowControl/>
              <w:ind w:left="0" w:leftChars="0" w:firstLine="0" w:firstLineChars="0"/>
              <w:jc w:val="center"/>
              <w:rPr>
                <w:rFonts w:hint="eastAsia" w:hAnsi="宋体"/>
                <w:sz w:val="24"/>
                <w:highlight w:val="none"/>
              </w:rPr>
            </w:pPr>
            <w:r>
              <w:rPr>
                <w:rFonts w:hint="eastAsia" w:hAnsi="宋体"/>
                <w:sz w:val="24"/>
                <w:highlight w:val="none"/>
              </w:rPr>
              <w:t>规格型号</w:t>
            </w:r>
          </w:p>
        </w:tc>
        <w:tc>
          <w:tcPr>
            <w:tcW w:w="658" w:type="pct"/>
            <w:tcBorders>
              <w:top w:val="single" w:color="auto" w:sz="4" w:space="0"/>
              <w:left w:val="single" w:color="auto" w:sz="4" w:space="0"/>
              <w:bottom w:val="single" w:color="auto" w:sz="4" w:space="0"/>
              <w:right w:val="single" w:color="auto" w:sz="4" w:space="0"/>
            </w:tcBorders>
            <w:noWrap w:val="0"/>
            <w:vAlign w:val="center"/>
          </w:tcPr>
          <w:p w14:paraId="06610B95">
            <w:pPr>
              <w:widowControl/>
              <w:ind w:left="0" w:leftChars="0" w:firstLine="0" w:firstLineChars="0"/>
              <w:jc w:val="center"/>
              <w:rPr>
                <w:rFonts w:hint="eastAsia" w:hAnsi="宋体"/>
                <w:sz w:val="24"/>
                <w:highlight w:val="none"/>
              </w:rPr>
            </w:pPr>
            <w:r>
              <w:rPr>
                <w:rFonts w:hint="eastAsia" w:hAnsi="宋体"/>
                <w:sz w:val="24"/>
                <w:highlight w:val="none"/>
              </w:rPr>
              <w:t>制造商</w:t>
            </w:r>
          </w:p>
        </w:tc>
        <w:tc>
          <w:tcPr>
            <w:tcW w:w="668" w:type="pct"/>
            <w:tcBorders>
              <w:top w:val="single" w:color="auto" w:sz="4" w:space="0"/>
              <w:left w:val="single" w:color="auto" w:sz="4" w:space="0"/>
              <w:bottom w:val="single" w:color="auto" w:sz="4" w:space="0"/>
              <w:right w:val="single" w:color="auto" w:sz="4" w:space="0"/>
            </w:tcBorders>
            <w:noWrap w:val="0"/>
            <w:vAlign w:val="center"/>
          </w:tcPr>
          <w:p w14:paraId="4223FD7B">
            <w:pPr>
              <w:widowControl/>
              <w:ind w:left="0" w:leftChars="0" w:firstLine="0" w:firstLineChars="0"/>
              <w:jc w:val="center"/>
              <w:rPr>
                <w:rFonts w:hint="eastAsia" w:hAnsi="宋体"/>
                <w:sz w:val="24"/>
                <w:highlight w:val="none"/>
              </w:rPr>
            </w:pPr>
            <w:r>
              <w:rPr>
                <w:rFonts w:hint="eastAsia" w:hAnsi="宋体"/>
                <w:sz w:val="24"/>
                <w:highlight w:val="none"/>
              </w:rPr>
              <w:t>其他</w:t>
            </w:r>
          </w:p>
        </w:tc>
      </w:tr>
      <w:tr w14:paraId="30876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010437E7">
            <w:pPr>
              <w:adjustRightInd w:val="0"/>
              <w:snapToGrid w:val="0"/>
              <w:spacing w:line="400" w:lineRule="exact"/>
              <w:rPr>
                <w:rFonts w:hint="default" w:hAnsi="宋体"/>
                <w:szCs w:val="21"/>
                <w:highlight w:val="none"/>
                <w:lang w:val="en-US" w:eastAsia="zh-CN"/>
              </w:rPr>
            </w:pPr>
            <w:r>
              <w:rPr>
                <w:rFonts w:hint="eastAsia" w:hAnsi="宋体"/>
                <w:szCs w:val="21"/>
                <w:highlight w:val="none"/>
                <w:lang w:val="en-US" w:eastAsia="zh-CN"/>
              </w:rPr>
              <w:t>标的1：</w:t>
            </w:r>
            <w:r>
              <w:rPr>
                <w:rFonts w:hint="eastAsia" w:ascii="宋体" w:hAnsi="宋体" w:eastAsia="宋体" w:cs="宋体"/>
                <w:i w:val="0"/>
                <w:iCs w:val="0"/>
                <w:color w:val="auto"/>
                <w:kern w:val="0"/>
                <w:sz w:val="22"/>
                <w:szCs w:val="22"/>
                <w:highlight w:val="none"/>
                <w:u w:val="none"/>
                <w:lang w:val="en-US" w:eastAsia="zh-CN" w:bidi="ar"/>
              </w:rPr>
              <w:t>双目视力筛选仪（不含工作站）</w:t>
            </w:r>
          </w:p>
        </w:tc>
      </w:tr>
      <w:tr w14:paraId="008B1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1FEE56B1">
            <w:pPr>
              <w:adjustRightInd w:val="0"/>
              <w:snapToGrid w:val="0"/>
              <w:spacing w:line="400" w:lineRule="exact"/>
              <w:ind w:left="0" w:leftChars="0" w:firstLine="0" w:firstLineChars="0"/>
              <w:jc w:val="center"/>
              <w:rPr>
                <w:rFonts w:hint="eastAsia" w:hAnsi="宋体"/>
                <w:szCs w:val="21"/>
                <w:highlight w:val="none"/>
                <w:lang w:val="en-US" w:eastAsia="zh-CN"/>
              </w:rPr>
            </w:pPr>
            <w:r>
              <w:rPr>
                <w:rFonts w:hint="eastAsia" w:hAnsi="宋体"/>
                <w:szCs w:val="21"/>
                <w:highlight w:val="none"/>
                <w:lang w:val="en-US" w:eastAsia="zh-CN"/>
              </w:rPr>
              <w:t>……</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5DCF20B3">
            <w:pPr>
              <w:adjustRightInd w:val="0"/>
              <w:snapToGrid w:val="0"/>
              <w:spacing w:line="400" w:lineRule="exact"/>
              <w:rPr>
                <w:rFonts w:hint="eastAsia" w:hAnsi="宋体"/>
                <w:szCs w:val="21"/>
                <w:highlight w:val="none"/>
                <w:lang w:val="en-US" w:eastAsia="zh-CN"/>
              </w:rPr>
            </w:pPr>
          </w:p>
        </w:tc>
        <w:tc>
          <w:tcPr>
            <w:tcW w:w="840" w:type="pct"/>
            <w:tcBorders>
              <w:top w:val="single" w:color="auto" w:sz="4" w:space="0"/>
              <w:left w:val="single" w:color="auto" w:sz="4" w:space="0"/>
              <w:bottom w:val="single" w:color="auto" w:sz="4" w:space="0"/>
              <w:right w:val="single" w:color="auto" w:sz="4" w:space="0"/>
            </w:tcBorders>
            <w:noWrap w:val="0"/>
            <w:vAlign w:val="center"/>
          </w:tcPr>
          <w:p w14:paraId="1A44F779">
            <w:pPr>
              <w:adjustRightInd w:val="0"/>
              <w:snapToGrid w:val="0"/>
              <w:spacing w:line="400" w:lineRule="exact"/>
              <w:rPr>
                <w:rFonts w:hint="eastAsia" w:hAnsi="宋体"/>
                <w:szCs w:val="21"/>
                <w:highlight w:val="none"/>
                <w:lang w:val="en-US" w:eastAsia="zh-CN"/>
              </w:rPr>
            </w:pPr>
          </w:p>
        </w:tc>
        <w:tc>
          <w:tcPr>
            <w:tcW w:w="708" w:type="pct"/>
            <w:tcBorders>
              <w:top w:val="single" w:color="auto" w:sz="4" w:space="0"/>
              <w:left w:val="single" w:color="auto" w:sz="4" w:space="0"/>
              <w:bottom w:val="single" w:color="auto" w:sz="4" w:space="0"/>
              <w:right w:val="single" w:color="auto" w:sz="4" w:space="0"/>
            </w:tcBorders>
            <w:noWrap w:val="0"/>
            <w:vAlign w:val="center"/>
          </w:tcPr>
          <w:p w14:paraId="158AB6D6">
            <w:pPr>
              <w:adjustRightInd w:val="0"/>
              <w:snapToGrid w:val="0"/>
              <w:spacing w:line="400" w:lineRule="exact"/>
              <w:rPr>
                <w:rFonts w:hint="eastAsia" w:hAnsi="宋体"/>
                <w:szCs w:val="21"/>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5A6F4781">
            <w:pPr>
              <w:adjustRightInd w:val="0"/>
              <w:snapToGrid w:val="0"/>
              <w:spacing w:line="400" w:lineRule="exact"/>
              <w:rPr>
                <w:rFonts w:hint="eastAsia" w:hAnsi="宋体"/>
                <w:szCs w:val="21"/>
                <w:highlight w:val="none"/>
                <w:lang w:val="en-US" w:eastAsia="zh-CN"/>
              </w:rPr>
            </w:pPr>
          </w:p>
        </w:tc>
        <w:tc>
          <w:tcPr>
            <w:tcW w:w="658" w:type="pct"/>
            <w:tcBorders>
              <w:top w:val="single" w:color="auto" w:sz="4" w:space="0"/>
              <w:left w:val="single" w:color="auto" w:sz="4" w:space="0"/>
              <w:bottom w:val="single" w:color="auto" w:sz="4" w:space="0"/>
              <w:right w:val="single" w:color="auto" w:sz="4" w:space="0"/>
            </w:tcBorders>
            <w:noWrap w:val="0"/>
            <w:vAlign w:val="center"/>
          </w:tcPr>
          <w:p w14:paraId="4D16452A">
            <w:pPr>
              <w:adjustRightInd w:val="0"/>
              <w:snapToGrid w:val="0"/>
              <w:spacing w:line="400" w:lineRule="exact"/>
              <w:rPr>
                <w:rFonts w:hint="eastAsia" w:hAnsi="宋体"/>
                <w:szCs w:val="21"/>
                <w:highlight w:val="none"/>
                <w:lang w:val="en-US" w:eastAsia="zh-CN"/>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5D09E0AC">
            <w:pPr>
              <w:adjustRightInd w:val="0"/>
              <w:snapToGrid w:val="0"/>
              <w:spacing w:line="400" w:lineRule="exact"/>
              <w:rPr>
                <w:rFonts w:hint="eastAsia" w:hAnsi="宋体"/>
                <w:szCs w:val="21"/>
                <w:highlight w:val="none"/>
                <w:lang w:val="en-US" w:eastAsia="zh-CN"/>
              </w:rPr>
            </w:pPr>
          </w:p>
        </w:tc>
      </w:tr>
      <w:tr w14:paraId="695E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10A43A04">
            <w:pPr>
              <w:adjustRightInd w:val="0"/>
              <w:snapToGrid w:val="0"/>
              <w:spacing w:line="400" w:lineRule="exact"/>
              <w:rPr>
                <w:rFonts w:hint="eastAsia" w:hAnsi="宋体"/>
                <w:szCs w:val="21"/>
                <w:highlight w:val="none"/>
                <w:lang w:val="en-US" w:eastAsia="zh-CN"/>
              </w:rPr>
            </w:pPr>
            <w:r>
              <w:rPr>
                <w:rFonts w:hint="eastAsia" w:hAnsi="宋体"/>
                <w:szCs w:val="21"/>
                <w:highlight w:val="none"/>
                <w:lang w:val="en-US" w:eastAsia="zh-CN"/>
              </w:rPr>
              <w:t>标的2：</w:t>
            </w:r>
            <w:r>
              <w:rPr>
                <w:rFonts w:hint="eastAsia" w:ascii="宋体" w:hAnsi="宋体" w:eastAsia="宋体" w:cs="宋体"/>
                <w:i w:val="0"/>
                <w:iCs w:val="0"/>
                <w:color w:val="auto"/>
                <w:kern w:val="0"/>
                <w:sz w:val="22"/>
                <w:szCs w:val="22"/>
                <w:highlight w:val="none"/>
                <w:u w:val="none"/>
                <w:lang w:val="en-US" w:eastAsia="zh-CN" w:bidi="ar"/>
              </w:rPr>
              <w:t>双目视力筛选仪（含工作站）</w:t>
            </w:r>
          </w:p>
        </w:tc>
      </w:tr>
      <w:tr w14:paraId="7087A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491BFB46">
            <w:pPr>
              <w:adjustRightInd w:val="0"/>
              <w:snapToGrid w:val="0"/>
              <w:spacing w:line="400" w:lineRule="exact"/>
              <w:rPr>
                <w:rFonts w:hint="eastAsia" w:hAnsi="宋体"/>
                <w:szCs w:val="21"/>
                <w:highlight w:val="none"/>
                <w:lang w:val="en-US" w:eastAsia="zh-CN"/>
              </w:rPr>
            </w:pPr>
          </w:p>
        </w:tc>
        <w:tc>
          <w:tcPr>
            <w:tcW w:w="944" w:type="pct"/>
            <w:tcBorders>
              <w:top w:val="single" w:color="auto" w:sz="4" w:space="0"/>
              <w:left w:val="single" w:color="auto" w:sz="4" w:space="0"/>
              <w:bottom w:val="single" w:color="auto" w:sz="4" w:space="0"/>
              <w:right w:val="single" w:color="auto" w:sz="4" w:space="0"/>
            </w:tcBorders>
            <w:noWrap w:val="0"/>
            <w:vAlign w:val="center"/>
          </w:tcPr>
          <w:p w14:paraId="411FB9D1">
            <w:pPr>
              <w:adjustRightInd w:val="0"/>
              <w:snapToGrid w:val="0"/>
              <w:spacing w:line="400" w:lineRule="exact"/>
              <w:rPr>
                <w:rFonts w:hint="eastAsia" w:hAnsi="宋体"/>
                <w:szCs w:val="21"/>
                <w:highlight w:val="none"/>
                <w:lang w:val="en-US" w:eastAsia="zh-CN"/>
              </w:rPr>
            </w:pPr>
          </w:p>
        </w:tc>
        <w:tc>
          <w:tcPr>
            <w:tcW w:w="840" w:type="pct"/>
            <w:tcBorders>
              <w:top w:val="single" w:color="auto" w:sz="4" w:space="0"/>
              <w:left w:val="single" w:color="auto" w:sz="4" w:space="0"/>
              <w:bottom w:val="single" w:color="auto" w:sz="4" w:space="0"/>
              <w:right w:val="single" w:color="auto" w:sz="4" w:space="0"/>
            </w:tcBorders>
            <w:noWrap w:val="0"/>
            <w:vAlign w:val="center"/>
          </w:tcPr>
          <w:p w14:paraId="6F7D1DBD">
            <w:pPr>
              <w:adjustRightInd w:val="0"/>
              <w:snapToGrid w:val="0"/>
              <w:spacing w:line="400" w:lineRule="exact"/>
              <w:rPr>
                <w:rFonts w:hint="eastAsia" w:hAnsi="宋体"/>
                <w:szCs w:val="21"/>
                <w:highlight w:val="none"/>
                <w:lang w:val="en-US" w:eastAsia="zh-CN"/>
              </w:rPr>
            </w:pPr>
          </w:p>
        </w:tc>
        <w:tc>
          <w:tcPr>
            <w:tcW w:w="708" w:type="pct"/>
            <w:tcBorders>
              <w:top w:val="single" w:color="auto" w:sz="4" w:space="0"/>
              <w:left w:val="single" w:color="auto" w:sz="4" w:space="0"/>
              <w:bottom w:val="single" w:color="auto" w:sz="4" w:space="0"/>
              <w:right w:val="single" w:color="auto" w:sz="4" w:space="0"/>
            </w:tcBorders>
            <w:noWrap w:val="0"/>
            <w:vAlign w:val="center"/>
          </w:tcPr>
          <w:p w14:paraId="226FFA60">
            <w:pPr>
              <w:adjustRightInd w:val="0"/>
              <w:snapToGrid w:val="0"/>
              <w:spacing w:line="400" w:lineRule="exact"/>
              <w:rPr>
                <w:rFonts w:hint="eastAsia" w:hAnsi="宋体"/>
                <w:szCs w:val="21"/>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0ED3FC5B">
            <w:pPr>
              <w:adjustRightInd w:val="0"/>
              <w:snapToGrid w:val="0"/>
              <w:spacing w:line="400" w:lineRule="exact"/>
              <w:rPr>
                <w:rFonts w:hint="eastAsia" w:hAnsi="宋体"/>
                <w:szCs w:val="21"/>
                <w:highlight w:val="none"/>
                <w:lang w:val="en-US" w:eastAsia="zh-CN"/>
              </w:rPr>
            </w:pPr>
          </w:p>
        </w:tc>
        <w:tc>
          <w:tcPr>
            <w:tcW w:w="658" w:type="pct"/>
            <w:tcBorders>
              <w:top w:val="single" w:color="auto" w:sz="4" w:space="0"/>
              <w:left w:val="single" w:color="auto" w:sz="4" w:space="0"/>
              <w:bottom w:val="single" w:color="auto" w:sz="4" w:space="0"/>
              <w:right w:val="single" w:color="auto" w:sz="4" w:space="0"/>
            </w:tcBorders>
            <w:noWrap w:val="0"/>
            <w:vAlign w:val="center"/>
          </w:tcPr>
          <w:p w14:paraId="2C14FCDD">
            <w:pPr>
              <w:adjustRightInd w:val="0"/>
              <w:snapToGrid w:val="0"/>
              <w:spacing w:line="400" w:lineRule="exact"/>
              <w:rPr>
                <w:rFonts w:hint="eastAsia" w:hAnsi="宋体"/>
                <w:szCs w:val="21"/>
                <w:highlight w:val="none"/>
                <w:lang w:val="en-US" w:eastAsia="zh-CN"/>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5909C8E9">
            <w:pPr>
              <w:adjustRightInd w:val="0"/>
              <w:snapToGrid w:val="0"/>
              <w:spacing w:line="400" w:lineRule="exact"/>
              <w:rPr>
                <w:rFonts w:hint="eastAsia" w:hAnsi="宋体"/>
                <w:szCs w:val="21"/>
                <w:highlight w:val="none"/>
                <w:lang w:val="en-US" w:eastAsia="zh-CN"/>
              </w:rPr>
            </w:pPr>
          </w:p>
        </w:tc>
      </w:tr>
      <w:tr w14:paraId="772C4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0D51E22E">
            <w:pPr>
              <w:adjustRightInd w:val="0"/>
              <w:snapToGrid w:val="0"/>
              <w:spacing w:line="400" w:lineRule="exact"/>
              <w:rPr>
                <w:rFonts w:hint="eastAsia" w:hAnsi="宋体"/>
                <w:szCs w:val="21"/>
                <w:highlight w:val="none"/>
                <w:lang w:val="en-US" w:eastAsia="zh-CN"/>
              </w:rPr>
            </w:pPr>
            <w:r>
              <w:rPr>
                <w:rFonts w:hint="eastAsia" w:hAnsi="宋体"/>
                <w:szCs w:val="21"/>
                <w:highlight w:val="none"/>
                <w:lang w:val="en-US" w:eastAsia="zh-CN"/>
              </w:rPr>
              <w:t>标的3：</w:t>
            </w:r>
            <w:r>
              <w:rPr>
                <w:rFonts w:hint="eastAsia" w:ascii="宋体" w:hAnsi="宋体" w:eastAsia="宋体" w:cs="宋体"/>
                <w:i w:val="0"/>
                <w:iCs w:val="0"/>
                <w:color w:val="auto"/>
                <w:kern w:val="0"/>
                <w:sz w:val="22"/>
                <w:szCs w:val="22"/>
                <w:highlight w:val="none"/>
                <w:u w:val="none"/>
                <w:lang w:val="en-US" w:eastAsia="zh-CN" w:bidi="ar"/>
              </w:rPr>
              <w:t>病理取材台</w:t>
            </w:r>
          </w:p>
        </w:tc>
      </w:tr>
      <w:tr w14:paraId="04936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2F9F1B3E">
            <w:pPr>
              <w:widowControl/>
              <w:rPr>
                <w:rFonts w:hAnsi="宋体"/>
                <w:sz w:val="24"/>
                <w:highlight w:val="none"/>
              </w:rPr>
            </w:pPr>
          </w:p>
        </w:tc>
        <w:tc>
          <w:tcPr>
            <w:tcW w:w="944" w:type="pct"/>
            <w:tcBorders>
              <w:top w:val="single" w:color="auto" w:sz="4" w:space="0"/>
              <w:left w:val="single" w:color="auto" w:sz="4" w:space="0"/>
              <w:bottom w:val="single" w:color="auto" w:sz="4" w:space="0"/>
              <w:right w:val="single" w:color="auto" w:sz="4" w:space="0"/>
            </w:tcBorders>
            <w:noWrap w:val="0"/>
            <w:vAlign w:val="center"/>
          </w:tcPr>
          <w:p w14:paraId="09F4256D">
            <w:pPr>
              <w:widowControl/>
              <w:rPr>
                <w:rFonts w:hAnsi="宋体"/>
                <w:sz w:val="24"/>
                <w:highlight w:val="none"/>
              </w:rPr>
            </w:pPr>
          </w:p>
        </w:tc>
        <w:tc>
          <w:tcPr>
            <w:tcW w:w="840" w:type="pct"/>
            <w:tcBorders>
              <w:top w:val="single" w:color="auto" w:sz="4" w:space="0"/>
              <w:left w:val="single" w:color="auto" w:sz="4" w:space="0"/>
              <w:bottom w:val="single" w:color="auto" w:sz="4" w:space="0"/>
              <w:right w:val="single" w:color="auto" w:sz="4" w:space="0"/>
            </w:tcBorders>
            <w:noWrap w:val="0"/>
            <w:vAlign w:val="center"/>
          </w:tcPr>
          <w:p w14:paraId="2B2F3667">
            <w:pPr>
              <w:widowControl/>
              <w:rPr>
                <w:rFonts w:hAnsi="宋体"/>
                <w:sz w:val="24"/>
                <w:highlight w:val="none"/>
              </w:rPr>
            </w:pPr>
          </w:p>
        </w:tc>
        <w:tc>
          <w:tcPr>
            <w:tcW w:w="708" w:type="pct"/>
            <w:tcBorders>
              <w:top w:val="single" w:color="auto" w:sz="4" w:space="0"/>
              <w:left w:val="single" w:color="auto" w:sz="4" w:space="0"/>
              <w:bottom w:val="single" w:color="auto" w:sz="4" w:space="0"/>
              <w:right w:val="single" w:color="auto" w:sz="4" w:space="0"/>
            </w:tcBorders>
            <w:noWrap w:val="0"/>
            <w:vAlign w:val="center"/>
          </w:tcPr>
          <w:p w14:paraId="6C918B0A">
            <w:pPr>
              <w:widowControl/>
              <w:rPr>
                <w:rFonts w:hAnsi="宋体"/>
                <w:sz w:val="24"/>
                <w:highlight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394AA25B">
            <w:pPr>
              <w:widowControl/>
              <w:rPr>
                <w:rFonts w:hAnsi="宋体"/>
                <w:sz w:val="24"/>
                <w:highlight w:val="none"/>
              </w:rPr>
            </w:pPr>
          </w:p>
        </w:tc>
        <w:tc>
          <w:tcPr>
            <w:tcW w:w="658" w:type="pct"/>
            <w:tcBorders>
              <w:top w:val="single" w:color="auto" w:sz="4" w:space="0"/>
              <w:left w:val="single" w:color="auto" w:sz="4" w:space="0"/>
              <w:bottom w:val="single" w:color="auto" w:sz="4" w:space="0"/>
              <w:right w:val="single" w:color="auto" w:sz="4" w:space="0"/>
            </w:tcBorders>
            <w:noWrap w:val="0"/>
            <w:vAlign w:val="center"/>
          </w:tcPr>
          <w:p w14:paraId="48220C63">
            <w:pPr>
              <w:widowControl/>
              <w:rPr>
                <w:rFonts w:hAnsi="宋体"/>
                <w:sz w:val="24"/>
                <w:highlight w:val="none"/>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07895362">
            <w:pPr>
              <w:widowControl/>
              <w:rPr>
                <w:rFonts w:hAnsi="宋体"/>
                <w:sz w:val="24"/>
                <w:highlight w:val="none"/>
              </w:rPr>
            </w:pPr>
          </w:p>
        </w:tc>
      </w:tr>
      <w:tr w14:paraId="4E3B4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070788BF">
            <w:pPr>
              <w:adjustRightInd w:val="0"/>
              <w:snapToGrid w:val="0"/>
              <w:spacing w:line="400" w:lineRule="exact"/>
              <w:ind w:left="0" w:leftChars="0" w:firstLine="420" w:firstLineChars="200"/>
              <w:jc w:val="left"/>
              <w:rPr>
                <w:rFonts w:hint="eastAsia" w:hAnsi="宋体" w:asciiTheme="minorEastAsia" w:eastAsiaTheme="minorEastAsia" w:cstheme="minorBidi"/>
                <w:kern w:val="2"/>
                <w:sz w:val="21"/>
                <w:szCs w:val="21"/>
                <w:highlight w:val="none"/>
                <w:lang w:val="en-US" w:eastAsia="zh-CN" w:bidi="ar-SA"/>
              </w:rPr>
            </w:pPr>
            <w:r>
              <w:rPr>
                <w:rFonts w:hint="eastAsia" w:hAnsi="宋体"/>
                <w:szCs w:val="21"/>
                <w:highlight w:val="none"/>
                <w:lang w:val="en-US" w:eastAsia="zh-CN"/>
              </w:rPr>
              <w:t>……</w:t>
            </w:r>
          </w:p>
        </w:tc>
      </w:tr>
      <w:tr w14:paraId="72537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B76EDF">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9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C42483">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755B1E">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70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94FB28">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033C81">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D0180F">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394D35">
            <w:pPr>
              <w:adjustRightInd w:val="0"/>
              <w:snapToGrid w:val="0"/>
              <w:spacing w:line="400" w:lineRule="exact"/>
              <w:ind w:left="0" w:leftChars="0" w:firstLine="0" w:firstLineChars="0"/>
              <w:jc w:val="center"/>
              <w:rPr>
                <w:rFonts w:hint="eastAsia" w:hAnsi="宋体" w:asciiTheme="minorEastAsia" w:eastAsiaTheme="minorEastAsia" w:cstheme="minorBidi"/>
                <w:kern w:val="2"/>
                <w:sz w:val="21"/>
                <w:szCs w:val="21"/>
                <w:highlight w:val="none"/>
                <w:lang w:val="en-US" w:eastAsia="zh-CN" w:bidi="ar-SA"/>
              </w:rPr>
            </w:pPr>
          </w:p>
        </w:tc>
      </w:tr>
    </w:tbl>
    <w:p w14:paraId="66562903">
      <w:pPr>
        <w:widowControl/>
        <w:rPr>
          <w:rFonts w:hAnsi="宋体"/>
          <w:sz w:val="24"/>
          <w:highlight w:val="none"/>
        </w:rPr>
      </w:pPr>
      <w:r>
        <w:rPr>
          <w:rFonts w:hint="eastAsia" w:hAnsi="宋体"/>
          <w:sz w:val="24"/>
          <w:highlight w:val="none"/>
        </w:rPr>
        <w:t>注：</w:t>
      </w:r>
    </w:p>
    <w:p w14:paraId="6C2B408D">
      <w:pPr>
        <w:widowControl/>
        <w:ind w:firstLine="424" w:firstLineChars="177"/>
        <w:rPr>
          <w:rFonts w:hAnsi="宋体"/>
          <w:sz w:val="24"/>
          <w:highlight w:val="none"/>
        </w:rPr>
      </w:pPr>
      <w:r>
        <w:rPr>
          <w:rFonts w:hint="eastAsia" w:hAnsi="宋体"/>
          <w:sz w:val="24"/>
          <w:highlight w:val="none"/>
        </w:rPr>
        <w:t>以上设备配置清单中“名称、数量及单位、品牌、规格型号、制造商”必须如实填写完整，品牌、规格型号没有则填无，填写有缺漏</w:t>
      </w:r>
      <w:r>
        <w:rPr>
          <w:rFonts w:hint="eastAsia" w:hAnsi="宋体"/>
          <w:bCs/>
          <w:sz w:val="24"/>
          <w:highlight w:val="none"/>
        </w:rPr>
        <w:t>的，</w:t>
      </w:r>
      <w:r>
        <w:rPr>
          <w:rFonts w:hint="eastAsia" w:hAnsi="宋体"/>
          <w:b/>
          <w:sz w:val="24"/>
          <w:highlight w:val="none"/>
        </w:rPr>
        <w:t>谈判小组有权按无效响应处理。</w:t>
      </w:r>
      <w:r>
        <w:rPr>
          <w:rFonts w:hint="eastAsia" w:hAnsi="宋体"/>
          <w:sz w:val="24"/>
          <w:highlight w:val="none"/>
        </w:rPr>
        <w:t>名称（若</w:t>
      </w:r>
      <w:r>
        <w:rPr>
          <w:rFonts w:hAnsi="宋体"/>
          <w:sz w:val="24"/>
          <w:highlight w:val="none"/>
        </w:rPr>
        <w:t>不一致，</w:t>
      </w:r>
      <w:r>
        <w:rPr>
          <w:rFonts w:hint="eastAsia" w:hAnsi="宋体"/>
          <w:sz w:val="24"/>
          <w:highlight w:val="none"/>
        </w:rPr>
        <w:t>在</w:t>
      </w:r>
      <w:r>
        <w:rPr>
          <w:rFonts w:hAnsi="宋体"/>
          <w:sz w:val="24"/>
          <w:highlight w:val="none"/>
        </w:rPr>
        <w:t>“</w:t>
      </w:r>
      <w:r>
        <w:rPr>
          <w:rFonts w:hint="eastAsia" w:hAnsi="宋体"/>
          <w:sz w:val="24"/>
          <w:highlight w:val="none"/>
        </w:rPr>
        <w:t>其他</w:t>
      </w:r>
      <w:r>
        <w:rPr>
          <w:rFonts w:hAnsi="宋体"/>
          <w:sz w:val="24"/>
          <w:highlight w:val="none"/>
        </w:rPr>
        <w:t>”</w:t>
      </w:r>
      <w:r>
        <w:rPr>
          <w:rFonts w:hint="eastAsia" w:hAnsi="宋体"/>
          <w:sz w:val="24"/>
          <w:highlight w:val="none"/>
        </w:rPr>
        <w:t>进行</w:t>
      </w:r>
      <w:r>
        <w:rPr>
          <w:rFonts w:hAnsi="宋体"/>
          <w:sz w:val="24"/>
          <w:highlight w:val="none"/>
        </w:rPr>
        <w:t>说明</w:t>
      </w:r>
      <w:r>
        <w:rPr>
          <w:rFonts w:hint="eastAsia" w:hAnsi="宋体"/>
          <w:sz w:val="24"/>
          <w:highlight w:val="none"/>
        </w:rPr>
        <w:t>）、数量及单位等必须</w:t>
      </w:r>
      <w:r>
        <w:rPr>
          <w:rFonts w:hAnsi="宋体"/>
          <w:sz w:val="24"/>
          <w:highlight w:val="none"/>
        </w:rPr>
        <w:t>至少</w:t>
      </w:r>
      <w:r>
        <w:rPr>
          <w:rFonts w:hint="eastAsia" w:hAnsi="宋体"/>
          <w:sz w:val="24"/>
          <w:highlight w:val="none"/>
        </w:rPr>
        <w:t>与第三章</w:t>
      </w:r>
      <w:r>
        <w:rPr>
          <w:rFonts w:hAnsi="宋体"/>
          <w:sz w:val="24"/>
          <w:highlight w:val="none"/>
        </w:rPr>
        <w:t>《</w:t>
      </w:r>
      <w:r>
        <w:rPr>
          <w:rFonts w:hint="eastAsia" w:hAnsi="宋体"/>
          <w:sz w:val="24"/>
          <w:highlight w:val="none"/>
        </w:rPr>
        <w:t>采购</w:t>
      </w:r>
      <w:r>
        <w:rPr>
          <w:rFonts w:hAnsi="宋体"/>
          <w:sz w:val="24"/>
          <w:highlight w:val="none"/>
        </w:rPr>
        <w:t>需求》</w:t>
      </w:r>
      <w:r>
        <w:rPr>
          <w:rFonts w:hint="eastAsia" w:hAnsi="宋体"/>
          <w:sz w:val="24"/>
          <w:highlight w:val="none"/>
        </w:rPr>
        <w:t>中</w:t>
      </w:r>
      <w:r>
        <w:rPr>
          <w:rFonts w:hAnsi="宋体"/>
          <w:sz w:val="24"/>
          <w:highlight w:val="none"/>
        </w:rPr>
        <w:t>各</w:t>
      </w:r>
      <w:r>
        <w:rPr>
          <w:rFonts w:hint="eastAsia" w:hAnsi="宋体"/>
          <w:sz w:val="24"/>
          <w:highlight w:val="none"/>
        </w:rPr>
        <w:t>标的</w:t>
      </w:r>
      <w:r>
        <w:rPr>
          <w:rFonts w:hAnsi="宋体"/>
          <w:sz w:val="24"/>
          <w:highlight w:val="none"/>
        </w:rPr>
        <w:t>的</w:t>
      </w:r>
      <w:r>
        <w:rPr>
          <w:rFonts w:hint="eastAsia" w:hAnsi="宋体"/>
          <w:sz w:val="24"/>
          <w:highlight w:val="none"/>
        </w:rPr>
        <w:t>“设备配置清单”一致，</w:t>
      </w:r>
      <w:r>
        <w:rPr>
          <w:rFonts w:hint="eastAsia" w:hAnsi="宋体"/>
          <w:b/>
          <w:sz w:val="24"/>
          <w:highlight w:val="none"/>
        </w:rPr>
        <w:t>否则响应文件按无效响应处理。</w:t>
      </w:r>
    </w:p>
    <w:p w14:paraId="094C1A70">
      <w:pPr>
        <w:widowControl/>
        <w:rPr>
          <w:rFonts w:hAnsi="宋体"/>
          <w:sz w:val="24"/>
          <w:highlight w:val="none"/>
        </w:rPr>
      </w:pPr>
    </w:p>
    <w:p w14:paraId="276D207D">
      <w:pPr>
        <w:pStyle w:val="19"/>
        <w:snapToGrid w:val="0"/>
        <w:spacing w:line="600" w:lineRule="auto"/>
        <w:ind w:firstLine="3600" w:firstLineChars="1500"/>
        <w:rPr>
          <w:rFonts w:hint="eastAsia" w:hAnsi="宋体"/>
          <w:sz w:val="24"/>
          <w:szCs w:val="24"/>
          <w:highlight w:val="none"/>
          <w:u w:val="single"/>
        </w:rPr>
      </w:pPr>
      <w:r>
        <w:rPr>
          <w:rFonts w:hint="eastAsia" w:hAnsi="宋体"/>
          <w:sz w:val="24"/>
          <w:highlight w:val="none"/>
        </w:rPr>
        <w:t>供应商名称（</w:t>
      </w:r>
      <w:r>
        <w:rPr>
          <w:rFonts w:hint="eastAsia" w:hAnsi="宋体"/>
          <w:b/>
          <w:bCs/>
          <w:sz w:val="24"/>
          <w:highlight w:val="none"/>
        </w:rPr>
        <w:t>电子签章</w:t>
      </w:r>
      <w:r>
        <w:rPr>
          <w:rFonts w:hint="eastAsia" w:hAnsi="宋体"/>
          <w:sz w:val="24"/>
          <w:highlight w:val="none"/>
        </w:rPr>
        <w:t>）：</w:t>
      </w:r>
      <w:r>
        <w:rPr>
          <w:rFonts w:hAnsi="宋体"/>
          <w:sz w:val="24"/>
          <w:highlight w:val="none"/>
          <w:u w:val="single"/>
        </w:rPr>
        <w:t xml:space="preserve">                </w:t>
      </w:r>
    </w:p>
    <w:p w14:paraId="2B59D44F">
      <w:pPr>
        <w:pStyle w:val="19"/>
        <w:snapToGrid w:val="0"/>
        <w:spacing w:line="600" w:lineRule="auto"/>
        <w:jc w:val="right"/>
        <w:rPr>
          <w:rFonts w:hint="eastAsia" w:hAnsi="宋体"/>
          <w:sz w:val="24"/>
          <w:szCs w:val="24"/>
          <w:highlight w:val="none"/>
        </w:rPr>
        <w:sectPr>
          <w:pgSz w:w="11906" w:h="16838"/>
          <w:pgMar w:top="1701" w:right="1701" w:bottom="1701" w:left="1701" w:header="851" w:footer="992" w:gutter="0"/>
          <w:cols w:space="425" w:num="1"/>
          <w:docGrid w:linePitch="312" w:charSpace="0"/>
        </w:sectPr>
      </w:pP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p>
    <w:p w14:paraId="33D8BB0A">
      <w:pPr>
        <w:pStyle w:val="55"/>
        <w:numPr>
          <w:ilvl w:val="0"/>
          <w:numId w:val="0"/>
        </w:numPr>
        <w:ind w:firstLine="0" w:firstLineChars="0"/>
        <w:rPr>
          <w:rFonts w:hint="eastAsia" w:hAnsi="宋体"/>
          <w:sz w:val="24"/>
          <w:szCs w:val="24"/>
          <w:highlight w:val="none"/>
        </w:rPr>
      </w:pPr>
      <w:r>
        <w:rPr>
          <w:rFonts w:hint="eastAsia" w:ascii="宋体" w:hAnsi="宋体" w:eastAsia="宋体" w:cstheme="minorBidi"/>
          <w:b/>
          <w:bCs w:val="0"/>
          <w:kern w:val="2"/>
          <w:sz w:val="24"/>
          <w:szCs w:val="24"/>
          <w:highlight w:val="none"/>
          <w:lang w:val="en-US" w:eastAsia="zh-CN" w:bidi="ar-SA"/>
        </w:rPr>
        <w:t>9.</w:t>
      </w:r>
      <w:r>
        <w:rPr>
          <w:rFonts w:hint="eastAsia"/>
          <w:highlight w:val="none"/>
        </w:rPr>
        <w:t>专用耗材报价</w:t>
      </w:r>
      <w:r>
        <w:rPr>
          <w:highlight w:val="none"/>
        </w:rPr>
        <w:t>表</w:t>
      </w:r>
    </w:p>
    <w:p w14:paraId="1EACDA40">
      <w:pPr>
        <w:pStyle w:val="79"/>
        <w:rPr>
          <w:rFonts w:hAnsi="宋体"/>
          <w:sz w:val="24"/>
          <w:szCs w:val="24"/>
          <w:highlight w:val="none"/>
        </w:rPr>
      </w:pPr>
      <w:r>
        <w:rPr>
          <w:rFonts w:hint="eastAsia" w:hAnsi="宋体"/>
          <w:sz w:val="24"/>
          <w:szCs w:val="24"/>
          <w:highlight w:val="none"/>
          <w:lang w:eastAsia="zh-CN"/>
        </w:rPr>
        <w:t>本项目相关</w:t>
      </w:r>
      <w:r>
        <w:rPr>
          <w:rFonts w:hint="eastAsia" w:hAnsi="宋体"/>
          <w:sz w:val="24"/>
          <w:szCs w:val="24"/>
          <w:highlight w:val="none"/>
        </w:rPr>
        <w:t>专用耗材如下</w:t>
      </w:r>
      <w:r>
        <w:rPr>
          <w:rFonts w:hAnsi="宋体"/>
          <w:sz w:val="24"/>
          <w:szCs w:val="24"/>
          <w:highlight w:val="none"/>
        </w:rPr>
        <w:t>，</w:t>
      </w:r>
      <w:r>
        <w:rPr>
          <w:rFonts w:hint="eastAsia" w:hAnsi="宋体"/>
          <w:sz w:val="24"/>
          <w:szCs w:val="24"/>
          <w:highlight w:val="none"/>
        </w:rPr>
        <w:t>供应商</w:t>
      </w:r>
      <w:r>
        <w:rPr>
          <w:rFonts w:hAnsi="宋体"/>
          <w:sz w:val="24"/>
          <w:szCs w:val="24"/>
          <w:highlight w:val="none"/>
        </w:rPr>
        <w:t>须对</w:t>
      </w:r>
      <w:r>
        <w:rPr>
          <w:rFonts w:hint="eastAsia" w:hAnsi="宋体"/>
          <w:sz w:val="24"/>
          <w:szCs w:val="24"/>
          <w:highlight w:val="none"/>
        </w:rPr>
        <w:t>相关</w:t>
      </w:r>
      <w:r>
        <w:rPr>
          <w:rFonts w:hAnsi="宋体"/>
          <w:sz w:val="24"/>
          <w:szCs w:val="24"/>
          <w:highlight w:val="none"/>
        </w:rPr>
        <w:t>耗材做出</w:t>
      </w:r>
      <w:r>
        <w:rPr>
          <w:rFonts w:hint="eastAsia" w:hAnsi="宋体"/>
          <w:sz w:val="24"/>
          <w:szCs w:val="24"/>
          <w:highlight w:val="none"/>
        </w:rPr>
        <w:t>竞标</w:t>
      </w:r>
      <w:r>
        <w:rPr>
          <w:rFonts w:hAnsi="宋体"/>
          <w:sz w:val="24"/>
          <w:szCs w:val="24"/>
          <w:highlight w:val="none"/>
        </w:rPr>
        <w:t>报价，并承诺在</w:t>
      </w:r>
      <w:r>
        <w:rPr>
          <w:rFonts w:hint="eastAsia" w:hAnsi="宋体"/>
          <w:sz w:val="24"/>
          <w:szCs w:val="24"/>
          <w:highlight w:val="none"/>
        </w:rPr>
        <w:t>质保期</w:t>
      </w:r>
      <w:r>
        <w:rPr>
          <w:rFonts w:hAnsi="宋体"/>
          <w:sz w:val="24"/>
          <w:szCs w:val="24"/>
          <w:highlight w:val="none"/>
        </w:rPr>
        <w:t>内</w:t>
      </w:r>
      <w:r>
        <w:rPr>
          <w:rFonts w:hint="eastAsia" w:hAnsi="宋体"/>
          <w:sz w:val="24"/>
          <w:szCs w:val="24"/>
          <w:highlight w:val="none"/>
        </w:rPr>
        <w:t>不会对</w:t>
      </w:r>
      <w:r>
        <w:rPr>
          <w:rFonts w:hAnsi="宋体"/>
          <w:sz w:val="24"/>
          <w:szCs w:val="24"/>
          <w:highlight w:val="none"/>
        </w:rPr>
        <w:t>报价有所变动</w:t>
      </w:r>
      <w:r>
        <w:rPr>
          <w:rFonts w:hint="eastAsia" w:hAnsi="宋体"/>
          <w:sz w:val="24"/>
          <w:szCs w:val="24"/>
          <w:highlight w:val="none"/>
        </w:rPr>
        <w:t>（承诺</w:t>
      </w:r>
      <w:r>
        <w:rPr>
          <w:rFonts w:hAnsi="宋体"/>
          <w:sz w:val="24"/>
          <w:szCs w:val="24"/>
          <w:highlight w:val="none"/>
        </w:rPr>
        <w:t>函</w:t>
      </w:r>
      <w:r>
        <w:rPr>
          <w:rFonts w:hint="eastAsia" w:hAnsi="宋体"/>
          <w:sz w:val="24"/>
          <w:szCs w:val="24"/>
          <w:highlight w:val="none"/>
        </w:rPr>
        <w:t>格式</w:t>
      </w:r>
      <w:r>
        <w:rPr>
          <w:rFonts w:hAnsi="宋体"/>
          <w:sz w:val="24"/>
          <w:szCs w:val="24"/>
          <w:highlight w:val="none"/>
        </w:rPr>
        <w:t>自拟</w:t>
      </w:r>
      <w:r>
        <w:rPr>
          <w:rFonts w:hint="eastAsia" w:hAnsi="宋体"/>
          <w:sz w:val="24"/>
          <w:szCs w:val="24"/>
          <w:highlight w:val="none"/>
        </w:rPr>
        <w:t>），耗材</w:t>
      </w:r>
      <w:r>
        <w:rPr>
          <w:rFonts w:hAnsi="宋体"/>
          <w:sz w:val="24"/>
          <w:szCs w:val="24"/>
          <w:highlight w:val="none"/>
        </w:rPr>
        <w:t>的</w:t>
      </w:r>
      <w:r>
        <w:rPr>
          <w:rFonts w:hint="eastAsia" w:hAnsi="宋体"/>
          <w:sz w:val="24"/>
          <w:szCs w:val="24"/>
          <w:highlight w:val="none"/>
        </w:rPr>
        <w:t>竞标</w:t>
      </w:r>
      <w:r>
        <w:rPr>
          <w:rFonts w:hAnsi="宋体"/>
          <w:sz w:val="24"/>
          <w:szCs w:val="24"/>
          <w:highlight w:val="none"/>
        </w:rPr>
        <w:t>报价单价超过最高限价单价</w:t>
      </w:r>
      <w:r>
        <w:rPr>
          <w:rFonts w:hint="eastAsia" w:hAnsi="宋体"/>
          <w:sz w:val="24"/>
          <w:szCs w:val="24"/>
          <w:highlight w:val="none"/>
        </w:rPr>
        <w:t>或未</w:t>
      </w:r>
      <w:r>
        <w:rPr>
          <w:rFonts w:hAnsi="宋体"/>
          <w:sz w:val="24"/>
          <w:szCs w:val="24"/>
          <w:highlight w:val="none"/>
        </w:rPr>
        <w:t>做出</w:t>
      </w:r>
      <w:r>
        <w:rPr>
          <w:rFonts w:hint="eastAsia" w:hAnsi="宋体"/>
          <w:sz w:val="24"/>
          <w:szCs w:val="24"/>
          <w:highlight w:val="none"/>
        </w:rPr>
        <w:t>相关</w:t>
      </w:r>
      <w:r>
        <w:rPr>
          <w:rFonts w:hAnsi="宋体"/>
          <w:sz w:val="24"/>
          <w:szCs w:val="24"/>
          <w:highlight w:val="none"/>
        </w:rPr>
        <w:t>承诺的，</w:t>
      </w:r>
      <w:r>
        <w:rPr>
          <w:rFonts w:hint="eastAsia" w:hAnsi="宋体"/>
          <w:sz w:val="24"/>
          <w:szCs w:val="24"/>
          <w:highlight w:val="none"/>
        </w:rPr>
        <w:t>响应文件</w:t>
      </w:r>
      <w:r>
        <w:rPr>
          <w:rFonts w:hAnsi="宋体"/>
          <w:sz w:val="24"/>
          <w:szCs w:val="24"/>
          <w:highlight w:val="none"/>
        </w:rPr>
        <w:t>作无效处理。</w:t>
      </w:r>
    </w:p>
    <w:p w14:paraId="7D0BCCAD">
      <w:pPr>
        <w:rPr>
          <w:rFonts w:hAnsi="宋体"/>
          <w:sz w:val="24"/>
          <w:szCs w:val="24"/>
          <w:highlight w:val="none"/>
        </w:rPr>
      </w:pPr>
    </w:p>
    <w:p w14:paraId="2231B168">
      <w:pPr>
        <w:pStyle w:val="55"/>
        <w:numPr>
          <w:ilvl w:val="0"/>
          <w:numId w:val="0"/>
        </w:numPr>
        <w:ind w:firstLine="3373" w:firstLineChars="1400"/>
        <w:rPr>
          <w:rFonts w:hint="eastAsia" w:hAnsi="宋体"/>
          <w:sz w:val="24"/>
          <w:szCs w:val="24"/>
          <w:highlight w:val="none"/>
        </w:rPr>
      </w:pPr>
      <w:r>
        <w:rPr>
          <w:rFonts w:hint="eastAsia"/>
          <w:highlight w:val="none"/>
        </w:rPr>
        <w:t>专用耗材报价</w:t>
      </w:r>
      <w:r>
        <w:rPr>
          <w:highlight w:val="none"/>
        </w:rPr>
        <w:t>表</w:t>
      </w:r>
    </w:p>
    <w:p w14:paraId="147F2F9E">
      <w:pPr>
        <w:pStyle w:val="2"/>
        <w:rPr>
          <w:rFonts w:hint="eastAsia"/>
          <w:highlight w:val="none"/>
        </w:rPr>
      </w:pPr>
    </w:p>
    <w:tbl>
      <w:tblPr>
        <w:tblStyle w:val="32"/>
        <w:tblW w:w="4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70"/>
        <w:gridCol w:w="790"/>
        <w:gridCol w:w="1212"/>
        <w:gridCol w:w="1240"/>
        <w:gridCol w:w="1294"/>
        <w:gridCol w:w="912"/>
      </w:tblGrid>
      <w:tr w14:paraId="23C5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15" w:type="pct"/>
            <w:noWrap w:val="0"/>
            <w:vAlign w:val="center"/>
          </w:tcPr>
          <w:p w14:paraId="2AD1143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rPr>
              <w:t>耗材名称</w:t>
            </w:r>
          </w:p>
        </w:tc>
        <w:tc>
          <w:tcPr>
            <w:tcW w:w="468" w:type="pct"/>
            <w:noWrap w:val="0"/>
            <w:vAlign w:val="center"/>
          </w:tcPr>
          <w:p w14:paraId="18CDCBA4">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数量</w:t>
            </w:r>
          </w:p>
        </w:tc>
        <w:tc>
          <w:tcPr>
            <w:tcW w:w="480" w:type="pct"/>
            <w:noWrap w:val="0"/>
            <w:vAlign w:val="center"/>
          </w:tcPr>
          <w:p w14:paraId="5C2C246C">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eastAsia="zh-CN"/>
              </w:rPr>
            </w:pPr>
            <w:r>
              <w:rPr>
                <w:rFonts w:hint="eastAsia" w:ascii="宋体" w:hAnsi="宋体" w:eastAsia="宋体" w:cs="宋体"/>
                <w:b/>
                <w:bCs/>
                <w:kern w:val="32"/>
                <w:sz w:val="21"/>
                <w:szCs w:val="21"/>
                <w:highlight w:val="none"/>
              </w:rPr>
              <w:t>单位</w:t>
            </w:r>
          </w:p>
        </w:tc>
        <w:tc>
          <w:tcPr>
            <w:tcW w:w="737" w:type="pct"/>
            <w:noWrap w:val="0"/>
            <w:vAlign w:val="center"/>
          </w:tcPr>
          <w:p w14:paraId="0C743546">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eastAsia="zh-CN"/>
              </w:rPr>
              <w:t>最高限价单价（元）</w:t>
            </w:r>
          </w:p>
        </w:tc>
        <w:tc>
          <w:tcPr>
            <w:tcW w:w="754" w:type="pct"/>
            <w:noWrap w:val="0"/>
            <w:vAlign w:val="center"/>
          </w:tcPr>
          <w:p w14:paraId="28D3D3D0">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竞标报价单价（元）</w:t>
            </w:r>
          </w:p>
        </w:tc>
        <w:tc>
          <w:tcPr>
            <w:tcW w:w="787" w:type="pct"/>
            <w:shd w:val="clear" w:color="auto" w:fill="auto"/>
            <w:noWrap w:val="0"/>
            <w:vAlign w:val="center"/>
          </w:tcPr>
          <w:p w14:paraId="337F70A9">
            <w:pPr>
              <w:keepNext w:val="0"/>
              <w:keepLines w:val="0"/>
              <w:widowControl w:val="0"/>
              <w:suppressLineNumbers w:val="0"/>
              <w:tabs>
                <w:tab w:val="left" w:pos="229"/>
              </w:tabs>
              <w:spacing w:before="0" w:beforeLines="0" w:beforeAutospacing="0" w:after="0" w:afterLines="0" w:afterAutospacing="0" w:line="240" w:lineRule="auto"/>
              <w:ind w:left="0" w:leftChars="0" w:right="0" w:rightChars="0" w:firstLine="0" w:firstLineChars="0"/>
              <w:jc w:val="left"/>
              <w:rPr>
                <w:rFonts w:hint="default" w:ascii="宋体" w:hAnsi="宋体" w:eastAsia="宋体" w:cs="宋体"/>
                <w:kern w:val="32"/>
                <w:sz w:val="21"/>
                <w:szCs w:val="21"/>
                <w:highlight w:val="none"/>
                <w:lang w:val="en-US" w:eastAsia="zh-CN" w:bidi="ar-SA"/>
              </w:rPr>
            </w:pPr>
            <w:r>
              <w:rPr>
                <w:rFonts w:hint="eastAsia" w:ascii="宋体" w:hAnsi="宋体" w:eastAsia="宋体" w:cs="宋体"/>
                <w:kern w:val="32"/>
                <w:sz w:val="21"/>
                <w:szCs w:val="21"/>
                <w:highlight w:val="none"/>
                <w:lang w:val="en-US" w:eastAsia="zh-CN" w:bidi="ar-SA"/>
              </w:rPr>
              <w:tab/>
            </w:r>
            <w:r>
              <w:rPr>
                <w:rFonts w:hint="eastAsia" w:ascii="宋体" w:hAnsi="宋体" w:eastAsia="宋体" w:cs="宋体"/>
                <w:kern w:val="32"/>
                <w:sz w:val="21"/>
                <w:szCs w:val="21"/>
                <w:highlight w:val="none"/>
                <w:lang w:val="en-US" w:eastAsia="zh-CN" w:bidi="ar-SA"/>
              </w:rPr>
              <w:t>规格</w:t>
            </w:r>
          </w:p>
        </w:tc>
        <w:tc>
          <w:tcPr>
            <w:tcW w:w="555" w:type="pct"/>
            <w:noWrap w:val="0"/>
            <w:vAlign w:val="center"/>
          </w:tcPr>
          <w:p w14:paraId="2C559D33">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kern w:val="32"/>
                <w:sz w:val="21"/>
                <w:szCs w:val="21"/>
                <w:highlight w:val="none"/>
                <w:lang w:val="en-US" w:eastAsia="zh-CN"/>
              </w:rPr>
            </w:pPr>
            <w:r>
              <w:rPr>
                <w:rFonts w:hint="eastAsia" w:ascii="宋体" w:hAnsi="宋体" w:eastAsia="宋体" w:cs="宋体"/>
                <w:b/>
                <w:bCs/>
                <w:kern w:val="32"/>
                <w:sz w:val="21"/>
                <w:szCs w:val="21"/>
                <w:highlight w:val="none"/>
                <w:lang w:val="en-US" w:eastAsia="zh-CN"/>
              </w:rPr>
              <w:t>备注</w:t>
            </w:r>
          </w:p>
        </w:tc>
      </w:tr>
      <w:tr w14:paraId="4929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noWrap w:val="0"/>
            <w:vAlign w:val="center"/>
          </w:tcPr>
          <w:p w14:paraId="69AEAD22">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苏木素-伊红染色液（H-E）</w:t>
            </w:r>
          </w:p>
        </w:tc>
        <w:tc>
          <w:tcPr>
            <w:tcW w:w="468" w:type="pct"/>
            <w:noWrap w:val="0"/>
            <w:vAlign w:val="center"/>
          </w:tcPr>
          <w:p w14:paraId="1FBE6BE5">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80" w:type="pct"/>
            <w:noWrap w:val="0"/>
            <w:vAlign w:val="center"/>
          </w:tcPr>
          <w:p w14:paraId="3A4F6E91">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737" w:type="pct"/>
            <w:noWrap w:val="0"/>
            <w:vAlign w:val="center"/>
          </w:tcPr>
          <w:p w14:paraId="4C5572E5">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5700</w:t>
            </w:r>
          </w:p>
        </w:tc>
        <w:tc>
          <w:tcPr>
            <w:tcW w:w="754" w:type="pct"/>
            <w:noWrap w:val="0"/>
            <w:vAlign w:val="center"/>
          </w:tcPr>
          <w:p w14:paraId="7C4B408A">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787" w:type="pct"/>
            <w:shd w:val="clear" w:color="auto" w:fill="auto"/>
            <w:noWrap w:val="0"/>
            <w:vAlign w:val="center"/>
          </w:tcPr>
          <w:p w14:paraId="5C4BFAB3">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kern w:val="32"/>
                <w:sz w:val="21"/>
                <w:szCs w:val="21"/>
                <w:highlight w:val="none"/>
                <w:lang w:val="en-US" w:eastAsia="zh-CN" w:bidi="ar-SA"/>
              </w:rPr>
            </w:pPr>
            <w:r>
              <w:rPr>
                <w:rFonts w:hint="eastAsia" w:ascii="宋体" w:hAnsi="宋体" w:eastAsia="宋体" w:cs="宋体"/>
                <w:kern w:val="32"/>
                <w:sz w:val="21"/>
                <w:szCs w:val="21"/>
                <w:highlight w:val="none"/>
                <w:lang w:val="en-US" w:eastAsia="zh-CN"/>
              </w:rPr>
              <w:t>300片/盒</w:t>
            </w:r>
          </w:p>
        </w:tc>
        <w:tc>
          <w:tcPr>
            <w:tcW w:w="555" w:type="pct"/>
            <w:vMerge w:val="restart"/>
            <w:noWrap w:val="0"/>
            <w:vAlign w:val="center"/>
          </w:tcPr>
          <w:p w14:paraId="3EFF93A0">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如配套耗材规格与本表规格不符，应进行换算与本项目规格匹配后报价</w:t>
            </w:r>
          </w:p>
        </w:tc>
      </w:tr>
      <w:tr w14:paraId="69B1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noWrap w:val="0"/>
            <w:vAlign w:val="center"/>
          </w:tcPr>
          <w:p w14:paraId="61FF5A41">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细胞保存液III型</w:t>
            </w:r>
          </w:p>
        </w:tc>
        <w:tc>
          <w:tcPr>
            <w:tcW w:w="468" w:type="pct"/>
            <w:noWrap w:val="0"/>
            <w:vAlign w:val="center"/>
          </w:tcPr>
          <w:p w14:paraId="7F62D1C3">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80" w:type="pct"/>
            <w:noWrap w:val="0"/>
            <w:vAlign w:val="center"/>
          </w:tcPr>
          <w:p w14:paraId="24C2A55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737" w:type="pct"/>
            <w:noWrap w:val="0"/>
            <w:vAlign w:val="center"/>
          </w:tcPr>
          <w:p w14:paraId="477B57F0">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1500</w:t>
            </w:r>
          </w:p>
        </w:tc>
        <w:tc>
          <w:tcPr>
            <w:tcW w:w="754" w:type="pct"/>
            <w:noWrap w:val="0"/>
            <w:vAlign w:val="center"/>
          </w:tcPr>
          <w:p w14:paraId="354AF4B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787" w:type="pct"/>
            <w:shd w:val="clear" w:color="auto" w:fill="auto"/>
            <w:noWrap w:val="0"/>
            <w:vAlign w:val="center"/>
          </w:tcPr>
          <w:p w14:paraId="0EE68B33">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kern w:val="32"/>
                <w:sz w:val="21"/>
                <w:szCs w:val="21"/>
                <w:highlight w:val="none"/>
                <w:lang w:val="en-US" w:eastAsia="zh-CN" w:bidi="ar-SA"/>
              </w:rPr>
            </w:pPr>
            <w:r>
              <w:rPr>
                <w:rFonts w:hint="eastAsia" w:ascii="宋体" w:hAnsi="宋体" w:eastAsia="宋体" w:cs="宋体"/>
                <w:kern w:val="32"/>
                <w:sz w:val="21"/>
                <w:szCs w:val="21"/>
                <w:highlight w:val="none"/>
                <w:lang w:val="en-US" w:eastAsia="zh-CN"/>
              </w:rPr>
              <w:t>50瓶/盒*1人份/瓶*10ml*人份</w:t>
            </w:r>
          </w:p>
        </w:tc>
        <w:tc>
          <w:tcPr>
            <w:tcW w:w="555" w:type="pct"/>
            <w:vMerge w:val="continue"/>
            <w:noWrap w:val="0"/>
            <w:vAlign w:val="top"/>
          </w:tcPr>
          <w:p w14:paraId="14D1C84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05CC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noWrap w:val="0"/>
            <w:vAlign w:val="center"/>
          </w:tcPr>
          <w:p w14:paraId="7F0892AC">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巴氏染色液</w:t>
            </w:r>
          </w:p>
        </w:tc>
        <w:tc>
          <w:tcPr>
            <w:tcW w:w="468" w:type="pct"/>
            <w:noWrap w:val="0"/>
            <w:vAlign w:val="center"/>
          </w:tcPr>
          <w:p w14:paraId="3E2237D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80" w:type="pct"/>
            <w:shd w:val="clear" w:color="auto" w:fill="auto"/>
            <w:noWrap w:val="0"/>
            <w:vAlign w:val="center"/>
          </w:tcPr>
          <w:p w14:paraId="3C44A95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瓶</w:t>
            </w:r>
          </w:p>
        </w:tc>
        <w:tc>
          <w:tcPr>
            <w:tcW w:w="737" w:type="pct"/>
            <w:noWrap w:val="0"/>
            <w:vAlign w:val="center"/>
          </w:tcPr>
          <w:p w14:paraId="4F2F91B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1000</w:t>
            </w:r>
          </w:p>
        </w:tc>
        <w:tc>
          <w:tcPr>
            <w:tcW w:w="754" w:type="pct"/>
            <w:noWrap w:val="0"/>
            <w:vAlign w:val="center"/>
          </w:tcPr>
          <w:p w14:paraId="046971F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787" w:type="pct"/>
            <w:shd w:val="clear" w:color="auto" w:fill="auto"/>
            <w:noWrap w:val="0"/>
            <w:vAlign w:val="center"/>
          </w:tcPr>
          <w:p w14:paraId="21BF1DD2">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kern w:val="32"/>
                <w:sz w:val="21"/>
                <w:szCs w:val="21"/>
                <w:highlight w:val="none"/>
                <w:lang w:val="en-US" w:eastAsia="zh-CN" w:bidi="ar-SA"/>
              </w:rPr>
            </w:pPr>
            <w:r>
              <w:rPr>
                <w:rFonts w:hint="eastAsia" w:ascii="宋体" w:hAnsi="宋体" w:eastAsia="宋体" w:cs="宋体"/>
                <w:kern w:val="32"/>
                <w:sz w:val="21"/>
                <w:szCs w:val="21"/>
                <w:highlight w:val="none"/>
                <w:lang w:val="en-US" w:eastAsia="zh-CN"/>
              </w:rPr>
              <w:t>CR-AN-1  250ml/瓶</w:t>
            </w:r>
          </w:p>
        </w:tc>
        <w:tc>
          <w:tcPr>
            <w:tcW w:w="555" w:type="pct"/>
            <w:vMerge w:val="continue"/>
            <w:noWrap w:val="0"/>
            <w:vAlign w:val="top"/>
          </w:tcPr>
          <w:p w14:paraId="4F761FB8">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1567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noWrap w:val="0"/>
            <w:vAlign w:val="center"/>
          </w:tcPr>
          <w:p w14:paraId="28890CD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rPr>
              <w:t>硫堇染色液</w:t>
            </w:r>
          </w:p>
        </w:tc>
        <w:tc>
          <w:tcPr>
            <w:tcW w:w="468" w:type="pct"/>
            <w:noWrap w:val="0"/>
            <w:vAlign w:val="center"/>
          </w:tcPr>
          <w:p w14:paraId="0BB6D49B">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w:t>
            </w:r>
          </w:p>
        </w:tc>
        <w:tc>
          <w:tcPr>
            <w:tcW w:w="480" w:type="pct"/>
            <w:shd w:val="clear" w:color="auto" w:fill="auto"/>
            <w:noWrap w:val="0"/>
            <w:vAlign w:val="center"/>
          </w:tcPr>
          <w:p w14:paraId="35F9ECEE">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盒</w:t>
            </w:r>
          </w:p>
        </w:tc>
        <w:tc>
          <w:tcPr>
            <w:tcW w:w="737" w:type="pct"/>
            <w:noWrap w:val="0"/>
            <w:vAlign w:val="center"/>
          </w:tcPr>
          <w:p w14:paraId="2C2F8B8C">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r>
              <w:rPr>
                <w:rFonts w:hint="eastAsia" w:ascii="宋体" w:hAnsi="宋体" w:eastAsia="宋体" w:cs="宋体"/>
                <w:kern w:val="32"/>
                <w:sz w:val="21"/>
                <w:szCs w:val="21"/>
                <w:highlight w:val="none"/>
                <w:lang w:val="en-US" w:eastAsia="zh-CN"/>
              </w:rPr>
              <w:t>11000</w:t>
            </w:r>
          </w:p>
        </w:tc>
        <w:tc>
          <w:tcPr>
            <w:tcW w:w="754" w:type="pct"/>
            <w:noWrap w:val="0"/>
            <w:vAlign w:val="center"/>
          </w:tcPr>
          <w:p w14:paraId="3EEA4F5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787" w:type="pct"/>
            <w:shd w:val="clear" w:color="auto" w:fill="auto"/>
            <w:noWrap w:val="0"/>
            <w:vAlign w:val="center"/>
          </w:tcPr>
          <w:p w14:paraId="15F96518">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kern w:val="32"/>
                <w:sz w:val="21"/>
                <w:szCs w:val="21"/>
                <w:highlight w:val="none"/>
                <w:lang w:val="en-US" w:eastAsia="zh-CN" w:bidi="ar-SA"/>
              </w:rPr>
            </w:pPr>
            <w:r>
              <w:rPr>
                <w:rFonts w:hint="eastAsia" w:ascii="宋体" w:hAnsi="宋体" w:eastAsia="宋体" w:cs="宋体"/>
                <w:kern w:val="32"/>
                <w:sz w:val="21"/>
                <w:szCs w:val="21"/>
                <w:highlight w:val="none"/>
                <w:lang w:val="en-US" w:eastAsia="zh-CN"/>
              </w:rPr>
              <w:t>CRLJ-1  100人份/盒</w:t>
            </w:r>
          </w:p>
        </w:tc>
        <w:tc>
          <w:tcPr>
            <w:tcW w:w="555" w:type="pct"/>
            <w:vMerge w:val="continue"/>
            <w:noWrap w:val="0"/>
            <w:vAlign w:val="top"/>
          </w:tcPr>
          <w:p w14:paraId="3D3AF472">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3BF5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noWrap w:val="0"/>
            <w:vAlign w:val="center"/>
          </w:tcPr>
          <w:p w14:paraId="2B5F24E4">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一次性使用食道电极(五极)</w:t>
            </w:r>
          </w:p>
        </w:tc>
        <w:tc>
          <w:tcPr>
            <w:tcW w:w="468" w:type="pct"/>
            <w:noWrap w:val="0"/>
            <w:vAlign w:val="center"/>
          </w:tcPr>
          <w:p w14:paraId="534CD795">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1</w:t>
            </w:r>
          </w:p>
        </w:tc>
        <w:tc>
          <w:tcPr>
            <w:tcW w:w="480" w:type="pct"/>
            <w:shd w:val="clear" w:color="auto" w:fill="auto"/>
            <w:noWrap w:val="0"/>
            <w:vAlign w:val="center"/>
          </w:tcPr>
          <w:p w14:paraId="1E26CF71">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支</w:t>
            </w:r>
          </w:p>
        </w:tc>
        <w:tc>
          <w:tcPr>
            <w:tcW w:w="737" w:type="pct"/>
            <w:noWrap w:val="0"/>
            <w:vAlign w:val="center"/>
          </w:tcPr>
          <w:p w14:paraId="1E4A7097">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kern w:val="32"/>
                <w:sz w:val="21"/>
                <w:szCs w:val="21"/>
                <w:highlight w:val="none"/>
                <w:lang w:val="en-US" w:eastAsia="zh-CN"/>
              </w:rPr>
            </w:pPr>
            <w:r>
              <w:rPr>
                <w:rFonts w:hint="eastAsia" w:ascii="宋体" w:hAnsi="宋体" w:eastAsia="宋体" w:cs="宋体"/>
                <w:color w:val="auto"/>
                <w:kern w:val="32"/>
                <w:sz w:val="21"/>
                <w:szCs w:val="21"/>
                <w:highlight w:val="none"/>
                <w:lang w:val="en-US" w:eastAsia="zh-CN"/>
              </w:rPr>
              <w:t>299</w:t>
            </w:r>
          </w:p>
        </w:tc>
        <w:tc>
          <w:tcPr>
            <w:tcW w:w="754" w:type="pct"/>
            <w:noWrap w:val="0"/>
            <w:vAlign w:val="center"/>
          </w:tcPr>
          <w:p w14:paraId="2AAF2BC1">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787" w:type="pct"/>
            <w:noWrap w:val="0"/>
            <w:vAlign w:val="center"/>
          </w:tcPr>
          <w:p w14:paraId="1DF3A401">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default" w:ascii="宋体" w:hAnsi="宋体" w:eastAsia="宋体" w:cs="宋体"/>
                <w:kern w:val="32"/>
                <w:sz w:val="21"/>
                <w:szCs w:val="21"/>
                <w:highlight w:val="none"/>
                <w:lang w:val="en-US" w:eastAsia="zh-CN"/>
              </w:rPr>
            </w:pPr>
          </w:p>
        </w:tc>
        <w:tc>
          <w:tcPr>
            <w:tcW w:w="555" w:type="pct"/>
            <w:noWrap w:val="0"/>
            <w:vAlign w:val="center"/>
          </w:tcPr>
          <w:p w14:paraId="0A5A9F19">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r w14:paraId="1F4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pct"/>
            <w:shd w:val="clear" w:color="auto" w:fill="auto"/>
            <w:noWrap w:val="0"/>
            <w:vAlign w:val="center"/>
          </w:tcPr>
          <w:p w14:paraId="2542A89D">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rPr>
              <w:t>一次性使用喉镜片</w:t>
            </w:r>
          </w:p>
        </w:tc>
        <w:tc>
          <w:tcPr>
            <w:tcW w:w="468" w:type="pct"/>
            <w:shd w:val="clear" w:color="auto" w:fill="auto"/>
            <w:noWrap w:val="0"/>
            <w:vAlign w:val="center"/>
          </w:tcPr>
          <w:p w14:paraId="28C9178C">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rPr>
              <w:t>1</w:t>
            </w:r>
          </w:p>
        </w:tc>
        <w:tc>
          <w:tcPr>
            <w:tcW w:w="480" w:type="pct"/>
            <w:shd w:val="clear" w:color="auto" w:fill="auto"/>
            <w:noWrap w:val="0"/>
            <w:vAlign w:val="center"/>
          </w:tcPr>
          <w:p w14:paraId="0660DF15">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rPr>
              <w:t>片</w:t>
            </w:r>
          </w:p>
        </w:tc>
        <w:tc>
          <w:tcPr>
            <w:tcW w:w="737" w:type="pct"/>
            <w:shd w:val="clear" w:color="auto" w:fill="auto"/>
            <w:noWrap w:val="0"/>
            <w:vAlign w:val="center"/>
          </w:tcPr>
          <w:p w14:paraId="141223B9">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rPr>
              <w:t>75</w:t>
            </w:r>
          </w:p>
        </w:tc>
        <w:tc>
          <w:tcPr>
            <w:tcW w:w="754" w:type="pct"/>
            <w:shd w:val="clear" w:color="auto" w:fill="auto"/>
            <w:noWrap w:val="0"/>
            <w:vAlign w:val="center"/>
          </w:tcPr>
          <w:p w14:paraId="672E50EC">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color w:val="FF0000"/>
                <w:kern w:val="32"/>
                <w:sz w:val="21"/>
                <w:szCs w:val="21"/>
                <w:highlight w:val="none"/>
                <w:lang w:val="en-US" w:eastAsia="zh-CN" w:bidi="ar-SA"/>
              </w:rPr>
            </w:pPr>
          </w:p>
        </w:tc>
        <w:tc>
          <w:tcPr>
            <w:tcW w:w="787" w:type="pct"/>
            <w:noWrap w:val="0"/>
            <w:vAlign w:val="center"/>
          </w:tcPr>
          <w:p w14:paraId="62B8FA5C">
            <w:pPr>
              <w:keepNext w:val="0"/>
              <w:keepLines w:val="0"/>
              <w:widowControl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color w:val="FF0000"/>
                <w:kern w:val="32"/>
                <w:sz w:val="21"/>
                <w:szCs w:val="21"/>
                <w:highlight w:val="none"/>
                <w:lang w:val="en-US" w:eastAsia="zh-CN" w:bidi="ar-SA"/>
              </w:rPr>
            </w:pPr>
          </w:p>
        </w:tc>
        <w:tc>
          <w:tcPr>
            <w:tcW w:w="555" w:type="pct"/>
            <w:noWrap w:val="0"/>
            <w:vAlign w:val="center"/>
          </w:tcPr>
          <w:p w14:paraId="085EC78F">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kern w:val="32"/>
                <w:sz w:val="21"/>
                <w:szCs w:val="21"/>
                <w:highlight w:val="none"/>
                <w:lang w:val="en-US" w:eastAsia="zh-CN"/>
              </w:rPr>
            </w:pPr>
          </w:p>
        </w:tc>
      </w:tr>
    </w:tbl>
    <w:p w14:paraId="3AEA7CF1">
      <w:pPr>
        <w:pStyle w:val="19"/>
        <w:tabs>
          <w:tab w:val="left" w:pos="2761"/>
        </w:tabs>
        <w:snapToGrid w:val="0"/>
        <w:spacing w:line="240" w:lineRule="auto"/>
        <w:ind w:firstLine="482"/>
        <w:rPr>
          <w:rFonts w:hint="eastAsia" w:hAnsi="宋体"/>
          <w:b/>
          <w:kern w:val="2"/>
          <w:sz w:val="24"/>
          <w:szCs w:val="24"/>
          <w:highlight w:val="none"/>
          <w:lang w:eastAsia="zh-CN"/>
        </w:rPr>
      </w:pPr>
      <w:r>
        <w:rPr>
          <w:rFonts w:hint="eastAsia" w:hAnsi="宋体"/>
          <w:b/>
          <w:kern w:val="2"/>
          <w:sz w:val="24"/>
          <w:szCs w:val="24"/>
          <w:highlight w:val="none"/>
          <w:lang w:eastAsia="zh-CN"/>
        </w:rPr>
        <w:tab/>
      </w:r>
    </w:p>
    <w:p w14:paraId="4966C08B">
      <w:pPr>
        <w:pStyle w:val="19"/>
        <w:snapToGrid w:val="0"/>
        <w:spacing w:line="240" w:lineRule="auto"/>
        <w:ind w:firstLine="482"/>
        <w:rPr>
          <w:rFonts w:hAnsi="宋体"/>
          <w:b/>
          <w:kern w:val="2"/>
          <w:sz w:val="24"/>
          <w:szCs w:val="24"/>
          <w:highlight w:val="none"/>
        </w:rPr>
      </w:pPr>
    </w:p>
    <w:p w14:paraId="008B308C">
      <w:pPr>
        <w:pStyle w:val="1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hAnsi="宋体" w:asciiTheme="minorEastAsia" w:eastAsiaTheme="minorEastAsia" w:cstheme="minorBidi"/>
          <w:b/>
          <w:kern w:val="2"/>
          <w:sz w:val="24"/>
          <w:szCs w:val="24"/>
          <w:highlight w:val="none"/>
          <w:lang w:val="en-US" w:eastAsia="zh-CN" w:bidi="ar-SA"/>
        </w:rPr>
      </w:pPr>
      <w:r>
        <w:rPr>
          <w:rFonts w:hint="eastAsia" w:hAnsi="宋体" w:asciiTheme="minorEastAsia" w:eastAsiaTheme="minorEastAsia" w:cstheme="minorBidi"/>
          <w:b/>
          <w:kern w:val="2"/>
          <w:sz w:val="24"/>
          <w:szCs w:val="24"/>
          <w:highlight w:val="none"/>
          <w:lang w:val="en-US" w:eastAsia="zh-CN" w:bidi="ar-SA"/>
        </w:rPr>
        <w:t>说明：</w:t>
      </w:r>
    </w:p>
    <w:p w14:paraId="26ED9BC3">
      <w:pPr>
        <w:pStyle w:val="1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hAnsi="宋体" w:asciiTheme="minorEastAsia" w:eastAsiaTheme="minorEastAsia" w:cstheme="minorBidi"/>
          <w:b/>
          <w:kern w:val="2"/>
          <w:sz w:val="24"/>
          <w:szCs w:val="24"/>
          <w:highlight w:val="none"/>
          <w:lang w:val="en-US" w:eastAsia="zh-CN" w:bidi="ar-SA"/>
        </w:rPr>
      </w:pPr>
      <w:r>
        <w:rPr>
          <w:rFonts w:hint="eastAsia" w:hAnsi="宋体" w:asciiTheme="minorEastAsia" w:eastAsiaTheme="minorEastAsia" w:cstheme="minorBidi"/>
          <w:b/>
          <w:kern w:val="2"/>
          <w:sz w:val="24"/>
          <w:szCs w:val="24"/>
          <w:highlight w:val="none"/>
          <w:lang w:val="en-US" w:eastAsia="zh-CN" w:bidi="ar-SA"/>
        </w:rPr>
        <w:t>1.竞标报价单价不得高于“最高限价单价”，不能漏项报价、不能有条件或有选择的报价，否则其响应文件作无效处理。</w:t>
      </w:r>
    </w:p>
    <w:p w14:paraId="12B35C1C">
      <w:pPr>
        <w:pStyle w:val="1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Ansi="宋体"/>
          <w:sz w:val="24"/>
          <w:highlight w:val="none"/>
        </w:rPr>
      </w:pPr>
      <w:r>
        <w:rPr>
          <w:rFonts w:hint="eastAsia" w:hAnsi="宋体" w:asciiTheme="minorEastAsia" w:eastAsiaTheme="minorEastAsia" w:cstheme="minorBidi"/>
          <w:b/>
          <w:kern w:val="2"/>
          <w:sz w:val="24"/>
          <w:szCs w:val="24"/>
          <w:highlight w:val="none"/>
          <w:lang w:val="en-US" w:eastAsia="zh-CN" w:bidi="ar-SA"/>
        </w:rPr>
        <w:t>2.上述配套耗材须进行二次报价,供应商在进行本项目最后报价时，同时将配套耗材最后报价以附件形式上传到广西政府采购云平台(电子标系统)，否则其竞标无效。配套耗材的价格不参与本项目的价格计算，只作为今后采购人采购配套耗材（如采购人需要）的价格依据，结算时按实际使用量结算。</w:t>
      </w:r>
    </w:p>
    <w:p w14:paraId="67EA074B">
      <w:pPr>
        <w:pStyle w:val="19"/>
        <w:snapToGrid w:val="0"/>
        <w:spacing w:line="600" w:lineRule="auto"/>
        <w:ind w:firstLine="3600" w:firstLineChars="1500"/>
        <w:rPr>
          <w:rFonts w:hint="eastAsia" w:hAnsi="宋体"/>
          <w:sz w:val="24"/>
          <w:szCs w:val="24"/>
          <w:highlight w:val="none"/>
          <w:u w:val="single"/>
        </w:rPr>
      </w:pPr>
      <w:r>
        <w:rPr>
          <w:rFonts w:hint="eastAsia" w:hAnsi="宋体"/>
          <w:sz w:val="24"/>
          <w:highlight w:val="none"/>
        </w:rPr>
        <w:t>供应商名称（</w:t>
      </w:r>
      <w:r>
        <w:rPr>
          <w:rFonts w:hint="eastAsia" w:hAnsi="宋体"/>
          <w:b/>
          <w:bCs/>
          <w:sz w:val="24"/>
          <w:highlight w:val="none"/>
        </w:rPr>
        <w:t>电子签章</w:t>
      </w:r>
      <w:r>
        <w:rPr>
          <w:rFonts w:hint="eastAsia" w:hAnsi="宋体"/>
          <w:sz w:val="24"/>
          <w:highlight w:val="none"/>
        </w:rPr>
        <w:t>）：</w:t>
      </w:r>
      <w:r>
        <w:rPr>
          <w:rFonts w:hAnsi="宋体"/>
          <w:sz w:val="24"/>
          <w:highlight w:val="none"/>
          <w:u w:val="single"/>
        </w:rPr>
        <w:t xml:space="preserve">                </w:t>
      </w:r>
    </w:p>
    <w:p w14:paraId="68AFB5DE">
      <w:pPr>
        <w:pStyle w:val="19"/>
        <w:snapToGrid w:val="0"/>
        <w:spacing w:line="600" w:lineRule="auto"/>
        <w:jc w:val="right"/>
        <w:rPr>
          <w:rFonts w:hint="eastAsia" w:hAnsi="宋体"/>
          <w:sz w:val="24"/>
          <w:szCs w:val="24"/>
          <w:highlight w:val="none"/>
        </w:rPr>
        <w:sectPr>
          <w:pgSz w:w="11906" w:h="16838"/>
          <w:pgMar w:top="1701" w:right="1701" w:bottom="1701" w:left="1701" w:header="851" w:footer="992" w:gutter="0"/>
          <w:cols w:space="425" w:num="1"/>
          <w:docGrid w:linePitch="312" w:charSpace="0"/>
        </w:sectPr>
      </w:pP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p>
    <w:p w14:paraId="443B2A2D">
      <w:pPr>
        <w:pStyle w:val="68"/>
        <w:rPr>
          <w:color w:val="auto"/>
          <w:highlight w:val="none"/>
        </w:rPr>
      </w:pPr>
      <w:r>
        <w:rPr>
          <w:rFonts w:hint="eastAsia"/>
          <w:color w:val="auto"/>
          <w:highlight w:val="none"/>
        </w:rPr>
        <w:t>四、其他文书、文件格式</w:t>
      </w:r>
    </w:p>
    <w:p w14:paraId="5A2B2844">
      <w:pPr>
        <w:pStyle w:val="55"/>
        <w:rPr>
          <w:color w:val="auto"/>
          <w:highlight w:val="none"/>
        </w:rPr>
      </w:pPr>
      <w:r>
        <w:rPr>
          <w:color w:val="auto"/>
          <w:highlight w:val="none"/>
        </w:rPr>
        <w:t>1</w:t>
      </w:r>
      <w:r>
        <w:rPr>
          <w:rFonts w:hint="eastAsia"/>
          <w:color w:val="auto"/>
          <w:highlight w:val="none"/>
        </w:rPr>
        <w:t>.中小企业声明函格式</w:t>
      </w:r>
    </w:p>
    <w:p w14:paraId="563D216A">
      <w:pPr>
        <w:ind w:firstLine="420"/>
        <w:rPr>
          <w:color w:val="auto"/>
          <w:highlight w:val="none"/>
        </w:rPr>
      </w:pPr>
    </w:p>
    <w:p w14:paraId="0F43D784">
      <w:pPr>
        <w:snapToGrid w:val="0"/>
        <w:spacing w:before="50" w:after="50"/>
        <w:ind w:firstLine="0" w:firstLineChars="0"/>
        <w:jc w:val="center"/>
        <w:rPr>
          <w:rFonts w:hint="eastAsia" w:ascii="宋体" w:hAnsi="宋体" w:eastAsia="宋体" w:cs="方正小标宋简体"/>
          <w:b/>
          <w:color w:val="auto"/>
          <w:sz w:val="44"/>
          <w:szCs w:val="44"/>
          <w:highlight w:val="none"/>
        </w:rPr>
      </w:pPr>
      <w:bookmarkStart w:id="77" w:name="_Toc71366061"/>
      <w:bookmarkStart w:id="78" w:name="_Toc71365383"/>
      <w:r>
        <w:rPr>
          <w:rFonts w:hint="eastAsia" w:ascii="宋体" w:hAnsi="宋体" w:eastAsia="宋体" w:cs="方正小标宋简体"/>
          <w:b/>
          <w:color w:val="auto"/>
          <w:sz w:val="44"/>
          <w:szCs w:val="44"/>
          <w:highlight w:val="none"/>
        </w:rPr>
        <w:t>中小企业声明函（货物）</w:t>
      </w:r>
      <w:bookmarkEnd w:id="77"/>
      <w:bookmarkEnd w:id="78"/>
    </w:p>
    <w:p w14:paraId="19F9077A">
      <w:pPr>
        <w:rPr>
          <w:rFonts w:hint="eastAsia"/>
          <w:color w:val="auto"/>
          <w:highlight w:val="none"/>
          <w:shd w:val="clear" w:color="auto" w:fill="auto"/>
        </w:rPr>
      </w:pPr>
    </w:p>
    <w:p w14:paraId="73D467A2">
      <w:pPr>
        <w:pStyle w:val="3"/>
        <w:spacing w:after="0" w:line="360" w:lineRule="auto"/>
        <w:ind w:left="-426" w:right="142" w:firstLine="640"/>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本公司（联合体）郑重声明，根据《政府采购促进中小企业发展管理办法》（财库﹝2020﹞46号）的规定，本公司（联合体）参加</w:t>
      </w:r>
      <w:r>
        <w:rPr>
          <w:rFonts w:ascii="宋体" w:hAnsi="宋体"/>
          <w:color w:val="auto"/>
          <w:sz w:val="24"/>
          <w:highlight w:val="none"/>
          <w:u w:val="single"/>
          <w:shd w:val="clear" w:color="auto" w:fill="auto"/>
        </w:rPr>
        <w:t>（单位名称）</w:t>
      </w:r>
      <w:r>
        <w:rPr>
          <w:rFonts w:ascii="宋体" w:hAnsi="宋体"/>
          <w:color w:val="auto"/>
          <w:sz w:val="24"/>
          <w:highlight w:val="none"/>
          <w:shd w:val="clear" w:color="auto" w:fill="auto"/>
        </w:rPr>
        <w:t>的</w:t>
      </w:r>
      <w:r>
        <w:rPr>
          <w:rFonts w:ascii="宋体" w:hAnsi="宋体"/>
          <w:color w:val="auto"/>
          <w:sz w:val="24"/>
          <w:highlight w:val="none"/>
          <w:u w:val="single"/>
          <w:shd w:val="clear" w:color="auto" w:fill="auto"/>
        </w:rPr>
        <w:t>（项目名称）</w:t>
      </w:r>
      <w:r>
        <w:rPr>
          <w:rFonts w:ascii="宋体" w:hAnsi="宋体"/>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3B30E6B2">
      <w:pPr>
        <w:tabs>
          <w:tab w:val="left" w:pos="1384"/>
          <w:tab w:val="left" w:pos="4562"/>
          <w:tab w:val="left" w:pos="6803"/>
        </w:tabs>
        <w:spacing w:line="360" w:lineRule="auto"/>
        <w:ind w:left="-426" w:right="-58" w:firstLine="65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1.</w:t>
      </w:r>
      <w:r>
        <w:rPr>
          <w:rFonts w:ascii="宋体" w:hAnsi="宋体"/>
          <w:color w:val="auto"/>
          <w:sz w:val="24"/>
          <w:highlight w:val="none"/>
          <w:u w:val="single"/>
          <w:shd w:val="clear" w:color="auto" w:fill="auto"/>
        </w:rPr>
        <w:t>（标的名称）</w:t>
      </w:r>
      <w:r>
        <w:rPr>
          <w:rFonts w:ascii="宋体" w:hAnsi="宋体"/>
          <w:color w:val="auto"/>
          <w:sz w:val="24"/>
          <w:highlight w:val="none"/>
          <w:shd w:val="clear" w:color="auto" w:fill="auto"/>
        </w:rPr>
        <w:t>，属于</w:t>
      </w:r>
      <w:r>
        <w:rPr>
          <w:rFonts w:ascii="宋体" w:hAnsi="宋体"/>
          <w:color w:val="auto"/>
          <w:sz w:val="24"/>
          <w:highlight w:val="none"/>
          <w:u w:val="single"/>
          <w:shd w:val="clear" w:color="auto" w:fill="auto"/>
        </w:rPr>
        <w:t>（采购文件中明确的所属行业）</w:t>
      </w:r>
      <w:r>
        <w:rPr>
          <w:rFonts w:ascii="宋体" w:hAnsi="宋体"/>
          <w:color w:val="auto"/>
          <w:sz w:val="24"/>
          <w:highlight w:val="none"/>
          <w:shd w:val="clear" w:color="auto" w:fill="auto"/>
        </w:rPr>
        <w:t>行业；制造商为</w:t>
      </w:r>
      <w:r>
        <w:rPr>
          <w:rFonts w:ascii="宋体" w:hAnsi="宋体"/>
          <w:color w:val="auto"/>
          <w:sz w:val="24"/>
          <w:highlight w:val="none"/>
          <w:u w:val="single"/>
          <w:shd w:val="clear" w:color="auto" w:fill="auto"/>
        </w:rPr>
        <w:t>（企业名称）</w:t>
      </w:r>
      <w:r>
        <w:rPr>
          <w:rFonts w:ascii="宋体" w:hAnsi="宋体"/>
          <w:color w:val="auto"/>
          <w:sz w:val="24"/>
          <w:highlight w:val="none"/>
          <w:shd w:val="clear" w:color="auto" w:fill="auto"/>
        </w:rPr>
        <w:t>，从业人员</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人，营业收入为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万元，资产总额为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万元，属于</w:t>
      </w:r>
      <w:r>
        <w:rPr>
          <w:rFonts w:ascii="宋体" w:hAnsi="宋体"/>
          <w:color w:val="auto"/>
          <w:sz w:val="24"/>
          <w:highlight w:val="none"/>
          <w:u w:val="single"/>
          <w:shd w:val="clear" w:color="auto" w:fill="auto"/>
        </w:rPr>
        <w:t>（中型企业、小型企业、微型企业）</w:t>
      </w:r>
      <w:r>
        <w:rPr>
          <w:rFonts w:ascii="宋体" w:hAnsi="宋体"/>
          <w:color w:val="auto"/>
          <w:sz w:val="24"/>
          <w:highlight w:val="none"/>
          <w:shd w:val="clear" w:color="auto" w:fill="auto"/>
        </w:rPr>
        <w:t>；</w:t>
      </w:r>
    </w:p>
    <w:p w14:paraId="53EC54E4">
      <w:pPr>
        <w:tabs>
          <w:tab w:val="left" w:pos="1065"/>
          <w:tab w:val="left" w:pos="6477"/>
        </w:tabs>
        <w:spacing w:line="360" w:lineRule="auto"/>
        <w:ind w:left="-426" w:right="-58" w:firstLine="65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2.</w:t>
      </w:r>
      <w:r>
        <w:rPr>
          <w:rFonts w:ascii="宋体" w:hAnsi="宋体"/>
          <w:color w:val="auto"/>
          <w:sz w:val="24"/>
          <w:highlight w:val="none"/>
          <w:u w:val="single"/>
          <w:shd w:val="clear" w:color="auto" w:fill="auto"/>
        </w:rPr>
        <w:t>（标的名称）</w:t>
      </w:r>
      <w:r>
        <w:rPr>
          <w:rFonts w:ascii="宋体" w:hAnsi="宋体"/>
          <w:color w:val="auto"/>
          <w:sz w:val="24"/>
          <w:highlight w:val="none"/>
          <w:shd w:val="clear" w:color="auto" w:fill="auto"/>
        </w:rPr>
        <w:t>，属于</w:t>
      </w:r>
      <w:r>
        <w:rPr>
          <w:rFonts w:ascii="宋体" w:hAnsi="宋体"/>
          <w:color w:val="auto"/>
          <w:sz w:val="24"/>
          <w:highlight w:val="none"/>
          <w:u w:val="single"/>
          <w:shd w:val="clear" w:color="auto" w:fill="auto"/>
        </w:rPr>
        <w:t>（采购文件中明确的所属行业）</w:t>
      </w:r>
      <w:r>
        <w:rPr>
          <w:rFonts w:ascii="宋体" w:hAnsi="宋体"/>
          <w:color w:val="auto"/>
          <w:sz w:val="24"/>
          <w:highlight w:val="none"/>
          <w:shd w:val="clear" w:color="auto" w:fill="auto"/>
        </w:rPr>
        <w:t>行业；制造商为</w:t>
      </w:r>
      <w:r>
        <w:rPr>
          <w:rFonts w:ascii="宋体" w:hAnsi="宋体"/>
          <w:color w:val="auto"/>
          <w:sz w:val="24"/>
          <w:highlight w:val="none"/>
          <w:u w:val="single"/>
          <w:shd w:val="clear" w:color="auto" w:fill="auto"/>
        </w:rPr>
        <w:t>（企业名称）</w:t>
      </w:r>
      <w:r>
        <w:rPr>
          <w:rFonts w:ascii="宋体" w:hAnsi="宋体"/>
          <w:color w:val="auto"/>
          <w:sz w:val="24"/>
          <w:highlight w:val="none"/>
          <w:shd w:val="clear" w:color="auto" w:fill="auto"/>
        </w:rPr>
        <w:t>，从业人员</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人，营业收入为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万元，资产总额为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万元，属于</w:t>
      </w:r>
      <w:r>
        <w:rPr>
          <w:rFonts w:ascii="宋体" w:hAnsi="宋体"/>
          <w:color w:val="auto"/>
          <w:sz w:val="24"/>
          <w:highlight w:val="none"/>
          <w:u w:val="single"/>
          <w:shd w:val="clear" w:color="auto" w:fill="auto"/>
        </w:rPr>
        <w:t>（中型企业、小型企业、微型企业）</w:t>
      </w:r>
      <w:r>
        <w:rPr>
          <w:rFonts w:ascii="宋体" w:hAnsi="宋体"/>
          <w:color w:val="auto"/>
          <w:sz w:val="24"/>
          <w:highlight w:val="none"/>
          <w:shd w:val="clear" w:color="auto" w:fill="auto"/>
        </w:rPr>
        <w:t>；</w:t>
      </w:r>
    </w:p>
    <w:p w14:paraId="2A80AE16">
      <w:pPr>
        <w:pStyle w:val="3"/>
        <w:spacing w:after="0" w:line="360" w:lineRule="auto"/>
        <w:ind w:left="142" w:right="142"/>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w:t>
      </w:r>
    </w:p>
    <w:p w14:paraId="5AB89605">
      <w:pPr>
        <w:pStyle w:val="3"/>
        <w:spacing w:after="0" w:line="360" w:lineRule="auto"/>
        <w:ind w:left="-405" w:leftChars="-193" w:right="142" w:firstLine="453" w:firstLineChars="189"/>
        <w:contextualSpacing/>
        <w:jc w:val="both"/>
        <w:rPr>
          <w:rFonts w:ascii="宋体" w:hAnsi="宋体"/>
          <w:color w:val="auto"/>
          <w:sz w:val="24"/>
          <w:highlight w:val="none"/>
          <w:shd w:val="clear" w:color="auto" w:fill="auto"/>
        </w:rPr>
      </w:pPr>
      <w:r>
        <w:rPr>
          <w:rFonts w:ascii="宋体" w:hAnsi="宋体"/>
          <w:color w:val="auto"/>
          <w:sz w:val="24"/>
          <w:highlight w:val="none"/>
          <w:shd w:val="clear" w:color="auto" w:fill="auto"/>
        </w:rPr>
        <w:t>以上企业，不属于大企业的分支机构，不存在控股股东为大企业的情形，也不存在与大企业的负责人为同一人的情形。</w:t>
      </w:r>
    </w:p>
    <w:p w14:paraId="44BBD61B">
      <w:pPr>
        <w:pStyle w:val="3"/>
        <w:spacing w:after="0" w:line="360" w:lineRule="auto"/>
        <w:ind w:left="-426" w:right="142" w:firstLine="567"/>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本企业对上述声明内容的真实性负责。如有虚假，将依法承担相应责任。</w:t>
      </w:r>
    </w:p>
    <w:p w14:paraId="6C7B802C">
      <w:pPr>
        <w:pStyle w:val="3"/>
        <w:spacing w:after="0" w:line="360" w:lineRule="auto"/>
        <w:ind w:left="3960" w:right="1808"/>
        <w:contextualSpacing/>
        <w:rPr>
          <w:rFonts w:hint="eastAsia" w:ascii="宋体" w:hAnsi="宋体"/>
          <w:color w:val="auto"/>
          <w:sz w:val="24"/>
          <w:highlight w:val="none"/>
          <w:shd w:val="clear" w:color="auto" w:fill="auto"/>
        </w:rPr>
      </w:pPr>
    </w:p>
    <w:p w14:paraId="1EE46957">
      <w:pPr>
        <w:pStyle w:val="3"/>
        <w:spacing w:after="0" w:line="360" w:lineRule="auto"/>
        <w:ind w:left="3960" w:right="1808"/>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企业名称（章）： </w:t>
      </w:r>
    </w:p>
    <w:p w14:paraId="14FC40D3">
      <w:pPr>
        <w:pStyle w:val="3"/>
        <w:spacing w:after="0" w:line="360" w:lineRule="auto"/>
        <w:ind w:left="3960" w:right="1808"/>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日</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期：</w:t>
      </w:r>
    </w:p>
    <w:p w14:paraId="1254890B">
      <w:pPr>
        <w:pStyle w:val="3"/>
        <w:spacing w:after="0" w:line="360" w:lineRule="auto"/>
        <w:ind w:left="3960" w:right="1808"/>
        <w:contextualSpacing/>
        <w:rPr>
          <w:color w:val="auto"/>
          <w:highlight w:val="none"/>
          <w:shd w:val="clear" w:color="auto" w:fill="auto"/>
        </w:rPr>
      </w:pPr>
    </w:p>
    <w:p w14:paraId="4EE52AFB">
      <w:pPr>
        <w:pStyle w:val="3"/>
        <w:spacing w:line="360" w:lineRule="auto"/>
        <w:ind w:firstLine="0" w:firstLineChars="0"/>
        <w:contextualSpacing/>
        <w:jc w:val="left"/>
        <w:rPr>
          <w:b/>
          <w:color w:val="auto"/>
          <w:highlight w:val="none"/>
        </w:rPr>
      </w:pPr>
      <w:r>
        <w:rPr>
          <w:rFonts w:hint="eastAsia" w:ascii="宋体" w:hAnsi="宋体" w:cs="仿宋_GB2312"/>
          <w:color w:val="auto"/>
          <w:sz w:val="24"/>
          <w:highlight w:val="none"/>
          <w:shd w:val="clear" w:color="auto" w:fill="auto"/>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b/>
          <w:color w:val="auto"/>
          <w:highlight w:val="none"/>
        </w:rPr>
        <w:br w:type="page"/>
      </w:r>
    </w:p>
    <w:p w14:paraId="256C9F9E">
      <w:pPr>
        <w:pStyle w:val="55"/>
        <w:rPr>
          <w:color w:val="auto"/>
          <w:highlight w:val="none"/>
        </w:rPr>
      </w:pPr>
      <w:r>
        <w:rPr>
          <w:color w:val="auto"/>
          <w:highlight w:val="none"/>
        </w:rPr>
        <w:t>2</w:t>
      </w:r>
      <w:r>
        <w:rPr>
          <w:rFonts w:hint="eastAsia"/>
          <w:color w:val="auto"/>
          <w:highlight w:val="none"/>
        </w:rPr>
        <w:t>.残疾人福利性单位声明函格式</w:t>
      </w:r>
    </w:p>
    <w:p w14:paraId="45D3881E">
      <w:pPr>
        <w:ind w:firstLine="420"/>
        <w:rPr>
          <w:color w:val="auto"/>
          <w:highlight w:val="none"/>
        </w:rPr>
      </w:pPr>
    </w:p>
    <w:p w14:paraId="5E93F7DF">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残疾人福利性单位声明函</w:t>
      </w:r>
    </w:p>
    <w:p w14:paraId="1E808152">
      <w:pPr>
        <w:ind w:firstLine="420"/>
        <w:rPr>
          <w:color w:val="auto"/>
          <w:highlight w:val="none"/>
        </w:rPr>
      </w:pPr>
    </w:p>
    <w:p w14:paraId="359469B5">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w:t>
      </w:r>
      <w:r>
        <w:rPr>
          <w:rFonts w:hint="eastAsia" w:ascii="宋体" w:hAnsi="宋体" w:eastAsia="宋体" w:cs="Times New Roman"/>
          <w:color w:val="auto"/>
          <w:spacing w:val="6"/>
          <w:sz w:val="24"/>
          <w:szCs w:val="24"/>
          <w:highlight w:val="none"/>
          <w:u w:val="single"/>
          <w:lang w:val="en-US" w:eastAsia="zh-CN"/>
        </w:rPr>
        <w:t xml:space="preserve">          </w:t>
      </w:r>
      <w:r>
        <w:rPr>
          <w:rFonts w:hint="eastAsia" w:ascii="宋体" w:hAnsi="宋体" w:eastAsia="宋体" w:cs="Times New Roman"/>
          <w:color w:val="auto"/>
          <w:spacing w:val="6"/>
          <w:sz w:val="24"/>
          <w:szCs w:val="24"/>
          <w:highlight w:val="none"/>
        </w:rPr>
        <w:t>单位的</w:t>
      </w:r>
      <w:r>
        <w:rPr>
          <w:rFonts w:hint="eastAsia" w:ascii="宋体" w:hAnsi="宋体" w:eastAsia="宋体" w:cs="Times New Roman"/>
          <w:color w:val="auto"/>
          <w:spacing w:val="6"/>
          <w:sz w:val="24"/>
          <w:szCs w:val="24"/>
          <w:highlight w:val="none"/>
          <w:u w:val="single"/>
          <w:lang w:val="en-US" w:eastAsia="zh-CN"/>
        </w:rPr>
        <w:t xml:space="preserve">         </w:t>
      </w:r>
      <w:r>
        <w:rPr>
          <w:rFonts w:hint="eastAsia" w:ascii="宋体" w:hAnsi="宋体" w:eastAsia="宋体" w:cs="Times New Roman"/>
          <w:color w:val="auto"/>
          <w:spacing w:val="6"/>
          <w:sz w:val="24"/>
          <w:szCs w:val="24"/>
          <w:highlight w:val="none"/>
        </w:rPr>
        <w:t>项目采购活动提供本单位制造的货物（由本单位承担工程/提供服务），或者提供其他残</w:t>
      </w:r>
      <w:r>
        <w:rPr>
          <w:rFonts w:hint="eastAsia" w:ascii="宋体" w:hAnsi="宋体" w:eastAsia="宋体" w:cs="Times New Roman"/>
          <w:color w:val="auto"/>
          <w:spacing w:val="-6"/>
          <w:sz w:val="24"/>
          <w:szCs w:val="24"/>
          <w:highlight w:val="none"/>
        </w:rPr>
        <w:t>疾人福利性单位制造的货物（不包括使用非残疾人福利性单位注册商标的货物）。</w:t>
      </w:r>
    </w:p>
    <w:p w14:paraId="766AAF43">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14:paraId="2A98463B">
      <w:pPr>
        <w:widowControl w:val="0"/>
        <w:ind w:firstLine="504"/>
        <w:contextualSpacing/>
        <w:jc w:val="both"/>
        <w:rPr>
          <w:rFonts w:ascii="宋体" w:hAnsi="宋体" w:eastAsia="宋体" w:cs="Times New Roman"/>
          <w:color w:val="auto"/>
          <w:spacing w:val="6"/>
          <w:sz w:val="24"/>
          <w:szCs w:val="24"/>
          <w:highlight w:val="none"/>
        </w:rPr>
      </w:pPr>
    </w:p>
    <w:p w14:paraId="3BCD040E">
      <w:pPr>
        <w:widowControl w:val="0"/>
        <w:ind w:firstLine="504"/>
        <w:contextualSpacing/>
        <w:jc w:val="both"/>
        <w:rPr>
          <w:rFonts w:ascii="宋体" w:hAnsi="宋体" w:eastAsia="宋体" w:cs="Times New Roman"/>
          <w:color w:val="auto"/>
          <w:spacing w:val="6"/>
          <w:sz w:val="24"/>
          <w:szCs w:val="24"/>
          <w:highlight w:val="none"/>
        </w:rPr>
      </w:pPr>
    </w:p>
    <w:p w14:paraId="4070DB3A">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单位名称（盖章）：</w:t>
      </w:r>
    </w:p>
    <w:p w14:paraId="7C07D615">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日  期：</w:t>
      </w:r>
    </w:p>
    <w:p w14:paraId="3B6FC528">
      <w:pPr>
        <w:widowControl w:val="0"/>
        <w:ind w:firstLine="0" w:firstLineChars="0"/>
        <w:contextualSpacing/>
        <w:jc w:val="both"/>
        <w:rPr>
          <w:rFonts w:ascii="宋体" w:hAnsi="宋体" w:eastAsia="宋体" w:cs="Times New Roman"/>
          <w:color w:val="auto"/>
          <w:sz w:val="24"/>
          <w:szCs w:val="24"/>
          <w:highlight w:val="none"/>
        </w:rPr>
      </w:pPr>
    </w:p>
    <w:p w14:paraId="7EDD784D">
      <w:pPr>
        <w:widowControl w:val="0"/>
        <w:ind w:firstLine="0" w:firstLineChars="0"/>
        <w:contextualSpacing/>
        <w:jc w:val="both"/>
        <w:rPr>
          <w:rFonts w:ascii="宋体" w:hAnsi="宋体" w:eastAsia="宋体" w:cs="Times New Roman"/>
          <w:color w:val="auto"/>
          <w:sz w:val="24"/>
          <w:szCs w:val="24"/>
          <w:highlight w:val="none"/>
        </w:rPr>
      </w:pPr>
    </w:p>
    <w:p w14:paraId="172D7D34">
      <w:pPr>
        <w:widowControl w:val="0"/>
        <w:ind w:firstLine="0" w:firstLineChars="0"/>
        <w:contextualSpacing/>
        <w:jc w:val="both"/>
        <w:rPr>
          <w:rFonts w:ascii="宋体" w:hAnsi="宋体" w:eastAsia="宋体" w:cs="Times New Roman"/>
          <w:color w:val="auto"/>
          <w:sz w:val="24"/>
          <w:szCs w:val="24"/>
          <w:highlight w:val="none"/>
        </w:rPr>
      </w:pPr>
    </w:p>
    <w:p w14:paraId="53D3FFEE">
      <w:pPr>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6D711EEB">
      <w:pPr>
        <w:ind w:firstLine="480"/>
        <w:rPr>
          <w:rFonts w:ascii="宋体" w:hAnsi="宋体" w:eastAsia="宋体" w:cs="Times New Roman"/>
          <w:color w:val="auto"/>
          <w:sz w:val="24"/>
          <w:szCs w:val="24"/>
          <w:highlight w:val="none"/>
        </w:rPr>
      </w:pPr>
    </w:p>
    <w:p w14:paraId="5AA51BB3">
      <w:pPr>
        <w:ind w:firstLine="480"/>
        <w:rPr>
          <w:rFonts w:ascii="宋体" w:hAnsi="宋体" w:eastAsia="宋体" w:cs="Times New Roman"/>
          <w:color w:val="auto"/>
          <w:sz w:val="24"/>
          <w:szCs w:val="24"/>
          <w:highlight w:val="none"/>
        </w:rPr>
      </w:pPr>
    </w:p>
    <w:p w14:paraId="5A27A175">
      <w:pPr>
        <w:ind w:firstLine="480"/>
        <w:rPr>
          <w:rFonts w:ascii="宋体" w:hAnsi="宋体" w:eastAsia="宋体" w:cs="Times New Roman"/>
          <w:color w:val="auto"/>
          <w:sz w:val="24"/>
          <w:szCs w:val="24"/>
          <w:highlight w:val="none"/>
        </w:rPr>
      </w:pPr>
    </w:p>
    <w:p w14:paraId="60459E94">
      <w:pPr>
        <w:ind w:firstLine="480"/>
        <w:rPr>
          <w:rFonts w:ascii="宋体" w:hAnsi="宋体" w:eastAsia="宋体" w:cs="Times New Roman"/>
          <w:color w:val="auto"/>
          <w:sz w:val="24"/>
          <w:szCs w:val="24"/>
          <w:highlight w:val="none"/>
        </w:rPr>
      </w:pPr>
    </w:p>
    <w:p w14:paraId="3B0B1314">
      <w:pPr>
        <w:ind w:firstLine="480"/>
        <w:rPr>
          <w:rFonts w:ascii="宋体" w:hAnsi="宋体" w:eastAsia="宋体" w:cs="Times New Roman"/>
          <w:color w:val="auto"/>
          <w:sz w:val="24"/>
          <w:szCs w:val="24"/>
          <w:highlight w:val="none"/>
        </w:rPr>
      </w:pPr>
    </w:p>
    <w:p w14:paraId="5B22BCE4">
      <w:pPr>
        <w:ind w:firstLine="420"/>
        <w:rPr>
          <w:color w:val="auto"/>
          <w:highlight w:val="none"/>
        </w:rPr>
      </w:pPr>
    </w:p>
    <w:p w14:paraId="6BB218BF">
      <w:pPr>
        <w:pStyle w:val="55"/>
        <w:rPr>
          <w:color w:val="auto"/>
          <w:highlight w:val="none"/>
        </w:rPr>
      </w:pPr>
      <w:r>
        <w:rPr>
          <w:color w:val="auto"/>
          <w:highlight w:val="none"/>
        </w:rPr>
        <w:t>3</w:t>
      </w:r>
      <w:r>
        <w:rPr>
          <w:rFonts w:hint="eastAsia"/>
          <w:color w:val="auto"/>
          <w:highlight w:val="none"/>
        </w:rPr>
        <w:t>.联合体竞标协议书格式</w:t>
      </w:r>
    </w:p>
    <w:p w14:paraId="152B5D4E">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联合体竞标协议书</w:t>
      </w:r>
    </w:p>
    <w:p w14:paraId="40BB8B34">
      <w:pPr>
        <w:ind w:firstLine="480"/>
        <w:rPr>
          <w:color w:val="auto"/>
          <w:sz w:val="24"/>
          <w:szCs w:val="24"/>
          <w:highlight w:val="none"/>
        </w:rPr>
      </w:pP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u w:val="single"/>
        </w:rPr>
        <w:t xml:space="preserve">（所有成员单位名称） </w:t>
      </w:r>
      <w:r>
        <w:rPr>
          <w:rFonts w:hint="eastAsia"/>
          <w:color w:val="auto"/>
          <w:sz w:val="24"/>
          <w:szCs w:val="24"/>
          <w:highlight w:val="none"/>
        </w:rPr>
        <w:t>自愿组成</w:t>
      </w:r>
      <w:r>
        <w:rPr>
          <w:color w:val="auto"/>
          <w:sz w:val="24"/>
          <w:szCs w:val="24"/>
          <w:highlight w:val="none"/>
          <w:u w:val="single"/>
        </w:rPr>
        <w:t xml:space="preserve"> </w:t>
      </w:r>
      <w:r>
        <w:rPr>
          <w:rFonts w:hint="eastAsia"/>
          <w:color w:val="auto"/>
          <w:sz w:val="24"/>
          <w:szCs w:val="24"/>
          <w:highlight w:val="none"/>
          <w:u w:val="single"/>
        </w:rPr>
        <w:t xml:space="preserve">（联合体名称） </w:t>
      </w:r>
      <w:r>
        <w:rPr>
          <w:rFonts w:hint="eastAsia"/>
          <w:color w:val="auto"/>
          <w:sz w:val="24"/>
          <w:szCs w:val="24"/>
          <w:highlight w:val="none"/>
        </w:rPr>
        <w:t xml:space="preserve">联合体，共同参加 </w:t>
      </w:r>
      <w:r>
        <w:rPr>
          <w:rFonts w:hint="eastAsia"/>
          <w:color w:val="auto"/>
          <w:sz w:val="24"/>
          <w:szCs w:val="24"/>
          <w:highlight w:val="none"/>
          <w:u w:val="single"/>
        </w:rPr>
        <w:tab/>
      </w:r>
      <w:r>
        <w:rPr>
          <w:rFonts w:hint="eastAsia"/>
          <w:color w:val="auto"/>
          <w:sz w:val="24"/>
          <w:szCs w:val="24"/>
          <w:highlight w:val="none"/>
          <w:u w:val="single"/>
        </w:rPr>
        <w:t>（项目名称）</w:t>
      </w:r>
      <w:r>
        <w:rPr>
          <w:rFonts w:hint="eastAsia"/>
          <w:color w:val="auto"/>
          <w:sz w:val="24"/>
          <w:szCs w:val="24"/>
          <w:highlight w:val="none"/>
        </w:rPr>
        <w:t>采购项目竞标。现就联合体竞标事宜订立如下协议。</w:t>
      </w:r>
    </w:p>
    <w:p w14:paraId="28852D48">
      <w:pPr>
        <w:ind w:firstLine="480"/>
        <w:rPr>
          <w:color w:val="auto"/>
          <w:sz w:val="24"/>
          <w:szCs w:val="24"/>
          <w:highlight w:val="none"/>
        </w:rPr>
      </w:pPr>
      <w:r>
        <w:rPr>
          <w:rFonts w:hint="eastAsia"/>
          <w:color w:val="auto"/>
          <w:sz w:val="24"/>
          <w:szCs w:val="24"/>
          <w:highlight w:val="none"/>
        </w:rPr>
        <w:t>1.</w:t>
      </w:r>
      <w:r>
        <w:rPr>
          <w:color w:val="auto"/>
          <w:sz w:val="24"/>
          <w:szCs w:val="24"/>
          <w:highlight w:val="none"/>
          <w:u w:val="single"/>
        </w:rPr>
        <w:t xml:space="preserve"> </w:t>
      </w:r>
      <w:r>
        <w:rPr>
          <w:rFonts w:hint="eastAsia"/>
          <w:color w:val="auto"/>
          <w:sz w:val="24"/>
          <w:szCs w:val="24"/>
          <w:highlight w:val="none"/>
          <w:u w:val="single"/>
        </w:rPr>
        <w:t xml:space="preserve">（某成员单位名称） </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rPr>
        <w:t xml:space="preserve">（联合体名称） </w:t>
      </w:r>
      <w:r>
        <w:rPr>
          <w:rFonts w:hint="eastAsia"/>
          <w:color w:val="auto"/>
          <w:sz w:val="24"/>
          <w:szCs w:val="24"/>
          <w:highlight w:val="none"/>
        </w:rPr>
        <w:t>牵头人。</w:t>
      </w:r>
    </w:p>
    <w:p w14:paraId="7009DCC7">
      <w:pPr>
        <w:ind w:firstLine="480"/>
        <w:rPr>
          <w:color w:val="auto"/>
          <w:sz w:val="24"/>
          <w:szCs w:val="24"/>
          <w:highlight w:val="none"/>
        </w:rPr>
      </w:pPr>
      <w:r>
        <w:rPr>
          <w:rFonts w:hint="eastAsia"/>
          <w:color w:val="auto"/>
          <w:sz w:val="24"/>
          <w:szCs w:val="24"/>
          <w:highlight w:val="none"/>
        </w:rPr>
        <w:t>2.联合体各成员授权牵头人代表联合体参加竞标活动，签署文件及对文件的盖章，提交和接收相关的资料、 信息及指示，进行合同</w:t>
      </w:r>
      <w:r>
        <w:rPr>
          <w:rFonts w:hint="eastAsia"/>
          <w:color w:val="auto"/>
          <w:sz w:val="24"/>
          <w:szCs w:val="24"/>
          <w:highlight w:val="none"/>
          <w:lang w:eastAsia="zh-CN"/>
        </w:rPr>
        <w:t>谈判</w:t>
      </w:r>
      <w:r>
        <w:rPr>
          <w:rFonts w:hint="eastAsia"/>
          <w:color w:val="auto"/>
          <w:sz w:val="24"/>
          <w:szCs w:val="24"/>
          <w:highlight w:val="none"/>
        </w:rPr>
        <w:t>活动，负责合同实施阶段的组织和协调工作，以及处理与本招标项目有关的一切事宜。</w:t>
      </w:r>
    </w:p>
    <w:p w14:paraId="771C272D">
      <w:pPr>
        <w:ind w:firstLine="480"/>
        <w:rPr>
          <w:color w:val="auto"/>
          <w:sz w:val="24"/>
          <w:szCs w:val="24"/>
          <w:highlight w:val="none"/>
        </w:rPr>
      </w:pPr>
      <w:r>
        <w:rPr>
          <w:rFonts w:hint="eastAsia"/>
          <w:color w:val="auto"/>
          <w:sz w:val="24"/>
          <w:szCs w:val="24"/>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14:paraId="3CE272D2">
      <w:pPr>
        <w:ind w:firstLine="480"/>
        <w:rPr>
          <w:color w:val="auto"/>
          <w:sz w:val="24"/>
          <w:szCs w:val="24"/>
          <w:highlight w:val="none"/>
        </w:rPr>
      </w:pPr>
      <w:r>
        <w:rPr>
          <w:rFonts w:hint="eastAsia"/>
          <w:color w:val="auto"/>
          <w:sz w:val="24"/>
          <w:szCs w:val="24"/>
          <w:highlight w:val="none"/>
        </w:rPr>
        <w:t>4.联合体各成员单位内部的职责分工如下：</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w:t>
      </w:r>
    </w:p>
    <w:p w14:paraId="4D12A332">
      <w:pPr>
        <w:ind w:firstLine="480"/>
        <w:rPr>
          <w:color w:val="auto"/>
          <w:sz w:val="24"/>
          <w:szCs w:val="24"/>
          <w:highlight w:val="none"/>
        </w:rPr>
      </w:pPr>
      <w:r>
        <w:rPr>
          <w:rFonts w:hint="eastAsia"/>
          <w:color w:val="auto"/>
          <w:sz w:val="24"/>
          <w:szCs w:val="24"/>
          <w:highlight w:val="none"/>
        </w:rPr>
        <w:t>5.本协议书自所有成员单位法定代表人或者其委托代理人签字或者盖公章之日起生效，合同履行完毕后自动失效。</w:t>
      </w:r>
    </w:p>
    <w:p w14:paraId="7CCDA96C">
      <w:pPr>
        <w:ind w:firstLine="480"/>
        <w:rPr>
          <w:color w:val="auto"/>
          <w:sz w:val="24"/>
          <w:szCs w:val="24"/>
          <w:highlight w:val="none"/>
        </w:rPr>
      </w:pPr>
      <w:r>
        <w:rPr>
          <w:rFonts w:hint="eastAsia"/>
          <w:color w:val="auto"/>
          <w:sz w:val="24"/>
          <w:szCs w:val="24"/>
          <w:highlight w:val="none"/>
        </w:rPr>
        <w:t>6.本协议书一式</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份，联合体成员和采购人各执一份。</w:t>
      </w:r>
    </w:p>
    <w:p w14:paraId="73EBD576">
      <w:pPr>
        <w:ind w:firstLine="480"/>
        <w:rPr>
          <w:color w:val="auto"/>
          <w:sz w:val="24"/>
          <w:szCs w:val="24"/>
          <w:highlight w:val="none"/>
        </w:rPr>
      </w:pPr>
      <w:r>
        <w:rPr>
          <w:rFonts w:hint="eastAsia"/>
          <w:color w:val="auto"/>
          <w:sz w:val="24"/>
          <w:szCs w:val="24"/>
          <w:highlight w:val="none"/>
        </w:rPr>
        <w:t>注：</w:t>
      </w:r>
      <w:r>
        <w:rPr>
          <w:rFonts w:hint="eastAsia" w:ascii="宋体" w:hAnsi="宋体" w:cs="仿宋_GB2312"/>
          <w:color w:val="auto"/>
          <w:sz w:val="24"/>
          <w:szCs w:val="24"/>
          <w:highlight w:val="none"/>
        </w:rPr>
        <w:t>本协议书应附法定代表人身份证明书；有委托代理的，应附权委托书（格式自拟）</w:t>
      </w:r>
      <w:r>
        <w:rPr>
          <w:rFonts w:hint="eastAsia"/>
          <w:color w:val="auto"/>
          <w:sz w:val="24"/>
          <w:szCs w:val="24"/>
          <w:highlight w:val="none"/>
        </w:rPr>
        <w:t>。</w:t>
      </w:r>
    </w:p>
    <w:p w14:paraId="72B8332B">
      <w:pPr>
        <w:ind w:firstLine="480"/>
        <w:rPr>
          <w:color w:val="auto"/>
          <w:sz w:val="24"/>
          <w:szCs w:val="24"/>
          <w:highlight w:val="none"/>
        </w:rPr>
      </w:pPr>
    </w:p>
    <w:p w14:paraId="353EA94C">
      <w:pPr>
        <w:ind w:firstLine="480"/>
        <w:rPr>
          <w:color w:val="auto"/>
          <w:sz w:val="24"/>
          <w:szCs w:val="24"/>
          <w:highlight w:val="none"/>
        </w:rPr>
      </w:pPr>
      <w:r>
        <w:rPr>
          <w:rFonts w:hint="eastAsia"/>
          <w:color w:val="auto"/>
          <w:sz w:val="24"/>
          <w:szCs w:val="24"/>
          <w:highlight w:val="none"/>
        </w:rPr>
        <w:t>联合体牵头人名称（</w:t>
      </w:r>
      <w:r>
        <w:rPr>
          <w:rFonts w:hint="eastAsia" w:ascii="宋体" w:hAnsi="宋体" w:cs="仿宋_GB2312"/>
          <w:b/>
          <w:bCs/>
          <w:color w:val="auto"/>
          <w:sz w:val="24"/>
          <w:szCs w:val="24"/>
          <w:highlight w:val="none"/>
        </w:rPr>
        <w:t>电子签章</w:t>
      </w:r>
      <w:r>
        <w:rPr>
          <w:rFonts w:hint="eastAsia"/>
          <w:color w:val="auto"/>
          <w:sz w:val="24"/>
          <w:szCs w:val="24"/>
          <w:highlight w:val="none"/>
        </w:rPr>
        <w:t>）：</w:t>
      </w:r>
    </w:p>
    <w:p w14:paraId="63610A3C">
      <w:pPr>
        <w:ind w:firstLine="480"/>
        <w:rPr>
          <w:color w:val="auto"/>
          <w:sz w:val="24"/>
          <w:szCs w:val="24"/>
          <w:highlight w:val="none"/>
        </w:rPr>
      </w:pPr>
      <w:r>
        <w:rPr>
          <w:rFonts w:hint="eastAsia"/>
          <w:color w:val="auto"/>
          <w:sz w:val="24"/>
          <w:szCs w:val="24"/>
          <w:highlight w:val="none"/>
        </w:rPr>
        <w:t>法定代表人或者其委托代理人（</w:t>
      </w:r>
      <w:r>
        <w:rPr>
          <w:rFonts w:hint="eastAsia"/>
          <w:b/>
          <w:bCs/>
          <w:color w:val="auto"/>
          <w:sz w:val="24"/>
          <w:szCs w:val="24"/>
          <w:highlight w:val="none"/>
        </w:rPr>
        <w:t>签字或者盖章或者电子签名</w:t>
      </w:r>
      <w:r>
        <w:rPr>
          <w:rFonts w:hint="eastAsia"/>
          <w:color w:val="auto"/>
          <w:sz w:val="24"/>
          <w:szCs w:val="24"/>
          <w:highlight w:val="none"/>
        </w:rPr>
        <w:t>）：</w:t>
      </w:r>
    </w:p>
    <w:p w14:paraId="5A4942C4">
      <w:pPr>
        <w:ind w:firstLine="480"/>
        <w:rPr>
          <w:color w:val="auto"/>
          <w:sz w:val="24"/>
          <w:szCs w:val="24"/>
          <w:highlight w:val="none"/>
        </w:rPr>
      </w:pPr>
    </w:p>
    <w:p w14:paraId="627735CB">
      <w:pPr>
        <w:ind w:firstLine="480"/>
        <w:rPr>
          <w:color w:val="auto"/>
          <w:sz w:val="24"/>
          <w:szCs w:val="24"/>
          <w:highlight w:val="none"/>
        </w:rPr>
      </w:pPr>
      <w:r>
        <w:rPr>
          <w:rFonts w:hint="eastAsia"/>
          <w:color w:val="auto"/>
          <w:sz w:val="24"/>
          <w:szCs w:val="24"/>
          <w:highlight w:val="none"/>
        </w:rPr>
        <w:t>联合体成员名称（</w:t>
      </w:r>
      <w:r>
        <w:rPr>
          <w:rFonts w:hint="eastAsia" w:ascii="宋体" w:hAnsi="宋体" w:cs="仿宋_GB2312"/>
          <w:b/>
          <w:bCs/>
          <w:color w:val="auto"/>
          <w:sz w:val="24"/>
          <w:szCs w:val="24"/>
          <w:highlight w:val="none"/>
        </w:rPr>
        <w:t>盖公章或者电子签章</w:t>
      </w:r>
      <w:r>
        <w:rPr>
          <w:rFonts w:hint="eastAsia"/>
          <w:color w:val="auto"/>
          <w:sz w:val="24"/>
          <w:szCs w:val="24"/>
          <w:highlight w:val="none"/>
        </w:rPr>
        <w:t>）：</w:t>
      </w:r>
    </w:p>
    <w:p w14:paraId="55B2B9C2">
      <w:pPr>
        <w:ind w:firstLine="480"/>
        <w:rPr>
          <w:color w:val="auto"/>
          <w:sz w:val="24"/>
          <w:szCs w:val="24"/>
          <w:highlight w:val="none"/>
        </w:rPr>
      </w:pPr>
      <w:r>
        <w:rPr>
          <w:rFonts w:hint="eastAsia"/>
          <w:color w:val="auto"/>
          <w:sz w:val="24"/>
          <w:szCs w:val="24"/>
          <w:highlight w:val="none"/>
        </w:rPr>
        <w:t>法定代表人或者其委托代理人（</w:t>
      </w:r>
      <w:r>
        <w:rPr>
          <w:rFonts w:hint="eastAsia"/>
          <w:b/>
          <w:bCs/>
          <w:color w:val="auto"/>
          <w:sz w:val="24"/>
          <w:szCs w:val="24"/>
          <w:highlight w:val="none"/>
        </w:rPr>
        <w:t>签字或者盖章或者电子签名</w:t>
      </w:r>
      <w:r>
        <w:rPr>
          <w:rFonts w:hint="eastAsia"/>
          <w:color w:val="auto"/>
          <w:sz w:val="24"/>
          <w:szCs w:val="24"/>
          <w:highlight w:val="none"/>
        </w:rPr>
        <w:t>）：</w:t>
      </w:r>
    </w:p>
    <w:p w14:paraId="729B57E8">
      <w:pPr>
        <w:ind w:firstLine="480"/>
        <w:rPr>
          <w:color w:val="auto"/>
          <w:sz w:val="24"/>
          <w:szCs w:val="24"/>
          <w:highlight w:val="none"/>
        </w:rPr>
      </w:pPr>
      <w:r>
        <w:rPr>
          <w:rFonts w:hint="eastAsia"/>
          <w:color w:val="auto"/>
          <w:sz w:val="24"/>
          <w:szCs w:val="24"/>
          <w:highlight w:val="none"/>
        </w:rPr>
        <w:t>……</w:t>
      </w:r>
    </w:p>
    <w:p w14:paraId="7D2510B2">
      <w:pPr>
        <w:ind w:firstLine="480"/>
        <w:jc w:val="right"/>
        <w:rPr>
          <w:color w:val="auto"/>
          <w:sz w:val="24"/>
          <w:szCs w:val="24"/>
          <w:highlight w:val="none"/>
        </w:rPr>
      </w:pPr>
      <w:r>
        <w:rPr>
          <w:rFonts w:hint="eastAsia"/>
          <w:color w:val="auto"/>
          <w:sz w:val="24"/>
          <w:szCs w:val="24"/>
          <w:highlight w:val="none"/>
        </w:rPr>
        <w:tab/>
      </w:r>
      <w:r>
        <w:rPr>
          <w:rFonts w:hint="eastAsia"/>
          <w:color w:val="auto"/>
          <w:sz w:val="24"/>
          <w:szCs w:val="24"/>
          <w:highlight w:val="none"/>
        </w:rPr>
        <w:t xml:space="preserve">年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 xml:space="preserve">月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日</w:t>
      </w:r>
    </w:p>
    <w:p w14:paraId="1571BB01">
      <w:pPr>
        <w:ind w:firstLine="480"/>
        <w:rPr>
          <w:color w:val="auto"/>
          <w:sz w:val="24"/>
          <w:szCs w:val="24"/>
          <w:highlight w:val="none"/>
        </w:rPr>
      </w:pPr>
    </w:p>
    <w:p w14:paraId="65CFF969">
      <w:pPr>
        <w:pStyle w:val="55"/>
        <w:rPr>
          <w:color w:val="auto"/>
          <w:highlight w:val="none"/>
        </w:rPr>
      </w:pPr>
      <w:r>
        <w:rPr>
          <w:color w:val="auto"/>
          <w:highlight w:val="none"/>
        </w:rPr>
        <w:t>4</w:t>
      </w:r>
      <w:r>
        <w:rPr>
          <w:rFonts w:hint="eastAsia"/>
          <w:color w:val="auto"/>
          <w:highlight w:val="none"/>
        </w:rPr>
        <w:t>.质疑函（格式）</w:t>
      </w:r>
    </w:p>
    <w:p w14:paraId="47F701E0">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质疑函（格式）</w:t>
      </w:r>
    </w:p>
    <w:p w14:paraId="04317EEF">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14:paraId="0A2999D4">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145BF820">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4798A411">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5252BA42">
      <w:pPr>
        <w:widowControl w:val="0"/>
        <w:snapToGrid w:val="0"/>
        <w:ind w:firstLine="480"/>
        <w:jc w:val="both"/>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14:paraId="59C60023">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22C4FA87">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78D61DD">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14:paraId="1C6EF117">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p>
    <w:p w14:paraId="1D04BE97">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p>
    <w:p w14:paraId="7CF1A37A">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p>
    <w:p w14:paraId="1E371AC2">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14:paraId="75F66E90">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14:paraId="024C5541">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14:paraId="5FB12DC0">
      <w:pPr>
        <w:widowControl w:val="0"/>
        <w:ind w:firstLine="424" w:firstLineChars="177"/>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14:paraId="3DDA04B9">
      <w:pPr>
        <w:widowControl w:val="0"/>
        <w:ind w:firstLine="472" w:firstLineChars="196"/>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14:paraId="520026CB">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14:paraId="33A588AD">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14:paraId="1268B5F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2A479796">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14:paraId="654F1204">
      <w:pPr>
        <w:widowControl w:val="0"/>
        <w:ind w:firstLine="472" w:firstLineChars="197"/>
        <w:jc w:val="both"/>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14:paraId="6E4E795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14:paraId="4932AC1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14E31C03">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36BA8DC6">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53491608">
      <w:pPr>
        <w:widowControl w:val="0"/>
        <w:snapToGrid w:val="0"/>
        <w:ind w:firstLine="0" w:firstLineChars="0"/>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0E452935">
      <w:pPr>
        <w:widowControl w:val="0"/>
        <w:ind w:left="25" w:leftChars="12" w:firstLine="354" w:firstLineChars="147"/>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14:paraId="5D24DBA4">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7D7421">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14:paraId="04A2AA07">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14:paraId="153E9F10">
      <w:pPr>
        <w:widowControl w:val="0"/>
        <w:ind w:left="25" w:leftChars="12" w:firstLine="354" w:firstLineChars="147"/>
        <w:jc w:val="both"/>
        <w:rPr>
          <w:rFonts w:ascii="宋体" w:hAnsi="宋体" w:eastAsia="宋体" w:cs="Times New Roman"/>
          <w:b/>
          <w:color w:val="auto"/>
          <w:kern w:val="0"/>
          <w:sz w:val="20"/>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26AAB4AA">
      <w:pPr>
        <w:widowControl w:val="0"/>
        <w:snapToGrid w:val="0"/>
        <w:spacing w:line="240" w:lineRule="auto"/>
        <w:ind w:firstLine="0" w:firstLineChars="0"/>
        <w:jc w:val="both"/>
        <w:rPr>
          <w:rFonts w:ascii="宋体" w:hAnsi="Courier New" w:eastAsia="宋体" w:cs="Times New Roman"/>
          <w:b/>
          <w:color w:val="auto"/>
          <w:kern w:val="0"/>
          <w:sz w:val="24"/>
          <w:szCs w:val="24"/>
          <w:highlight w:val="none"/>
          <w:lang w:val="zh-CN"/>
        </w:rPr>
      </w:pPr>
    </w:p>
    <w:p w14:paraId="649445E3">
      <w:pPr>
        <w:pStyle w:val="55"/>
        <w:rPr>
          <w:bCs/>
          <w:color w:val="auto"/>
          <w:sz w:val="32"/>
          <w:szCs w:val="32"/>
          <w:highlight w:val="none"/>
        </w:rPr>
      </w:pPr>
      <w:r>
        <w:rPr>
          <w:rFonts w:ascii="Times New Roman" w:hAnsi="Times New Roman" w:eastAsia="隶书"/>
          <w:color w:val="auto"/>
          <w:sz w:val="44"/>
          <w:highlight w:val="none"/>
        </w:rPr>
        <w:br w:type="page"/>
      </w:r>
      <w:r>
        <w:rPr>
          <w:color w:val="auto"/>
          <w:highlight w:val="none"/>
        </w:rPr>
        <w:t>5</w:t>
      </w:r>
      <w:r>
        <w:rPr>
          <w:rFonts w:hint="eastAsia"/>
          <w:color w:val="auto"/>
          <w:highlight w:val="none"/>
        </w:rPr>
        <w:t>.投诉书（格式）</w:t>
      </w:r>
    </w:p>
    <w:p w14:paraId="4481235C">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投诉书（格式）</w:t>
      </w:r>
    </w:p>
    <w:p w14:paraId="7619C461">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一、投诉相关主体基本情况：</w:t>
      </w:r>
    </w:p>
    <w:p w14:paraId="545BE845">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供应商：</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1F7F2D0E">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2A68F4B9">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法定代表人/主要负责人：</w:t>
      </w:r>
      <w:r>
        <w:rPr>
          <w:rFonts w:hint="eastAsia" w:cs="Times New Roman" w:hAnsiTheme="minorEastAsia"/>
          <w:bCs/>
          <w:color w:val="auto"/>
          <w:kern w:val="0"/>
          <w:sz w:val="24"/>
          <w:szCs w:val="24"/>
          <w:highlight w:val="none"/>
          <w:u w:val="single"/>
          <w:lang w:val="zh-CN"/>
        </w:rPr>
        <w:t xml:space="preserve">                                                         </w:t>
      </w:r>
    </w:p>
    <w:p w14:paraId="38F4AD29">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联系电话</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5E357F00">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授权代表：</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1C8292EE">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39C1944C">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624D3EB8">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被投诉人1：</w:t>
      </w:r>
    </w:p>
    <w:p w14:paraId="17DCA936">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u w:val="single"/>
          <w:lang w:val="zh-CN"/>
        </w:rPr>
        <w:t xml:space="preserve">                                                            </w:t>
      </w:r>
    </w:p>
    <w:p w14:paraId="0BAEC025">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03F2B983">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4756D7D1">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被投诉人2：</w:t>
      </w:r>
    </w:p>
    <w:p w14:paraId="0DFD4DD7">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4A515078">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相关供应商：</w:t>
      </w:r>
      <w:r>
        <w:rPr>
          <w:rFonts w:hint="eastAsia" w:cs="Times New Roman" w:hAnsiTheme="minorEastAsia"/>
          <w:bCs/>
          <w:color w:val="auto"/>
          <w:kern w:val="0"/>
          <w:sz w:val="24"/>
          <w:szCs w:val="24"/>
          <w:highlight w:val="none"/>
          <w:u w:val="single"/>
          <w:lang w:val="zh-CN"/>
        </w:rPr>
        <w:t xml:space="preserve">                                                                       </w:t>
      </w:r>
    </w:p>
    <w:p w14:paraId="13BC8D9C">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2B44A21C">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79E210C1">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二、投诉项目基本情况：</w:t>
      </w:r>
    </w:p>
    <w:p w14:paraId="7CEFBDA8">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项目的名称：</w:t>
      </w:r>
      <w:r>
        <w:rPr>
          <w:rFonts w:hint="eastAsia" w:cs="Times New Roman" w:hAnsiTheme="minorEastAsia"/>
          <w:bCs/>
          <w:color w:val="auto"/>
          <w:kern w:val="0"/>
          <w:sz w:val="24"/>
          <w:szCs w:val="24"/>
          <w:highlight w:val="none"/>
          <w:u w:val="single"/>
          <w:lang w:val="zh-CN"/>
        </w:rPr>
        <w:t xml:space="preserve">                                                                   </w:t>
      </w:r>
    </w:p>
    <w:p w14:paraId="719D52F3">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项目的编号：</w:t>
      </w:r>
      <w:r>
        <w:rPr>
          <w:rFonts w:hint="eastAsia" w:cs="Times New Roman" w:hAnsiTheme="minorEastAsia"/>
          <w:bCs/>
          <w:color w:val="auto"/>
          <w:kern w:val="0"/>
          <w:sz w:val="24"/>
          <w:szCs w:val="24"/>
          <w:highlight w:val="none"/>
          <w:u w:val="single"/>
          <w:lang w:val="zh-CN"/>
        </w:rPr>
        <w:t xml:space="preserve">                                          </w:t>
      </w:r>
    </w:p>
    <w:p w14:paraId="36D9D9E7">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采购人名称：</w:t>
      </w:r>
      <w:r>
        <w:rPr>
          <w:rFonts w:hint="eastAsia" w:cs="Times New Roman" w:hAnsiTheme="minorEastAsia"/>
          <w:bCs/>
          <w:color w:val="auto"/>
          <w:kern w:val="0"/>
          <w:sz w:val="24"/>
          <w:szCs w:val="24"/>
          <w:highlight w:val="none"/>
          <w:u w:val="single"/>
          <w:lang w:val="zh-CN"/>
        </w:rPr>
        <w:t xml:space="preserve">                                                                        </w:t>
      </w:r>
    </w:p>
    <w:p w14:paraId="13A4FED9">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代理机构名称：</w:t>
      </w:r>
      <w:r>
        <w:rPr>
          <w:rFonts w:hint="eastAsia" w:cs="Times New Roman" w:hAnsiTheme="minorEastAsia"/>
          <w:bCs/>
          <w:color w:val="auto"/>
          <w:kern w:val="0"/>
          <w:sz w:val="24"/>
          <w:szCs w:val="24"/>
          <w:highlight w:val="none"/>
          <w:u w:val="single"/>
          <w:lang w:val="zh-CN"/>
        </w:rPr>
        <w:t xml:space="preserve">                                                                      </w:t>
      </w:r>
    </w:p>
    <w:p w14:paraId="6470AE2F">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竞争性谈判文件公告：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6CABCD93">
      <w:pPr>
        <w:widowControl w:val="0"/>
        <w:ind w:firstLine="472" w:firstLineChars="197"/>
        <w:rPr>
          <w:rFonts w:cs="Times New Roman" w:hAnsiTheme="minorEastAsia"/>
          <w:b/>
          <w:color w:val="auto"/>
          <w:kern w:val="0"/>
          <w:sz w:val="24"/>
          <w:szCs w:val="24"/>
          <w:highlight w:val="none"/>
          <w:lang w:val="zh-CN"/>
        </w:rPr>
      </w:pPr>
      <w:r>
        <w:rPr>
          <w:rFonts w:hint="eastAsia" w:cs="Times New Roman" w:hAnsiTheme="minorEastAsia"/>
          <w:bCs/>
          <w:color w:val="auto"/>
          <w:kern w:val="0"/>
          <w:sz w:val="24"/>
          <w:szCs w:val="24"/>
          <w:highlight w:val="none"/>
          <w:lang w:val="zh-CN"/>
        </w:rPr>
        <w:t>采购结果公告：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71B9503C">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三、质疑基本情况</w:t>
      </w:r>
    </w:p>
    <w:p w14:paraId="65F99421">
      <w:pPr>
        <w:widowControl w:val="0"/>
        <w:ind w:firstLine="480"/>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投诉人于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日，向</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提出质疑，质疑事项为：</w:t>
      </w:r>
    </w:p>
    <w:p w14:paraId="74503933">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243C3D7A">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2A34C455">
      <w:pPr>
        <w:widowControl w:val="0"/>
        <w:ind w:firstLine="480"/>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采购人/代理机构</w:t>
      </w:r>
      <w:r>
        <w:rPr>
          <w:rFonts w:hint="eastAsia" w:cs="Times New Roman" w:hAnsiTheme="minorEastAsia"/>
          <w:bCs/>
          <w:color w:val="auto"/>
          <w:kern w:val="0"/>
          <w:sz w:val="24"/>
          <w:szCs w:val="24"/>
          <w:highlight w:val="none"/>
          <w:lang w:val="zh-CN"/>
        </w:rPr>
        <w:t>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w:t>
      </w:r>
      <w:r>
        <w:rPr>
          <w:rFonts w:hint="eastAsia" w:cs="Times New Roman" w:hAnsiTheme="minorEastAsia"/>
          <w:bCs/>
          <w:color w:val="auto"/>
          <w:kern w:val="0"/>
          <w:sz w:val="24"/>
          <w:szCs w:val="24"/>
          <w:highlight w:val="none"/>
          <w:lang w:val="zh-CN"/>
        </w:rPr>
        <w:t xml:space="preserve">就质疑事项作出了答复/没有在法定期限内作出答复。                                                                                             </w:t>
      </w:r>
    </w:p>
    <w:p w14:paraId="427A7FF4">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四、投诉事项具体内容</w:t>
      </w:r>
    </w:p>
    <w:p w14:paraId="1F49D4C2">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投诉事项1：</w:t>
      </w:r>
      <w:r>
        <w:rPr>
          <w:rFonts w:hint="eastAsia" w:cs="Times New Roman" w:hAnsiTheme="minorEastAsia"/>
          <w:bCs/>
          <w:color w:val="auto"/>
          <w:kern w:val="0"/>
          <w:sz w:val="24"/>
          <w:szCs w:val="24"/>
          <w:highlight w:val="none"/>
          <w:u w:val="single"/>
          <w:lang w:val="zh-CN"/>
        </w:rPr>
        <w:t xml:space="preserve">                                                                           </w:t>
      </w:r>
    </w:p>
    <w:p w14:paraId="7B83EC98">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事实依据：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2E81D70E">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 xml:space="preserve">                                                                                        </w:t>
      </w:r>
    </w:p>
    <w:p w14:paraId="677183AA">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法律依据：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3F640D60">
      <w:pPr>
        <w:widowControl w:val="0"/>
        <w:ind w:firstLine="352" w:firstLineChars="14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52A0E3B6">
      <w:pPr>
        <w:widowControl w:val="0"/>
        <w:ind w:firstLine="472" w:firstLineChars="197"/>
        <w:rPr>
          <w:rFonts w:cs="Times New Roman" w:hAnsiTheme="minorEastAsia"/>
          <w:bCs/>
          <w:color w:val="auto"/>
          <w:kern w:val="0"/>
          <w:sz w:val="24"/>
          <w:szCs w:val="24"/>
          <w:highlight w:val="none"/>
          <w:lang w:val="zh-CN"/>
        </w:rPr>
      </w:pPr>
      <w:r>
        <w:rPr>
          <w:rFonts w:hint="eastAsia" w:cs="Times New Roman" w:hAnsiTheme="minorEastAsia"/>
          <w:color w:val="auto"/>
          <w:kern w:val="0"/>
          <w:sz w:val="24"/>
          <w:szCs w:val="24"/>
          <w:highlight w:val="none"/>
          <w:lang w:val="zh-CN"/>
        </w:rPr>
        <w:t xml:space="preserve">投诉事项2  </w:t>
      </w:r>
      <w:r>
        <w:rPr>
          <w:rFonts w:hint="eastAsia" w:cs="Times New Roman" w:hAnsiTheme="minorEastAsia"/>
          <w:bCs/>
          <w:color w:val="auto"/>
          <w:kern w:val="0"/>
          <w:sz w:val="24"/>
          <w:szCs w:val="24"/>
          <w:highlight w:val="none"/>
          <w:lang w:val="zh-CN"/>
        </w:rPr>
        <w:t xml:space="preserve">   </w:t>
      </w:r>
    </w:p>
    <w:p w14:paraId="1BE4C139">
      <w:pPr>
        <w:widowControl w:val="0"/>
        <w:ind w:firstLine="472" w:firstLineChars="197"/>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73860DD7">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五、与投诉事项相关的投诉请求：</w:t>
      </w:r>
    </w:p>
    <w:p w14:paraId="39A62FA0">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请求：</w:t>
      </w:r>
      <w:r>
        <w:rPr>
          <w:rFonts w:hint="eastAsia" w:cs="Times New Roman" w:hAnsiTheme="minorEastAsia"/>
          <w:bCs/>
          <w:color w:val="auto"/>
          <w:kern w:val="0"/>
          <w:sz w:val="24"/>
          <w:szCs w:val="24"/>
          <w:highlight w:val="none"/>
          <w:u w:val="single"/>
          <w:lang w:val="zh-CN"/>
        </w:rPr>
        <w:t xml:space="preserve">                                                                                 </w:t>
      </w:r>
    </w:p>
    <w:p w14:paraId="307D204D">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签字（签章）：                                       公章：</w:t>
      </w:r>
    </w:p>
    <w:p w14:paraId="5E9BF6AA">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日期：</w:t>
      </w:r>
      <w:r>
        <w:rPr>
          <w:rFonts w:hint="eastAsia" w:cs="Times New Roman" w:hAnsiTheme="minorEastAsia"/>
          <w:bCs/>
          <w:color w:val="auto"/>
          <w:kern w:val="0"/>
          <w:sz w:val="24"/>
          <w:szCs w:val="24"/>
          <w:highlight w:val="none"/>
          <w:lang w:val="zh-CN"/>
        </w:rPr>
        <w:t xml:space="preserve"> </w:t>
      </w:r>
    </w:p>
    <w:p w14:paraId="71B7E4BA">
      <w:pPr>
        <w:widowControl w:val="0"/>
        <w:snapToGrid w:val="0"/>
        <w:ind w:firstLine="0" w:firstLineChars="0"/>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说明：</w:t>
      </w:r>
    </w:p>
    <w:p w14:paraId="774EC342">
      <w:pPr>
        <w:widowControl w:val="0"/>
        <w:ind w:left="25" w:leftChars="12" w:firstLine="354" w:firstLineChars="147"/>
        <w:jc w:val="both"/>
        <w:rPr>
          <w:rFonts w:cs="Times New Roman" w:hAnsiTheme="minorEastAsia"/>
          <w:b/>
          <w:bCs/>
          <w:color w:val="auto"/>
          <w:kern w:val="0"/>
          <w:sz w:val="24"/>
          <w:szCs w:val="24"/>
          <w:highlight w:val="none"/>
          <w:lang w:val="zh-CN"/>
        </w:rPr>
      </w:pPr>
      <w:r>
        <w:rPr>
          <w:rFonts w:hint="eastAsia" w:cs="Times New Roman" w:hAnsiTheme="minorEastAsia"/>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cs="Times New Roman" w:hAnsiTheme="minorEastAsia"/>
          <w:b/>
          <w:bCs/>
          <w:color w:val="auto"/>
          <w:kern w:val="0"/>
          <w:sz w:val="24"/>
          <w:szCs w:val="24"/>
          <w:highlight w:val="none"/>
          <w:lang w:val="zh-CN"/>
        </w:rPr>
        <w:t>。</w:t>
      </w:r>
    </w:p>
    <w:p w14:paraId="7A7D78A4">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69219C">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3.投诉书应简要列明质疑事项，质疑函、质疑答复等作为附件材料提供。</w:t>
      </w:r>
    </w:p>
    <w:p w14:paraId="105B91EA">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4.投诉书的投诉事项应具体、明确，并有必要的事实依据和法律依据。</w:t>
      </w:r>
    </w:p>
    <w:p w14:paraId="074DAE5A">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5.投诉书的投诉请求应与投诉事项相关。</w:t>
      </w:r>
    </w:p>
    <w:p w14:paraId="65F8E663">
      <w:pPr>
        <w:widowControl w:val="0"/>
        <w:ind w:left="25" w:leftChars="12" w:firstLine="354" w:firstLineChars="147"/>
        <w:jc w:val="both"/>
        <w:rPr>
          <w:rFonts w:cs="Times New Roman" w:hAnsiTheme="minorEastAsia"/>
          <w:b/>
          <w:color w:val="auto"/>
          <w:kern w:val="0"/>
          <w:sz w:val="24"/>
          <w:szCs w:val="24"/>
          <w:highlight w:val="none"/>
          <w:lang w:val="zh-CN"/>
        </w:rPr>
        <w:sectPr>
          <w:pgSz w:w="11906" w:h="16838"/>
          <w:pgMar w:top="1701" w:right="1701" w:bottom="1701" w:left="1701" w:header="851" w:footer="992" w:gutter="0"/>
          <w:cols w:space="425" w:num="1"/>
          <w:docGrid w:linePitch="312" w:charSpace="0"/>
        </w:sectPr>
      </w:pPr>
      <w:r>
        <w:rPr>
          <w:rFonts w:hint="eastAsia" w:cs="Times New Roman" w:hAnsiTheme="minorEastAsia"/>
          <w:b/>
          <w:color w:val="auto"/>
          <w:kern w:val="0"/>
          <w:sz w:val="24"/>
          <w:szCs w:val="24"/>
          <w:highlight w:val="none"/>
          <w:lang w:val="zh-CN"/>
        </w:rPr>
        <w:t>6.投诉人为法人或者其他组织的，投诉书应由法定代表人、主要负责人，或者其授权代表签字或者盖章，并加盖公章。</w:t>
      </w:r>
    </w:p>
    <w:p w14:paraId="2830DA9D">
      <w:pPr>
        <w:pStyle w:val="44"/>
        <w:rPr>
          <w:color w:val="auto"/>
          <w:highlight w:val="none"/>
        </w:rPr>
        <w:sectPr>
          <w:pgSz w:w="11906" w:h="16838"/>
          <w:pgMar w:top="1701" w:right="1701" w:bottom="1701" w:left="1701" w:header="851" w:footer="992" w:gutter="0"/>
          <w:cols w:space="425" w:num="1"/>
          <w:vAlign w:val="center"/>
          <w:docGrid w:linePitch="312" w:charSpace="0"/>
        </w:sectPr>
      </w:pPr>
      <w:bookmarkStart w:id="79" w:name="_Toc76480570"/>
      <w:r>
        <w:rPr>
          <w:rFonts w:hint="eastAsia"/>
          <w:color w:val="auto"/>
          <w:highlight w:val="none"/>
        </w:rPr>
        <w:t>第六章 合同文本</w:t>
      </w:r>
      <w:bookmarkEnd w:id="79"/>
    </w:p>
    <w:p w14:paraId="63552C7B">
      <w:pPr>
        <w:pStyle w:val="58"/>
        <w:rPr>
          <w:color w:val="auto"/>
          <w:highlight w:val="none"/>
        </w:rPr>
      </w:pPr>
      <w:r>
        <w:rPr>
          <w:rFonts w:hint="eastAsia"/>
          <w:color w:val="auto"/>
          <w:highlight w:val="none"/>
        </w:rPr>
        <w:t>政府采购合同文本</w:t>
      </w:r>
    </w:p>
    <w:p w14:paraId="63CAE5B1">
      <w:pPr>
        <w:widowControl w:val="0"/>
        <w:ind w:right="800" w:firstLine="0" w:firstLineChars="0"/>
        <w:jc w:val="both"/>
        <w:rPr>
          <w:rFonts w:hint="eastAsia" w:ascii="宋体" w:hAnsi="宋体" w:eastAsia="宋体" w:cs="宋体"/>
          <w:color w:val="auto"/>
          <w:highlight w:val="none"/>
        </w:rPr>
      </w:pPr>
    </w:p>
    <w:p w14:paraId="59013FF2">
      <w:pPr>
        <w:widowControl w:val="0"/>
        <w:ind w:right="800" w:firstLine="0" w:firstLineChars="0"/>
        <w:jc w:val="both"/>
        <w:rPr>
          <w:rFonts w:hint="eastAsia" w:ascii="宋体" w:hAnsi="宋体" w:eastAsia="宋体" w:cs="宋体"/>
          <w:color w:val="auto"/>
          <w:highlight w:val="none"/>
        </w:rPr>
      </w:pPr>
    </w:p>
    <w:p w14:paraId="7495791C">
      <w:pPr>
        <w:widowControl w:val="0"/>
        <w:ind w:right="800" w:firstLine="0" w:firstLineChars="0"/>
        <w:jc w:val="both"/>
        <w:rPr>
          <w:rFonts w:ascii="宋体" w:hAnsi="宋体" w:eastAsia="宋体" w:cs="宋体"/>
          <w:bCs/>
          <w:color w:val="auto"/>
          <w:highlight w:val="none"/>
          <w:u w:val="single"/>
        </w:rPr>
      </w:pPr>
      <w:r>
        <w:rPr>
          <w:rFonts w:hint="eastAsia" w:ascii="宋体" w:hAnsi="宋体" w:eastAsia="宋体" w:cs="宋体"/>
          <w:color w:val="auto"/>
          <w:highlight w:val="none"/>
        </w:rPr>
        <w:t>采购计划号：</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r>
        <w:rPr>
          <w:rFonts w:hint="eastAsia" w:ascii="宋体" w:hAnsi="宋体" w:eastAsia="宋体" w:cs="宋体"/>
          <w:bCs/>
          <w:color w:val="auto"/>
          <w:highlight w:val="none"/>
        </w:rPr>
        <w:t>合同编号：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p>
    <w:p w14:paraId="13F0D243">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采购人（甲方）：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供应商（乙方）：</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4ABED51">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项目名称：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r>
        <w:rPr>
          <w:rFonts w:hint="eastAsia" w:ascii="宋体" w:hAnsi="宋体" w:eastAsia="宋体" w:cs="宋体"/>
          <w:color w:val="auto"/>
          <w:highlight w:val="none"/>
        </w:rPr>
        <w:t>项目编号：</w:t>
      </w:r>
      <w:r>
        <w:rPr>
          <w:rFonts w:ascii="宋体" w:hAnsi="宋体" w:eastAsia="宋体" w:cs="宋体"/>
          <w:color w:val="auto"/>
          <w:highlight w:val="none"/>
          <w:u w:val="single"/>
        </w:rPr>
        <w:t xml:space="preserve">                          </w:t>
      </w:r>
    </w:p>
    <w:p w14:paraId="14BF7ED3">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签订时间：</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p>
    <w:p w14:paraId="6D3FF328">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本合同为中小企业预留合同：</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7D9B99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根据《中华人民共和国政府采购法》、《中华人民共和国民法典》等法律、法规规定，按照</w:t>
      </w:r>
      <w:r>
        <w:rPr>
          <w:rFonts w:hint="eastAsia" w:ascii="宋体" w:hAnsi="宋体" w:eastAsia="宋体" w:cs="Times New Roman"/>
          <w:color w:val="auto"/>
          <w:highlight w:val="none"/>
          <w:lang w:eastAsia="zh-CN"/>
        </w:rPr>
        <w:t>谈判</w:t>
      </w:r>
      <w:r>
        <w:rPr>
          <w:rFonts w:hint="eastAsia" w:ascii="宋体" w:hAnsi="宋体" w:eastAsia="宋体" w:cs="Times New Roman"/>
          <w:color w:val="auto"/>
          <w:highlight w:val="none"/>
        </w:rPr>
        <w:t>文件规定条款和乙方响应文件及其承诺，甲乙双方签订本合同。</w:t>
      </w:r>
    </w:p>
    <w:p w14:paraId="50F5F8AB">
      <w:pPr>
        <w:widowControl w:val="0"/>
        <w:ind w:firstLine="422"/>
        <w:jc w:val="both"/>
        <w:rPr>
          <w:rFonts w:ascii="宋体" w:hAnsi="宋体" w:eastAsia="宋体" w:cs="宋体"/>
          <w:b/>
          <w:color w:val="auto"/>
          <w:highlight w:val="none"/>
        </w:rPr>
      </w:pPr>
      <w:r>
        <w:rPr>
          <w:rFonts w:hint="eastAsia" w:ascii="宋体" w:hAnsi="宋体" w:eastAsia="宋体" w:cs="宋体"/>
          <w:b/>
          <w:color w:val="auto"/>
          <w:highlight w:val="none"/>
        </w:rPr>
        <w:t>第一条　合同标的</w:t>
      </w:r>
    </w:p>
    <w:p w14:paraId="230EEA33">
      <w:pPr>
        <w:widowControl w:val="0"/>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项目一览表</w:t>
      </w:r>
    </w:p>
    <w:tbl>
      <w:tblPr>
        <w:tblStyle w:val="3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50"/>
        <w:gridCol w:w="975"/>
        <w:gridCol w:w="1082"/>
        <w:gridCol w:w="739"/>
        <w:gridCol w:w="675"/>
        <w:gridCol w:w="986"/>
        <w:gridCol w:w="1179"/>
        <w:gridCol w:w="700"/>
      </w:tblGrid>
      <w:tr w14:paraId="5EE0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29B65320">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52EDB71D">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标的名称</w:t>
            </w:r>
          </w:p>
        </w:tc>
        <w:tc>
          <w:tcPr>
            <w:tcW w:w="975" w:type="dxa"/>
            <w:tcBorders>
              <w:top w:val="single" w:color="auto" w:sz="4" w:space="0"/>
              <w:left w:val="single" w:color="auto" w:sz="4" w:space="0"/>
              <w:bottom w:val="single" w:color="auto" w:sz="4" w:space="0"/>
              <w:right w:val="single" w:color="auto" w:sz="4" w:space="0"/>
            </w:tcBorders>
            <w:vAlign w:val="center"/>
          </w:tcPr>
          <w:p w14:paraId="7998B4F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品牌</w:t>
            </w:r>
          </w:p>
        </w:tc>
        <w:tc>
          <w:tcPr>
            <w:tcW w:w="1082" w:type="dxa"/>
            <w:tcBorders>
              <w:top w:val="single" w:color="auto" w:sz="4" w:space="0"/>
              <w:left w:val="single" w:color="auto" w:sz="4" w:space="0"/>
              <w:bottom w:val="single" w:color="auto" w:sz="4" w:space="0"/>
              <w:right w:val="single" w:color="auto" w:sz="4" w:space="0"/>
            </w:tcBorders>
            <w:vAlign w:val="center"/>
          </w:tcPr>
          <w:p w14:paraId="2D269D5F">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规格型号</w:t>
            </w:r>
          </w:p>
        </w:tc>
        <w:tc>
          <w:tcPr>
            <w:tcW w:w="739" w:type="dxa"/>
            <w:tcBorders>
              <w:top w:val="single" w:color="auto" w:sz="4" w:space="0"/>
              <w:left w:val="single" w:color="auto" w:sz="4" w:space="0"/>
              <w:bottom w:val="single" w:color="auto" w:sz="4" w:space="0"/>
              <w:right w:val="single" w:color="auto" w:sz="4" w:space="0"/>
            </w:tcBorders>
            <w:vAlign w:val="center"/>
          </w:tcPr>
          <w:p w14:paraId="6C5D32F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color w:val="auto"/>
                <w:highlight w:val="none"/>
              </w:rPr>
            </w:pPr>
            <w:r>
              <w:rPr>
                <w:rFonts w:hint="eastAsia" w:ascii="宋体" w:hAnsi="宋体" w:eastAsia="宋体" w:cs="宋体"/>
                <w:b/>
                <w:color w:val="auto"/>
                <w:highlight w:val="none"/>
              </w:rPr>
              <w:t>数量</w:t>
            </w:r>
            <w:r>
              <w:rPr>
                <w:rFonts w:hint="eastAsia" w:ascii="宋体" w:hAnsi="宋体" w:eastAsia="宋体" w:cs="宋体"/>
                <w:color w:val="auto"/>
                <w:highlight w:val="none"/>
              </w:rPr>
              <w:t>①</w:t>
            </w:r>
          </w:p>
        </w:tc>
        <w:tc>
          <w:tcPr>
            <w:tcW w:w="675" w:type="dxa"/>
            <w:tcBorders>
              <w:top w:val="single" w:color="auto" w:sz="4" w:space="0"/>
              <w:left w:val="single" w:color="auto" w:sz="4" w:space="0"/>
              <w:bottom w:val="single" w:color="auto" w:sz="4" w:space="0"/>
              <w:right w:val="single" w:color="auto" w:sz="4" w:space="0"/>
            </w:tcBorders>
            <w:vAlign w:val="center"/>
          </w:tcPr>
          <w:p w14:paraId="55173C4E">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color w:val="auto"/>
                <w:highlight w:val="none"/>
              </w:rPr>
              <w:t>单位</w:t>
            </w:r>
          </w:p>
        </w:tc>
        <w:tc>
          <w:tcPr>
            <w:tcW w:w="986" w:type="dxa"/>
            <w:tcBorders>
              <w:top w:val="single" w:color="auto" w:sz="4" w:space="0"/>
              <w:left w:val="single" w:color="auto" w:sz="4" w:space="0"/>
              <w:bottom w:val="single" w:color="auto" w:sz="4" w:space="0"/>
              <w:right w:val="single" w:color="auto" w:sz="4" w:space="0"/>
            </w:tcBorders>
            <w:vAlign w:val="center"/>
          </w:tcPr>
          <w:p w14:paraId="472831FA">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单价（元）</w:t>
            </w:r>
            <w:r>
              <w:rPr>
                <w:rFonts w:hint="eastAsia" w:ascii="宋体" w:hAnsi="宋体" w:eastAsia="宋体" w:cs="宋体"/>
                <w:color w:val="auto"/>
                <w:highlight w:val="none"/>
              </w:rPr>
              <w:t>②</w:t>
            </w:r>
          </w:p>
        </w:tc>
        <w:tc>
          <w:tcPr>
            <w:tcW w:w="1179" w:type="dxa"/>
            <w:tcBorders>
              <w:top w:val="single" w:color="auto" w:sz="4" w:space="0"/>
              <w:left w:val="single" w:color="auto" w:sz="4" w:space="0"/>
              <w:bottom w:val="single" w:color="auto" w:sz="4" w:space="0"/>
              <w:right w:val="single" w:color="auto" w:sz="4" w:space="0"/>
            </w:tcBorders>
            <w:vAlign w:val="center"/>
          </w:tcPr>
          <w:p w14:paraId="15DDDBA5">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金额（元）</w:t>
            </w:r>
            <w:r>
              <w:rPr>
                <w:rFonts w:hint="eastAsia" w:ascii="宋体" w:hAnsi="宋体" w:eastAsia="宋体" w:cs="宋体"/>
                <w:color w:val="auto"/>
                <w:highlight w:val="none"/>
              </w:rPr>
              <w:t>③=①×②</w:t>
            </w:r>
          </w:p>
        </w:tc>
        <w:tc>
          <w:tcPr>
            <w:tcW w:w="700" w:type="dxa"/>
            <w:tcBorders>
              <w:top w:val="single" w:color="auto" w:sz="4" w:space="0"/>
              <w:left w:val="single" w:color="auto" w:sz="4" w:space="0"/>
              <w:bottom w:val="single" w:color="auto" w:sz="4" w:space="0"/>
              <w:right w:val="single" w:color="auto" w:sz="4" w:space="0"/>
            </w:tcBorders>
            <w:vAlign w:val="center"/>
          </w:tcPr>
          <w:p w14:paraId="26D547C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14:paraId="2874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7B52AC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1</w:t>
            </w:r>
          </w:p>
        </w:tc>
        <w:tc>
          <w:tcPr>
            <w:tcW w:w="1850" w:type="dxa"/>
            <w:tcBorders>
              <w:top w:val="single" w:color="auto" w:sz="4" w:space="0"/>
              <w:left w:val="single" w:color="auto" w:sz="4" w:space="0"/>
              <w:bottom w:val="single" w:color="auto" w:sz="4" w:space="0"/>
              <w:right w:val="single" w:color="auto" w:sz="4" w:space="0"/>
            </w:tcBorders>
            <w:vAlign w:val="center"/>
          </w:tcPr>
          <w:p w14:paraId="6D5270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7511B46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00B29A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395F84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3DB7F6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14B754CA">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6EB0AF13">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81FE407">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0725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3DFD5D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2</w:t>
            </w:r>
          </w:p>
        </w:tc>
        <w:tc>
          <w:tcPr>
            <w:tcW w:w="1850" w:type="dxa"/>
            <w:tcBorders>
              <w:top w:val="single" w:color="auto" w:sz="4" w:space="0"/>
              <w:left w:val="single" w:color="auto" w:sz="4" w:space="0"/>
              <w:bottom w:val="single" w:color="auto" w:sz="4" w:space="0"/>
              <w:right w:val="single" w:color="auto" w:sz="4" w:space="0"/>
            </w:tcBorders>
            <w:vAlign w:val="center"/>
          </w:tcPr>
          <w:p w14:paraId="4F6989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78FA36F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7E6D5D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276C6B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2C08CE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6416AAC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645B613">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EA956EA">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0830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1C30A9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r>
              <w:rPr>
                <w:rStyle w:val="81"/>
                <w:rFonts w:hint="eastAsia"/>
                <w:color w:val="auto"/>
                <w:highlight w:val="none"/>
                <w:lang w:bidi="ar"/>
              </w:rPr>
              <w:t>3</w:t>
            </w:r>
          </w:p>
        </w:tc>
        <w:tc>
          <w:tcPr>
            <w:tcW w:w="1850" w:type="dxa"/>
            <w:tcBorders>
              <w:top w:val="single" w:color="auto" w:sz="4" w:space="0"/>
              <w:left w:val="single" w:color="auto" w:sz="4" w:space="0"/>
              <w:bottom w:val="single" w:color="auto" w:sz="4" w:space="0"/>
              <w:right w:val="single" w:color="auto" w:sz="4" w:space="0"/>
            </w:tcBorders>
            <w:vAlign w:val="center"/>
          </w:tcPr>
          <w:p w14:paraId="5B68DA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42A8A97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AC2921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7BDD24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6E1869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28E1E4AF">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5DB3922">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1198CEB">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37E4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007686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eastAsia" w:eastAsia="宋体"/>
                <w:color w:val="auto"/>
                <w:highlight w:val="none"/>
                <w:lang w:eastAsia="zh-CN" w:bidi="ar"/>
              </w:rPr>
            </w:pPr>
            <w:r>
              <w:rPr>
                <w:rStyle w:val="81"/>
                <w:rFonts w:hint="eastAsia" w:eastAsia="宋体"/>
                <w:color w:val="auto"/>
                <w:highlight w:val="none"/>
                <w:lang w:eastAsia="zh-CN" w:bidi="ar"/>
              </w:rPr>
              <w:t>…</w:t>
            </w:r>
          </w:p>
        </w:tc>
        <w:tc>
          <w:tcPr>
            <w:tcW w:w="1850" w:type="dxa"/>
            <w:tcBorders>
              <w:top w:val="single" w:color="auto" w:sz="4" w:space="0"/>
              <w:left w:val="single" w:color="auto" w:sz="4" w:space="0"/>
              <w:bottom w:val="single" w:color="auto" w:sz="4" w:space="0"/>
              <w:right w:val="single" w:color="auto" w:sz="4" w:space="0"/>
            </w:tcBorders>
            <w:vAlign w:val="center"/>
          </w:tcPr>
          <w:p w14:paraId="33C8D1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75" w:type="dxa"/>
            <w:tcBorders>
              <w:top w:val="single" w:color="auto" w:sz="4" w:space="0"/>
              <w:left w:val="single" w:color="auto" w:sz="4" w:space="0"/>
              <w:bottom w:val="single" w:color="auto" w:sz="4" w:space="0"/>
              <w:right w:val="single" w:color="auto" w:sz="4" w:space="0"/>
            </w:tcBorders>
            <w:vAlign w:val="center"/>
          </w:tcPr>
          <w:p w14:paraId="64BB728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6E5212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556071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675" w:type="dxa"/>
            <w:tcBorders>
              <w:top w:val="single" w:color="auto" w:sz="4" w:space="0"/>
              <w:left w:val="single" w:color="auto" w:sz="4" w:space="0"/>
              <w:bottom w:val="single" w:color="auto" w:sz="4" w:space="0"/>
              <w:right w:val="single" w:color="auto" w:sz="4" w:space="0"/>
            </w:tcBorders>
            <w:vAlign w:val="center"/>
          </w:tcPr>
          <w:p w14:paraId="59B0D2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81"/>
                <w:rFonts w:hint="default"/>
                <w:color w:val="auto"/>
                <w:highlight w:val="none"/>
                <w:lang w:bidi="ar"/>
              </w:rPr>
            </w:pPr>
          </w:p>
        </w:tc>
        <w:tc>
          <w:tcPr>
            <w:tcW w:w="986" w:type="dxa"/>
            <w:tcBorders>
              <w:top w:val="single" w:color="auto" w:sz="4" w:space="0"/>
              <w:left w:val="single" w:color="auto" w:sz="4" w:space="0"/>
              <w:bottom w:val="single" w:color="auto" w:sz="4" w:space="0"/>
              <w:right w:val="single" w:color="auto" w:sz="4" w:space="0"/>
            </w:tcBorders>
            <w:vAlign w:val="center"/>
          </w:tcPr>
          <w:p w14:paraId="76636FAC">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EC67EAA">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E502B13">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14:paraId="6583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14:paraId="4483D970">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lang w:eastAsia="zh-CN"/>
              </w:rPr>
              <w:t>交付使用时间</w:t>
            </w:r>
            <w:r>
              <w:rPr>
                <w:rFonts w:hint="eastAsia" w:ascii="宋体" w:hAnsi="宋体" w:eastAsia="宋体" w:cs="宋体"/>
                <w:color w:val="auto"/>
                <w:highlight w:val="none"/>
              </w:rPr>
              <w:t>：</w:t>
            </w:r>
            <w:r>
              <w:rPr>
                <w:rFonts w:hint="eastAsia" w:ascii="宋体" w:hAnsi="宋体" w:eastAsia="宋体" w:cs="宋体"/>
                <w:kern w:val="2"/>
                <w:sz w:val="21"/>
                <w:szCs w:val="21"/>
                <w:highlight w:val="none"/>
                <w:lang w:val="en-US" w:eastAsia="zh-CN" w:bidi="ar"/>
              </w:rPr>
              <w:t>自合同签订之日起</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日内安装调试完毕并验收合格。</w:t>
            </w:r>
            <w:r>
              <w:rPr>
                <w:rFonts w:hint="eastAsia" w:ascii="宋体" w:hAnsi="宋体" w:eastAsia="宋体" w:cs="宋体"/>
                <w:color w:val="auto"/>
                <w:highlight w:val="none"/>
              </w:rPr>
              <w:t>。</w:t>
            </w:r>
          </w:p>
        </w:tc>
      </w:tr>
      <w:tr w14:paraId="71D7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14:paraId="25284B02">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hint="default" w:ascii="宋体" w:hAnsi="宋体" w:cs="宋体" w:eastAsiaTheme="minorEastAsia"/>
                <w:color w:val="auto"/>
                <w:highlight w:val="none"/>
                <w:lang w:val="en-US" w:eastAsia="zh-CN"/>
              </w:rPr>
            </w:pPr>
            <w:r>
              <w:rPr>
                <w:rFonts w:hint="eastAsia" w:ascii="宋体" w:hAnsi="宋体" w:cs="宋体"/>
                <w:color w:val="auto"/>
                <w:sz w:val="21"/>
                <w:szCs w:val="21"/>
                <w:highlight w:val="none"/>
                <w:shd w:val="clear" w:color="auto" w:fill="auto"/>
              </w:rPr>
              <w:t>人民币合计金额（大写）</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（小写）</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u w:val="single"/>
                <w:shd w:val="clear" w:color="auto" w:fill="auto"/>
                <w:lang w:val="en-US" w:eastAsia="zh-CN"/>
              </w:rPr>
              <w:t xml:space="preserve">                </w:t>
            </w:r>
          </w:p>
        </w:tc>
      </w:tr>
    </w:tbl>
    <w:p w14:paraId="14C03C4E">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合计金额包括但不限于所有设备、随配附件、备品备件、运输、工具、报装、送货上门安装、安装调试、各种附材、附加培训、售后服务、税金、提供必要的零配件或备件供应及其他所有可能发生的一切费用。</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不再另行支付其它任何费用。</w:t>
      </w:r>
    </w:p>
    <w:p w14:paraId="27B282CC">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第二条　质量保证</w:t>
      </w:r>
    </w:p>
    <w:p w14:paraId="31877CA9">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0D21B7E2">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第三条　权利保证</w:t>
      </w:r>
    </w:p>
    <w:p w14:paraId="26C10A53">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乙方应保证所提供服务在使用时不会侵犯任何第三方的专利权、商标权、工业设计权等知识产权及其他合法权利，且所有权、处分权等没有受到任何限制。</w:t>
      </w:r>
    </w:p>
    <w:p w14:paraId="199737C9">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4CE0123">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第四条　交付时间和验收</w:t>
      </w:r>
    </w:p>
    <w:p w14:paraId="70564E3D">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交付时间：</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19CD8B2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乙方提供不符合竞争性</w:t>
      </w:r>
      <w:r>
        <w:rPr>
          <w:rFonts w:hint="eastAsia" w:ascii="宋体" w:hAnsi="宋体" w:cs="宋体"/>
          <w:color w:val="auto"/>
          <w:sz w:val="21"/>
          <w:szCs w:val="21"/>
          <w:highlight w:val="none"/>
          <w:shd w:val="clear" w:color="auto" w:fill="auto"/>
          <w:lang w:eastAsia="zh-CN"/>
        </w:rPr>
        <w:t>谈判</w:t>
      </w:r>
      <w:r>
        <w:rPr>
          <w:rFonts w:hint="eastAsia" w:ascii="宋体" w:hAnsi="宋体" w:cs="宋体"/>
          <w:color w:val="auto"/>
          <w:sz w:val="21"/>
          <w:szCs w:val="21"/>
          <w:highlight w:val="none"/>
          <w:shd w:val="clear" w:color="auto" w:fill="auto"/>
        </w:rPr>
        <w:t>文件规定或者响应文件承诺的和本合同规定的货物，甲方有权拒绝接受。</w:t>
      </w:r>
    </w:p>
    <w:p w14:paraId="62D772E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3.乙方应将所提供货物的装箱清单、用户手册、原厂保修卡、随机资料、工具和备品、备件等交付给甲方</w:t>
      </w:r>
      <w:r>
        <w:rPr>
          <w:rFonts w:hint="eastAsia" w:ascii="宋体" w:hAnsi="宋体" w:cs="宋体"/>
          <w:color w:val="auto"/>
          <w:sz w:val="21"/>
          <w:szCs w:val="21"/>
          <w:highlight w:val="none"/>
          <w:shd w:val="clear" w:color="auto" w:fill="auto"/>
          <w:lang w:eastAsia="zh-CN"/>
        </w:rPr>
        <w:t>。</w:t>
      </w:r>
    </w:p>
    <w:p w14:paraId="4A5655B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4.在设备安装调试过程中，乙方应免费派专业技术人员到交货安装现场进行技术指导及相关技术服务，向甲方交相关试验数据、报告及甲方要求提供的相关技术文件，直至达到验收要求。</w:t>
      </w:r>
    </w:p>
    <w:p w14:paraId="25761C9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eastAsiaTheme="minorEastAsia"/>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5.本项目全部安装调试完毕后，甲方应当在项目完成且收到供应商验收申请后15个工作日内组织开展履约验收，甲方根据《广西壮族自治区政府采购项目履约验收管理办法》的规定，由甲方及乙方双方共同进行验收，甲方可委托采购代理机构、国家认可的质量检测机构开展采购项目履约验收工作，验收费用由乙方承担；对不符合要求的产品，甲方有权拒绝验收，由此产生的一切后果，均由乙方承担。由此造成的不能按时、按质、按量完成项目要求的，将按照政府采购相关法规、合同相关条款进行处理</w:t>
      </w:r>
      <w:r>
        <w:rPr>
          <w:rFonts w:hint="eastAsia" w:ascii="宋体" w:hAnsi="宋体" w:cs="宋体"/>
          <w:color w:val="auto"/>
          <w:sz w:val="21"/>
          <w:szCs w:val="21"/>
          <w:highlight w:val="none"/>
          <w:shd w:val="clear" w:color="auto" w:fill="auto"/>
          <w:lang w:eastAsia="zh-CN"/>
        </w:rPr>
        <w:t>。</w:t>
      </w:r>
    </w:p>
    <w:p w14:paraId="04E086FB">
      <w:pPr>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 xml:space="preserve">第五条  </w:t>
      </w:r>
      <w:r>
        <w:rPr>
          <w:rFonts w:hint="eastAsia" w:ascii="宋体" w:hAnsi="宋体" w:eastAsia="宋体" w:cs="宋体"/>
          <w:b/>
          <w:color w:val="auto"/>
          <w:highlight w:val="none"/>
          <w:lang w:eastAsia="zh-CN"/>
        </w:rPr>
        <w:t>安装及</w:t>
      </w:r>
      <w:r>
        <w:rPr>
          <w:rFonts w:hint="eastAsia" w:ascii="宋体" w:hAnsi="宋体" w:eastAsia="宋体" w:cs="宋体"/>
          <w:b/>
          <w:color w:val="auto"/>
          <w:highlight w:val="none"/>
        </w:rPr>
        <w:t>培训</w:t>
      </w:r>
    </w:p>
    <w:p w14:paraId="63F03586">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甲方应提供必要测试条件（如场地、电源、水源等）。</w:t>
      </w:r>
    </w:p>
    <w:p w14:paraId="5B320DE6">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乙方负责</w:t>
      </w:r>
      <w:r>
        <w:rPr>
          <w:rFonts w:hint="eastAsia" w:ascii="宋体" w:hAnsi="宋体" w:eastAsia="宋体" w:cs="宋体"/>
          <w:color w:val="auto"/>
          <w:highlight w:val="none"/>
          <w:lang w:eastAsia="zh-CN"/>
        </w:rPr>
        <w:t>安装及</w:t>
      </w:r>
      <w:r>
        <w:rPr>
          <w:rFonts w:hint="eastAsia" w:ascii="宋体" w:hAnsi="宋体" w:eastAsia="宋体" w:cs="宋体"/>
          <w:color w:val="auto"/>
          <w:highlight w:val="none"/>
        </w:rPr>
        <w:t>甲方有关人员的培训。培训时间、地点：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D5795A">
      <w:pPr>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第六条　付款方式</w:t>
      </w:r>
    </w:p>
    <w:p w14:paraId="1C010CF7">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cs="Courier New"/>
          <w:color w:val="auto"/>
          <w:szCs w:val="21"/>
          <w:highlight w:val="none"/>
        </w:rPr>
      </w:pPr>
      <w:r>
        <w:rPr>
          <w:rFonts w:hint="eastAsia" w:ascii="宋体" w:hAnsi="宋体" w:eastAsia="宋体" w:cs="宋体"/>
          <w:bCs/>
          <w:kern w:val="2"/>
          <w:sz w:val="21"/>
          <w:szCs w:val="21"/>
          <w:highlight w:val="none"/>
          <w:lang w:val="en-US" w:eastAsia="zh-CN" w:bidi="ar"/>
        </w:rPr>
        <w:t>合同中所有货物到齐经甲方签收后，乙方须开具合同价款全额发票给甲方，否则甲方不予支付货款；全部货物安装调试完毕验收合格交付甲方后60日内支付合同金额的50%；验收合格6个月后60日内支付合同金额的45%；验收合格一年后60日内支付合同金额的5%（不计利息）。</w:t>
      </w:r>
    </w:p>
    <w:p w14:paraId="36316980">
      <w:pPr>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hint="eastAsia" w:ascii="宋体" w:hAnsi="宋体" w:eastAsia="宋体" w:cs="宋体"/>
          <w:b/>
          <w:color w:val="auto"/>
          <w:sz w:val="21"/>
          <w:szCs w:val="21"/>
          <w:highlight w:val="none"/>
          <w:shd w:val="clear" w:color="auto" w:fill="auto"/>
          <w:lang w:eastAsia="zh-CN"/>
        </w:rPr>
      </w:pPr>
      <w:r>
        <w:rPr>
          <w:rFonts w:hint="eastAsia" w:ascii="宋体" w:hAnsi="宋体" w:cs="宋体"/>
          <w:b/>
          <w:color w:val="auto"/>
          <w:sz w:val="21"/>
          <w:szCs w:val="21"/>
          <w:highlight w:val="none"/>
          <w:shd w:val="clear" w:color="auto" w:fill="auto"/>
        </w:rPr>
        <w:t xml:space="preserve">第七条  </w:t>
      </w:r>
      <w:r>
        <w:rPr>
          <w:rFonts w:hint="eastAsia" w:ascii="宋体" w:hAnsi="宋体" w:eastAsia="宋体" w:cs="宋体"/>
          <w:b/>
          <w:color w:val="auto"/>
          <w:highlight w:val="none"/>
        </w:rPr>
        <w:t>售后服务</w:t>
      </w:r>
      <w:r>
        <w:rPr>
          <w:rFonts w:hint="eastAsia" w:ascii="宋体" w:hAnsi="宋体" w:cs="宋体"/>
          <w:b/>
          <w:color w:val="auto"/>
          <w:sz w:val="21"/>
          <w:szCs w:val="21"/>
          <w:highlight w:val="none"/>
          <w:shd w:val="clear" w:color="auto" w:fill="auto"/>
        </w:rPr>
        <w:t>、</w:t>
      </w:r>
      <w:r>
        <w:rPr>
          <w:rFonts w:hint="eastAsia" w:ascii="宋体" w:hAnsi="宋体" w:cs="宋体"/>
          <w:b/>
          <w:color w:val="auto"/>
          <w:sz w:val="21"/>
          <w:szCs w:val="21"/>
          <w:highlight w:val="none"/>
          <w:shd w:val="clear" w:color="auto" w:fill="auto"/>
          <w:lang w:eastAsia="zh-CN"/>
        </w:rPr>
        <w:t>质保期</w:t>
      </w:r>
    </w:p>
    <w:p w14:paraId="46B362D3">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1.质保期：</w:t>
      </w:r>
      <w:r>
        <w:rPr>
          <w:rFonts w:hint="eastAsia" w:ascii="宋体" w:hAnsi="宋体" w:eastAsia="宋体" w:cs="宋体"/>
          <w:kern w:val="2"/>
          <w:sz w:val="21"/>
          <w:szCs w:val="21"/>
          <w:highlight w:val="none"/>
          <w:lang w:val="en-US" w:eastAsia="zh-CN" w:bidi="ar"/>
        </w:rPr>
        <w:t>自验收合格之日起</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b w:val="0"/>
          <w:bCs w:val="0"/>
          <w:kern w:val="2"/>
          <w:sz w:val="21"/>
          <w:szCs w:val="21"/>
          <w:highlight w:val="none"/>
          <w:lang w:val="en-US" w:eastAsia="zh-CN" w:bidi="ar"/>
        </w:rPr>
        <w:t>年（胰岛素泵</w:t>
      </w:r>
      <w:r>
        <w:rPr>
          <w:rFonts w:hint="eastAsia" w:ascii="宋体" w:hAnsi="宋体" w:eastAsia="宋体" w:cs="宋体"/>
          <w:kern w:val="2"/>
          <w:sz w:val="21"/>
          <w:szCs w:val="21"/>
          <w:highlight w:val="none"/>
          <w:lang w:val="en-US" w:eastAsia="zh-CN" w:bidi="ar"/>
        </w:rPr>
        <w:t>自验收合格之日起</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b w:val="0"/>
          <w:bCs w:val="0"/>
          <w:kern w:val="2"/>
          <w:sz w:val="21"/>
          <w:szCs w:val="21"/>
          <w:highlight w:val="none"/>
          <w:lang w:val="en-US" w:eastAsia="zh-CN" w:bidi="ar"/>
        </w:rPr>
        <w:t>年）；质保期内免费保修，提供终身维护和保养服务。</w:t>
      </w:r>
    </w:p>
    <w:p w14:paraId="63F51553">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2.售后服务费用包含在报价中，售后服务内容包括但不限于： </w:t>
      </w:r>
    </w:p>
    <w:p w14:paraId="103BD429">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（1）货物的价格：包括货款、税费、安装调试费、验收费（含检定、校准费，如有）；</w:t>
      </w:r>
    </w:p>
    <w:p w14:paraId="45943C12">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（2）货物的标准附件、备品备件、专用工具的价格；</w:t>
      </w:r>
    </w:p>
    <w:p w14:paraId="4F69BF74">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（3）运输、装卸、调试、培训、技术支持、远程调试及现场维修等多种售后服务方式。</w:t>
      </w:r>
    </w:p>
    <w:p w14:paraId="01B4EB59">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3.售后服务要求：详见采购文件要求及供应商响应文件承诺。</w:t>
      </w:r>
    </w:p>
    <w:p w14:paraId="26E46616">
      <w:pPr>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eastAsia="zh-CN"/>
        </w:rPr>
        <w:t>八</w:t>
      </w:r>
      <w:r>
        <w:rPr>
          <w:rFonts w:hint="eastAsia" w:ascii="宋体" w:hAnsi="宋体" w:eastAsia="宋体" w:cs="宋体"/>
          <w:b/>
          <w:color w:val="auto"/>
          <w:highlight w:val="none"/>
        </w:rPr>
        <w:t>条　履约保证金</w:t>
      </w:r>
    </w:p>
    <w:p w14:paraId="4D294267">
      <w:pPr>
        <w:adjustRightInd w:val="0"/>
        <w:snapToGrid w:val="0"/>
        <w:ind w:firstLine="420"/>
        <w:rPr>
          <w:rFonts w:hint="eastAsia" w:hAnsi="宋体"/>
          <w:color w:val="auto"/>
          <w:highlight w:val="none"/>
        </w:rPr>
      </w:pPr>
      <w:r>
        <w:rPr>
          <w:rFonts w:hint="eastAsia" w:hAnsi="宋体"/>
          <w:color w:val="auto"/>
          <w:highlight w:val="none"/>
        </w:rPr>
        <w:t>履约保证金金额：按</w:t>
      </w:r>
      <w:r>
        <w:rPr>
          <w:rFonts w:hint="eastAsia" w:hAnsi="宋体"/>
          <w:color w:val="auto"/>
          <w:highlight w:val="none"/>
          <w:lang w:eastAsia="zh-CN"/>
        </w:rPr>
        <w:t>合同</w:t>
      </w:r>
      <w:r>
        <w:rPr>
          <w:rFonts w:hint="eastAsia" w:hAnsi="宋体"/>
          <w:color w:val="auto"/>
          <w:highlight w:val="none"/>
        </w:rPr>
        <w:t>金额的</w:t>
      </w:r>
      <w:r>
        <w:rPr>
          <w:rFonts w:hint="eastAsia" w:hAnsi="宋体"/>
          <w:color w:val="auto"/>
          <w:highlight w:val="none"/>
          <w:u w:val="single"/>
          <w:lang w:val="en-US" w:eastAsia="zh-CN"/>
        </w:rPr>
        <w:t xml:space="preserve"> 2 </w:t>
      </w:r>
      <w:r>
        <w:rPr>
          <w:rFonts w:hint="eastAsia" w:hAnsi="宋体"/>
          <w:color w:val="auto"/>
          <w:highlight w:val="none"/>
        </w:rPr>
        <w:t>%收取，于成交结果发布后10个工作日内提交至指定账户。</w:t>
      </w:r>
    </w:p>
    <w:p w14:paraId="070CAD31">
      <w:pPr>
        <w:adjustRightInd w:val="0"/>
        <w:snapToGrid w:val="0"/>
        <w:ind w:firstLine="420"/>
        <w:rPr>
          <w:rFonts w:hint="eastAsia" w:hAnsi="宋体"/>
          <w:color w:val="auto"/>
          <w:highlight w:val="none"/>
        </w:rPr>
      </w:pPr>
      <w:r>
        <w:rPr>
          <w:rFonts w:hint="eastAsia" w:hAnsi="宋体"/>
          <w:color w:val="auto"/>
          <w:highlight w:val="none"/>
        </w:rPr>
        <w:t>履约保证金递交方式：银行转账、支票、汇票、本票或者银行、保险机构出具的保函等非现金方式。</w:t>
      </w:r>
    </w:p>
    <w:p w14:paraId="0A7901FA">
      <w:pPr>
        <w:adjustRightInd w:val="0"/>
        <w:snapToGrid w:val="0"/>
        <w:ind w:firstLine="420"/>
        <w:rPr>
          <w:rFonts w:hAnsi="宋体"/>
          <w:color w:val="auto"/>
          <w:highlight w:val="none"/>
        </w:rPr>
      </w:pPr>
      <w:r>
        <w:rPr>
          <w:rFonts w:hint="eastAsia" w:hAnsi="宋体"/>
          <w:color w:val="auto"/>
          <w:highlight w:val="none"/>
        </w:rPr>
        <w:t>履约保证金退付方式、时间及条件：履行完合同全部义务且验收合格后无息退付。由</w:t>
      </w:r>
      <w:r>
        <w:rPr>
          <w:rFonts w:hint="eastAsia" w:hAnsi="宋体"/>
          <w:color w:val="auto"/>
          <w:highlight w:val="none"/>
          <w:lang w:eastAsia="zh-CN"/>
        </w:rPr>
        <w:t>乙方</w:t>
      </w:r>
      <w:r>
        <w:rPr>
          <w:rFonts w:hint="eastAsia" w:hAnsi="宋体"/>
          <w:color w:val="auto"/>
          <w:highlight w:val="none"/>
        </w:rPr>
        <w:t>向</w:t>
      </w:r>
      <w:r>
        <w:rPr>
          <w:rFonts w:hint="eastAsia" w:hAnsi="宋体"/>
          <w:color w:val="auto"/>
          <w:highlight w:val="none"/>
          <w:lang w:eastAsia="zh-CN"/>
        </w:rPr>
        <w:t>甲</w:t>
      </w:r>
      <w:r>
        <w:rPr>
          <w:rFonts w:hint="eastAsia" w:hAnsi="宋体"/>
          <w:color w:val="auto"/>
          <w:highlight w:val="none"/>
        </w:rPr>
        <w:t>提供《广西壮族自治区政府采购项目合同验收书》（详见桂财采〔2015〕22号）及《政府采购项目履约保证金退付意见书》</w:t>
      </w:r>
      <w:r>
        <w:rPr>
          <w:rFonts w:hint="eastAsia" w:hAnsi="宋体"/>
          <w:color w:val="auto"/>
          <w:highlight w:val="none"/>
          <w:lang w:eastAsia="zh-CN"/>
        </w:rPr>
        <w:t>，</w:t>
      </w:r>
      <w:r>
        <w:rPr>
          <w:rFonts w:hint="eastAsia" w:hAnsi="宋体"/>
          <w:color w:val="auto"/>
          <w:highlight w:val="none"/>
        </w:rPr>
        <w:t>保证金收取单位在收到合格材料后</w:t>
      </w:r>
      <w:r>
        <w:rPr>
          <w:rFonts w:hint="eastAsia" w:hAnsi="宋体"/>
          <w:color w:val="auto"/>
          <w:highlight w:val="none"/>
          <w:lang w:val="en-US" w:eastAsia="zh-CN"/>
        </w:rPr>
        <w:t>5</w:t>
      </w:r>
      <w:r>
        <w:rPr>
          <w:rFonts w:hint="eastAsia" w:hAnsi="宋体"/>
          <w:color w:val="auto"/>
          <w:highlight w:val="none"/>
        </w:rPr>
        <w:t>个工作日内办理退付手续（不计息）。</w:t>
      </w:r>
    </w:p>
    <w:p w14:paraId="4F138D56">
      <w:pPr>
        <w:adjustRightInd w:val="0"/>
        <w:snapToGrid w:val="0"/>
        <w:ind w:firstLine="420"/>
        <w:rPr>
          <w:rFonts w:hAnsi="宋体"/>
          <w:color w:val="auto"/>
          <w:highlight w:val="none"/>
        </w:rPr>
      </w:pPr>
      <w:r>
        <w:rPr>
          <w:rFonts w:hint="eastAsia" w:hAnsi="宋体"/>
          <w:color w:val="auto"/>
          <w:highlight w:val="none"/>
        </w:rPr>
        <w:t>履约保证金指定账户：</w:t>
      </w:r>
    </w:p>
    <w:p w14:paraId="7FDFD75C">
      <w:pPr>
        <w:adjustRightInd w:val="0"/>
        <w:snapToGrid w:val="0"/>
        <w:ind w:firstLine="420"/>
        <w:rPr>
          <w:rFonts w:hint="eastAsia" w:hAnsi="宋体" w:eastAsiaTheme="minorEastAsia"/>
          <w:b w:val="0"/>
          <w:bCs w:val="0"/>
          <w:color w:val="auto"/>
          <w:highlight w:val="none"/>
          <w:lang w:eastAsia="zh-CN"/>
        </w:rPr>
      </w:pPr>
      <w:r>
        <w:rPr>
          <w:rFonts w:hint="eastAsia" w:hAnsi="宋体"/>
          <w:b w:val="0"/>
          <w:bCs w:val="0"/>
          <w:color w:val="auto"/>
          <w:highlight w:val="none"/>
        </w:rPr>
        <w:t>全 称：</w:t>
      </w:r>
      <w:r>
        <w:rPr>
          <w:rFonts w:hint="eastAsia" w:hAnsi="宋体"/>
          <w:color w:val="auto"/>
          <w:highlight w:val="none"/>
        </w:rPr>
        <w:t>广西科技大学第一附属医院</w:t>
      </w:r>
    </w:p>
    <w:p w14:paraId="6DC36EDD">
      <w:pPr>
        <w:adjustRightInd w:val="0"/>
        <w:snapToGrid w:val="0"/>
        <w:ind w:firstLine="420"/>
        <w:rPr>
          <w:rFonts w:hint="eastAsia" w:hAnsi="宋体"/>
          <w:b w:val="0"/>
          <w:bCs w:val="0"/>
          <w:color w:val="auto"/>
          <w:highlight w:val="none"/>
        </w:rPr>
      </w:pPr>
      <w:r>
        <w:rPr>
          <w:rFonts w:hint="eastAsia" w:hAnsi="宋体"/>
          <w:b w:val="0"/>
          <w:bCs w:val="0"/>
          <w:color w:val="auto"/>
          <w:highlight w:val="none"/>
        </w:rPr>
        <w:t>开户银行：建行柳州市柳北支行</w:t>
      </w:r>
    </w:p>
    <w:p w14:paraId="04D5A927">
      <w:pPr>
        <w:adjustRightInd w:val="0"/>
        <w:snapToGrid w:val="0"/>
        <w:ind w:firstLine="420"/>
        <w:rPr>
          <w:rFonts w:hint="eastAsia" w:hAnsi="宋体"/>
          <w:b w:val="0"/>
          <w:bCs w:val="0"/>
          <w:color w:val="auto"/>
          <w:highlight w:val="none"/>
        </w:rPr>
      </w:pPr>
      <w:r>
        <w:rPr>
          <w:rFonts w:hint="eastAsia" w:hAnsi="宋体"/>
          <w:b w:val="0"/>
          <w:bCs w:val="0"/>
          <w:color w:val="auto"/>
          <w:highlight w:val="none"/>
        </w:rPr>
        <w:t>银行账号：45050162515300000722</w:t>
      </w:r>
    </w:p>
    <w:p w14:paraId="55D899AB">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eastAsia="zh-CN"/>
        </w:rPr>
        <w:t>九</w:t>
      </w:r>
      <w:r>
        <w:rPr>
          <w:rFonts w:hint="eastAsia" w:ascii="宋体" w:hAnsi="宋体" w:eastAsia="宋体" w:cs="宋体"/>
          <w:b/>
          <w:color w:val="auto"/>
          <w:highlight w:val="none"/>
        </w:rPr>
        <w:t>条  税费</w:t>
      </w:r>
    </w:p>
    <w:p w14:paraId="35BCEAE9">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本合同执行中相关的一切税费均由乙方负担，合同另有约定的除外。</w:t>
      </w:r>
    </w:p>
    <w:p w14:paraId="45819560">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eastAsia="zh-CN"/>
        </w:rPr>
        <w:t>十</w:t>
      </w:r>
      <w:r>
        <w:rPr>
          <w:rFonts w:hint="eastAsia" w:ascii="宋体" w:hAnsi="宋体" w:eastAsia="宋体" w:cs="宋体"/>
          <w:b/>
          <w:color w:val="auto"/>
          <w:highlight w:val="none"/>
        </w:rPr>
        <w:t>条　违约责任</w:t>
      </w:r>
    </w:p>
    <w:p w14:paraId="40011083">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7F2F7B1B">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2.乙方提供的货物如侵犯了第三方合法权益而引发的任何纠纷或者诉讼，均由乙方负责交涉并承担全部责任。</w:t>
      </w:r>
    </w:p>
    <w:p w14:paraId="0FB8936E">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3.因包装、运输引起的货物损坏，按质量不合格处罚。</w:t>
      </w:r>
    </w:p>
    <w:p w14:paraId="03DF81CA">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4.甲方无故延期接收货物、乙方逾期交货的，每天向对方偿付违约货款额3‰违约金，但违约金累计不得超过违约货款额5%，超过</w:t>
      </w:r>
      <w:r>
        <w:rPr>
          <w:rFonts w:hint="eastAsia" w:hAnsi="宋体" w:cs="宋体"/>
          <w:color w:val="auto"/>
          <w:sz w:val="21"/>
          <w:szCs w:val="21"/>
          <w:highlight w:val="none"/>
          <w:u w:val="single"/>
          <w:shd w:val="clear" w:color="auto" w:fill="auto"/>
        </w:rPr>
        <w:t xml:space="preserve">   </w:t>
      </w:r>
      <w:r>
        <w:rPr>
          <w:rFonts w:hint="eastAsia" w:hAnsi="宋体" w:cs="宋体"/>
          <w:color w:val="auto"/>
          <w:sz w:val="21"/>
          <w:szCs w:val="21"/>
          <w:highlight w:val="none"/>
          <w:shd w:val="clear" w:color="auto" w:fill="auto"/>
        </w:rPr>
        <w:t>天对方有权解除合同，违约方承担因此给对方造成经济损失；甲方延期付货款的，每天向乙方偿付延期货款额3‰滞纳金，但滞纳金累计不得超过延期货款额5%。</w:t>
      </w:r>
    </w:p>
    <w:p w14:paraId="1945635A">
      <w:pPr>
        <w:pStyle w:val="19"/>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5.乙方未按本合同和响应文件中规定的服务承诺提供售后服务的，乙方应按本合同合计金额 5%向甲方支付违约金。</w:t>
      </w:r>
    </w:p>
    <w:p w14:paraId="6EDCDB6A">
      <w:pPr>
        <w:pStyle w:val="19"/>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6.乙方提供的货物在</w:t>
      </w:r>
      <w:r>
        <w:rPr>
          <w:rFonts w:hint="eastAsia" w:ascii="宋体" w:hAnsi="宋体" w:eastAsia="宋体" w:cs="宋体"/>
          <w:color w:val="auto"/>
          <w:sz w:val="21"/>
          <w:szCs w:val="21"/>
          <w:highlight w:val="none"/>
          <w:shd w:val="clear" w:color="auto" w:fill="auto"/>
          <w:lang w:eastAsia="zh-CN"/>
        </w:rPr>
        <w:t>质保期</w:t>
      </w:r>
      <w:r>
        <w:rPr>
          <w:rFonts w:hint="eastAsia" w:ascii="宋体" w:hAnsi="宋体" w:eastAsia="宋体" w:cs="宋体"/>
          <w:color w:val="auto"/>
          <w:sz w:val="21"/>
          <w:szCs w:val="21"/>
          <w:highlight w:val="none"/>
          <w:shd w:val="clear" w:color="auto" w:fill="auto"/>
        </w:rPr>
        <w:t>内，因</w:t>
      </w:r>
      <w:r>
        <w:rPr>
          <w:rFonts w:hint="eastAsia" w:ascii="宋体" w:hAnsi="宋体" w:eastAsia="宋体" w:cs="宋体"/>
          <w:color w:val="auto"/>
          <w:sz w:val="21"/>
          <w:szCs w:val="21"/>
          <w:highlight w:val="none"/>
          <w:shd w:val="clear" w:color="auto" w:fill="auto"/>
          <w:lang w:eastAsia="zh-CN"/>
        </w:rPr>
        <w:t>非甲方原因造成的</w:t>
      </w:r>
      <w:r>
        <w:rPr>
          <w:rFonts w:hint="eastAsia" w:ascii="宋体" w:hAnsi="宋体" w:eastAsia="宋体" w:cs="宋体"/>
          <w:color w:val="auto"/>
          <w:sz w:val="21"/>
          <w:szCs w:val="21"/>
          <w:highlight w:val="none"/>
          <w:shd w:val="clear" w:color="auto" w:fill="auto"/>
        </w:rPr>
        <w:t>设计、工艺或者材料的缺陷和其它质量问题，</w:t>
      </w:r>
      <w:r>
        <w:rPr>
          <w:rFonts w:hint="eastAsia" w:ascii="宋体" w:hAnsi="宋体" w:eastAsia="宋体" w:cs="宋体"/>
          <w:color w:val="auto"/>
          <w:sz w:val="21"/>
          <w:szCs w:val="21"/>
          <w:highlight w:val="none"/>
          <w:shd w:val="clear" w:color="auto" w:fill="auto"/>
          <w:lang w:eastAsia="zh-CN"/>
        </w:rPr>
        <w:t>或</w:t>
      </w:r>
      <w:r>
        <w:rPr>
          <w:rFonts w:hint="eastAsia" w:ascii="宋体" w:hAnsi="宋体" w:eastAsia="宋体" w:cs="宋体"/>
          <w:color w:val="auto"/>
          <w:sz w:val="21"/>
          <w:szCs w:val="21"/>
          <w:highlight w:val="none"/>
          <w:shd w:val="clear" w:color="auto" w:fill="auto"/>
        </w:rPr>
        <w:t>因</w:t>
      </w: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shd w:val="clear" w:color="auto" w:fill="auto"/>
        </w:rPr>
        <w:t>不能履行合同义务等</w:t>
      </w:r>
      <w:r>
        <w:rPr>
          <w:rFonts w:hint="eastAsia" w:ascii="宋体" w:hAnsi="宋体" w:eastAsia="宋体" w:cs="宋体"/>
          <w:color w:val="auto"/>
          <w:sz w:val="21"/>
          <w:szCs w:val="21"/>
          <w:highlight w:val="none"/>
          <w:shd w:val="clear" w:color="auto" w:fill="auto"/>
          <w:lang w:eastAsia="zh-CN"/>
        </w:rPr>
        <w:t>原因</w:t>
      </w:r>
      <w:r>
        <w:rPr>
          <w:rFonts w:hint="eastAsia" w:ascii="宋体" w:hAnsi="宋体" w:eastAsia="宋体" w:cs="宋体"/>
          <w:color w:val="auto"/>
          <w:sz w:val="21"/>
          <w:szCs w:val="21"/>
          <w:highlight w:val="none"/>
          <w:shd w:val="clear" w:color="auto" w:fill="auto"/>
        </w:rPr>
        <w:t>而使</w:t>
      </w:r>
      <w:r>
        <w:rPr>
          <w:rFonts w:hint="eastAsia" w:ascii="宋体" w:hAnsi="宋体" w:eastAsia="宋体" w:cs="宋体"/>
          <w:color w:val="auto"/>
          <w:sz w:val="21"/>
          <w:szCs w:val="21"/>
          <w:highlight w:val="none"/>
          <w:shd w:val="clear" w:color="auto" w:fill="auto"/>
          <w:lang w:eastAsia="zh-CN"/>
        </w:rPr>
        <w:t>采甲方</w:t>
      </w:r>
      <w:r>
        <w:rPr>
          <w:rFonts w:hint="eastAsia" w:ascii="宋体" w:hAnsi="宋体" w:eastAsia="宋体" w:cs="宋体"/>
          <w:color w:val="auto"/>
          <w:sz w:val="21"/>
          <w:szCs w:val="21"/>
          <w:highlight w:val="none"/>
          <w:shd w:val="clear" w:color="auto" w:fill="auto"/>
        </w:rPr>
        <w:t>蒙受损失的，乙方应按本合同合计金额 5%向甲方支付违约金，此项金额不足以赔偿</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损失的，</w:t>
      </w:r>
      <w:r>
        <w:rPr>
          <w:rFonts w:hint="eastAsia" w:ascii="宋体" w:hAnsi="宋体" w:eastAsia="宋体" w:cs="宋体"/>
          <w:color w:val="auto"/>
          <w:sz w:val="21"/>
          <w:szCs w:val="21"/>
          <w:highlight w:val="none"/>
          <w:shd w:val="clear" w:color="auto" w:fill="auto"/>
          <w:lang w:eastAsia="zh-CN"/>
        </w:rPr>
        <w:t>乙方应</w:t>
      </w:r>
      <w:r>
        <w:rPr>
          <w:rFonts w:hint="eastAsia" w:ascii="宋体" w:hAnsi="宋体" w:eastAsia="宋体" w:cs="宋体"/>
          <w:color w:val="auto"/>
          <w:sz w:val="21"/>
          <w:szCs w:val="21"/>
          <w:highlight w:val="none"/>
          <w:shd w:val="clear" w:color="auto" w:fill="auto"/>
        </w:rPr>
        <w:t>按实际损失</w:t>
      </w:r>
      <w:r>
        <w:rPr>
          <w:rFonts w:hint="eastAsia" w:ascii="宋体" w:hAnsi="宋体" w:eastAsia="宋体" w:cs="宋体"/>
          <w:color w:val="auto"/>
          <w:sz w:val="21"/>
          <w:szCs w:val="21"/>
          <w:highlight w:val="none"/>
          <w:shd w:val="clear" w:color="auto" w:fill="auto"/>
          <w:lang w:eastAsia="zh-CN"/>
        </w:rPr>
        <w:t>向甲方</w:t>
      </w:r>
      <w:r>
        <w:rPr>
          <w:rFonts w:hint="eastAsia" w:ascii="宋体" w:hAnsi="宋体" w:eastAsia="宋体" w:cs="宋体"/>
          <w:color w:val="auto"/>
          <w:sz w:val="21"/>
          <w:szCs w:val="21"/>
          <w:highlight w:val="none"/>
          <w:shd w:val="clear" w:color="auto" w:fill="auto"/>
        </w:rPr>
        <w:t>赔偿。</w:t>
      </w:r>
    </w:p>
    <w:p w14:paraId="2DEC8163">
      <w:pPr>
        <w:pStyle w:val="19"/>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7.甲乙双方有其它违约行为的，由违约方向对方支付违约内容涉及货款额的5%，违约内容涉及货款额的5%不足以赔偿经济损失的按实际赔偿。</w:t>
      </w:r>
    </w:p>
    <w:p w14:paraId="45AD2200">
      <w:pPr>
        <w:pStyle w:val="19"/>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hAnsi="宋体" w:eastAsia="宋体" w:cs="宋体"/>
          <w:color w:val="auto"/>
          <w:sz w:val="21"/>
          <w:szCs w:val="21"/>
          <w:highlight w:val="none"/>
          <w:shd w:val="clear" w:color="auto" w:fill="auto"/>
          <w:lang w:val="en-US" w:eastAsia="zh-CN"/>
        </w:rPr>
      </w:pPr>
      <w:r>
        <w:rPr>
          <w:rFonts w:hint="eastAsia" w:hAnsi="宋体" w:cs="宋体"/>
          <w:color w:val="auto"/>
          <w:sz w:val="21"/>
          <w:szCs w:val="21"/>
          <w:highlight w:val="none"/>
          <w:shd w:val="clear" w:color="auto" w:fill="auto"/>
          <w:lang w:val="en-US" w:eastAsia="zh-CN"/>
        </w:rPr>
        <w:t>8.若乙方在甲方支付合同款项前出现违约行为，甲方可在扣除相关违约金后支付剩余合同价款。</w:t>
      </w:r>
    </w:p>
    <w:p w14:paraId="258806DB">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一</w:t>
      </w:r>
      <w:r>
        <w:rPr>
          <w:rFonts w:hint="eastAsia" w:ascii="宋体" w:hAnsi="宋体" w:eastAsia="宋体" w:cs="宋体"/>
          <w:b/>
          <w:color w:val="auto"/>
          <w:highlight w:val="none"/>
        </w:rPr>
        <w:t>条  不可抗力事件处理</w:t>
      </w:r>
    </w:p>
    <w:p w14:paraId="27873015">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在合同有效期内，任何一方因不可抗力事件导致不能履行合同，则合同履行期可延长，其延长期与不可抗力影响期相同。</w:t>
      </w:r>
    </w:p>
    <w:p w14:paraId="35A1FC7D">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不可抗力事件发生后，应立即通知对方，并寄送有关权威机构出具的证明。</w:t>
      </w:r>
    </w:p>
    <w:p w14:paraId="7D573235">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不可抗力事件延续一百二十天以上，双方应通过友好协商，确定是否继续履行合同。</w:t>
      </w:r>
    </w:p>
    <w:p w14:paraId="501B8E95">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二</w:t>
      </w:r>
      <w:r>
        <w:rPr>
          <w:rFonts w:hint="eastAsia" w:ascii="宋体" w:hAnsi="宋体" w:eastAsia="宋体" w:cs="宋体"/>
          <w:b/>
          <w:color w:val="auto"/>
          <w:highlight w:val="none"/>
        </w:rPr>
        <w:t>条  合同争议解决</w:t>
      </w:r>
    </w:p>
    <w:p w14:paraId="00A405B2">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因服务质量问题发生争议的，应邀请国家认可的质量检测机构进行鉴定。服务符合标准的，鉴定费由甲方承担；服务不符合标准的，鉴定费由乙方承担。</w:t>
      </w:r>
    </w:p>
    <w:p w14:paraId="5F302322">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因履行本合同引起的或者与本合同有关的争议，甲乙双方应首先通过友好协商解决，如果协商不能解决，可向甲方所在地有管辖权的人民法院提起诉讼。</w:t>
      </w:r>
    </w:p>
    <w:p w14:paraId="4269F200">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诉讼期间，本合同继续履行。</w:t>
      </w:r>
    </w:p>
    <w:p w14:paraId="0353D010">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三</w:t>
      </w:r>
      <w:r>
        <w:rPr>
          <w:rFonts w:hint="eastAsia" w:ascii="宋体" w:hAnsi="宋体" w:eastAsia="宋体" w:cs="宋体"/>
          <w:b/>
          <w:color w:val="auto"/>
          <w:highlight w:val="none"/>
        </w:rPr>
        <w:t>条  合同生效及其它</w:t>
      </w:r>
    </w:p>
    <w:p w14:paraId="73071EC8">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合同经双方法定代表人或者授权代表签字并加盖单位公章或合同专用章后生效（委托代理人签字的需后附授权委托书，格式自拟）。</w:t>
      </w:r>
    </w:p>
    <w:p w14:paraId="08EC6EC8">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合同执行中涉及采购资金和采购内容修改或者补充的，须经财政部门审批，并签书面补充协议报财政部门备案，方可作为主合同不可分割的一部分。</w:t>
      </w:r>
    </w:p>
    <w:p w14:paraId="0EDF50FF">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本合同未尽事宜，遵照《中华人民共和国民法典》有关条文执行。</w:t>
      </w:r>
    </w:p>
    <w:p w14:paraId="08101AEF">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四</w:t>
      </w:r>
      <w:r>
        <w:rPr>
          <w:rFonts w:hint="eastAsia" w:ascii="宋体" w:hAnsi="宋体" w:eastAsia="宋体" w:cs="宋体"/>
          <w:b/>
          <w:color w:val="auto"/>
          <w:highlight w:val="none"/>
        </w:rPr>
        <w:t>条　合同的变更、终止与转让</w:t>
      </w:r>
    </w:p>
    <w:p w14:paraId="1247227B">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除《中华人民共和国政府采购法》第五十条规定的情形外，本合同一经签订，甲乙双方不得擅自变更、中止或者终止。</w:t>
      </w:r>
    </w:p>
    <w:p w14:paraId="2405462F">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乙方不得擅自转让其应履行的合同义务。</w:t>
      </w:r>
    </w:p>
    <w:p w14:paraId="21415C44">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五</w:t>
      </w:r>
      <w:r>
        <w:rPr>
          <w:rFonts w:hint="eastAsia" w:ascii="宋体" w:hAnsi="宋体" w:eastAsia="宋体" w:cs="宋体"/>
          <w:b/>
          <w:color w:val="auto"/>
          <w:highlight w:val="none"/>
        </w:rPr>
        <w:t>条　签订本合同依据</w:t>
      </w:r>
    </w:p>
    <w:p w14:paraId="6DFFC643">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rPr>
        <w:t>成交通知书</w:t>
      </w:r>
      <w:r>
        <w:rPr>
          <w:rFonts w:hint="eastAsia" w:ascii="宋体" w:hAnsi="宋体" w:eastAsia="宋体" w:cs="宋体"/>
          <w:color w:val="auto"/>
          <w:highlight w:val="none"/>
        </w:rPr>
        <w:t>；</w:t>
      </w:r>
    </w:p>
    <w:p w14:paraId="37E8A66C">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竞标报价表；</w:t>
      </w:r>
    </w:p>
    <w:p w14:paraId="009AC0B6">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商务和技术要求偏离表；</w:t>
      </w:r>
    </w:p>
    <w:p w14:paraId="7CCCA84F">
      <w:pPr>
        <w:pStyle w:val="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lang w:val="en-US" w:eastAsia="zh-CN"/>
        </w:rPr>
      </w:pPr>
      <w:r>
        <w:rPr>
          <w:rFonts w:hint="eastAsia"/>
          <w:color w:val="auto"/>
          <w:highlight w:val="none"/>
          <w:lang w:val="en-US" w:eastAsia="zh-CN"/>
        </w:rPr>
        <w:t>4</w:t>
      </w:r>
      <w:r>
        <w:rPr>
          <w:rFonts w:hint="eastAsia"/>
          <w:color w:val="auto"/>
          <w:highlight w:val="none"/>
          <w:lang w:eastAsia="zh-CN"/>
        </w:rPr>
        <w:t>.售后</w:t>
      </w:r>
      <w:r>
        <w:rPr>
          <w:rFonts w:hint="eastAsia"/>
          <w:color w:val="auto"/>
          <w:highlight w:val="none"/>
        </w:rPr>
        <w:t>服务</w:t>
      </w:r>
      <w:r>
        <w:rPr>
          <w:rFonts w:hint="eastAsia"/>
          <w:color w:val="auto"/>
          <w:highlight w:val="none"/>
          <w:lang w:val="en-US" w:eastAsia="zh-CN"/>
        </w:rPr>
        <w:t>方案</w:t>
      </w:r>
      <w:r>
        <w:rPr>
          <w:rFonts w:hint="eastAsia" w:ascii="宋体" w:hAnsi="宋体" w:eastAsia="宋体" w:cs="宋体"/>
          <w:color w:val="auto"/>
          <w:highlight w:val="none"/>
        </w:rPr>
        <w:t>；</w:t>
      </w:r>
    </w:p>
    <w:p w14:paraId="6AA1D78B">
      <w:pPr>
        <w:pStyle w:val="9"/>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5.采购需求；</w:t>
      </w:r>
    </w:p>
    <w:p w14:paraId="6F438185">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响应文件中的其他相关文件。</w:t>
      </w:r>
    </w:p>
    <w:p w14:paraId="39D0506F">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上述合同文件互相补充和解释。如果合同文件之间存在矛盾或者不一致之处，以上述文件的排列顺序在先者为准。</w:t>
      </w:r>
    </w:p>
    <w:p w14:paraId="5D9764E8">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eastAsia="zh-CN"/>
        </w:rPr>
        <w:t>六</w:t>
      </w:r>
      <w:r>
        <w:rPr>
          <w:rFonts w:hint="eastAsia" w:ascii="宋体" w:hAnsi="宋体" w:eastAsia="宋体" w:cs="宋体"/>
          <w:b/>
          <w:color w:val="auto"/>
          <w:highlight w:val="none"/>
        </w:rPr>
        <w:t>条　</w:t>
      </w:r>
      <w:r>
        <w:rPr>
          <w:rFonts w:hint="eastAsia" w:ascii="宋体" w:hAnsi="宋体" w:eastAsia="宋体" w:cs="宋体"/>
          <w:color w:val="auto"/>
          <w:highlight w:val="none"/>
        </w:rPr>
        <w:t>本合同一式陆份，具有同等法律效力，财政部门（政府采购监管部门）、采购代理机构各一份，甲方</w:t>
      </w:r>
      <w:r>
        <w:rPr>
          <w:rFonts w:ascii="宋体" w:hAnsi="宋体" w:eastAsia="宋体" w:cs="宋体"/>
          <w:color w:val="auto"/>
          <w:highlight w:val="none"/>
        </w:rPr>
        <w:t>三份，</w:t>
      </w:r>
      <w:r>
        <w:rPr>
          <w:rFonts w:hint="eastAsia" w:ascii="宋体" w:hAnsi="宋体" w:eastAsia="宋体" w:cs="宋体"/>
          <w:color w:val="auto"/>
          <w:highlight w:val="none"/>
        </w:rPr>
        <w:t>乙方一份（可根据需要另增加）。</w:t>
      </w:r>
    </w:p>
    <w:p w14:paraId="5FB01AF8">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本合同甲乙双方签字盖章后生效，自签订之日起七个工作日内，甲方应当将合同副本报同级财政部门备案。</w:t>
      </w:r>
    </w:p>
    <w:p w14:paraId="57131B1B">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本合同自签订之日起2个工作日内，甲方应当将采购合同在广西壮族自治区财政厅指定的媒体上公告。</w:t>
      </w:r>
    </w:p>
    <w:p w14:paraId="5046CB8B">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color w:val="auto"/>
          <w:highlight w:val="none"/>
          <w:lang w:eastAsia="zh-CN"/>
        </w:rPr>
      </w:pPr>
    </w:p>
    <w:p w14:paraId="74CE7724">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（以下无正文）</w:t>
      </w:r>
    </w:p>
    <w:tbl>
      <w:tblPr>
        <w:tblStyle w:val="31"/>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A5E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4582" w:type="dxa"/>
            <w:tcBorders>
              <w:top w:val="single" w:color="auto" w:sz="4" w:space="0"/>
              <w:left w:val="single" w:color="auto" w:sz="4" w:space="0"/>
              <w:bottom w:val="single" w:color="auto" w:sz="4" w:space="0"/>
              <w:right w:val="single" w:color="auto" w:sz="4" w:space="0"/>
            </w:tcBorders>
            <w:vAlign w:val="center"/>
          </w:tcPr>
          <w:p w14:paraId="66D08E29">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甲方：（章）</w:t>
            </w:r>
          </w:p>
          <w:p w14:paraId="137BD2EF">
            <w:pPr>
              <w:widowControl w:val="0"/>
              <w:snapToGrid w:val="0"/>
              <w:ind w:firstLine="0" w:firstLineChars="0"/>
              <w:jc w:val="both"/>
              <w:rPr>
                <w:rFonts w:ascii="宋体" w:hAnsi="宋体" w:eastAsia="宋体" w:cs="宋体"/>
                <w:color w:val="auto"/>
                <w:highlight w:val="none"/>
              </w:rPr>
            </w:pPr>
          </w:p>
          <w:p w14:paraId="29939872">
            <w:pPr>
              <w:widowControl w:val="0"/>
              <w:snapToGrid w:val="0"/>
              <w:ind w:firstLine="945" w:firstLineChars="450"/>
              <w:jc w:val="right"/>
              <w:rPr>
                <w:rFonts w:ascii="宋体" w:hAnsi="宋体" w:eastAsia="宋体" w:cs="宋体"/>
                <w:color w:val="auto"/>
                <w:highlight w:val="none"/>
              </w:rPr>
            </w:pPr>
          </w:p>
          <w:p w14:paraId="4122E428">
            <w:pPr>
              <w:widowControl w:val="0"/>
              <w:snapToGrid w:val="0"/>
              <w:ind w:firstLine="945" w:firstLineChars="450"/>
              <w:jc w:val="right"/>
              <w:rPr>
                <w:rFonts w:ascii="宋体" w:hAnsi="宋体" w:eastAsia="宋体" w:cs="宋体"/>
                <w:color w:val="auto"/>
                <w:highlight w:val="none"/>
              </w:rPr>
            </w:pPr>
            <w:r>
              <w:rPr>
                <w:rFonts w:hint="eastAsia" w:ascii="宋体" w:hAnsi="宋体" w:eastAsia="宋体" w:cs="宋体"/>
                <w:color w:val="auto"/>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230A883">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乙方：（章）       </w:t>
            </w:r>
          </w:p>
          <w:p w14:paraId="5413FD66">
            <w:pPr>
              <w:widowControl w:val="0"/>
              <w:snapToGrid w:val="0"/>
              <w:ind w:firstLine="0" w:firstLineChars="0"/>
              <w:jc w:val="both"/>
              <w:rPr>
                <w:rFonts w:ascii="宋体" w:hAnsi="宋体" w:eastAsia="宋体" w:cs="宋体"/>
                <w:color w:val="auto"/>
                <w:highlight w:val="none"/>
              </w:rPr>
            </w:pPr>
          </w:p>
          <w:p w14:paraId="6E178768">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       </w:t>
            </w:r>
          </w:p>
          <w:p w14:paraId="4E89A6B3">
            <w:pPr>
              <w:widowControl w:val="0"/>
              <w:snapToGrid w:val="0"/>
              <w:ind w:firstLine="0" w:firstLineChars="0"/>
              <w:jc w:val="right"/>
              <w:rPr>
                <w:rFonts w:ascii="宋体" w:hAnsi="宋体" w:eastAsia="宋体" w:cs="宋体"/>
                <w:color w:val="auto"/>
                <w:highlight w:val="none"/>
              </w:rPr>
            </w:pPr>
            <w:r>
              <w:rPr>
                <w:rFonts w:hint="eastAsia" w:ascii="宋体" w:hAnsi="宋体" w:eastAsia="宋体" w:cs="宋体"/>
                <w:color w:val="auto"/>
                <w:highlight w:val="none"/>
              </w:rPr>
              <w:t xml:space="preserve"> 年   月   日</w:t>
            </w:r>
          </w:p>
        </w:tc>
      </w:tr>
      <w:tr w14:paraId="0586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0D3C8242">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单位地址：</w:t>
            </w:r>
            <w:r>
              <w:rPr>
                <w:rFonts w:ascii="宋体" w:hAnsi="宋体" w:eastAsia="宋体" w:cs="宋体"/>
                <w:color w:val="auto"/>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68B5EE42">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单位地址： </w:t>
            </w:r>
          </w:p>
        </w:tc>
      </w:tr>
      <w:tr w14:paraId="1D69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6207F801">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FCB3B69">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法定代表人：</w:t>
            </w:r>
          </w:p>
        </w:tc>
      </w:tr>
      <w:tr w14:paraId="5181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7F5A8371">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1A69A9BB">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委托代理人：</w:t>
            </w:r>
          </w:p>
        </w:tc>
      </w:tr>
      <w:tr w14:paraId="3176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7EC70851">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1A6586D">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电话：</w:t>
            </w:r>
          </w:p>
        </w:tc>
      </w:tr>
      <w:tr w14:paraId="14DF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3829686C">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8399F33">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开户银行： </w:t>
            </w:r>
          </w:p>
        </w:tc>
      </w:tr>
      <w:tr w14:paraId="2C5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61724DFD">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46EF60DE">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账号：</w:t>
            </w:r>
          </w:p>
        </w:tc>
      </w:tr>
      <w:tr w14:paraId="6C3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14:paraId="5859B265">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21DB07F9">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邮政编码：</w:t>
            </w:r>
          </w:p>
        </w:tc>
      </w:tr>
    </w:tbl>
    <w:p w14:paraId="2D6F422A">
      <w:pPr>
        <w:widowControl w:val="0"/>
        <w:snapToGrid w:val="0"/>
        <w:spacing w:line="240" w:lineRule="auto"/>
        <w:ind w:firstLine="0" w:firstLineChars="0"/>
        <w:jc w:val="both"/>
        <w:rPr>
          <w:color w:val="auto"/>
          <w:highlight w:val="none"/>
        </w:rPr>
      </w:pPr>
    </w:p>
    <w:sectPr>
      <w:pgSz w:w="11906" w:h="16838"/>
      <w:pgMar w:top="1701" w:right="1701" w:bottom="1701" w:left="170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6570">
    <w:pPr>
      <w:pStyle w:val="21"/>
      <w:ind w:firstLine="360"/>
      <w:jc w:val="center"/>
    </w:pPr>
  </w:p>
  <w:p w14:paraId="0063BC8F">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447DEC7">
        <w:pPr>
          <w:pStyle w:val="21"/>
          <w:ind w:firstLine="360"/>
          <w:jc w:val="center"/>
        </w:pPr>
        <w:r>
          <w:fldChar w:fldCharType="begin"/>
        </w:r>
        <w:r>
          <w:instrText xml:space="preserve">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0F61">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16861"/>
    <w:multiLevelType w:val="multilevel"/>
    <w:tmpl w:val="82416861"/>
    <w:lvl w:ilvl="0" w:tentative="0">
      <w:start w:val="1"/>
      <w:numFmt w:val="decimal"/>
      <w:suff w:val="nothing"/>
      <w:lvlText w:val="%1."/>
      <w:lvlJc w:val="left"/>
      <w:pPr>
        <w:ind w:left="0" w:leftChars="0" w:firstLine="420" w:firstLineChars="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80"/>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0D277C9"/>
    <w:multiLevelType w:val="multilevel"/>
    <w:tmpl w:val="40D277C9"/>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20391C"/>
    <w:multiLevelType w:val="multilevel"/>
    <w:tmpl w:val="6D20391C"/>
    <w:lvl w:ilvl="0" w:tentative="0">
      <w:start w:val="1"/>
      <w:numFmt w:val="decimal"/>
      <w:pStyle w:val="56"/>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formatting="1"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zZGU2NGQ4Zjc5ZmEzNTc4NDI3ZTlhNmNmOWVlMjIifQ=="/>
    <w:docVar w:name="KY_MEDREF_DOCUID" w:val="{0DE5CB66-4D8E-429D-90A9-AC1423C6A676}"/>
    <w:docVar w:name="KY_MEDREF_VERSION" w:val="3"/>
  </w:docVars>
  <w:rsids>
    <w:rsidRoot w:val="00864FE5"/>
    <w:rsid w:val="0000153C"/>
    <w:rsid w:val="00002EBD"/>
    <w:rsid w:val="00003F7A"/>
    <w:rsid w:val="00006B33"/>
    <w:rsid w:val="0001018F"/>
    <w:rsid w:val="00010922"/>
    <w:rsid w:val="00011FD6"/>
    <w:rsid w:val="00012C35"/>
    <w:rsid w:val="0002126E"/>
    <w:rsid w:val="000310FB"/>
    <w:rsid w:val="00031308"/>
    <w:rsid w:val="00031634"/>
    <w:rsid w:val="000336C0"/>
    <w:rsid w:val="00034A37"/>
    <w:rsid w:val="00037543"/>
    <w:rsid w:val="0004155D"/>
    <w:rsid w:val="00055338"/>
    <w:rsid w:val="0005702D"/>
    <w:rsid w:val="000602DB"/>
    <w:rsid w:val="00060D51"/>
    <w:rsid w:val="0006323E"/>
    <w:rsid w:val="000636D5"/>
    <w:rsid w:val="00065248"/>
    <w:rsid w:val="0007045D"/>
    <w:rsid w:val="00073726"/>
    <w:rsid w:val="00074469"/>
    <w:rsid w:val="00075EF0"/>
    <w:rsid w:val="0007749C"/>
    <w:rsid w:val="00077A4B"/>
    <w:rsid w:val="00080119"/>
    <w:rsid w:val="000846AB"/>
    <w:rsid w:val="00084EC4"/>
    <w:rsid w:val="00085121"/>
    <w:rsid w:val="000851F9"/>
    <w:rsid w:val="00085323"/>
    <w:rsid w:val="000861E4"/>
    <w:rsid w:val="00086C46"/>
    <w:rsid w:val="000973D1"/>
    <w:rsid w:val="00097A88"/>
    <w:rsid w:val="000A0EB9"/>
    <w:rsid w:val="000A222E"/>
    <w:rsid w:val="000A2B10"/>
    <w:rsid w:val="000A3943"/>
    <w:rsid w:val="000A4F26"/>
    <w:rsid w:val="000A5214"/>
    <w:rsid w:val="000A68BC"/>
    <w:rsid w:val="000A6BBC"/>
    <w:rsid w:val="000B2CBD"/>
    <w:rsid w:val="000B3B8D"/>
    <w:rsid w:val="000B4C40"/>
    <w:rsid w:val="000B6959"/>
    <w:rsid w:val="000B7D1F"/>
    <w:rsid w:val="000C03B3"/>
    <w:rsid w:val="000C5E98"/>
    <w:rsid w:val="000C60E5"/>
    <w:rsid w:val="000C797D"/>
    <w:rsid w:val="000D3F8C"/>
    <w:rsid w:val="000D56E4"/>
    <w:rsid w:val="000D5C0B"/>
    <w:rsid w:val="000D5E6C"/>
    <w:rsid w:val="000E10BC"/>
    <w:rsid w:val="000E1628"/>
    <w:rsid w:val="000F0122"/>
    <w:rsid w:val="000F0D97"/>
    <w:rsid w:val="000F5413"/>
    <w:rsid w:val="000F561C"/>
    <w:rsid w:val="000F6108"/>
    <w:rsid w:val="00100A2C"/>
    <w:rsid w:val="0010144E"/>
    <w:rsid w:val="00102C81"/>
    <w:rsid w:val="00103476"/>
    <w:rsid w:val="00104730"/>
    <w:rsid w:val="00105010"/>
    <w:rsid w:val="001101AF"/>
    <w:rsid w:val="00111331"/>
    <w:rsid w:val="001126F2"/>
    <w:rsid w:val="00112AB4"/>
    <w:rsid w:val="00113123"/>
    <w:rsid w:val="00113CDF"/>
    <w:rsid w:val="00116016"/>
    <w:rsid w:val="00116C57"/>
    <w:rsid w:val="001221E3"/>
    <w:rsid w:val="00122FDD"/>
    <w:rsid w:val="00123143"/>
    <w:rsid w:val="001231EF"/>
    <w:rsid w:val="001236C0"/>
    <w:rsid w:val="00123D21"/>
    <w:rsid w:val="00124A6C"/>
    <w:rsid w:val="00127D61"/>
    <w:rsid w:val="00130B86"/>
    <w:rsid w:val="001321B0"/>
    <w:rsid w:val="00132511"/>
    <w:rsid w:val="001327F0"/>
    <w:rsid w:val="001337EC"/>
    <w:rsid w:val="001339B1"/>
    <w:rsid w:val="00133E11"/>
    <w:rsid w:val="001411B3"/>
    <w:rsid w:val="00143759"/>
    <w:rsid w:val="00143F6F"/>
    <w:rsid w:val="001469D0"/>
    <w:rsid w:val="00154D31"/>
    <w:rsid w:val="001567AA"/>
    <w:rsid w:val="001567E2"/>
    <w:rsid w:val="00157BCA"/>
    <w:rsid w:val="00160885"/>
    <w:rsid w:val="0016098D"/>
    <w:rsid w:val="00162AF4"/>
    <w:rsid w:val="0017087C"/>
    <w:rsid w:val="001734F6"/>
    <w:rsid w:val="001739D3"/>
    <w:rsid w:val="001754D1"/>
    <w:rsid w:val="00177BE4"/>
    <w:rsid w:val="00180804"/>
    <w:rsid w:val="00184256"/>
    <w:rsid w:val="0018623A"/>
    <w:rsid w:val="00191851"/>
    <w:rsid w:val="00194DE6"/>
    <w:rsid w:val="0019786C"/>
    <w:rsid w:val="001A10A1"/>
    <w:rsid w:val="001A1284"/>
    <w:rsid w:val="001A40FB"/>
    <w:rsid w:val="001B0D44"/>
    <w:rsid w:val="001B1B52"/>
    <w:rsid w:val="001B2D0C"/>
    <w:rsid w:val="001B57A6"/>
    <w:rsid w:val="001C402A"/>
    <w:rsid w:val="001D1269"/>
    <w:rsid w:val="001D2093"/>
    <w:rsid w:val="001D3A9C"/>
    <w:rsid w:val="001D746B"/>
    <w:rsid w:val="001E01FD"/>
    <w:rsid w:val="001E1B16"/>
    <w:rsid w:val="001E23E9"/>
    <w:rsid w:val="001E34F5"/>
    <w:rsid w:val="001F105F"/>
    <w:rsid w:val="001F29AC"/>
    <w:rsid w:val="002041FC"/>
    <w:rsid w:val="00207D68"/>
    <w:rsid w:val="00207E48"/>
    <w:rsid w:val="002200B7"/>
    <w:rsid w:val="00220856"/>
    <w:rsid w:val="00223CA2"/>
    <w:rsid w:val="0023120B"/>
    <w:rsid w:val="00232C03"/>
    <w:rsid w:val="002345DE"/>
    <w:rsid w:val="0023505B"/>
    <w:rsid w:val="002351A3"/>
    <w:rsid w:val="00241520"/>
    <w:rsid w:val="00244073"/>
    <w:rsid w:val="00244356"/>
    <w:rsid w:val="00245108"/>
    <w:rsid w:val="0024570E"/>
    <w:rsid w:val="00245719"/>
    <w:rsid w:val="002520C3"/>
    <w:rsid w:val="002524C0"/>
    <w:rsid w:val="002530A4"/>
    <w:rsid w:val="00256137"/>
    <w:rsid w:val="002571B4"/>
    <w:rsid w:val="002612CF"/>
    <w:rsid w:val="002612D6"/>
    <w:rsid w:val="00261615"/>
    <w:rsid w:val="0026195C"/>
    <w:rsid w:val="00270CF7"/>
    <w:rsid w:val="00272924"/>
    <w:rsid w:val="00272DDD"/>
    <w:rsid w:val="00281FB7"/>
    <w:rsid w:val="002837D0"/>
    <w:rsid w:val="00284762"/>
    <w:rsid w:val="0028521D"/>
    <w:rsid w:val="002869A4"/>
    <w:rsid w:val="00287075"/>
    <w:rsid w:val="00287AD7"/>
    <w:rsid w:val="002902FA"/>
    <w:rsid w:val="00290AD7"/>
    <w:rsid w:val="00292A28"/>
    <w:rsid w:val="00297313"/>
    <w:rsid w:val="002A0AB6"/>
    <w:rsid w:val="002A1FAA"/>
    <w:rsid w:val="002A3633"/>
    <w:rsid w:val="002A3D99"/>
    <w:rsid w:val="002A3FEE"/>
    <w:rsid w:val="002A6083"/>
    <w:rsid w:val="002A62E1"/>
    <w:rsid w:val="002A6870"/>
    <w:rsid w:val="002B3BA4"/>
    <w:rsid w:val="002B3F48"/>
    <w:rsid w:val="002B532F"/>
    <w:rsid w:val="002B678A"/>
    <w:rsid w:val="002B67AC"/>
    <w:rsid w:val="002B75AF"/>
    <w:rsid w:val="002B78DF"/>
    <w:rsid w:val="002C1931"/>
    <w:rsid w:val="002C3D6A"/>
    <w:rsid w:val="002C4547"/>
    <w:rsid w:val="002C6A4A"/>
    <w:rsid w:val="002C7780"/>
    <w:rsid w:val="002D00D8"/>
    <w:rsid w:val="002D0D47"/>
    <w:rsid w:val="002D3D64"/>
    <w:rsid w:val="002D51C6"/>
    <w:rsid w:val="002E1472"/>
    <w:rsid w:val="002E1A1F"/>
    <w:rsid w:val="002E29EB"/>
    <w:rsid w:val="002E39ED"/>
    <w:rsid w:val="002E5511"/>
    <w:rsid w:val="002E7628"/>
    <w:rsid w:val="002E7A52"/>
    <w:rsid w:val="002E7BF2"/>
    <w:rsid w:val="002F1618"/>
    <w:rsid w:val="002F1BE6"/>
    <w:rsid w:val="002F4D6C"/>
    <w:rsid w:val="002F57DE"/>
    <w:rsid w:val="002F5CB7"/>
    <w:rsid w:val="00303F39"/>
    <w:rsid w:val="00307146"/>
    <w:rsid w:val="003105EA"/>
    <w:rsid w:val="00312FF9"/>
    <w:rsid w:val="00314CB4"/>
    <w:rsid w:val="00325631"/>
    <w:rsid w:val="0032632F"/>
    <w:rsid w:val="003266BD"/>
    <w:rsid w:val="00331C57"/>
    <w:rsid w:val="00332A52"/>
    <w:rsid w:val="003379A6"/>
    <w:rsid w:val="00337A54"/>
    <w:rsid w:val="00341823"/>
    <w:rsid w:val="00341D78"/>
    <w:rsid w:val="0034344D"/>
    <w:rsid w:val="00344952"/>
    <w:rsid w:val="003471AB"/>
    <w:rsid w:val="00347B67"/>
    <w:rsid w:val="003538F7"/>
    <w:rsid w:val="00357D62"/>
    <w:rsid w:val="00357FB8"/>
    <w:rsid w:val="00361528"/>
    <w:rsid w:val="00361700"/>
    <w:rsid w:val="0036301B"/>
    <w:rsid w:val="003663CF"/>
    <w:rsid w:val="00367A65"/>
    <w:rsid w:val="003709BE"/>
    <w:rsid w:val="00372833"/>
    <w:rsid w:val="00374600"/>
    <w:rsid w:val="00376C3F"/>
    <w:rsid w:val="0037701B"/>
    <w:rsid w:val="00381ECF"/>
    <w:rsid w:val="003837EE"/>
    <w:rsid w:val="003913F7"/>
    <w:rsid w:val="003916D1"/>
    <w:rsid w:val="00392842"/>
    <w:rsid w:val="0039450F"/>
    <w:rsid w:val="003967C2"/>
    <w:rsid w:val="003A1920"/>
    <w:rsid w:val="003A1B37"/>
    <w:rsid w:val="003A4DB1"/>
    <w:rsid w:val="003B004F"/>
    <w:rsid w:val="003B05D0"/>
    <w:rsid w:val="003B59F2"/>
    <w:rsid w:val="003C2B3F"/>
    <w:rsid w:val="003C3906"/>
    <w:rsid w:val="003C4E1B"/>
    <w:rsid w:val="003C52EA"/>
    <w:rsid w:val="003C78A5"/>
    <w:rsid w:val="003C7A5C"/>
    <w:rsid w:val="003D293E"/>
    <w:rsid w:val="003D3604"/>
    <w:rsid w:val="003D7FA7"/>
    <w:rsid w:val="003E0E15"/>
    <w:rsid w:val="003E1200"/>
    <w:rsid w:val="003E1DD5"/>
    <w:rsid w:val="003E4D3B"/>
    <w:rsid w:val="003E6C09"/>
    <w:rsid w:val="003E6F12"/>
    <w:rsid w:val="003E76B2"/>
    <w:rsid w:val="003E7BD6"/>
    <w:rsid w:val="003F0C19"/>
    <w:rsid w:val="003F2291"/>
    <w:rsid w:val="003F2C4F"/>
    <w:rsid w:val="003F2CAB"/>
    <w:rsid w:val="003F3CC9"/>
    <w:rsid w:val="003F40BF"/>
    <w:rsid w:val="003F49C5"/>
    <w:rsid w:val="003F7081"/>
    <w:rsid w:val="004026CB"/>
    <w:rsid w:val="00403A61"/>
    <w:rsid w:val="00403C5C"/>
    <w:rsid w:val="00407041"/>
    <w:rsid w:val="00407654"/>
    <w:rsid w:val="0041233F"/>
    <w:rsid w:val="00414AD0"/>
    <w:rsid w:val="004159AB"/>
    <w:rsid w:val="00421BC6"/>
    <w:rsid w:val="00421DEA"/>
    <w:rsid w:val="004233E5"/>
    <w:rsid w:val="00424FAD"/>
    <w:rsid w:val="00431761"/>
    <w:rsid w:val="00445EC8"/>
    <w:rsid w:val="00447D72"/>
    <w:rsid w:val="00452753"/>
    <w:rsid w:val="00455654"/>
    <w:rsid w:val="00463295"/>
    <w:rsid w:val="00463E89"/>
    <w:rsid w:val="00464DA0"/>
    <w:rsid w:val="00465475"/>
    <w:rsid w:val="004702D4"/>
    <w:rsid w:val="00470EA2"/>
    <w:rsid w:val="0047116D"/>
    <w:rsid w:val="0047431D"/>
    <w:rsid w:val="004755CD"/>
    <w:rsid w:val="004757AA"/>
    <w:rsid w:val="004800D0"/>
    <w:rsid w:val="00483C03"/>
    <w:rsid w:val="004844C3"/>
    <w:rsid w:val="004872DE"/>
    <w:rsid w:val="0049006D"/>
    <w:rsid w:val="00493668"/>
    <w:rsid w:val="00497BB4"/>
    <w:rsid w:val="004A4310"/>
    <w:rsid w:val="004A45E6"/>
    <w:rsid w:val="004A4D86"/>
    <w:rsid w:val="004A52BE"/>
    <w:rsid w:val="004B155C"/>
    <w:rsid w:val="004B31E8"/>
    <w:rsid w:val="004B44F8"/>
    <w:rsid w:val="004B4572"/>
    <w:rsid w:val="004B47AA"/>
    <w:rsid w:val="004B542C"/>
    <w:rsid w:val="004B5ECE"/>
    <w:rsid w:val="004C2D26"/>
    <w:rsid w:val="004C32B8"/>
    <w:rsid w:val="004C37BF"/>
    <w:rsid w:val="004C3CDE"/>
    <w:rsid w:val="004C62A6"/>
    <w:rsid w:val="004C6776"/>
    <w:rsid w:val="004C73AD"/>
    <w:rsid w:val="004D3A33"/>
    <w:rsid w:val="004D4BE4"/>
    <w:rsid w:val="004D4C2C"/>
    <w:rsid w:val="004D4E0E"/>
    <w:rsid w:val="004D637B"/>
    <w:rsid w:val="004D6E09"/>
    <w:rsid w:val="004E14E3"/>
    <w:rsid w:val="004E2CF1"/>
    <w:rsid w:val="004E2E4C"/>
    <w:rsid w:val="004E5BC4"/>
    <w:rsid w:val="004E60A0"/>
    <w:rsid w:val="004F1FED"/>
    <w:rsid w:val="004F2378"/>
    <w:rsid w:val="004F4E33"/>
    <w:rsid w:val="00500183"/>
    <w:rsid w:val="00500DA5"/>
    <w:rsid w:val="00502802"/>
    <w:rsid w:val="0050307E"/>
    <w:rsid w:val="005065D8"/>
    <w:rsid w:val="0050669A"/>
    <w:rsid w:val="00511763"/>
    <w:rsid w:val="005154B6"/>
    <w:rsid w:val="005156FF"/>
    <w:rsid w:val="00517956"/>
    <w:rsid w:val="0052073E"/>
    <w:rsid w:val="00521F87"/>
    <w:rsid w:val="00522288"/>
    <w:rsid w:val="005226F9"/>
    <w:rsid w:val="0052306B"/>
    <w:rsid w:val="005243B5"/>
    <w:rsid w:val="0052496E"/>
    <w:rsid w:val="00531F7B"/>
    <w:rsid w:val="005347B7"/>
    <w:rsid w:val="0053544E"/>
    <w:rsid w:val="00535D63"/>
    <w:rsid w:val="00536B5E"/>
    <w:rsid w:val="005412A1"/>
    <w:rsid w:val="0054501A"/>
    <w:rsid w:val="0054606F"/>
    <w:rsid w:val="00550D29"/>
    <w:rsid w:val="00556938"/>
    <w:rsid w:val="00556AA5"/>
    <w:rsid w:val="00557A8C"/>
    <w:rsid w:val="00560613"/>
    <w:rsid w:val="00561BAE"/>
    <w:rsid w:val="0056520E"/>
    <w:rsid w:val="00567553"/>
    <w:rsid w:val="00573629"/>
    <w:rsid w:val="00573FF5"/>
    <w:rsid w:val="00575F71"/>
    <w:rsid w:val="00577AE9"/>
    <w:rsid w:val="00577BF3"/>
    <w:rsid w:val="00577C94"/>
    <w:rsid w:val="00581776"/>
    <w:rsid w:val="00583939"/>
    <w:rsid w:val="00586FCF"/>
    <w:rsid w:val="0059221E"/>
    <w:rsid w:val="005944F2"/>
    <w:rsid w:val="005A0D5E"/>
    <w:rsid w:val="005A44D9"/>
    <w:rsid w:val="005A788C"/>
    <w:rsid w:val="005B16EE"/>
    <w:rsid w:val="005B43F7"/>
    <w:rsid w:val="005B478B"/>
    <w:rsid w:val="005B665B"/>
    <w:rsid w:val="005C6BB4"/>
    <w:rsid w:val="005C7839"/>
    <w:rsid w:val="005D0654"/>
    <w:rsid w:val="005D0DE1"/>
    <w:rsid w:val="005D1592"/>
    <w:rsid w:val="005D2B13"/>
    <w:rsid w:val="005D2F60"/>
    <w:rsid w:val="005D7621"/>
    <w:rsid w:val="005D7BBB"/>
    <w:rsid w:val="005E13E0"/>
    <w:rsid w:val="005E1E48"/>
    <w:rsid w:val="005E3A0A"/>
    <w:rsid w:val="005E45F0"/>
    <w:rsid w:val="005E5F38"/>
    <w:rsid w:val="005E60CB"/>
    <w:rsid w:val="005E73F1"/>
    <w:rsid w:val="005F2730"/>
    <w:rsid w:val="005F46C0"/>
    <w:rsid w:val="005F4AD3"/>
    <w:rsid w:val="006008CF"/>
    <w:rsid w:val="00600D18"/>
    <w:rsid w:val="00600F35"/>
    <w:rsid w:val="00603DEB"/>
    <w:rsid w:val="00605619"/>
    <w:rsid w:val="0060617A"/>
    <w:rsid w:val="00607EAA"/>
    <w:rsid w:val="00612220"/>
    <w:rsid w:val="00612D51"/>
    <w:rsid w:val="00613CBA"/>
    <w:rsid w:val="006223F2"/>
    <w:rsid w:val="00623282"/>
    <w:rsid w:val="00626236"/>
    <w:rsid w:val="00627E6B"/>
    <w:rsid w:val="006302C2"/>
    <w:rsid w:val="0063119D"/>
    <w:rsid w:val="00631BB5"/>
    <w:rsid w:val="00634166"/>
    <w:rsid w:val="0063674F"/>
    <w:rsid w:val="00642E88"/>
    <w:rsid w:val="00643E4D"/>
    <w:rsid w:val="00645886"/>
    <w:rsid w:val="006469BD"/>
    <w:rsid w:val="006510CD"/>
    <w:rsid w:val="00652CFE"/>
    <w:rsid w:val="00656A88"/>
    <w:rsid w:val="006576F2"/>
    <w:rsid w:val="00657AC5"/>
    <w:rsid w:val="00665E42"/>
    <w:rsid w:val="00665F68"/>
    <w:rsid w:val="00666FC7"/>
    <w:rsid w:val="006726E4"/>
    <w:rsid w:val="00673ADC"/>
    <w:rsid w:val="00675026"/>
    <w:rsid w:val="00682F0D"/>
    <w:rsid w:val="00685FCB"/>
    <w:rsid w:val="00687BE8"/>
    <w:rsid w:val="00690ECB"/>
    <w:rsid w:val="00695525"/>
    <w:rsid w:val="00695677"/>
    <w:rsid w:val="00695FBE"/>
    <w:rsid w:val="00696D30"/>
    <w:rsid w:val="006A1970"/>
    <w:rsid w:val="006B1D7A"/>
    <w:rsid w:val="006C1CD7"/>
    <w:rsid w:val="006C5942"/>
    <w:rsid w:val="006C6117"/>
    <w:rsid w:val="006C6D57"/>
    <w:rsid w:val="006C7BFF"/>
    <w:rsid w:val="006C7EA3"/>
    <w:rsid w:val="006D2188"/>
    <w:rsid w:val="006D6087"/>
    <w:rsid w:val="006E080B"/>
    <w:rsid w:val="006E647F"/>
    <w:rsid w:val="006E6A3E"/>
    <w:rsid w:val="006F12A9"/>
    <w:rsid w:val="006F1723"/>
    <w:rsid w:val="006F2211"/>
    <w:rsid w:val="006F4AD8"/>
    <w:rsid w:val="006F6C91"/>
    <w:rsid w:val="00703CFE"/>
    <w:rsid w:val="00704DC5"/>
    <w:rsid w:val="0070619F"/>
    <w:rsid w:val="007110BF"/>
    <w:rsid w:val="007139E7"/>
    <w:rsid w:val="00715588"/>
    <w:rsid w:val="007155BC"/>
    <w:rsid w:val="00715E08"/>
    <w:rsid w:val="00716E32"/>
    <w:rsid w:val="0072361B"/>
    <w:rsid w:val="00724C3C"/>
    <w:rsid w:val="00725A01"/>
    <w:rsid w:val="00726786"/>
    <w:rsid w:val="00732904"/>
    <w:rsid w:val="00737F44"/>
    <w:rsid w:val="00740CBB"/>
    <w:rsid w:val="007411FD"/>
    <w:rsid w:val="00741A53"/>
    <w:rsid w:val="00742019"/>
    <w:rsid w:val="007462A2"/>
    <w:rsid w:val="00747DEF"/>
    <w:rsid w:val="00750958"/>
    <w:rsid w:val="00753A21"/>
    <w:rsid w:val="00754415"/>
    <w:rsid w:val="00756692"/>
    <w:rsid w:val="00756C52"/>
    <w:rsid w:val="00756C8D"/>
    <w:rsid w:val="00761DE8"/>
    <w:rsid w:val="007642BA"/>
    <w:rsid w:val="007715B0"/>
    <w:rsid w:val="00771EDA"/>
    <w:rsid w:val="00772C7E"/>
    <w:rsid w:val="007773E2"/>
    <w:rsid w:val="00782F6A"/>
    <w:rsid w:val="0078533D"/>
    <w:rsid w:val="00785F41"/>
    <w:rsid w:val="00786384"/>
    <w:rsid w:val="00787266"/>
    <w:rsid w:val="00787A8E"/>
    <w:rsid w:val="007919C8"/>
    <w:rsid w:val="00792385"/>
    <w:rsid w:val="00793532"/>
    <w:rsid w:val="00794899"/>
    <w:rsid w:val="0079660F"/>
    <w:rsid w:val="007A0B7F"/>
    <w:rsid w:val="007A0E2F"/>
    <w:rsid w:val="007A3206"/>
    <w:rsid w:val="007A3DE4"/>
    <w:rsid w:val="007A51B4"/>
    <w:rsid w:val="007A6287"/>
    <w:rsid w:val="007B108C"/>
    <w:rsid w:val="007B6174"/>
    <w:rsid w:val="007B6EFC"/>
    <w:rsid w:val="007C12D8"/>
    <w:rsid w:val="007C1D1F"/>
    <w:rsid w:val="007C3EE3"/>
    <w:rsid w:val="007C4478"/>
    <w:rsid w:val="007C44C8"/>
    <w:rsid w:val="007C5270"/>
    <w:rsid w:val="007C7FE3"/>
    <w:rsid w:val="007D2979"/>
    <w:rsid w:val="007E1E00"/>
    <w:rsid w:val="007E4640"/>
    <w:rsid w:val="007E582E"/>
    <w:rsid w:val="007E5963"/>
    <w:rsid w:val="007E73E2"/>
    <w:rsid w:val="007E7CFD"/>
    <w:rsid w:val="007F1EF6"/>
    <w:rsid w:val="007F378B"/>
    <w:rsid w:val="007F4772"/>
    <w:rsid w:val="007F67BF"/>
    <w:rsid w:val="007F7237"/>
    <w:rsid w:val="007F7359"/>
    <w:rsid w:val="00802393"/>
    <w:rsid w:val="00803DB9"/>
    <w:rsid w:val="00803EE9"/>
    <w:rsid w:val="008045B4"/>
    <w:rsid w:val="0080478E"/>
    <w:rsid w:val="008055D7"/>
    <w:rsid w:val="0081006E"/>
    <w:rsid w:val="00810E55"/>
    <w:rsid w:val="0081469B"/>
    <w:rsid w:val="00820E4C"/>
    <w:rsid w:val="0082249C"/>
    <w:rsid w:val="00823835"/>
    <w:rsid w:val="00835136"/>
    <w:rsid w:val="00835730"/>
    <w:rsid w:val="00835C4E"/>
    <w:rsid w:val="008360DB"/>
    <w:rsid w:val="0083774E"/>
    <w:rsid w:val="008411B7"/>
    <w:rsid w:val="00842F92"/>
    <w:rsid w:val="00844115"/>
    <w:rsid w:val="0084619A"/>
    <w:rsid w:val="008463D6"/>
    <w:rsid w:val="00846588"/>
    <w:rsid w:val="00846E34"/>
    <w:rsid w:val="0084718B"/>
    <w:rsid w:val="0085442C"/>
    <w:rsid w:val="0085752A"/>
    <w:rsid w:val="00857BCE"/>
    <w:rsid w:val="008612A2"/>
    <w:rsid w:val="0086156B"/>
    <w:rsid w:val="00863956"/>
    <w:rsid w:val="00864FE5"/>
    <w:rsid w:val="00867F21"/>
    <w:rsid w:val="00871837"/>
    <w:rsid w:val="00871F24"/>
    <w:rsid w:val="00872761"/>
    <w:rsid w:val="008754AE"/>
    <w:rsid w:val="00877980"/>
    <w:rsid w:val="00880C39"/>
    <w:rsid w:val="00881579"/>
    <w:rsid w:val="00884444"/>
    <w:rsid w:val="008871A9"/>
    <w:rsid w:val="00895894"/>
    <w:rsid w:val="008A1FF0"/>
    <w:rsid w:val="008A2777"/>
    <w:rsid w:val="008A44CC"/>
    <w:rsid w:val="008B095B"/>
    <w:rsid w:val="008B4797"/>
    <w:rsid w:val="008B68C3"/>
    <w:rsid w:val="008B6E80"/>
    <w:rsid w:val="008C3F62"/>
    <w:rsid w:val="008C3F7E"/>
    <w:rsid w:val="008C402C"/>
    <w:rsid w:val="008C4E83"/>
    <w:rsid w:val="008D1F10"/>
    <w:rsid w:val="008D674E"/>
    <w:rsid w:val="008E071F"/>
    <w:rsid w:val="008E0A4F"/>
    <w:rsid w:val="008E1338"/>
    <w:rsid w:val="008E1D0F"/>
    <w:rsid w:val="008F0A23"/>
    <w:rsid w:val="008F16F8"/>
    <w:rsid w:val="008F20B3"/>
    <w:rsid w:val="008F2B2C"/>
    <w:rsid w:val="008F300D"/>
    <w:rsid w:val="008F5E79"/>
    <w:rsid w:val="00902031"/>
    <w:rsid w:val="00905B29"/>
    <w:rsid w:val="00907096"/>
    <w:rsid w:val="009169B8"/>
    <w:rsid w:val="009174B3"/>
    <w:rsid w:val="009245F9"/>
    <w:rsid w:val="00925EF1"/>
    <w:rsid w:val="009273F5"/>
    <w:rsid w:val="00927C0A"/>
    <w:rsid w:val="00931C44"/>
    <w:rsid w:val="0093388D"/>
    <w:rsid w:val="00933E30"/>
    <w:rsid w:val="0093598E"/>
    <w:rsid w:val="00936D84"/>
    <w:rsid w:val="009374CD"/>
    <w:rsid w:val="009401B4"/>
    <w:rsid w:val="00943EBB"/>
    <w:rsid w:val="00944E1D"/>
    <w:rsid w:val="00947F73"/>
    <w:rsid w:val="009507BF"/>
    <w:rsid w:val="00950FB2"/>
    <w:rsid w:val="00952025"/>
    <w:rsid w:val="00956B31"/>
    <w:rsid w:val="00957496"/>
    <w:rsid w:val="00957A6D"/>
    <w:rsid w:val="00960144"/>
    <w:rsid w:val="00961BEE"/>
    <w:rsid w:val="00961CB4"/>
    <w:rsid w:val="009625D6"/>
    <w:rsid w:val="00963297"/>
    <w:rsid w:val="0096542C"/>
    <w:rsid w:val="00971175"/>
    <w:rsid w:val="0097140F"/>
    <w:rsid w:val="009719BE"/>
    <w:rsid w:val="00974824"/>
    <w:rsid w:val="00976A60"/>
    <w:rsid w:val="00977BD5"/>
    <w:rsid w:val="009812B3"/>
    <w:rsid w:val="009821E7"/>
    <w:rsid w:val="00983F1F"/>
    <w:rsid w:val="009916B2"/>
    <w:rsid w:val="00993085"/>
    <w:rsid w:val="00995648"/>
    <w:rsid w:val="009978F5"/>
    <w:rsid w:val="009A002E"/>
    <w:rsid w:val="009A2014"/>
    <w:rsid w:val="009A545D"/>
    <w:rsid w:val="009B6195"/>
    <w:rsid w:val="009C40D4"/>
    <w:rsid w:val="009C6CB6"/>
    <w:rsid w:val="009C7843"/>
    <w:rsid w:val="009D00CF"/>
    <w:rsid w:val="009D18C7"/>
    <w:rsid w:val="009D354F"/>
    <w:rsid w:val="009D41DF"/>
    <w:rsid w:val="009D4768"/>
    <w:rsid w:val="009D4A8A"/>
    <w:rsid w:val="009D58E7"/>
    <w:rsid w:val="009D6723"/>
    <w:rsid w:val="009D7422"/>
    <w:rsid w:val="009D74D4"/>
    <w:rsid w:val="009E06B2"/>
    <w:rsid w:val="009E227E"/>
    <w:rsid w:val="009E4B97"/>
    <w:rsid w:val="009F4D75"/>
    <w:rsid w:val="009F4E4D"/>
    <w:rsid w:val="00A00DBE"/>
    <w:rsid w:val="00A02325"/>
    <w:rsid w:val="00A03CF0"/>
    <w:rsid w:val="00A03D69"/>
    <w:rsid w:val="00A05EA7"/>
    <w:rsid w:val="00A061E4"/>
    <w:rsid w:val="00A07D21"/>
    <w:rsid w:val="00A12035"/>
    <w:rsid w:val="00A12CE6"/>
    <w:rsid w:val="00A133F2"/>
    <w:rsid w:val="00A158FC"/>
    <w:rsid w:val="00A17778"/>
    <w:rsid w:val="00A27A00"/>
    <w:rsid w:val="00A27F3B"/>
    <w:rsid w:val="00A30528"/>
    <w:rsid w:val="00A31794"/>
    <w:rsid w:val="00A36898"/>
    <w:rsid w:val="00A4078C"/>
    <w:rsid w:val="00A41B56"/>
    <w:rsid w:val="00A42D05"/>
    <w:rsid w:val="00A43C67"/>
    <w:rsid w:val="00A4430B"/>
    <w:rsid w:val="00A44EEF"/>
    <w:rsid w:val="00A51A92"/>
    <w:rsid w:val="00A542BF"/>
    <w:rsid w:val="00A54422"/>
    <w:rsid w:val="00A54769"/>
    <w:rsid w:val="00A57CF6"/>
    <w:rsid w:val="00A60AA5"/>
    <w:rsid w:val="00A63A09"/>
    <w:rsid w:val="00A66D36"/>
    <w:rsid w:val="00A674AB"/>
    <w:rsid w:val="00A70EE4"/>
    <w:rsid w:val="00A71586"/>
    <w:rsid w:val="00A76E28"/>
    <w:rsid w:val="00A77169"/>
    <w:rsid w:val="00A8177A"/>
    <w:rsid w:val="00A833E5"/>
    <w:rsid w:val="00A9101F"/>
    <w:rsid w:val="00A921F5"/>
    <w:rsid w:val="00A9593C"/>
    <w:rsid w:val="00A96E15"/>
    <w:rsid w:val="00AA1FE4"/>
    <w:rsid w:val="00AA32D9"/>
    <w:rsid w:val="00AB6A4D"/>
    <w:rsid w:val="00AC1CA6"/>
    <w:rsid w:val="00AC433A"/>
    <w:rsid w:val="00AC4871"/>
    <w:rsid w:val="00AD025F"/>
    <w:rsid w:val="00AD0CAD"/>
    <w:rsid w:val="00AD1BBF"/>
    <w:rsid w:val="00AD28F7"/>
    <w:rsid w:val="00AD2926"/>
    <w:rsid w:val="00AD3921"/>
    <w:rsid w:val="00AD4965"/>
    <w:rsid w:val="00AD507F"/>
    <w:rsid w:val="00AD52FF"/>
    <w:rsid w:val="00AD6E4D"/>
    <w:rsid w:val="00AF18A4"/>
    <w:rsid w:val="00AF3124"/>
    <w:rsid w:val="00AF515E"/>
    <w:rsid w:val="00AF52CD"/>
    <w:rsid w:val="00B00A46"/>
    <w:rsid w:val="00B01C61"/>
    <w:rsid w:val="00B02BBD"/>
    <w:rsid w:val="00B07DE5"/>
    <w:rsid w:val="00B16134"/>
    <w:rsid w:val="00B163BB"/>
    <w:rsid w:val="00B207BF"/>
    <w:rsid w:val="00B20B39"/>
    <w:rsid w:val="00B21193"/>
    <w:rsid w:val="00B21B93"/>
    <w:rsid w:val="00B22AEB"/>
    <w:rsid w:val="00B22BBC"/>
    <w:rsid w:val="00B27947"/>
    <w:rsid w:val="00B34754"/>
    <w:rsid w:val="00B35209"/>
    <w:rsid w:val="00B352B6"/>
    <w:rsid w:val="00B362A6"/>
    <w:rsid w:val="00B368DD"/>
    <w:rsid w:val="00B41A7B"/>
    <w:rsid w:val="00B42578"/>
    <w:rsid w:val="00B4327C"/>
    <w:rsid w:val="00B43608"/>
    <w:rsid w:val="00B44131"/>
    <w:rsid w:val="00B4436B"/>
    <w:rsid w:val="00B50CA0"/>
    <w:rsid w:val="00B5420F"/>
    <w:rsid w:val="00B54949"/>
    <w:rsid w:val="00B55739"/>
    <w:rsid w:val="00B55B4A"/>
    <w:rsid w:val="00B5689C"/>
    <w:rsid w:val="00B573AD"/>
    <w:rsid w:val="00B6000E"/>
    <w:rsid w:val="00B648BF"/>
    <w:rsid w:val="00B71280"/>
    <w:rsid w:val="00B71588"/>
    <w:rsid w:val="00B722D9"/>
    <w:rsid w:val="00B74538"/>
    <w:rsid w:val="00B74CEF"/>
    <w:rsid w:val="00B774AA"/>
    <w:rsid w:val="00B81D18"/>
    <w:rsid w:val="00B81F7E"/>
    <w:rsid w:val="00B82DAC"/>
    <w:rsid w:val="00B83DD6"/>
    <w:rsid w:val="00B86587"/>
    <w:rsid w:val="00B90E74"/>
    <w:rsid w:val="00B932F5"/>
    <w:rsid w:val="00B936AF"/>
    <w:rsid w:val="00B95058"/>
    <w:rsid w:val="00BA0A9D"/>
    <w:rsid w:val="00BA150F"/>
    <w:rsid w:val="00BA22D7"/>
    <w:rsid w:val="00BA59F8"/>
    <w:rsid w:val="00BA779E"/>
    <w:rsid w:val="00BA7DE4"/>
    <w:rsid w:val="00BB0414"/>
    <w:rsid w:val="00BB0851"/>
    <w:rsid w:val="00BB2422"/>
    <w:rsid w:val="00BB35CD"/>
    <w:rsid w:val="00BB4750"/>
    <w:rsid w:val="00BB54E1"/>
    <w:rsid w:val="00BB56CA"/>
    <w:rsid w:val="00BB60D6"/>
    <w:rsid w:val="00BB735C"/>
    <w:rsid w:val="00BC222C"/>
    <w:rsid w:val="00BC33C0"/>
    <w:rsid w:val="00BD09BA"/>
    <w:rsid w:val="00BD416C"/>
    <w:rsid w:val="00BD6E94"/>
    <w:rsid w:val="00BE10C5"/>
    <w:rsid w:val="00BE26FC"/>
    <w:rsid w:val="00BE28D8"/>
    <w:rsid w:val="00BE2EF4"/>
    <w:rsid w:val="00BE33C1"/>
    <w:rsid w:val="00BE56B6"/>
    <w:rsid w:val="00BE5E70"/>
    <w:rsid w:val="00BE6759"/>
    <w:rsid w:val="00BF1D7C"/>
    <w:rsid w:val="00BF4A18"/>
    <w:rsid w:val="00BF4D0B"/>
    <w:rsid w:val="00BF7523"/>
    <w:rsid w:val="00BF7733"/>
    <w:rsid w:val="00BF7CA9"/>
    <w:rsid w:val="00C00C5B"/>
    <w:rsid w:val="00C0230C"/>
    <w:rsid w:val="00C028E4"/>
    <w:rsid w:val="00C03198"/>
    <w:rsid w:val="00C042A2"/>
    <w:rsid w:val="00C04E76"/>
    <w:rsid w:val="00C05D8E"/>
    <w:rsid w:val="00C07475"/>
    <w:rsid w:val="00C07553"/>
    <w:rsid w:val="00C1411B"/>
    <w:rsid w:val="00C16967"/>
    <w:rsid w:val="00C21903"/>
    <w:rsid w:val="00C3528E"/>
    <w:rsid w:val="00C35942"/>
    <w:rsid w:val="00C368D8"/>
    <w:rsid w:val="00C449C0"/>
    <w:rsid w:val="00C44F11"/>
    <w:rsid w:val="00C4538E"/>
    <w:rsid w:val="00C45B52"/>
    <w:rsid w:val="00C52E0F"/>
    <w:rsid w:val="00C53D9C"/>
    <w:rsid w:val="00C557F2"/>
    <w:rsid w:val="00C5727F"/>
    <w:rsid w:val="00C6085C"/>
    <w:rsid w:val="00C61604"/>
    <w:rsid w:val="00C62083"/>
    <w:rsid w:val="00C621A8"/>
    <w:rsid w:val="00C645C5"/>
    <w:rsid w:val="00C675E9"/>
    <w:rsid w:val="00C72517"/>
    <w:rsid w:val="00C733FA"/>
    <w:rsid w:val="00C80094"/>
    <w:rsid w:val="00C82A7E"/>
    <w:rsid w:val="00C86A5A"/>
    <w:rsid w:val="00C90A65"/>
    <w:rsid w:val="00C95A7A"/>
    <w:rsid w:val="00C95D3E"/>
    <w:rsid w:val="00CA0508"/>
    <w:rsid w:val="00CA066E"/>
    <w:rsid w:val="00CA0DCC"/>
    <w:rsid w:val="00CA0F28"/>
    <w:rsid w:val="00CA2429"/>
    <w:rsid w:val="00CA3111"/>
    <w:rsid w:val="00CA3F65"/>
    <w:rsid w:val="00CA41EE"/>
    <w:rsid w:val="00CA5344"/>
    <w:rsid w:val="00CA62D2"/>
    <w:rsid w:val="00CB070D"/>
    <w:rsid w:val="00CB16A7"/>
    <w:rsid w:val="00CC1B0A"/>
    <w:rsid w:val="00CC3591"/>
    <w:rsid w:val="00CC675E"/>
    <w:rsid w:val="00CC7527"/>
    <w:rsid w:val="00CD1D7F"/>
    <w:rsid w:val="00CD452F"/>
    <w:rsid w:val="00CD4CF4"/>
    <w:rsid w:val="00CD62E9"/>
    <w:rsid w:val="00CD6892"/>
    <w:rsid w:val="00CD7CE0"/>
    <w:rsid w:val="00CE0B9F"/>
    <w:rsid w:val="00CE1761"/>
    <w:rsid w:val="00CE2BBE"/>
    <w:rsid w:val="00CE370E"/>
    <w:rsid w:val="00CE3870"/>
    <w:rsid w:val="00CE47B6"/>
    <w:rsid w:val="00CE5666"/>
    <w:rsid w:val="00CE57B2"/>
    <w:rsid w:val="00CF0C5D"/>
    <w:rsid w:val="00CF1880"/>
    <w:rsid w:val="00CF4486"/>
    <w:rsid w:val="00CF4711"/>
    <w:rsid w:val="00CF4806"/>
    <w:rsid w:val="00CF4F1E"/>
    <w:rsid w:val="00D00FE5"/>
    <w:rsid w:val="00D03CFA"/>
    <w:rsid w:val="00D05BE1"/>
    <w:rsid w:val="00D10158"/>
    <w:rsid w:val="00D132D5"/>
    <w:rsid w:val="00D14D88"/>
    <w:rsid w:val="00D17760"/>
    <w:rsid w:val="00D214A6"/>
    <w:rsid w:val="00D21B2C"/>
    <w:rsid w:val="00D23718"/>
    <w:rsid w:val="00D25E0C"/>
    <w:rsid w:val="00D27498"/>
    <w:rsid w:val="00D3503D"/>
    <w:rsid w:val="00D354A3"/>
    <w:rsid w:val="00D36BAF"/>
    <w:rsid w:val="00D37A89"/>
    <w:rsid w:val="00D41474"/>
    <w:rsid w:val="00D45860"/>
    <w:rsid w:val="00D50A66"/>
    <w:rsid w:val="00D50C0C"/>
    <w:rsid w:val="00D529EA"/>
    <w:rsid w:val="00D529FB"/>
    <w:rsid w:val="00D544CC"/>
    <w:rsid w:val="00D5505E"/>
    <w:rsid w:val="00D553B2"/>
    <w:rsid w:val="00D56321"/>
    <w:rsid w:val="00D60A6D"/>
    <w:rsid w:val="00D62BF0"/>
    <w:rsid w:val="00D66356"/>
    <w:rsid w:val="00D66C0A"/>
    <w:rsid w:val="00D66FAA"/>
    <w:rsid w:val="00D70B12"/>
    <w:rsid w:val="00D70BA4"/>
    <w:rsid w:val="00D71383"/>
    <w:rsid w:val="00D729B0"/>
    <w:rsid w:val="00D74BAE"/>
    <w:rsid w:val="00D75EF1"/>
    <w:rsid w:val="00D82040"/>
    <w:rsid w:val="00D84823"/>
    <w:rsid w:val="00D86224"/>
    <w:rsid w:val="00D87017"/>
    <w:rsid w:val="00D945A1"/>
    <w:rsid w:val="00D94BD6"/>
    <w:rsid w:val="00D958E1"/>
    <w:rsid w:val="00DA27A8"/>
    <w:rsid w:val="00DB255E"/>
    <w:rsid w:val="00DB7267"/>
    <w:rsid w:val="00DC5FE2"/>
    <w:rsid w:val="00DC64F4"/>
    <w:rsid w:val="00DC7C1D"/>
    <w:rsid w:val="00DD15A6"/>
    <w:rsid w:val="00DD26C9"/>
    <w:rsid w:val="00DD2E72"/>
    <w:rsid w:val="00DD5C89"/>
    <w:rsid w:val="00DD7EBE"/>
    <w:rsid w:val="00DE0A00"/>
    <w:rsid w:val="00DE17C7"/>
    <w:rsid w:val="00DE34E6"/>
    <w:rsid w:val="00DE53FE"/>
    <w:rsid w:val="00DF0938"/>
    <w:rsid w:val="00DF2B9B"/>
    <w:rsid w:val="00DF5758"/>
    <w:rsid w:val="00E00073"/>
    <w:rsid w:val="00E04A5D"/>
    <w:rsid w:val="00E06DE3"/>
    <w:rsid w:val="00E07A29"/>
    <w:rsid w:val="00E11659"/>
    <w:rsid w:val="00E1712D"/>
    <w:rsid w:val="00E21332"/>
    <w:rsid w:val="00E22C02"/>
    <w:rsid w:val="00E2488F"/>
    <w:rsid w:val="00E248C0"/>
    <w:rsid w:val="00E27E49"/>
    <w:rsid w:val="00E329DC"/>
    <w:rsid w:val="00E3551D"/>
    <w:rsid w:val="00E37E75"/>
    <w:rsid w:val="00E4403F"/>
    <w:rsid w:val="00E456F5"/>
    <w:rsid w:val="00E51E09"/>
    <w:rsid w:val="00E539E7"/>
    <w:rsid w:val="00E56F8E"/>
    <w:rsid w:val="00E6269A"/>
    <w:rsid w:val="00E64FD4"/>
    <w:rsid w:val="00E70DBF"/>
    <w:rsid w:val="00E74581"/>
    <w:rsid w:val="00E76343"/>
    <w:rsid w:val="00E77296"/>
    <w:rsid w:val="00E8174F"/>
    <w:rsid w:val="00E86B62"/>
    <w:rsid w:val="00E90783"/>
    <w:rsid w:val="00E93B50"/>
    <w:rsid w:val="00E95330"/>
    <w:rsid w:val="00E96CE5"/>
    <w:rsid w:val="00EA4E73"/>
    <w:rsid w:val="00EB10F4"/>
    <w:rsid w:val="00EB1B08"/>
    <w:rsid w:val="00EB3CC8"/>
    <w:rsid w:val="00EB3E20"/>
    <w:rsid w:val="00EB6523"/>
    <w:rsid w:val="00EB7EE4"/>
    <w:rsid w:val="00EC2001"/>
    <w:rsid w:val="00EC5674"/>
    <w:rsid w:val="00ED2177"/>
    <w:rsid w:val="00ED2876"/>
    <w:rsid w:val="00ED3178"/>
    <w:rsid w:val="00ED42AD"/>
    <w:rsid w:val="00ED45D2"/>
    <w:rsid w:val="00EE0DEA"/>
    <w:rsid w:val="00EE1A79"/>
    <w:rsid w:val="00EE3E7B"/>
    <w:rsid w:val="00EE56ED"/>
    <w:rsid w:val="00EF19FE"/>
    <w:rsid w:val="00EF3B84"/>
    <w:rsid w:val="00EF5D5E"/>
    <w:rsid w:val="00EF70C4"/>
    <w:rsid w:val="00EF741C"/>
    <w:rsid w:val="00EF7F70"/>
    <w:rsid w:val="00F02252"/>
    <w:rsid w:val="00F0409B"/>
    <w:rsid w:val="00F15C46"/>
    <w:rsid w:val="00F1725F"/>
    <w:rsid w:val="00F17511"/>
    <w:rsid w:val="00F23F8E"/>
    <w:rsid w:val="00F26970"/>
    <w:rsid w:val="00F30E16"/>
    <w:rsid w:val="00F315A4"/>
    <w:rsid w:val="00F31AE3"/>
    <w:rsid w:val="00F3223F"/>
    <w:rsid w:val="00F32ECE"/>
    <w:rsid w:val="00F36F3D"/>
    <w:rsid w:val="00F41B86"/>
    <w:rsid w:val="00F41CD1"/>
    <w:rsid w:val="00F43200"/>
    <w:rsid w:val="00F53279"/>
    <w:rsid w:val="00F540D0"/>
    <w:rsid w:val="00F54A9E"/>
    <w:rsid w:val="00F54E1C"/>
    <w:rsid w:val="00F5593E"/>
    <w:rsid w:val="00F56993"/>
    <w:rsid w:val="00F571C9"/>
    <w:rsid w:val="00F611B6"/>
    <w:rsid w:val="00F6372C"/>
    <w:rsid w:val="00F652D7"/>
    <w:rsid w:val="00F65347"/>
    <w:rsid w:val="00F6577D"/>
    <w:rsid w:val="00F657A2"/>
    <w:rsid w:val="00F65992"/>
    <w:rsid w:val="00F70320"/>
    <w:rsid w:val="00F7265E"/>
    <w:rsid w:val="00F72989"/>
    <w:rsid w:val="00F729D6"/>
    <w:rsid w:val="00F73C9F"/>
    <w:rsid w:val="00F77D07"/>
    <w:rsid w:val="00F81CA3"/>
    <w:rsid w:val="00F82FD2"/>
    <w:rsid w:val="00F84090"/>
    <w:rsid w:val="00F85F3D"/>
    <w:rsid w:val="00F86866"/>
    <w:rsid w:val="00F916B5"/>
    <w:rsid w:val="00F92525"/>
    <w:rsid w:val="00F92589"/>
    <w:rsid w:val="00F95B23"/>
    <w:rsid w:val="00FA1048"/>
    <w:rsid w:val="00FA1433"/>
    <w:rsid w:val="00FA5DB8"/>
    <w:rsid w:val="00FA6989"/>
    <w:rsid w:val="00FA7468"/>
    <w:rsid w:val="00FA7B86"/>
    <w:rsid w:val="00FB178F"/>
    <w:rsid w:val="00FB5488"/>
    <w:rsid w:val="00FC0A42"/>
    <w:rsid w:val="00FC4B93"/>
    <w:rsid w:val="00FC4FB8"/>
    <w:rsid w:val="00FC7428"/>
    <w:rsid w:val="00FD3871"/>
    <w:rsid w:val="00FD3A6F"/>
    <w:rsid w:val="00FD4F71"/>
    <w:rsid w:val="00FD72B8"/>
    <w:rsid w:val="00FE0D5B"/>
    <w:rsid w:val="00FE2886"/>
    <w:rsid w:val="00FE5C60"/>
    <w:rsid w:val="00FE7291"/>
    <w:rsid w:val="00FF026C"/>
    <w:rsid w:val="00FF2A43"/>
    <w:rsid w:val="00FF3C64"/>
    <w:rsid w:val="00FF5C01"/>
    <w:rsid w:val="00FF696F"/>
    <w:rsid w:val="00FF7285"/>
    <w:rsid w:val="00FF72CA"/>
    <w:rsid w:val="00FF79A5"/>
    <w:rsid w:val="0108262F"/>
    <w:rsid w:val="01172A03"/>
    <w:rsid w:val="0119677B"/>
    <w:rsid w:val="013730A5"/>
    <w:rsid w:val="015D7E49"/>
    <w:rsid w:val="015E4AD6"/>
    <w:rsid w:val="01655E65"/>
    <w:rsid w:val="017032A3"/>
    <w:rsid w:val="018A36C1"/>
    <w:rsid w:val="018D0F17"/>
    <w:rsid w:val="01A85D51"/>
    <w:rsid w:val="01AD3A6B"/>
    <w:rsid w:val="01AD5116"/>
    <w:rsid w:val="01BD7A4F"/>
    <w:rsid w:val="01C3519F"/>
    <w:rsid w:val="01E4322D"/>
    <w:rsid w:val="01FB0577"/>
    <w:rsid w:val="02151639"/>
    <w:rsid w:val="02381E39"/>
    <w:rsid w:val="026305F6"/>
    <w:rsid w:val="02AB08CD"/>
    <w:rsid w:val="02CF7A3A"/>
    <w:rsid w:val="02D36DFE"/>
    <w:rsid w:val="02E334E5"/>
    <w:rsid w:val="03004097"/>
    <w:rsid w:val="0307557B"/>
    <w:rsid w:val="030B2A3C"/>
    <w:rsid w:val="031E451D"/>
    <w:rsid w:val="03246ACA"/>
    <w:rsid w:val="032A1114"/>
    <w:rsid w:val="03327FC8"/>
    <w:rsid w:val="033E071B"/>
    <w:rsid w:val="03744955"/>
    <w:rsid w:val="037B54CB"/>
    <w:rsid w:val="03834FBD"/>
    <w:rsid w:val="03990047"/>
    <w:rsid w:val="039C3694"/>
    <w:rsid w:val="03A03184"/>
    <w:rsid w:val="03BE44B1"/>
    <w:rsid w:val="03D270B5"/>
    <w:rsid w:val="03DD3AAC"/>
    <w:rsid w:val="041265BD"/>
    <w:rsid w:val="04247911"/>
    <w:rsid w:val="042D7C0E"/>
    <w:rsid w:val="043B4C5B"/>
    <w:rsid w:val="0452355B"/>
    <w:rsid w:val="046E5030"/>
    <w:rsid w:val="047A1C27"/>
    <w:rsid w:val="0490144A"/>
    <w:rsid w:val="04987017"/>
    <w:rsid w:val="049D5915"/>
    <w:rsid w:val="04B844FD"/>
    <w:rsid w:val="04C609C8"/>
    <w:rsid w:val="04DC4690"/>
    <w:rsid w:val="04EB73BD"/>
    <w:rsid w:val="04F419D9"/>
    <w:rsid w:val="04F57A38"/>
    <w:rsid w:val="051A6F66"/>
    <w:rsid w:val="054144F3"/>
    <w:rsid w:val="054364BD"/>
    <w:rsid w:val="05687A1E"/>
    <w:rsid w:val="056A57F8"/>
    <w:rsid w:val="057A48CB"/>
    <w:rsid w:val="058D7738"/>
    <w:rsid w:val="059D6B84"/>
    <w:rsid w:val="05AA2098"/>
    <w:rsid w:val="05CF7D50"/>
    <w:rsid w:val="05D62E8D"/>
    <w:rsid w:val="05DA078E"/>
    <w:rsid w:val="05EA06E6"/>
    <w:rsid w:val="05FE0636"/>
    <w:rsid w:val="060D2627"/>
    <w:rsid w:val="0627193B"/>
    <w:rsid w:val="064A5629"/>
    <w:rsid w:val="06530982"/>
    <w:rsid w:val="06823015"/>
    <w:rsid w:val="06B07B82"/>
    <w:rsid w:val="06B104C9"/>
    <w:rsid w:val="06C91C04"/>
    <w:rsid w:val="07021C12"/>
    <w:rsid w:val="0751113F"/>
    <w:rsid w:val="075C73C2"/>
    <w:rsid w:val="075F5104"/>
    <w:rsid w:val="077C5CB6"/>
    <w:rsid w:val="07A06C6D"/>
    <w:rsid w:val="07AC659B"/>
    <w:rsid w:val="07C438BF"/>
    <w:rsid w:val="07FB5000"/>
    <w:rsid w:val="083B347B"/>
    <w:rsid w:val="08540931"/>
    <w:rsid w:val="086724C2"/>
    <w:rsid w:val="086C1887"/>
    <w:rsid w:val="08901A19"/>
    <w:rsid w:val="089112ED"/>
    <w:rsid w:val="089B03BE"/>
    <w:rsid w:val="08FF2FC2"/>
    <w:rsid w:val="09045F63"/>
    <w:rsid w:val="09077801"/>
    <w:rsid w:val="090C7E89"/>
    <w:rsid w:val="095C5D9F"/>
    <w:rsid w:val="096B5FE2"/>
    <w:rsid w:val="09734E97"/>
    <w:rsid w:val="09B259BF"/>
    <w:rsid w:val="09CA0F5B"/>
    <w:rsid w:val="0A157CFC"/>
    <w:rsid w:val="0A1641A0"/>
    <w:rsid w:val="0A1B3564"/>
    <w:rsid w:val="0A2166A1"/>
    <w:rsid w:val="0A287091"/>
    <w:rsid w:val="0A2D14EA"/>
    <w:rsid w:val="0A2E773B"/>
    <w:rsid w:val="0A6E343B"/>
    <w:rsid w:val="0AAA164B"/>
    <w:rsid w:val="0AD33E3F"/>
    <w:rsid w:val="0AD83203"/>
    <w:rsid w:val="0AE41BA8"/>
    <w:rsid w:val="0AF455A9"/>
    <w:rsid w:val="0B2E0F86"/>
    <w:rsid w:val="0BAF665A"/>
    <w:rsid w:val="0BBE591E"/>
    <w:rsid w:val="0BE5747B"/>
    <w:rsid w:val="0BE61950"/>
    <w:rsid w:val="0C042261"/>
    <w:rsid w:val="0C126BE9"/>
    <w:rsid w:val="0C1E558E"/>
    <w:rsid w:val="0C460641"/>
    <w:rsid w:val="0C4E6409"/>
    <w:rsid w:val="0C564D28"/>
    <w:rsid w:val="0C8169F5"/>
    <w:rsid w:val="0C817641"/>
    <w:rsid w:val="0C825B1D"/>
    <w:rsid w:val="0CD0652F"/>
    <w:rsid w:val="0D123D56"/>
    <w:rsid w:val="0D51169D"/>
    <w:rsid w:val="0D523968"/>
    <w:rsid w:val="0D553231"/>
    <w:rsid w:val="0D5C636E"/>
    <w:rsid w:val="0D7548BC"/>
    <w:rsid w:val="0D814026"/>
    <w:rsid w:val="0D935B07"/>
    <w:rsid w:val="0DAC49E8"/>
    <w:rsid w:val="0DCA1569"/>
    <w:rsid w:val="0E020289"/>
    <w:rsid w:val="0E22717B"/>
    <w:rsid w:val="0E3A5F83"/>
    <w:rsid w:val="0E6925B3"/>
    <w:rsid w:val="0E6F0323"/>
    <w:rsid w:val="0E7771D7"/>
    <w:rsid w:val="0ED85EC8"/>
    <w:rsid w:val="0EDB4EA3"/>
    <w:rsid w:val="0EDC703A"/>
    <w:rsid w:val="0EE505E5"/>
    <w:rsid w:val="0EF600FC"/>
    <w:rsid w:val="0F38518E"/>
    <w:rsid w:val="0F3B6C14"/>
    <w:rsid w:val="0F403A6D"/>
    <w:rsid w:val="0F426F80"/>
    <w:rsid w:val="0F446D14"/>
    <w:rsid w:val="0F9F2542"/>
    <w:rsid w:val="0FA30B04"/>
    <w:rsid w:val="0FB6788B"/>
    <w:rsid w:val="0FDF3286"/>
    <w:rsid w:val="0FE64614"/>
    <w:rsid w:val="0FF55E19"/>
    <w:rsid w:val="0FFB53ED"/>
    <w:rsid w:val="10142F30"/>
    <w:rsid w:val="104F3F68"/>
    <w:rsid w:val="105552F6"/>
    <w:rsid w:val="105A7A38"/>
    <w:rsid w:val="10636E66"/>
    <w:rsid w:val="106E4298"/>
    <w:rsid w:val="10985F82"/>
    <w:rsid w:val="10A44C4D"/>
    <w:rsid w:val="10A83678"/>
    <w:rsid w:val="10C17A15"/>
    <w:rsid w:val="10C34956"/>
    <w:rsid w:val="10D3604C"/>
    <w:rsid w:val="110060CC"/>
    <w:rsid w:val="111E393A"/>
    <w:rsid w:val="11262595"/>
    <w:rsid w:val="115C219F"/>
    <w:rsid w:val="115D4462"/>
    <w:rsid w:val="115E01DA"/>
    <w:rsid w:val="115F467E"/>
    <w:rsid w:val="11665A0D"/>
    <w:rsid w:val="117D75FA"/>
    <w:rsid w:val="11934328"/>
    <w:rsid w:val="11966095"/>
    <w:rsid w:val="11E9219A"/>
    <w:rsid w:val="12296A3A"/>
    <w:rsid w:val="12303925"/>
    <w:rsid w:val="12401252"/>
    <w:rsid w:val="12456933"/>
    <w:rsid w:val="124D2729"/>
    <w:rsid w:val="126B5812"/>
    <w:rsid w:val="128E1A90"/>
    <w:rsid w:val="12B55551"/>
    <w:rsid w:val="12CF697F"/>
    <w:rsid w:val="12F830A5"/>
    <w:rsid w:val="13051255"/>
    <w:rsid w:val="13070B2A"/>
    <w:rsid w:val="133A6ED5"/>
    <w:rsid w:val="13517FF7"/>
    <w:rsid w:val="13557A16"/>
    <w:rsid w:val="13562E8D"/>
    <w:rsid w:val="135A1FCA"/>
    <w:rsid w:val="13987F9F"/>
    <w:rsid w:val="139E0D62"/>
    <w:rsid w:val="13D604FC"/>
    <w:rsid w:val="13E946D3"/>
    <w:rsid w:val="13FF5CA5"/>
    <w:rsid w:val="14117786"/>
    <w:rsid w:val="146D70B2"/>
    <w:rsid w:val="14740441"/>
    <w:rsid w:val="149E54BE"/>
    <w:rsid w:val="14B95E54"/>
    <w:rsid w:val="14D40EDF"/>
    <w:rsid w:val="14D64C58"/>
    <w:rsid w:val="14FC0436"/>
    <w:rsid w:val="150317C5"/>
    <w:rsid w:val="150336AA"/>
    <w:rsid w:val="15222F00"/>
    <w:rsid w:val="152D17C9"/>
    <w:rsid w:val="15345CBD"/>
    <w:rsid w:val="15464B2D"/>
    <w:rsid w:val="1547599E"/>
    <w:rsid w:val="155C2C83"/>
    <w:rsid w:val="15690A3B"/>
    <w:rsid w:val="15787ABD"/>
    <w:rsid w:val="15A036A4"/>
    <w:rsid w:val="15A15DEA"/>
    <w:rsid w:val="15A308B2"/>
    <w:rsid w:val="15B605E5"/>
    <w:rsid w:val="15D1541F"/>
    <w:rsid w:val="16225C7A"/>
    <w:rsid w:val="165B4E1E"/>
    <w:rsid w:val="1663076D"/>
    <w:rsid w:val="168801D3"/>
    <w:rsid w:val="16AD6943"/>
    <w:rsid w:val="16BC60CF"/>
    <w:rsid w:val="174A3E64"/>
    <w:rsid w:val="175C5F2D"/>
    <w:rsid w:val="17850510"/>
    <w:rsid w:val="17FB49D5"/>
    <w:rsid w:val="18094F0A"/>
    <w:rsid w:val="185C36C6"/>
    <w:rsid w:val="185D11EC"/>
    <w:rsid w:val="185F6D12"/>
    <w:rsid w:val="187F5606"/>
    <w:rsid w:val="18BF1EA7"/>
    <w:rsid w:val="18C9062F"/>
    <w:rsid w:val="18D86AC4"/>
    <w:rsid w:val="194561E9"/>
    <w:rsid w:val="1954439D"/>
    <w:rsid w:val="19772FC7"/>
    <w:rsid w:val="198E1FC5"/>
    <w:rsid w:val="19927945"/>
    <w:rsid w:val="19E744D5"/>
    <w:rsid w:val="19F16090"/>
    <w:rsid w:val="1A22449B"/>
    <w:rsid w:val="1A370DC2"/>
    <w:rsid w:val="1A3A54B6"/>
    <w:rsid w:val="1A533F79"/>
    <w:rsid w:val="1A6745A4"/>
    <w:rsid w:val="1A8B64E4"/>
    <w:rsid w:val="1A961AFD"/>
    <w:rsid w:val="1AA64B23"/>
    <w:rsid w:val="1AD9503A"/>
    <w:rsid w:val="1AF37BE5"/>
    <w:rsid w:val="1AFC2FF3"/>
    <w:rsid w:val="1B1A1616"/>
    <w:rsid w:val="1B1E4B60"/>
    <w:rsid w:val="1B4E5BFF"/>
    <w:rsid w:val="1B570CE6"/>
    <w:rsid w:val="1B5D04F5"/>
    <w:rsid w:val="1BA55384"/>
    <w:rsid w:val="1BC33A5C"/>
    <w:rsid w:val="1BC872C4"/>
    <w:rsid w:val="1BEF055C"/>
    <w:rsid w:val="1BFC07BD"/>
    <w:rsid w:val="1C0302FC"/>
    <w:rsid w:val="1C031CE4"/>
    <w:rsid w:val="1C0368D2"/>
    <w:rsid w:val="1C3861F8"/>
    <w:rsid w:val="1C491AC1"/>
    <w:rsid w:val="1C563AE8"/>
    <w:rsid w:val="1C6F13E4"/>
    <w:rsid w:val="1C741674"/>
    <w:rsid w:val="1CA4388D"/>
    <w:rsid w:val="1CA97685"/>
    <w:rsid w:val="1CC41839"/>
    <w:rsid w:val="1CE02090"/>
    <w:rsid w:val="1D0600A4"/>
    <w:rsid w:val="1D102CD1"/>
    <w:rsid w:val="1D2F75FB"/>
    <w:rsid w:val="1D306ECF"/>
    <w:rsid w:val="1D594678"/>
    <w:rsid w:val="1D65301C"/>
    <w:rsid w:val="1D666D95"/>
    <w:rsid w:val="1D860C73"/>
    <w:rsid w:val="1D8E5B14"/>
    <w:rsid w:val="1DA942D9"/>
    <w:rsid w:val="1DCB4E4A"/>
    <w:rsid w:val="1DDC2BB3"/>
    <w:rsid w:val="1E044DB3"/>
    <w:rsid w:val="1E296F38"/>
    <w:rsid w:val="1E672140"/>
    <w:rsid w:val="1E8A0861"/>
    <w:rsid w:val="1E9D0594"/>
    <w:rsid w:val="1EA15953"/>
    <w:rsid w:val="1EAB0F03"/>
    <w:rsid w:val="1EAC4C7B"/>
    <w:rsid w:val="1EAF2075"/>
    <w:rsid w:val="1ED146E2"/>
    <w:rsid w:val="1ED65854"/>
    <w:rsid w:val="1EE77A61"/>
    <w:rsid w:val="1F0C571A"/>
    <w:rsid w:val="1F135A64"/>
    <w:rsid w:val="1F2F0B3C"/>
    <w:rsid w:val="1F3A5DE3"/>
    <w:rsid w:val="1F4B17B5"/>
    <w:rsid w:val="1FB45B95"/>
    <w:rsid w:val="1FBB5FC6"/>
    <w:rsid w:val="1FEC17D3"/>
    <w:rsid w:val="1FFE5062"/>
    <w:rsid w:val="20230F6D"/>
    <w:rsid w:val="202763C6"/>
    <w:rsid w:val="202820DF"/>
    <w:rsid w:val="204D5FEA"/>
    <w:rsid w:val="20511636"/>
    <w:rsid w:val="207277C3"/>
    <w:rsid w:val="20735A50"/>
    <w:rsid w:val="20823EE5"/>
    <w:rsid w:val="209354CA"/>
    <w:rsid w:val="20973992"/>
    <w:rsid w:val="20A53730"/>
    <w:rsid w:val="20CA1ACE"/>
    <w:rsid w:val="21422469"/>
    <w:rsid w:val="21501B0F"/>
    <w:rsid w:val="2195434E"/>
    <w:rsid w:val="21AC0A4A"/>
    <w:rsid w:val="21B225A8"/>
    <w:rsid w:val="21C92FC2"/>
    <w:rsid w:val="21CD73E2"/>
    <w:rsid w:val="22097CEF"/>
    <w:rsid w:val="22137E42"/>
    <w:rsid w:val="224244A5"/>
    <w:rsid w:val="224B0307"/>
    <w:rsid w:val="22513B6F"/>
    <w:rsid w:val="226A2E83"/>
    <w:rsid w:val="226C7DC5"/>
    <w:rsid w:val="226D4721"/>
    <w:rsid w:val="22804455"/>
    <w:rsid w:val="228956CA"/>
    <w:rsid w:val="22A5210D"/>
    <w:rsid w:val="22BD1205"/>
    <w:rsid w:val="22BF31CF"/>
    <w:rsid w:val="22C2317B"/>
    <w:rsid w:val="2309444A"/>
    <w:rsid w:val="230A01C2"/>
    <w:rsid w:val="231C3529"/>
    <w:rsid w:val="231D7EF5"/>
    <w:rsid w:val="23221AF6"/>
    <w:rsid w:val="232F365F"/>
    <w:rsid w:val="236773C3"/>
    <w:rsid w:val="23A777BF"/>
    <w:rsid w:val="23B51EDC"/>
    <w:rsid w:val="23BF7CE0"/>
    <w:rsid w:val="23DC3B99"/>
    <w:rsid w:val="23F944BF"/>
    <w:rsid w:val="242552B4"/>
    <w:rsid w:val="243F03AD"/>
    <w:rsid w:val="24457704"/>
    <w:rsid w:val="248F6BD1"/>
    <w:rsid w:val="24AD52A9"/>
    <w:rsid w:val="24AE2262"/>
    <w:rsid w:val="24AF1021"/>
    <w:rsid w:val="24C34ACD"/>
    <w:rsid w:val="24CA19B7"/>
    <w:rsid w:val="24E862E1"/>
    <w:rsid w:val="250711D2"/>
    <w:rsid w:val="250A26FB"/>
    <w:rsid w:val="25344956"/>
    <w:rsid w:val="25537BFE"/>
    <w:rsid w:val="255F47F5"/>
    <w:rsid w:val="25B508B9"/>
    <w:rsid w:val="25D0124F"/>
    <w:rsid w:val="25D54AB7"/>
    <w:rsid w:val="26086C3B"/>
    <w:rsid w:val="26170C2C"/>
    <w:rsid w:val="26247945"/>
    <w:rsid w:val="26405AAC"/>
    <w:rsid w:val="265D2286"/>
    <w:rsid w:val="26632C4E"/>
    <w:rsid w:val="26993FF3"/>
    <w:rsid w:val="26A67A65"/>
    <w:rsid w:val="26A77628"/>
    <w:rsid w:val="26D82824"/>
    <w:rsid w:val="271433BD"/>
    <w:rsid w:val="271E795E"/>
    <w:rsid w:val="275F0ADD"/>
    <w:rsid w:val="276E51C4"/>
    <w:rsid w:val="277F117F"/>
    <w:rsid w:val="279D7857"/>
    <w:rsid w:val="27B96248"/>
    <w:rsid w:val="27EF4466"/>
    <w:rsid w:val="28041BB9"/>
    <w:rsid w:val="28366CD2"/>
    <w:rsid w:val="285F2D5E"/>
    <w:rsid w:val="28667C49"/>
    <w:rsid w:val="28855DD9"/>
    <w:rsid w:val="288B76AF"/>
    <w:rsid w:val="28A27551"/>
    <w:rsid w:val="28B430AA"/>
    <w:rsid w:val="28BB61E6"/>
    <w:rsid w:val="28C253D0"/>
    <w:rsid w:val="292024ED"/>
    <w:rsid w:val="293E2974"/>
    <w:rsid w:val="299A1756"/>
    <w:rsid w:val="299A22A0"/>
    <w:rsid w:val="299B6018"/>
    <w:rsid w:val="29C11258"/>
    <w:rsid w:val="29CB06AB"/>
    <w:rsid w:val="29FF2103"/>
    <w:rsid w:val="2A5C6A59"/>
    <w:rsid w:val="2A8820F8"/>
    <w:rsid w:val="2A9F38E6"/>
    <w:rsid w:val="2B097016"/>
    <w:rsid w:val="2B125E66"/>
    <w:rsid w:val="2B2D4A4E"/>
    <w:rsid w:val="2B3644EE"/>
    <w:rsid w:val="2B3E677B"/>
    <w:rsid w:val="2B5621F6"/>
    <w:rsid w:val="2B795EE5"/>
    <w:rsid w:val="2B807273"/>
    <w:rsid w:val="2B944ACD"/>
    <w:rsid w:val="2BA40E9F"/>
    <w:rsid w:val="2BAA0794"/>
    <w:rsid w:val="2BB316D3"/>
    <w:rsid w:val="2BCF246E"/>
    <w:rsid w:val="2BE75544"/>
    <w:rsid w:val="2C1005F7"/>
    <w:rsid w:val="2C2E6331"/>
    <w:rsid w:val="2C3579DC"/>
    <w:rsid w:val="2C44775D"/>
    <w:rsid w:val="2C4D184B"/>
    <w:rsid w:val="2C640943"/>
    <w:rsid w:val="2CAB6E9C"/>
    <w:rsid w:val="2CB43679"/>
    <w:rsid w:val="2CD77367"/>
    <w:rsid w:val="2D1063D5"/>
    <w:rsid w:val="2D2105E2"/>
    <w:rsid w:val="2D2A5DE1"/>
    <w:rsid w:val="2D3A16A4"/>
    <w:rsid w:val="2D564730"/>
    <w:rsid w:val="2D687FBF"/>
    <w:rsid w:val="2D7457C8"/>
    <w:rsid w:val="2D7D1923"/>
    <w:rsid w:val="2D9A620A"/>
    <w:rsid w:val="2DA74F8B"/>
    <w:rsid w:val="2DA9265E"/>
    <w:rsid w:val="2DCF003E"/>
    <w:rsid w:val="2DEA131C"/>
    <w:rsid w:val="2DFF7488"/>
    <w:rsid w:val="2E1343CF"/>
    <w:rsid w:val="2E304F81"/>
    <w:rsid w:val="2E3854F0"/>
    <w:rsid w:val="2E5161D8"/>
    <w:rsid w:val="2E666BF4"/>
    <w:rsid w:val="2E7035CF"/>
    <w:rsid w:val="2E9F5229"/>
    <w:rsid w:val="2EE245AF"/>
    <w:rsid w:val="2F204FF5"/>
    <w:rsid w:val="2F285C58"/>
    <w:rsid w:val="2F2D326E"/>
    <w:rsid w:val="2F3B683F"/>
    <w:rsid w:val="2F542EF1"/>
    <w:rsid w:val="2F8A6B45"/>
    <w:rsid w:val="2FA47C9A"/>
    <w:rsid w:val="2FAA2B11"/>
    <w:rsid w:val="2FC55B9D"/>
    <w:rsid w:val="2FCA6D0F"/>
    <w:rsid w:val="2FE723E7"/>
    <w:rsid w:val="2FEF2C1A"/>
    <w:rsid w:val="30161F54"/>
    <w:rsid w:val="301D1535"/>
    <w:rsid w:val="302B15CB"/>
    <w:rsid w:val="302C5656"/>
    <w:rsid w:val="303A1923"/>
    <w:rsid w:val="304C5976"/>
    <w:rsid w:val="305A62E5"/>
    <w:rsid w:val="30713946"/>
    <w:rsid w:val="309C68FD"/>
    <w:rsid w:val="30AE6DA3"/>
    <w:rsid w:val="30CF7407"/>
    <w:rsid w:val="30FF6E8C"/>
    <w:rsid w:val="317797D9"/>
    <w:rsid w:val="318555E4"/>
    <w:rsid w:val="31A6555A"/>
    <w:rsid w:val="31AA6DF8"/>
    <w:rsid w:val="31D67CFB"/>
    <w:rsid w:val="31E83DC4"/>
    <w:rsid w:val="31FB7654"/>
    <w:rsid w:val="321E1594"/>
    <w:rsid w:val="326A4E14"/>
    <w:rsid w:val="32762265"/>
    <w:rsid w:val="328F49B3"/>
    <w:rsid w:val="32951856"/>
    <w:rsid w:val="32BA2709"/>
    <w:rsid w:val="32D3412D"/>
    <w:rsid w:val="32E31613"/>
    <w:rsid w:val="32FE093E"/>
    <w:rsid w:val="331264AC"/>
    <w:rsid w:val="3319273D"/>
    <w:rsid w:val="333F17C2"/>
    <w:rsid w:val="334D2131"/>
    <w:rsid w:val="33613E2E"/>
    <w:rsid w:val="336976C8"/>
    <w:rsid w:val="33BC6AB9"/>
    <w:rsid w:val="33C5616B"/>
    <w:rsid w:val="33C70135"/>
    <w:rsid w:val="340255E9"/>
    <w:rsid w:val="344828F8"/>
    <w:rsid w:val="34711E4F"/>
    <w:rsid w:val="34727975"/>
    <w:rsid w:val="34A3380E"/>
    <w:rsid w:val="34EC597A"/>
    <w:rsid w:val="35093D3D"/>
    <w:rsid w:val="351F7AFD"/>
    <w:rsid w:val="35215FC6"/>
    <w:rsid w:val="35245113"/>
    <w:rsid w:val="35411821"/>
    <w:rsid w:val="354C1C63"/>
    <w:rsid w:val="35616EDF"/>
    <w:rsid w:val="356B4AF0"/>
    <w:rsid w:val="35AB313F"/>
    <w:rsid w:val="35BE2E72"/>
    <w:rsid w:val="3627628E"/>
    <w:rsid w:val="3636114E"/>
    <w:rsid w:val="36626226"/>
    <w:rsid w:val="36633A19"/>
    <w:rsid w:val="36657792"/>
    <w:rsid w:val="366A327E"/>
    <w:rsid w:val="36847D96"/>
    <w:rsid w:val="369736C3"/>
    <w:rsid w:val="36A71B58"/>
    <w:rsid w:val="36A77DAA"/>
    <w:rsid w:val="36BC6933"/>
    <w:rsid w:val="36D63769"/>
    <w:rsid w:val="36EA58C4"/>
    <w:rsid w:val="37144D14"/>
    <w:rsid w:val="37152F66"/>
    <w:rsid w:val="37164463"/>
    <w:rsid w:val="373F7FE3"/>
    <w:rsid w:val="377203B8"/>
    <w:rsid w:val="37865C12"/>
    <w:rsid w:val="37A56BB4"/>
    <w:rsid w:val="37B26A07"/>
    <w:rsid w:val="37BF1123"/>
    <w:rsid w:val="37BF7375"/>
    <w:rsid w:val="37CD3840"/>
    <w:rsid w:val="37E10CD2"/>
    <w:rsid w:val="37E62B54"/>
    <w:rsid w:val="38092D75"/>
    <w:rsid w:val="38485207"/>
    <w:rsid w:val="385555E4"/>
    <w:rsid w:val="38606463"/>
    <w:rsid w:val="386341A5"/>
    <w:rsid w:val="38685317"/>
    <w:rsid w:val="3872263A"/>
    <w:rsid w:val="388B0172"/>
    <w:rsid w:val="38A44B81"/>
    <w:rsid w:val="38C02141"/>
    <w:rsid w:val="38C904AC"/>
    <w:rsid w:val="39015C6E"/>
    <w:rsid w:val="391D25A6"/>
    <w:rsid w:val="392C731A"/>
    <w:rsid w:val="39423DBA"/>
    <w:rsid w:val="39475874"/>
    <w:rsid w:val="397559C9"/>
    <w:rsid w:val="397A79F8"/>
    <w:rsid w:val="39886348"/>
    <w:rsid w:val="39BA1FC4"/>
    <w:rsid w:val="39E44E71"/>
    <w:rsid w:val="3A064DE8"/>
    <w:rsid w:val="3A274C35"/>
    <w:rsid w:val="3A355632"/>
    <w:rsid w:val="3A5D280D"/>
    <w:rsid w:val="3A5E7E93"/>
    <w:rsid w:val="3A683CF4"/>
    <w:rsid w:val="3AB70465"/>
    <w:rsid w:val="3B133C60"/>
    <w:rsid w:val="3B1672AC"/>
    <w:rsid w:val="3B58732D"/>
    <w:rsid w:val="3B60677A"/>
    <w:rsid w:val="3B691AD2"/>
    <w:rsid w:val="3B7F18E1"/>
    <w:rsid w:val="3B9C6F41"/>
    <w:rsid w:val="3BB865B6"/>
    <w:rsid w:val="3BC27434"/>
    <w:rsid w:val="3BCC0F7C"/>
    <w:rsid w:val="3BF515B8"/>
    <w:rsid w:val="3BF57D9A"/>
    <w:rsid w:val="3C0E352E"/>
    <w:rsid w:val="3C244D89"/>
    <w:rsid w:val="3C2E6878"/>
    <w:rsid w:val="3C41668F"/>
    <w:rsid w:val="3C5A141B"/>
    <w:rsid w:val="3C801BC8"/>
    <w:rsid w:val="3C9012E0"/>
    <w:rsid w:val="3C9E39FD"/>
    <w:rsid w:val="3CA37266"/>
    <w:rsid w:val="3CAA05F4"/>
    <w:rsid w:val="3CE32847"/>
    <w:rsid w:val="3CEA279F"/>
    <w:rsid w:val="3D0531E3"/>
    <w:rsid w:val="3D3F0B93"/>
    <w:rsid w:val="3D477BF1"/>
    <w:rsid w:val="3D567E34"/>
    <w:rsid w:val="3D785FFC"/>
    <w:rsid w:val="3D9646D4"/>
    <w:rsid w:val="3DA037A5"/>
    <w:rsid w:val="3E20411A"/>
    <w:rsid w:val="3E225E88"/>
    <w:rsid w:val="3E2575EF"/>
    <w:rsid w:val="3E2E1405"/>
    <w:rsid w:val="3E595E2E"/>
    <w:rsid w:val="3E642A25"/>
    <w:rsid w:val="3E644E21"/>
    <w:rsid w:val="3E862DFC"/>
    <w:rsid w:val="3E991D66"/>
    <w:rsid w:val="3EBB0897"/>
    <w:rsid w:val="3ED03C16"/>
    <w:rsid w:val="3ED847EC"/>
    <w:rsid w:val="3ED92ACB"/>
    <w:rsid w:val="3F2F6B8F"/>
    <w:rsid w:val="3F45482E"/>
    <w:rsid w:val="3F5221E4"/>
    <w:rsid w:val="3F5715D2"/>
    <w:rsid w:val="3F5E56C6"/>
    <w:rsid w:val="3F8E13F7"/>
    <w:rsid w:val="3FA72BC9"/>
    <w:rsid w:val="3FDD2A8F"/>
    <w:rsid w:val="3FFF0C57"/>
    <w:rsid w:val="4000052B"/>
    <w:rsid w:val="40095632"/>
    <w:rsid w:val="404228F2"/>
    <w:rsid w:val="40580367"/>
    <w:rsid w:val="4061721C"/>
    <w:rsid w:val="407A3FCB"/>
    <w:rsid w:val="40811207"/>
    <w:rsid w:val="4081341A"/>
    <w:rsid w:val="408D0011"/>
    <w:rsid w:val="409018AF"/>
    <w:rsid w:val="409C24D9"/>
    <w:rsid w:val="40B3559D"/>
    <w:rsid w:val="40D07EFD"/>
    <w:rsid w:val="40D55514"/>
    <w:rsid w:val="40DA6FCE"/>
    <w:rsid w:val="40E67721"/>
    <w:rsid w:val="40FE0F0E"/>
    <w:rsid w:val="415F5D2D"/>
    <w:rsid w:val="41612A34"/>
    <w:rsid w:val="417D0085"/>
    <w:rsid w:val="417E5BAB"/>
    <w:rsid w:val="4182569C"/>
    <w:rsid w:val="418807D8"/>
    <w:rsid w:val="418831C5"/>
    <w:rsid w:val="41A75102"/>
    <w:rsid w:val="41DB2FFE"/>
    <w:rsid w:val="41EB7F7E"/>
    <w:rsid w:val="41F1637D"/>
    <w:rsid w:val="42134546"/>
    <w:rsid w:val="423821FE"/>
    <w:rsid w:val="42462B6D"/>
    <w:rsid w:val="425D1C65"/>
    <w:rsid w:val="425D3A13"/>
    <w:rsid w:val="42690403"/>
    <w:rsid w:val="426E41FB"/>
    <w:rsid w:val="42770245"/>
    <w:rsid w:val="4280573D"/>
    <w:rsid w:val="42935686"/>
    <w:rsid w:val="42BA0E65"/>
    <w:rsid w:val="42C24102"/>
    <w:rsid w:val="42E12896"/>
    <w:rsid w:val="42F56341"/>
    <w:rsid w:val="43012E27"/>
    <w:rsid w:val="433B1FA6"/>
    <w:rsid w:val="43947908"/>
    <w:rsid w:val="43B6162D"/>
    <w:rsid w:val="43D674C5"/>
    <w:rsid w:val="43FB1735"/>
    <w:rsid w:val="440A1978"/>
    <w:rsid w:val="4423739D"/>
    <w:rsid w:val="443A3D99"/>
    <w:rsid w:val="443E2AC1"/>
    <w:rsid w:val="44450263"/>
    <w:rsid w:val="44511BFB"/>
    <w:rsid w:val="445D39F9"/>
    <w:rsid w:val="44DE7FCB"/>
    <w:rsid w:val="450D418E"/>
    <w:rsid w:val="453C0257"/>
    <w:rsid w:val="45435142"/>
    <w:rsid w:val="454809AA"/>
    <w:rsid w:val="455D74E7"/>
    <w:rsid w:val="458E135E"/>
    <w:rsid w:val="45943BEF"/>
    <w:rsid w:val="45A04342"/>
    <w:rsid w:val="45A2455E"/>
    <w:rsid w:val="45C142B9"/>
    <w:rsid w:val="45CF2E79"/>
    <w:rsid w:val="45D01A0A"/>
    <w:rsid w:val="45F823D0"/>
    <w:rsid w:val="460806D1"/>
    <w:rsid w:val="46256F3D"/>
    <w:rsid w:val="46321926"/>
    <w:rsid w:val="463B406B"/>
    <w:rsid w:val="463D7DE3"/>
    <w:rsid w:val="465A0995"/>
    <w:rsid w:val="469E61B9"/>
    <w:rsid w:val="46AA452D"/>
    <w:rsid w:val="46BA7686"/>
    <w:rsid w:val="46D324F5"/>
    <w:rsid w:val="46EB3CE3"/>
    <w:rsid w:val="46F15764"/>
    <w:rsid w:val="472B19A0"/>
    <w:rsid w:val="474E7DCE"/>
    <w:rsid w:val="475F6E94"/>
    <w:rsid w:val="476A3AA7"/>
    <w:rsid w:val="4786567A"/>
    <w:rsid w:val="47A0687C"/>
    <w:rsid w:val="47DD7AD0"/>
    <w:rsid w:val="47F60B91"/>
    <w:rsid w:val="48257C5C"/>
    <w:rsid w:val="4828061F"/>
    <w:rsid w:val="482F19AD"/>
    <w:rsid w:val="48505F65"/>
    <w:rsid w:val="486E0728"/>
    <w:rsid w:val="48711FC6"/>
    <w:rsid w:val="48967C7F"/>
    <w:rsid w:val="489A55EE"/>
    <w:rsid w:val="48A94FB9"/>
    <w:rsid w:val="48B60321"/>
    <w:rsid w:val="48BA396D"/>
    <w:rsid w:val="48BF0F83"/>
    <w:rsid w:val="48D10CB7"/>
    <w:rsid w:val="48E42798"/>
    <w:rsid w:val="48E7672C"/>
    <w:rsid w:val="48EB621C"/>
    <w:rsid w:val="49A5554D"/>
    <w:rsid w:val="49C01457"/>
    <w:rsid w:val="49C569ED"/>
    <w:rsid w:val="4A0A26D2"/>
    <w:rsid w:val="4A5B400D"/>
    <w:rsid w:val="4A657908"/>
    <w:rsid w:val="4A6B3848"/>
    <w:rsid w:val="4A871F75"/>
    <w:rsid w:val="4A902EEB"/>
    <w:rsid w:val="4A963F66"/>
    <w:rsid w:val="4AAC4A05"/>
    <w:rsid w:val="4ACF1226"/>
    <w:rsid w:val="4AF313B8"/>
    <w:rsid w:val="4AFD5D93"/>
    <w:rsid w:val="4B103D18"/>
    <w:rsid w:val="4B1B446B"/>
    <w:rsid w:val="4B1F3F5B"/>
    <w:rsid w:val="4B5C51AF"/>
    <w:rsid w:val="4B863FDA"/>
    <w:rsid w:val="4B9C6234"/>
    <w:rsid w:val="4BA17066"/>
    <w:rsid w:val="4C06571C"/>
    <w:rsid w:val="4C2537F3"/>
    <w:rsid w:val="4C2C4B82"/>
    <w:rsid w:val="4CC10800"/>
    <w:rsid w:val="4CCE5EDA"/>
    <w:rsid w:val="4CD1451E"/>
    <w:rsid w:val="4CD5739C"/>
    <w:rsid w:val="4CE84189"/>
    <w:rsid w:val="4D001B6A"/>
    <w:rsid w:val="4D0E4287"/>
    <w:rsid w:val="4D21045F"/>
    <w:rsid w:val="4D453A21"/>
    <w:rsid w:val="4D5D0D6B"/>
    <w:rsid w:val="4D5F0F87"/>
    <w:rsid w:val="4D6B4B8A"/>
    <w:rsid w:val="4D7F5185"/>
    <w:rsid w:val="4D9329DF"/>
    <w:rsid w:val="4DE1199C"/>
    <w:rsid w:val="4E0D453F"/>
    <w:rsid w:val="4E4A4DB9"/>
    <w:rsid w:val="4EB3158A"/>
    <w:rsid w:val="4EB3343D"/>
    <w:rsid w:val="4ECF3EEA"/>
    <w:rsid w:val="4EDC6566"/>
    <w:rsid w:val="4F1F35AC"/>
    <w:rsid w:val="4F4274E9"/>
    <w:rsid w:val="4F8E0649"/>
    <w:rsid w:val="4FB14852"/>
    <w:rsid w:val="4FD01CC8"/>
    <w:rsid w:val="4FF82FCD"/>
    <w:rsid w:val="4FFA6D45"/>
    <w:rsid w:val="50083210"/>
    <w:rsid w:val="500922C0"/>
    <w:rsid w:val="50131BB5"/>
    <w:rsid w:val="50157462"/>
    <w:rsid w:val="501871CB"/>
    <w:rsid w:val="50526B81"/>
    <w:rsid w:val="507537AB"/>
    <w:rsid w:val="50811214"/>
    <w:rsid w:val="50964CC0"/>
    <w:rsid w:val="509F0CEC"/>
    <w:rsid w:val="50AF5D81"/>
    <w:rsid w:val="50CA7B93"/>
    <w:rsid w:val="50D70E34"/>
    <w:rsid w:val="50DC2365"/>
    <w:rsid w:val="50EC2B32"/>
    <w:rsid w:val="510F5A1E"/>
    <w:rsid w:val="51145BE4"/>
    <w:rsid w:val="511A58F1"/>
    <w:rsid w:val="511E4CB5"/>
    <w:rsid w:val="51706F8B"/>
    <w:rsid w:val="518E51B6"/>
    <w:rsid w:val="519136D9"/>
    <w:rsid w:val="519F7BA4"/>
    <w:rsid w:val="51A64679"/>
    <w:rsid w:val="51C25640"/>
    <w:rsid w:val="51D6733E"/>
    <w:rsid w:val="51F003FF"/>
    <w:rsid w:val="51FA74D0"/>
    <w:rsid w:val="52263E21"/>
    <w:rsid w:val="5233653E"/>
    <w:rsid w:val="52505342"/>
    <w:rsid w:val="525564B4"/>
    <w:rsid w:val="52AB07CA"/>
    <w:rsid w:val="52AF3E17"/>
    <w:rsid w:val="52C04664"/>
    <w:rsid w:val="53130849"/>
    <w:rsid w:val="534E1F9F"/>
    <w:rsid w:val="53A94D0A"/>
    <w:rsid w:val="53AF7E46"/>
    <w:rsid w:val="53BA1385"/>
    <w:rsid w:val="53D37FD9"/>
    <w:rsid w:val="53DD2C05"/>
    <w:rsid w:val="53E26F6F"/>
    <w:rsid w:val="53FF2B7C"/>
    <w:rsid w:val="5420421E"/>
    <w:rsid w:val="54210D44"/>
    <w:rsid w:val="54280325"/>
    <w:rsid w:val="542F26FF"/>
    <w:rsid w:val="543E7518"/>
    <w:rsid w:val="548C2808"/>
    <w:rsid w:val="54AA6F8B"/>
    <w:rsid w:val="54B020C8"/>
    <w:rsid w:val="54B03E76"/>
    <w:rsid w:val="54BA4CF5"/>
    <w:rsid w:val="54CB0E8F"/>
    <w:rsid w:val="54CB2950"/>
    <w:rsid w:val="54D67D81"/>
    <w:rsid w:val="54F46459"/>
    <w:rsid w:val="556E007B"/>
    <w:rsid w:val="558A46C7"/>
    <w:rsid w:val="55BB555F"/>
    <w:rsid w:val="55CE3F18"/>
    <w:rsid w:val="55E8533C"/>
    <w:rsid w:val="55FD02E7"/>
    <w:rsid w:val="56372AA1"/>
    <w:rsid w:val="56552F27"/>
    <w:rsid w:val="56876E58"/>
    <w:rsid w:val="56BF4844"/>
    <w:rsid w:val="56CF0B76"/>
    <w:rsid w:val="56ED7603"/>
    <w:rsid w:val="57081D47"/>
    <w:rsid w:val="57342364"/>
    <w:rsid w:val="57633422"/>
    <w:rsid w:val="577E172A"/>
    <w:rsid w:val="57A35F14"/>
    <w:rsid w:val="581B5AAA"/>
    <w:rsid w:val="5886561A"/>
    <w:rsid w:val="58F84F6C"/>
    <w:rsid w:val="58F9403E"/>
    <w:rsid w:val="59260BAB"/>
    <w:rsid w:val="593B28A8"/>
    <w:rsid w:val="593C3F2A"/>
    <w:rsid w:val="594869A2"/>
    <w:rsid w:val="594D4389"/>
    <w:rsid w:val="598F6750"/>
    <w:rsid w:val="59A541C5"/>
    <w:rsid w:val="59C7413C"/>
    <w:rsid w:val="59C97EB4"/>
    <w:rsid w:val="59DF7ACB"/>
    <w:rsid w:val="5A033D79"/>
    <w:rsid w:val="5A2309DB"/>
    <w:rsid w:val="5A7326D1"/>
    <w:rsid w:val="5A7B2ED9"/>
    <w:rsid w:val="5A843DDB"/>
    <w:rsid w:val="5A845B89"/>
    <w:rsid w:val="5A8E2EAB"/>
    <w:rsid w:val="5A955FE8"/>
    <w:rsid w:val="5AB453C9"/>
    <w:rsid w:val="5AC97A40"/>
    <w:rsid w:val="5ADF0FE1"/>
    <w:rsid w:val="5AEC372E"/>
    <w:rsid w:val="5B194F45"/>
    <w:rsid w:val="5B223BE5"/>
    <w:rsid w:val="5B224B1D"/>
    <w:rsid w:val="5B4812AC"/>
    <w:rsid w:val="5B7756EE"/>
    <w:rsid w:val="5B810518"/>
    <w:rsid w:val="5BA109BC"/>
    <w:rsid w:val="5BDE39BF"/>
    <w:rsid w:val="5BE34B31"/>
    <w:rsid w:val="5BEF0C8B"/>
    <w:rsid w:val="5BF705DC"/>
    <w:rsid w:val="5C0357E4"/>
    <w:rsid w:val="5C050B1A"/>
    <w:rsid w:val="5C07081F"/>
    <w:rsid w:val="5C0F1DCA"/>
    <w:rsid w:val="5C533A65"/>
    <w:rsid w:val="5C7B120D"/>
    <w:rsid w:val="5C8E0F41"/>
    <w:rsid w:val="5C917D6C"/>
    <w:rsid w:val="5CDD759E"/>
    <w:rsid w:val="5D112EAE"/>
    <w:rsid w:val="5D177188"/>
    <w:rsid w:val="5D292A17"/>
    <w:rsid w:val="5D3F4A3A"/>
    <w:rsid w:val="5D4930BA"/>
    <w:rsid w:val="5D4D59D5"/>
    <w:rsid w:val="5D6B1282"/>
    <w:rsid w:val="5D846F1A"/>
    <w:rsid w:val="5DA14CA4"/>
    <w:rsid w:val="5DBE13B2"/>
    <w:rsid w:val="5DE04ED7"/>
    <w:rsid w:val="5E1B4A56"/>
    <w:rsid w:val="5E54110A"/>
    <w:rsid w:val="5E912F6A"/>
    <w:rsid w:val="5EAB402C"/>
    <w:rsid w:val="5EB97DCB"/>
    <w:rsid w:val="5EBB7FE7"/>
    <w:rsid w:val="5EF17565"/>
    <w:rsid w:val="5F1A6ABC"/>
    <w:rsid w:val="5F381C8B"/>
    <w:rsid w:val="5F3A5F59"/>
    <w:rsid w:val="5F4E2C09"/>
    <w:rsid w:val="5F973A30"/>
    <w:rsid w:val="5FCF5AF8"/>
    <w:rsid w:val="5FE1582B"/>
    <w:rsid w:val="5FF73193"/>
    <w:rsid w:val="600339F4"/>
    <w:rsid w:val="60213E7A"/>
    <w:rsid w:val="60395667"/>
    <w:rsid w:val="603A1F87"/>
    <w:rsid w:val="605E6E7C"/>
    <w:rsid w:val="60602BF4"/>
    <w:rsid w:val="60953464"/>
    <w:rsid w:val="60966616"/>
    <w:rsid w:val="60A54AAB"/>
    <w:rsid w:val="60C70EC5"/>
    <w:rsid w:val="60CB2763"/>
    <w:rsid w:val="61565DA5"/>
    <w:rsid w:val="61932B55"/>
    <w:rsid w:val="61946FF9"/>
    <w:rsid w:val="61970898"/>
    <w:rsid w:val="61BD7BD2"/>
    <w:rsid w:val="61C471B3"/>
    <w:rsid w:val="61DB4C28"/>
    <w:rsid w:val="61DF3FED"/>
    <w:rsid w:val="620D2908"/>
    <w:rsid w:val="62141EE8"/>
    <w:rsid w:val="621E2D67"/>
    <w:rsid w:val="624125B1"/>
    <w:rsid w:val="62483940"/>
    <w:rsid w:val="62614FB8"/>
    <w:rsid w:val="62856942"/>
    <w:rsid w:val="63002F3D"/>
    <w:rsid w:val="630C2BBF"/>
    <w:rsid w:val="63103306"/>
    <w:rsid w:val="631D4DCC"/>
    <w:rsid w:val="63215D87"/>
    <w:rsid w:val="6324615B"/>
    <w:rsid w:val="636B3D8A"/>
    <w:rsid w:val="63766C7C"/>
    <w:rsid w:val="63927568"/>
    <w:rsid w:val="63977A54"/>
    <w:rsid w:val="63A159FD"/>
    <w:rsid w:val="63C82F8A"/>
    <w:rsid w:val="63C94F54"/>
    <w:rsid w:val="63D4314D"/>
    <w:rsid w:val="63ED695E"/>
    <w:rsid w:val="640238D6"/>
    <w:rsid w:val="641461CF"/>
    <w:rsid w:val="64353978"/>
    <w:rsid w:val="64402D87"/>
    <w:rsid w:val="646F3406"/>
    <w:rsid w:val="648F1CFA"/>
    <w:rsid w:val="649317EA"/>
    <w:rsid w:val="649410BE"/>
    <w:rsid w:val="6497295D"/>
    <w:rsid w:val="64AC6408"/>
    <w:rsid w:val="64B25F3A"/>
    <w:rsid w:val="64B4350F"/>
    <w:rsid w:val="64DE058B"/>
    <w:rsid w:val="64E45EB3"/>
    <w:rsid w:val="64EC2CA8"/>
    <w:rsid w:val="64ED413D"/>
    <w:rsid w:val="64FF0C2E"/>
    <w:rsid w:val="65055B18"/>
    <w:rsid w:val="650A7A38"/>
    <w:rsid w:val="651B533C"/>
    <w:rsid w:val="65363F24"/>
    <w:rsid w:val="65545142"/>
    <w:rsid w:val="655C40E3"/>
    <w:rsid w:val="65775FC2"/>
    <w:rsid w:val="658E2DFD"/>
    <w:rsid w:val="65CD2ADA"/>
    <w:rsid w:val="65CD7926"/>
    <w:rsid w:val="65D53B55"/>
    <w:rsid w:val="65D8322D"/>
    <w:rsid w:val="65DC190C"/>
    <w:rsid w:val="65EB11B2"/>
    <w:rsid w:val="65FA7647"/>
    <w:rsid w:val="65FE7137"/>
    <w:rsid w:val="660B478C"/>
    <w:rsid w:val="66412043"/>
    <w:rsid w:val="66507267"/>
    <w:rsid w:val="665C68CF"/>
    <w:rsid w:val="666D1BC7"/>
    <w:rsid w:val="667E3DD4"/>
    <w:rsid w:val="66B141AA"/>
    <w:rsid w:val="66D9725C"/>
    <w:rsid w:val="66F2031E"/>
    <w:rsid w:val="67397CFB"/>
    <w:rsid w:val="676E0A80"/>
    <w:rsid w:val="679F4002"/>
    <w:rsid w:val="67B3300F"/>
    <w:rsid w:val="67B508B2"/>
    <w:rsid w:val="67BF46A4"/>
    <w:rsid w:val="67E22141"/>
    <w:rsid w:val="67FC3742"/>
    <w:rsid w:val="67FC76A6"/>
    <w:rsid w:val="68112A26"/>
    <w:rsid w:val="681C2B17"/>
    <w:rsid w:val="683E214F"/>
    <w:rsid w:val="6877432F"/>
    <w:rsid w:val="6885769C"/>
    <w:rsid w:val="68A11FFC"/>
    <w:rsid w:val="68B51201"/>
    <w:rsid w:val="68DA3CD5"/>
    <w:rsid w:val="69076303"/>
    <w:rsid w:val="691F619D"/>
    <w:rsid w:val="696C085C"/>
    <w:rsid w:val="69704A0F"/>
    <w:rsid w:val="69757EBB"/>
    <w:rsid w:val="69DD52B6"/>
    <w:rsid w:val="6A0B1E23"/>
    <w:rsid w:val="6A545964"/>
    <w:rsid w:val="6A575068"/>
    <w:rsid w:val="6A6634FD"/>
    <w:rsid w:val="6A8D2838"/>
    <w:rsid w:val="6A95793E"/>
    <w:rsid w:val="6A9E293A"/>
    <w:rsid w:val="6AA23FC4"/>
    <w:rsid w:val="6AA61B4B"/>
    <w:rsid w:val="6AA80396"/>
    <w:rsid w:val="6B5117E5"/>
    <w:rsid w:val="6B617CD5"/>
    <w:rsid w:val="6B7D28AC"/>
    <w:rsid w:val="6BA21DA4"/>
    <w:rsid w:val="6BB107A8"/>
    <w:rsid w:val="6BC8789F"/>
    <w:rsid w:val="6BD10E4A"/>
    <w:rsid w:val="6BF7292A"/>
    <w:rsid w:val="6C0A7E6F"/>
    <w:rsid w:val="6C53360D"/>
    <w:rsid w:val="6C5555D7"/>
    <w:rsid w:val="6C67530A"/>
    <w:rsid w:val="6C9D1425"/>
    <w:rsid w:val="6CAD0F6F"/>
    <w:rsid w:val="6CC4450B"/>
    <w:rsid w:val="6CC83FFB"/>
    <w:rsid w:val="6CC9045A"/>
    <w:rsid w:val="6D0847F5"/>
    <w:rsid w:val="6D372F2F"/>
    <w:rsid w:val="6D38383E"/>
    <w:rsid w:val="6D437B25"/>
    <w:rsid w:val="6D7E290C"/>
    <w:rsid w:val="6DE22E9A"/>
    <w:rsid w:val="6DE57D48"/>
    <w:rsid w:val="6E2D120D"/>
    <w:rsid w:val="6E423939"/>
    <w:rsid w:val="6E4A3FFA"/>
    <w:rsid w:val="6E55366C"/>
    <w:rsid w:val="6E68031F"/>
    <w:rsid w:val="6E836FCE"/>
    <w:rsid w:val="6E8444C6"/>
    <w:rsid w:val="6E9248C1"/>
    <w:rsid w:val="6EB5235D"/>
    <w:rsid w:val="6EB760D5"/>
    <w:rsid w:val="6ECD58F9"/>
    <w:rsid w:val="6EDC1FE0"/>
    <w:rsid w:val="6F0E2E09"/>
    <w:rsid w:val="6F2474E3"/>
    <w:rsid w:val="6F51652A"/>
    <w:rsid w:val="6F712728"/>
    <w:rsid w:val="6F72024E"/>
    <w:rsid w:val="6FCC795E"/>
    <w:rsid w:val="6FDD7DBD"/>
    <w:rsid w:val="6FEA24DA"/>
    <w:rsid w:val="6FF375E1"/>
    <w:rsid w:val="70A12FB4"/>
    <w:rsid w:val="70C23B06"/>
    <w:rsid w:val="70C76378"/>
    <w:rsid w:val="70CC398E"/>
    <w:rsid w:val="70CE0F3A"/>
    <w:rsid w:val="70D33A68"/>
    <w:rsid w:val="70EA4799"/>
    <w:rsid w:val="70F25AEA"/>
    <w:rsid w:val="70FC24C5"/>
    <w:rsid w:val="710D6480"/>
    <w:rsid w:val="713175D4"/>
    <w:rsid w:val="71493231"/>
    <w:rsid w:val="71771B4C"/>
    <w:rsid w:val="71BE777B"/>
    <w:rsid w:val="71FB277D"/>
    <w:rsid w:val="721D6B97"/>
    <w:rsid w:val="7227626D"/>
    <w:rsid w:val="725E7721"/>
    <w:rsid w:val="727C3784"/>
    <w:rsid w:val="727F15B0"/>
    <w:rsid w:val="72850298"/>
    <w:rsid w:val="729C3F60"/>
    <w:rsid w:val="72E70F53"/>
    <w:rsid w:val="730031EA"/>
    <w:rsid w:val="73005B71"/>
    <w:rsid w:val="73090694"/>
    <w:rsid w:val="73112115"/>
    <w:rsid w:val="731E2BC7"/>
    <w:rsid w:val="732A20DD"/>
    <w:rsid w:val="73353A6C"/>
    <w:rsid w:val="7346211D"/>
    <w:rsid w:val="735D0D8C"/>
    <w:rsid w:val="736172D6"/>
    <w:rsid w:val="73750B69"/>
    <w:rsid w:val="73B250BD"/>
    <w:rsid w:val="73B61051"/>
    <w:rsid w:val="740D6797"/>
    <w:rsid w:val="74697EF5"/>
    <w:rsid w:val="74842EFD"/>
    <w:rsid w:val="749F1AE5"/>
    <w:rsid w:val="74A569D0"/>
    <w:rsid w:val="74BF5CE3"/>
    <w:rsid w:val="74CE23CA"/>
    <w:rsid w:val="74D140CF"/>
    <w:rsid w:val="74F06968"/>
    <w:rsid w:val="751678CE"/>
    <w:rsid w:val="75287E4E"/>
    <w:rsid w:val="7538187E"/>
    <w:rsid w:val="75707935"/>
    <w:rsid w:val="75717D36"/>
    <w:rsid w:val="759727BC"/>
    <w:rsid w:val="75F6664F"/>
    <w:rsid w:val="75FB0F9D"/>
    <w:rsid w:val="76312CAB"/>
    <w:rsid w:val="763E532E"/>
    <w:rsid w:val="76690027"/>
    <w:rsid w:val="766C1E9B"/>
    <w:rsid w:val="768E0063"/>
    <w:rsid w:val="769F3C71"/>
    <w:rsid w:val="76B5B0B4"/>
    <w:rsid w:val="76EF422D"/>
    <w:rsid w:val="76FB6D7B"/>
    <w:rsid w:val="77104B35"/>
    <w:rsid w:val="77317D4A"/>
    <w:rsid w:val="77364257"/>
    <w:rsid w:val="779416A9"/>
    <w:rsid w:val="77BC650A"/>
    <w:rsid w:val="77BD7BE4"/>
    <w:rsid w:val="780A2326"/>
    <w:rsid w:val="780D18BC"/>
    <w:rsid w:val="780F0D30"/>
    <w:rsid w:val="783563B5"/>
    <w:rsid w:val="783F2D77"/>
    <w:rsid w:val="78450BF6"/>
    <w:rsid w:val="784A620C"/>
    <w:rsid w:val="78753353"/>
    <w:rsid w:val="788221EB"/>
    <w:rsid w:val="78986F77"/>
    <w:rsid w:val="78A603D1"/>
    <w:rsid w:val="78BF6934"/>
    <w:rsid w:val="78D42B1B"/>
    <w:rsid w:val="79030169"/>
    <w:rsid w:val="79134850"/>
    <w:rsid w:val="793002E7"/>
    <w:rsid w:val="793A6280"/>
    <w:rsid w:val="7984574E"/>
    <w:rsid w:val="798C63B0"/>
    <w:rsid w:val="79E1494E"/>
    <w:rsid w:val="79E65AC0"/>
    <w:rsid w:val="79F87C1A"/>
    <w:rsid w:val="7A0B3779"/>
    <w:rsid w:val="7A0D70D8"/>
    <w:rsid w:val="7A102B3D"/>
    <w:rsid w:val="7A1F21BF"/>
    <w:rsid w:val="7A3507F6"/>
    <w:rsid w:val="7A574C10"/>
    <w:rsid w:val="7A8A28F0"/>
    <w:rsid w:val="7AA4724C"/>
    <w:rsid w:val="7AAA2F92"/>
    <w:rsid w:val="7AC07052"/>
    <w:rsid w:val="7ACE46F3"/>
    <w:rsid w:val="7ADB75EF"/>
    <w:rsid w:val="7AE2696B"/>
    <w:rsid w:val="7AE446F6"/>
    <w:rsid w:val="7B0D0E08"/>
    <w:rsid w:val="7B1A0118"/>
    <w:rsid w:val="7B262906"/>
    <w:rsid w:val="7B2E5E17"/>
    <w:rsid w:val="7B2E771F"/>
    <w:rsid w:val="7B334D35"/>
    <w:rsid w:val="7B364826"/>
    <w:rsid w:val="7B3D24E5"/>
    <w:rsid w:val="7B672C31"/>
    <w:rsid w:val="7B7315D6"/>
    <w:rsid w:val="7B841A35"/>
    <w:rsid w:val="7BFA1CF7"/>
    <w:rsid w:val="7BFC15CB"/>
    <w:rsid w:val="7C1F350C"/>
    <w:rsid w:val="7C211032"/>
    <w:rsid w:val="7C467E6F"/>
    <w:rsid w:val="7C75312C"/>
    <w:rsid w:val="7C865339"/>
    <w:rsid w:val="7C885555"/>
    <w:rsid w:val="7CDB4429"/>
    <w:rsid w:val="7CEC5AE4"/>
    <w:rsid w:val="7CF130FA"/>
    <w:rsid w:val="7D376633"/>
    <w:rsid w:val="7D4A0A5C"/>
    <w:rsid w:val="7D6C2781"/>
    <w:rsid w:val="7D717D97"/>
    <w:rsid w:val="7DA41F1A"/>
    <w:rsid w:val="7DAF266D"/>
    <w:rsid w:val="7DBB54B6"/>
    <w:rsid w:val="7DDA3B8E"/>
    <w:rsid w:val="7DF52776"/>
    <w:rsid w:val="7E0710A5"/>
    <w:rsid w:val="7E084126"/>
    <w:rsid w:val="7E1B36B0"/>
    <w:rsid w:val="7E3C7588"/>
    <w:rsid w:val="7E406C79"/>
    <w:rsid w:val="7E4824FA"/>
    <w:rsid w:val="7E576F8D"/>
    <w:rsid w:val="7E8F3DCE"/>
    <w:rsid w:val="7EA72A7F"/>
    <w:rsid w:val="7EB268B9"/>
    <w:rsid w:val="7ED14F91"/>
    <w:rsid w:val="7EDD29EC"/>
    <w:rsid w:val="7F0C2930"/>
    <w:rsid w:val="7F466E52"/>
    <w:rsid w:val="7F5D4A77"/>
    <w:rsid w:val="7F5E7336"/>
    <w:rsid w:val="7F7A1131"/>
    <w:rsid w:val="7F962B54"/>
    <w:rsid w:val="7F963AE5"/>
    <w:rsid w:val="7F9935D5"/>
    <w:rsid w:val="7FDA60C7"/>
    <w:rsid w:val="FFFF8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nhideWhenUsed="0" w:uiPriority="9" w:semiHidden="0" w:name="heading 8"/>
    <w:lsdException w:qFormat="1" w:uiPriority="9" w:semiHidden="0"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4">
    <w:name w:val="heading 1"/>
    <w:basedOn w:val="1"/>
    <w:next w:val="1"/>
    <w:link w:val="45"/>
    <w:autoRedefine/>
    <w:qFormat/>
    <w:uiPriority w:val="9"/>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5">
    <w:name w:val="heading 2"/>
    <w:basedOn w:val="1"/>
    <w:next w:val="1"/>
    <w:link w:val="38"/>
    <w:autoRedefine/>
    <w:qFormat/>
    <w:uiPriority w:val="9"/>
    <w:pPr>
      <w:keepNext/>
      <w:keepLines/>
      <w:outlineLvl w:val="1"/>
    </w:pPr>
    <w:rPr>
      <w:rFonts w:ascii="Cambria" w:hAnsi="Cambria"/>
      <w:b/>
      <w:bCs/>
      <w:sz w:val="44"/>
      <w:szCs w:val="32"/>
    </w:rPr>
  </w:style>
  <w:style w:type="paragraph" w:styleId="6">
    <w:name w:val="heading 3"/>
    <w:basedOn w:val="1"/>
    <w:next w:val="1"/>
    <w:link w:val="49"/>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autoRedefine/>
    <w:semiHidden/>
    <w:unhideWhenUsed/>
    <w:qFormat/>
    <w:uiPriority w:val="9"/>
    <w:pPr>
      <w:spacing w:beforeAutospacing="1" w:afterAutospacing="1"/>
      <w:outlineLvl w:val="3"/>
    </w:pPr>
    <w:rPr>
      <w:rFonts w:hint="eastAsia" w:ascii="宋体" w:hAnsi="宋体"/>
      <w:b/>
      <w:bCs/>
      <w:kern w:val="0"/>
      <w:sz w:val="24"/>
    </w:rPr>
  </w:style>
  <w:style w:type="paragraph" w:styleId="8">
    <w:name w:val="heading 5"/>
    <w:basedOn w:val="1"/>
    <w:next w:val="9"/>
    <w:link w:val="64"/>
    <w:autoRedefine/>
    <w:unhideWhenUsed/>
    <w:qFormat/>
    <w:uiPriority w:val="9"/>
    <w:pPr>
      <w:keepNext/>
      <w:keepLines/>
      <w:spacing w:before="280" w:after="290" w:line="376" w:lineRule="auto"/>
      <w:outlineLvl w:val="4"/>
    </w:pPr>
    <w:rPr>
      <w:b/>
      <w:bCs/>
      <w:sz w:val="28"/>
      <w:szCs w:val="28"/>
    </w:rPr>
  </w:style>
  <w:style w:type="paragraph" w:styleId="10">
    <w:name w:val="heading 8"/>
    <w:basedOn w:val="1"/>
    <w:next w:val="1"/>
    <w:link w:val="41"/>
    <w:autoRedefine/>
    <w:qFormat/>
    <w:uiPriority w:val="9"/>
    <w:pPr>
      <w:keepNext/>
      <w:keepLines/>
      <w:outlineLvl w:val="7"/>
    </w:pPr>
    <w:rPr>
      <w:rFonts w:ascii="等线 Light" w:hAnsi="等线 Light"/>
      <w:b/>
      <w:sz w:val="32"/>
    </w:rPr>
  </w:style>
  <w:style w:type="paragraph" w:styleId="11">
    <w:name w:val="heading 9"/>
    <w:basedOn w:val="1"/>
    <w:next w:val="1"/>
    <w:link w:val="37"/>
    <w:autoRedefine/>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pPr>
  </w:style>
  <w:style w:type="paragraph" w:styleId="3">
    <w:name w:val="Body Text"/>
    <w:basedOn w:val="1"/>
    <w:next w:val="1"/>
    <w:link w:val="40"/>
    <w:autoRedefine/>
    <w:qFormat/>
    <w:uiPriority w:val="0"/>
    <w:pPr>
      <w:widowControl w:val="0"/>
      <w:spacing w:line="380" w:lineRule="exact"/>
      <w:jc w:val="both"/>
    </w:pPr>
    <w:rPr>
      <w:rFonts w:ascii="Times New Roman" w:hAnsi="Times New Roman" w:eastAsia="宋体" w:cs="Times New Roman"/>
      <w:kern w:val="0"/>
      <w:sz w:val="24"/>
      <w:szCs w:val="24"/>
      <w:lang w:val="zh-CN"/>
    </w:rPr>
  </w:style>
  <w:style w:type="paragraph" w:styleId="9">
    <w:name w:val="Normal Indent"/>
    <w:basedOn w:val="1"/>
    <w:autoRedefine/>
    <w:qFormat/>
    <w:uiPriority w:val="0"/>
    <w:pPr>
      <w:ind w:firstLine="420"/>
    </w:pPr>
    <w:rPr>
      <w:szCs w:val="20"/>
    </w:rPr>
  </w:style>
  <w:style w:type="paragraph" w:styleId="12">
    <w:name w:val="table of authorities"/>
    <w:basedOn w:val="1"/>
    <w:next w:val="1"/>
    <w:qFormat/>
    <w:uiPriority w:val="0"/>
    <w:pPr>
      <w:ind w:left="420" w:leftChars="200"/>
    </w:pPr>
    <w:rPr>
      <w:rFonts w:ascii="Calibri" w:hAnsi="Calibri"/>
    </w:rPr>
  </w:style>
  <w:style w:type="paragraph" w:styleId="13">
    <w:name w:val="annotation text"/>
    <w:basedOn w:val="1"/>
    <w:link w:val="53"/>
    <w:autoRedefine/>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4">
    <w:name w:val="Body Text 3"/>
    <w:basedOn w:val="1"/>
    <w:link w:val="71"/>
    <w:autoRedefine/>
    <w:unhideWhenUsed/>
    <w:qFormat/>
    <w:uiPriority w:val="99"/>
    <w:pPr>
      <w:spacing w:after="120"/>
    </w:pPr>
    <w:rPr>
      <w:sz w:val="16"/>
      <w:szCs w:val="16"/>
    </w:rPr>
  </w:style>
  <w:style w:type="paragraph" w:styleId="15">
    <w:name w:val="Body Text Indent"/>
    <w:basedOn w:val="1"/>
    <w:link w:val="67"/>
    <w:autoRedefine/>
    <w:unhideWhenUsed/>
    <w:qFormat/>
    <w:uiPriority w:val="99"/>
    <w:pPr>
      <w:spacing w:after="120"/>
      <w:ind w:left="420" w:leftChars="200"/>
    </w:pPr>
  </w:style>
  <w:style w:type="paragraph" w:styleId="16">
    <w:name w:val="List 2"/>
    <w:basedOn w:val="1"/>
    <w:autoRedefine/>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7">
    <w:name w:val="index 4"/>
    <w:basedOn w:val="1"/>
    <w:next w:val="1"/>
    <w:unhideWhenUsed/>
    <w:qFormat/>
    <w:uiPriority w:val="99"/>
    <w:pPr>
      <w:ind w:left="600" w:leftChars="600"/>
    </w:pPr>
    <w:rPr>
      <w:rFonts w:ascii="Verdana" w:hAnsi="Verdana"/>
      <w:szCs w:val="20"/>
    </w:rPr>
  </w:style>
  <w:style w:type="paragraph" w:styleId="18">
    <w:name w:val="toc 3"/>
    <w:basedOn w:val="1"/>
    <w:next w:val="1"/>
    <w:autoRedefine/>
    <w:unhideWhenUsed/>
    <w:qFormat/>
    <w:uiPriority w:val="39"/>
    <w:pPr>
      <w:ind w:left="840" w:leftChars="400"/>
    </w:pPr>
  </w:style>
  <w:style w:type="paragraph" w:styleId="19">
    <w:name w:val="Plain Text"/>
    <w:basedOn w:val="1"/>
    <w:link w:val="43"/>
    <w:autoRedefine/>
    <w:qFormat/>
    <w:uiPriority w:val="99"/>
    <w:pPr>
      <w:widowControl w:val="0"/>
      <w:spacing w:line="240" w:lineRule="auto"/>
      <w:jc w:val="both"/>
    </w:pPr>
    <w:rPr>
      <w:rFonts w:ascii="宋体" w:hAnsi="Courier New" w:eastAsia="宋体" w:cs="Times New Roman"/>
      <w:kern w:val="0"/>
      <w:sz w:val="20"/>
      <w:lang w:val="zh-CN"/>
    </w:rPr>
  </w:style>
  <w:style w:type="paragraph" w:styleId="20">
    <w:name w:val="Balloon Text"/>
    <w:basedOn w:val="1"/>
    <w:link w:val="75"/>
    <w:autoRedefine/>
    <w:semiHidden/>
    <w:unhideWhenUsed/>
    <w:qFormat/>
    <w:uiPriority w:val="99"/>
    <w:pPr>
      <w:spacing w:line="240" w:lineRule="auto"/>
    </w:pPr>
    <w:rPr>
      <w:sz w:val="18"/>
      <w:szCs w:val="18"/>
    </w:rPr>
  </w:style>
  <w:style w:type="paragraph" w:styleId="21">
    <w:name w:val="footer"/>
    <w:basedOn w:val="1"/>
    <w:link w:val="48"/>
    <w:autoRedefine/>
    <w:unhideWhenUsed/>
    <w:qFormat/>
    <w:uiPriority w:val="99"/>
    <w:pPr>
      <w:tabs>
        <w:tab w:val="center" w:pos="4153"/>
        <w:tab w:val="right" w:pos="8306"/>
      </w:tabs>
      <w:snapToGrid w:val="0"/>
      <w:spacing w:line="240" w:lineRule="auto"/>
    </w:pPr>
    <w:rPr>
      <w:sz w:val="18"/>
      <w:szCs w:val="18"/>
    </w:rPr>
  </w:style>
  <w:style w:type="paragraph" w:styleId="22">
    <w:name w:val="header"/>
    <w:basedOn w:val="1"/>
    <w:link w:val="47"/>
    <w:autoRedefine/>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23">
    <w:name w:val="toc 1"/>
    <w:basedOn w:val="1"/>
    <w:next w:val="1"/>
    <w:autoRedefine/>
    <w:unhideWhenUsed/>
    <w:qFormat/>
    <w:uiPriority w:val="39"/>
    <w:pPr>
      <w:tabs>
        <w:tab w:val="right" w:leader="dot" w:pos="8494"/>
      </w:tabs>
      <w:ind w:firstLine="424" w:firstLineChars="176"/>
    </w:pPr>
  </w:style>
  <w:style w:type="paragraph" w:styleId="24">
    <w:name w:val="Body Text Indent 3"/>
    <w:basedOn w:val="1"/>
    <w:unhideWhenUsed/>
    <w:qFormat/>
    <w:uiPriority w:val="0"/>
    <w:pPr>
      <w:spacing w:after="120"/>
      <w:ind w:left="420" w:leftChars="200"/>
    </w:pPr>
    <w:rPr>
      <w:sz w:val="16"/>
      <w:szCs w:val="16"/>
    </w:rPr>
  </w:style>
  <w:style w:type="paragraph" w:styleId="25">
    <w:name w:val="toc 2"/>
    <w:basedOn w:val="1"/>
    <w:next w:val="1"/>
    <w:autoRedefine/>
    <w:unhideWhenUsed/>
    <w:qFormat/>
    <w:uiPriority w:val="39"/>
    <w:pPr>
      <w:ind w:left="420" w:leftChars="200"/>
    </w:pPr>
  </w:style>
  <w:style w:type="paragraph" w:styleId="26">
    <w:name w:val="Normal (Web)"/>
    <w:basedOn w:val="1"/>
    <w:autoRedefine/>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paragraph" w:styleId="27">
    <w:name w:val="index 1"/>
    <w:basedOn w:val="1"/>
    <w:next w:val="1"/>
    <w:autoRedefine/>
    <w:semiHidden/>
    <w:qFormat/>
    <w:uiPriority w:val="0"/>
    <w:pPr>
      <w:spacing w:line="400" w:lineRule="exact"/>
      <w:ind w:firstLine="420"/>
    </w:pPr>
    <w:rPr>
      <w:rFonts w:hAnsi="Courier New"/>
      <w:b/>
      <w:szCs w:val="20"/>
    </w:rPr>
  </w:style>
  <w:style w:type="paragraph" w:styleId="28">
    <w:name w:val="Title"/>
    <w:basedOn w:val="1"/>
    <w:next w:val="1"/>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61"/>
    <w:autoRedefine/>
    <w:unhideWhenUsed/>
    <w:qFormat/>
    <w:uiPriority w:val="99"/>
    <w:pPr>
      <w:widowControl/>
      <w:spacing w:line="360" w:lineRule="auto"/>
      <w:ind w:firstLine="200" w:firstLineChars="200"/>
    </w:pPr>
    <w:rPr>
      <w:rFonts w:asciiTheme="minorEastAsia" w:hAnsiTheme="minorHAnsi" w:eastAsiaTheme="minorEastAsia" w:cstheme="minorBidi"/>
      <w:b/>
      <w:bCs/>
      <w:szCs w:val="21"/>
    </w:rPr>
  </w:style>
  <w:style w:type="paragraph" w:styleId="30">
    <w:name w:val="Body Text First Indent 2"/>
    <w:basedOn w:val="15"/>
    <w:unhideWhenUsed/>
    <w:qFormat/>
    <w:uiPriority w:val="99"/>
    <w:pPr>
      <w:ind w:left="420" w:firstLine="420" w:firstLineChars="200"/>
    </w:pPr>
    <w:rPr>
      <w:szCs w:val="24"/>
    </w:rPr>
  </w:style>
  <w:style w:type="table" w:styleId="32">
    <w:name w:val="Table Grid"/>
    <w:basedOn w:val="31"/>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autoRedefine/>
    <w:qFormat/>
    <w:uiPriority w:val="0"/>
    <w:rPr>
      <w:rFonts w:ascii="Tahoma" w:hAnsi="Tahoma" w:eastAsia="宋体"/>
      <w:b/>
      <w:bCs/>
      <w:spacing w:val="10"/>
      <w:kern w:val="2"/>
      <w:sz w:val="24"/>
      <w:szCs w:val="24"/>
      <w:lang w:val="en-US" w:eastAsia="zh-CN" w:bidi="ar-SA"/>
    </w:rPr>
  </w:style>
  <w:style w:type="character" w:styleId="35">
    <w:name w:val="Hyperlink"/>
    <w:basedOn w:val="33"/>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3"/>
    <w:autoRedefine/>
    <w:unhideWhenUsed/>
    <w:qFormat/>
    <w:uiPriority w:val="99"/>
    <w:rPr>
      <w:sz w:val="21"/>
      <w:szCs w:val="21"/>
    </w:rPr>
  </w:style>
  <w:style w:type="character" w:customStyle="1" w:styleId="37">
    <w:name w:val="标题 9 字符"/>
    <w:basedOn w:val="33"/>
    <w:link w:val="11"/>
    <w:autoRedefine/>
    <w:qFormat/>
    <w:uiPriority w:val="9"/>
    <w:rPr>
      <w:rFonts w:asciiTheme="majorHAnsi" w:hAnsiTheme="majorHAnsi" w:eastAsiaTheme="majorEastAsia" w:cstheme="majorBidi"/>
    </w:rPr>
  </w:style>
  <w:style w:type="character" w:customStyle="1" w:styleId="38">
    <w:name w:val="标题 2 字符"/>
    <w:link w:val="5"/>
    <w:autoRedefine/>
    <w:qFormat/>
    <w:uiPriority w:val="9"/>
    <w:rPr>
      <w:rFonts w:ascii="Cambria" w:hAnsi="Cambria" w:eastAsia="仿宋"/>
      <w:b/>
      <w:bCs/>
      <w:sz w:val="44"/>
      <w:szCs w:val="32"/>
    </w:rPr>
  </w:style>
  <w:style w:type="character" w:customStyle="1" w:styleId="39">
    <w:name w:val="正文文本 字符"/>
    <w:basedOn w:val="33"/>
    <w:autoRedefine/>
    <w:semiHidden/>
    <w:qFormat/>
    <w:uiPriority w:val="99"/>
  </w:style>
  <w:style w:type="character" w:customStyle="1" w:styleId="40">
    <w:name w:val="正文文本 字符1"/>
    <w:link w:val="3"/>
    <w:autoRedefine/>
    <w:qFormat/>
    <w:uiPriority w:val="99"/>
    <w:rPr>
      <w:rFonts w:ascii="Times New Roman" w:hAnsi="Times New Roman" w:eastAsia="宋体" w:cs="Times New Roman"/>
      <w:kern w:val="0"/>
      <w:sz w:val="24"/>
      <w:szCs w:val="24"/>
      <w:lang w:val="zh-CN" w:eastAsia="zh-CN"/>
    </w:rPr>
  </w:style>
  <w:style w:type="character" w:customStyle="1" w:styleId="41">
    <w:name w:val="标题 8 字符"/>
    <w:link w:val="10"/>
    <w:autoRedefine/>
    <w:qFormat/>
    <w:uiPriority w:val="9"/>
    <w:rPr>
      <w:rFonts w:ascii="等线 Light" w:hAnsi="等线 Light" w:eastAsia="仿宋"/>
      <w:b/>
      <w:sz w:val="32"/>
      <w:szCs w:val="24"/>
    </w:rPr>
  </w:style>
  <w:style w:type="character" w:customStyle="1" w:styleId="42">
    <w:name w:val="纯文本 字符"/>
    <w:basedOn w:val="33"/>
    <w:autoRedefine/>
    <w:semiHidden/>
    <w:qFormat/>
    <w:uiPriority w:val="99"/>
    <w:rPr>
      <w:rFonts w:hAnsi="Courier New" w:cs="Courier New" w:asciiTheme="minorEastAsia"/>
    </w:rPr>
  </w:style>
  <w:style w:type="character" w:customStyle="1" w:styleId="43">
    <w:name w:val="纯文本 字符1"/>
    <w:link w:val="19"/>
    <w:autoRedefine/>
    <w:qFormat/>
    <w:uiPriority w:val="0"/>
    <w:rPr>
      <w:rFonts w:ascii="宋体" w:hAnsi="Courier New" w:eastAsia="宋体" w:cs="Times New Roman"/>
      <w:kern w:val="0"/>
      <w:sz w:val="20"/>
      <w:lang w:val="zh-CN" w:eastAsia="zh-CN"/>
    </w:rPr>
  </w:style>
  <w:style w:type="paragraph" w:customStyle="1" w:styleId="44">
    <w:name w:val="标题1"/>
    <w:basedOn w:val="4"/>
    <w:next w:val="1"/>
    <w:link w:val="46"/>
    <w:autoRedefine/>
    <w:qFormat/>
    <w:uiPriority w:val="0"/>
    <w:pPr>
      <w:spacing w:before="340" w:after="340"/>
      <w:jc w:val="center"/>
    </w:pPr>
  </w:style>
  <w:style w:type="character" w:customStyle="1" w:styleId="45">
    <w:name w:val="标题 1 字符"/>
    <w:basedOn w:val="33"/>
    <w:link w:val="4"/>
    <w:autoRedefine/>
    <w:qFormat/>
    <w:uiPriority w:val="9"/>
    <w:rPr>
      <w:b/>
      <w:bCs/>
      <w:kern w:val="44"/>
      <w:sz w:val="44"/>
      <w:szCs w:val="44"/>
    </w:rPr>
  </w:style>
  <w:style w:type="character" w:customStyle="1" w:styleId="46">
    <w:name w:val="标题1 字符"/>
    <w:basedOn w:val="33"/>
    <w:link w:val="44"/>
    <w:autoRedefine/>
    <w:qFormat/>
    <w:uiPriority w:val="0"/>
    <w:rPr>
      <w:rFonts w:asciiTheme="minorEastAsia"/>
      <w:b/>
      <w:bCs/>
      <w:kern w:val="44"/>
      <w:sz w:val="44"/>
      <w:szCs w:val="44"/>
    </w:rPr>
  </w:style>
  <w:style w:type="character" w:customStyle="1" w:styleId="47">
    <w:name w:val="页眉 字符"/>
    <w:basedOn w:val="33"/>
    <w:link w:val="22"/>
    <w:autoRedefine/>
    <w:qFormat/>
    <w:uiPriority w:val="99"/>
    <w:rPr>
      <w:sz w:val="18"/>
      <w:szCs w:val="18"/>
    </w:rPr>
  </w:style>
  <w:style w:type="character" w:customStyle="1" w:styleId="48">
    <w:name w:val="页脚 字符"/>
    <w:basedOn w:val="33"/>
    <w:link w:val="21"/>
    <w:autoRedefine/>
    <w:qFormat/>
    <w:uiPriority w:val="99"/>
    <w:rPr>
      <w:sz w:val="18"/>
      <w:szCs w:val="18"/>
    </w:rPr>
  </w:style>
  <w:style w:type="character" w:customStyle="1" w:styleId="49">
    <w:name w:val="标题 3 字符"/>
    <w:basedOn w:val="33"/>
    <w:link w:val="6"/>
    <w:autoRedefine/>
    <w:semiHidden/>
    <w:qFormat/>
    <w:uiPriority w:val="9"/>
    <w:rPr>
      <w:b/>
      <w:bCs/>
      <w:sz w:val="32"/>
      <w:szCs w:val="32"/>
    </w:rPr>
  </w:style>
  <w:style w:type="paragraph" w:customStyle="1" w:styleId="50">
    <w:name w:val="标题3"/>
    <w:basedOn w:val="6"/>
    <w:next w:val="1"/>
    <w:link w:val="51"/>
    <w:autoRedefine/>
    <w:qFormat/>
    <w:uiPriority w:val="0"/>
    <w:pPr>
      <w:spacing w:before="200" w:after="200" w:line="360" w:lineRule="auto"/>
      <w:ind w:firstLine="0" w:firstLineChars="0"/>
    </w:pPr>
    <w:rPr>
      <w:rFonts w:ascii="黑体" w:hAnsi="黑体" w:eastAsia="黑体"/>
      <w:bCs w:val="0"/>
      <w:sz w:val="24"/>
      <w:szCs w:val="24"/>
    </w:rPr>
  </w:style>
  <w:style w:type="character" w:customStyle="1" w:styleId="51">
    <w:name w:val="标题3 字符"/>
    <w:basedOn w:val="33"/>
    <w:link w:val="50"/>
    <w:autoRedefine/>
    <w:qFormat/>
    <w:uiPriority w:val="0"/>
    <w:rPr>
      <w:rFonts w:ascii="黑体" w:hAnsi="黑体" w:eastAsia="黑体"/>
      <w:b/>
      <w:sz w:val="24"/>
      <w:szCs w:val="24"/>
    </w:rPr>
  </w:style>
  <w:style w:type="character" w:customStyle="1" w:styleId="52">
    <w:name w:val="批注文字 字符"/>
    <w:basedOn w:val="33"/>
    <w:autoRedefine/>
    <w:semiHidden/>
    <w:qFormat/>
    <w:uiPriority w:val="99"/>
    <w:rPr>
      <w:rFonts w:asciiTheme="minorEastAsia"/>
    </w:rPr>
  </w:style>
  <w:style w:type="character" w:customStyle="1" w:styleId="53">
    <w:name w:val="批注文字 字符1"/>
    <w:link w:val="13"/>
    <w:autoRedefine/>
    <w:qFormat/>
    <w:uiPriority w:val="0"/>
    <w:rPr>
      <w:rFonts w:ascii="Times New Roman" w:hAnsi="Times New Roman" w:eastAsia="宋体" w:cs="Times New Roman"/>
      <w:szCs w:val="24"/>
    </w:rPr>
  </w:style>
  <w:style w:type="paragraph" w:customStyle="1" w:styleId="54">
    <w:name w:val="TOC 标题1"/>
    <w:basedOn w:val="4"/>
    <w:next w:val="1"/>
    <w:autoRedefine/>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5">
    <w:name w:val="标题3（采购需求）"/>
    <w:basedOn w:val="50"/>
    <w:next w:val="1"/>
    <w:link w:val="57"/>
    <w:autoRedefine/>
    <w:qFormat/>
    <w:uiPriority w:val="0"/>
    <w:pPr>
      <w:spacing w:before="0" w:after="0"/>
    </w:pPr>
    <w:rPr>
      <w:rFonts w:ascii="宋体" w:hAnsi="宋体" w:eastAsia="宋体"/>
    </w:rPr>
  </w:style>
  <w:style w:type="paragraph" w:customStyle="1" w:styleId="56">
    <w:name w:val="列表段落1"/>
    <w:basedOn w:val="1"/>
    <w:autoRedefine/>
    <w:qFormat/>
    <w:uiPriority w:val="34"/>
    <w:pPr>
      <w:numPr>
        <w:ilvl w:val="0"/>
        <w:numId w:val="1"/>
      </w:numPr>
      <w:ind w:left="0" w:firstLine="420"/>
    </w:pPr>
  </w:style>
  <w:style w:type="character" w:customStyle="1" w:styleId="57">
    <w:name w:val="标题3（采购需求） 字符"/>
    <w:basedOn w:val="33"/>
    <w:link w:val="55"/>
    <w:autoRedefine/>
    <w:qFormat/>
    <w:uiPriority w:val="0"/>
    <w:rPr>
      <w:rFonts w:ascii="宋体" w:hAnsi="宋体" w:eastAsia="宋体"/>
      <w:b/>
      <w:sz w:val="24"/>
      <w:szCs w:val="24"/>
    </w:rPr>
  </w:style>
  <w:style w:type="paragraph" w:customStyle="1" w:styleId="58">
    <w:name w:val="标题2"/>
    <w:basedOn w:val="5"/>
    <w:next w:val="1"/>
    <w:link w:val="59"/>
    <w:autoRedefine/>
    <w:qFormat/>
    <w:uiPriority w:val="0"/>
    <w:pPr>
      <w:ind w:firstLine="0" w:firstLineChars="0"/>
      <w:jc w:val="center"/>
    </w:pPr>
    <w:rPr>
      <w:rFonts w:ascii="宋体" w:eastAsia="宋体" w:hAnsiTheme="minorEastAsia"/>
      <w:sz w:val="36"/>
      <w:szCs w:val="44"/>
    </w:rPr>
  </w:style>
  <w:style w:type="character" w:customStyle="1" w:styleId="59">
    <w:name w:val="标题2 字符"/>
    <w:basedOn w:val="51"/>
    <w:link w:val="58"/>
    <w:autoRedefine/>
    <w:qFormat/>
    <w:uiPriority w:val="0"/>
    <w:rPr>
      <w:rFonts w:ascii="宋体" w:eastAsia="宋体" w:hAnsiTheme="minorEastAsia"/>
      <w:bCs/>
      <w:sz w:val="36"/>
      <w:szCs w:val="44"/>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批注主题 字符"/>
    <w:basedOn w:val="53"/>
    <w:link w:val="29"/>
    <w:autoRedefine/>
    <w:semiHidden/>
    <w:qFormat/>
    <w:uiPriority w:val="99"/>
    <w:rPr>
      <w:rFonts w:hAnsi="Times New Roman" w:eastAsia="宋体" w:cs="Times New Roman" w:asciiTheme="minorEastAsia"/>
      <w:b/>
      <w:bCs/>
      <w:szCs w:val="24"/>
    </w:rPr>
  </w:style>
  <w:style w:type="paragraph" w:customStyle="1" w:styleId="62">
    <w:name w:val="标题3（投标须知）"/>
    <w:basedOn w:val="50"/>
    <w:next w:val="63"/>
    <w:link w:val="65"/>
    <w:autoRedefine/>
    <w:qFormat/>
    <w:uiPriority w:val="0"/>
    <w:pPr>
      <w:spacing w:line="240" w:lineRule="auto"/>
      <w:jc w:val="center"/>
    </w:pPr>
    <w:rPr>
      <w:bCs/>
      <w:sz w:val="30"/>
    </w:rPr>
  </w:style>
  <w:style w:type="paragraph" w:customStyle="1" w:styleId="63">
    <w:name w:val="标题4"/>
    <w:basedOn w:val="1"/>
    <w:next w:val="1"/>
    <w:link w:val="66"/>
    <w:autoRedefine/>
    <w:qFormat/>
    <w:uiPriority w:val="0"/>
    <w:pPr>
      <w:ind w:firstLine="176" w:firstLineChars="176"/>
      <w:outlineLvl w:val="3"/>
    </w:pPr>
    <w:rPr>
      <w:rFonts w:ascii="黑体" w:hAnsi="黑体" w:eastAsia="黑体"/>
      <w:b/>
      <w:bCs/>
      <w:sz w:val="24"/>
      <w:szCs w:val="24"/>
    </w:rPr>
  </w:style>
  <w:style w:type="character" w:customStyle="1" w:styleId="64">
    <w:name w:val="标题 5 字符"/>
    <w:basedOn w:val="33"/>
    <w:link w:val="8"/>
    <w:autoRedefine/>
    <w:semiHidden/>
    <w:qFormat/>
    <w:uiPriority w:val="9"/>
    <w:rPr>
      <w:rFonts w:asciiTheme="minorEastAsia"/>
      <w:b/>
      <w:bCs/>
      <w:sz w:val="28"/>
      <w:szCs w:val="28"/>
    </w:rPr>
  </w:style>
  <w:style w:type="character" w:customStyle="1" w:styleId="65">
    <w:name w:val="标题3（投标须知） 字符"/>
    <w:basedOn w:val="33"/>
    <w:link w:val="62"/>
    <w:autoRedefine/>
    <w:qFormat/>
    <w:uiPriority w:val="0"/>
    <w:rPr>
      <w:rFonts w:ascii="黑体" w:hAnsi="黑体" w:eastAsia="黑体"/>
      <w:b/>
      <w:bCs/>
      <w:sz w:val="30"/>
      <w:szCs w:val="24"/>
    </w:rPr>
  </w:style>
  <w:style w:type="character" w:customStyle="1" w:styleId="66">
    <w:name w:val="标题4 字符"/>
    <w:basedOn w:val="33"/>
    <w:link w:val="63"/>
    <w:autoRedefine/>
    <w:qFormat/>
    <w:uiPriority w:val="0"/>
    <w:rPr>
      <w:rFonts w:ascii="黑体" w:hAnsi="黑体" w:eastAsia="黑体"/>
      <w:b/>
      <w:bCs/>
      <w:sz w:val="24"/>
      <w:szCs w:val="24"/>
    </w:rPr>
  </w:style>
  <w:style w:type="character" w:customStyle="1" w:styleId="67">
    <w:name w:val="正文文本缩进 字符"/>
    <w:basedOn w:val="33"/>
    <w:link w:val="15"/>
    <w:autoRedefine/>
    <w:semiHidden/>
    <w:qFormat/>
    <w:uiPriority w:val="99"/>
    <w:rPr>
      <w:rFonts w:asciiTheme="minorEastAsia"/>
    </w:rPr>
  </w:style>
  <w:style w:type="paragraph" w:customStyle="1" w:styleId="68">
    <w:name w:val="标题2（文件格式）"/>
    <w:basedOn w:val="58"/>
    <w:next w:val="1"/>
    <w:link w:val="70"/>
    <w:autoRedefine/>
    <w:qFormat/>
    <w:uiPriority w:val="0"/>
    <w:pPr>
      <w:spacing w:line="480" w:lineRule="auto"/>
      <w:jc w:val="left"/>
    </w:pPr>
    <w:rPr>
      <w:sz w:val="28"/>
    </w:rPr>
  </w:style>
  <w:style w:type="character" w:customStyle="1" w:styleId="69">
    <w:name w:val="纯文本 Char1"/>
    <w:autoRedefine/>
    <w:qFormat/>
    <w:uiPriority w:val="0"/>
    <w:rPr>
      <w:rFonts w:ascii="宋体" w:hAnsi="Courier New" w:eastAsia="宋体" w:cs="Courier New"/>
      <w:szCs w:val="21"/>
    </w:rPr>
  </w:style>
  <w:style w:type="character" w:customStyle="1" w:styleId="70">
    <w:name w:val="标题2（文件格式） 字符"/>
    <w:basedOn w:val="33"/>
    <w:link w:val="68"/>
    <w:autoRedefine/>
    <w:qFormat/>
    <w:uiPriority w:val="0"/>
    <w:rPr>
      <w:rFonts w:ascii="宋体" w:eastAsia="宋体" w:hAnsiTheme="minorEastAsia"/>
      <w:b/>
      <w:bCs/>
      <w:sz w:val="28"/>
      <w:szCs w:val="44"/>
    </w:rPr>
  </w:style>
  <w:style w:type="character" w:customStyle="1" w:styleId="71">
    <w:name w:val="正文文本 3 字符"/>
    <w:basedOn w:val="33"/>
    <w:link w:val="14"/>
    <w:autoRedefine/>
    <w:semiHidden/>
    <w:qFormat/>
    <w:uiPriority w:val="99"/>
    <w:rPr>
      <w:rFonts w:asciiTheme="minorEastAsia"/>
      <w:sz w:val="16"/>
      <w:szCs w:val="16"/>
    </w:rPr>
  </w:style>
  <w:style w:type="character" w:customStyle="1" w:styleId="72">
    <w:name w:val="纯文本 Char4"/>
    <w:autoRedefine/>
    <w:qFormat/>
    <w:uiPriority w:val="99"/>
    <w:rPr>
      <w:rFonts w:ascii="宋体" w:eastAsia="宋体"/>
      <w:szCs w:val="21"/>
    </w:rPr>
  </w:style>
  <w:style w:type="paragraph" w:styleId="73">
    <w:name w:val="List Paragraph"/>
    <w:basedOn w:val="1"/>
    <w:autoRedefine/>
    <w:qFormat/>
    <w:uiPriority w:val="99"/>
    <w:pPr>
      <w:ind w:firstLine="420"/>
    </w:pPr>
  </w:style>
  <w:style w:type="paragraph" w:customStyle="1" w:styleId="74">
    <w:name w:val="Table Paragraph"/>
    <w:basedOn w:val="1"/>
    <w:autoRedefine/>
    <w:qFormat/>
    <w:uiPriority w:val="1"/>
    <w:pPr>
      <w:widowControl w:val="0"/>
      <w:autoSpaceDE w:val="0"/>
      <w:autoSpaceDN w:val="0"/>
      <w:spacing w:line="240" w:lineRule="auto"/>
      <w:ind w:firstLine="0" w:firstLineChars="0"/>
    </w:pPr>
    <w:rPr>
      <w:rFonts w:ascii="宋体" w:hAnsi="宋体" w:eastAsia="宋体" w:cs="宋体"/>
      <w:kern w:val="0"/>
      <w:sz w:val="22"/>
      <w:szCs w:val="22"/>
      <w:lang w:val="zh-CN" w:bidi="zh-CN"/>
    </w:rPr>
  </w:style>
  <w:style w:type="character" w:customStyle="1" w:styleId="75">
    <w:name w:val="批注框文本 字符"/>
    <w:basedOn w:val="33"/>
    <w:link w:val="20"/>
    <w:autoRedefine/>
    <w:semiHidden/>
    <w:qFormat/>
    <w:uiPriority w:val="99"/>
    <w:rPr>
      <w:rFonts w:asciiTheme="minorEastAsia"/>
      <w:kern w:val="2"/>
      <w:sz w:val="18"/>
      <w:szCs w:val="18"/>
    </w:rPr>
  </w:style>
  <w:style w:type="character" w:customStyle="1" w:styleId="76">
    <w:name w:val="正文文本 Char1"/>
    <w:autoRedefine/>
    <w:qFormat/>
    <w:uiPriority w:val="0"/>
    <w:rPr>
      <w:rFonts w:ascii="Times New Roman" w:hAnsi="Times New Roman" w:eastAsia="宋体" w:cs="Times New Roman"/>
      <w:kern w:val="2"/>
      <w:sz w:val="21"/>
      <w:szCs w:val="24"/>
    </w:rPr>
  </w:style>
  <w:style w:type="paragraph" w:customStyle="1" w:styleId="7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8">
    <w:name w:val="模板普通正文"/>
    <w:basedOn w:val="15"/>
    <w:autoRedefine/>
    <w:qFormat/>
    <w:uiPriority w:val="0"/>
    <w:pPr>
      <w:spacing w:beforeLines="50" w:after="10"/>
      <w:ind w:firstLine="490" w:firstLineChars="175"/>
    </w:pPr>
  </w:style>
  <w:style w:type="paragraph" w:customStyle="1" w:styleId="79">
    <w:name w:val="标题2（靠右）"/>
    <w:basedOn w:val="1"/>
    <w:next w:val="1"/>
    <w:autoRedefine/>
    <w:qFormat/>
    <w:uiPriority w:val="0"/>
    <w:pPr>
      <w:outlineLvl w:val="1"/>
    </w:pPr>
    <w:rPr>
      <w:b/>
      <w:sz w:val="28"/>
      <w:szCs w:val="28"/>
    </w:rPr>
  </w:style>
  <w:style w:type="paragraph" w:customStyle="1" w:styleId="80">
    <w:name w:val="标题3（居中）"/>
    <w:basedOn w:val="1"/>
    <w:next w:val="1"/>
    <w:autoRedefine/>
    <w:qFormat/>
    <w:uiPriority w:val="0"/>
    <w:pPr>
      <w:numPr>
        <w:ilvl w:val="6"/>
        <w:numId w:val="2"/>
      </w:numPr>
      <w:spacing w:before="200" w:after="200" w:line="240" w:lineRule="auto"/>
      <w:jc w:val="center"/>
      <w:outlineLvl w:val="2"/>
    </w:pPr>
    <w:rPr>
      <w:rFonts w:eastAsia="黑体"/>
      <w:b/>
      <w:sz w:val="32"/>
    </w:rPr>
  </w:style>
  <w:style w:type="character" w:customStyle="1" w:styleId="81">
    <w:name w:val="font11"/>
    <w:basedOn w:val="33"/>
    <w:autoRedefine/>
    <w:qFormat/>
    <w:uiPriority w:val="0"/>
    <w:rPr>
      <w:rFonts w:hint="eastAsia" w:ascii="宋体" w:hAnsi="宋体" w:eastAsia="宋体" w:cs="宋体"/>
      <w:color w:val="000000"/>
      <w:sz w:val="21"/>
      <w:szCs w:val="21"/>
      <w:u w:val="none"/>
    </w:rPr>
  </w:style>
  <w:style w:type="character" w:customStyle="1" w:styleId="82">
    <w:name w:val="font21"/>
    <w:basedOn w:val="33"/>
    <w:autoRedefine/>
    <w:qFormat/>
    <w:uiPriority w:val="0"/>
    <w:rPr>
      <w:rFonts w:hint="eastAsia" w:ascii="宋体" w:hAnsi="宋体" w:eastAsia="宋体" w:cs="宋体"/>
      <w:color w:val="0D0D0D"/>
      <w:sz w:val="21"/>
      <w:szCs w:val="21"/>
      <w:u w:val="none"/>
    </w:rPr>
  </w:style>
  <w:style w:type="character" w:customStyle="1" w:styleId="83">
    <w:name w:val="font41"/>
    <w:basedOn w:val="33"/>
    <w:autoRedefine/>
    <w:qFormat/>
    <w:uiPriority w:val="0"/>
    <w:rPr>
      <w:rFonts w:hint="eastAsia" w:ascii="宋体" w:hAnsi="宋体" w:eastAsia="宋体" w:cs="宋体"/>
      <w:color w:val="404040"/>
      <w:sz w:val="21"/>
      <w:szCs w:val="21"/>
      <w:u w:val="none"/>
    </w:rPr>
  </w:style>
  <w:style w:type="paragraph" w:customStyle="1" w:styleId="84">
    <w:name w:val="p16"/>
    <w:basedOn w:val="1"/>
    <w:autoRedefine/>
    <w:qFormat/>
    <w:uiPriority w:val="99"/>
    <w:pPr>
      <w:widowControl/>
    </w:pPr>
    <w:rPr>
      <w:rFonts w:ascii="宋体" w:hAnsi="宋体" w:cs="宋体"/>
      <w:kern w:val="0"/>
      <w:szCs w:val="21"/>
    </w:rPr>
  </w:style>
  <w:style w:type="character" w:customStyle="1" w:styleId="85">
    <w:name w:val="font31"/>
    <w:basedOn w:val="33"/>
    <w:qFormat/>
    <w:uiPriority w:val="0"/>
    <w:rPr>
      <w:rFonts w:hint="eastAsia" w:ascii="宋体" w:hAnsi="宋体" w:eastAsia="宋体" w:cs="宋体"/>
      <w:color w:val="000000"/>
      <w:sz w:val="20"/>
      <w:szCs w:val="20"/>
      <w:u w:val="none"/>
    </w:rPr>
  </w:style>
  <w:style w:type="character" w:customStyle="1" w:styleId="86">
    <w:name w:val="font71"/>
    <w:basedOn w:val="33"/>
    <w:autoRedefine/>
    <w:qFormat/>
    <w:uiPriority w:val="0"/>
    <w:rPr>
      <w:rFonts w:hint="eastAsia" w:ascii="宋体" w:hAnsi="宋体" w:eastAsia="宋体" w:cs="宋体"/>
      <w:color w:val="FF0000"/>
      <w:sz w:val="22"/>
      <w:szCs w:val="22"/>
      <w:u w:val="none"/>
    </w:rPr>
  </w:style>
  <w:style w:type="character" w:customStyle="1" w:styleId="87">
    <w:name w:val="font61"/>
    <w:basedOn w:val="33"/>
    <w:qFormat/>
    <w:uiPriority w:val="0"/>
    <w:rPr>
      <w:rFonts w:hint="eastAsia" w:ascii="宋体" w:hAnsi="宋体" w:eastAsia="宋体" w:cs="宋体"/>
      <w:color w:val="FF0000"/>
      <w:sz w:val="20"/>
      <w:szCs w:val="20"/>
      <w:u w:val="none"/>
    </w:rPr>
  </w:style>
  <w:style w:type="paragraph" w:customStyle="1" w:styleId="88">
    <w:name w:val="正文2"/>
    <w:basedOn w:val="1"/>
    <w:qFormat/>
    <w:uiPriority w:val="0"/>
    <w:pPr>
      <w:adjustRightInd w:val="0"/>
      <w:spacing w:before="156" w:line="360" w:lineRule="auto"/>
      <w:ind w:firstLine="510" w:firstLineChars="200"/>
    </w:pPr>
    <w:rPr>
      <w:sz w:val="24"/>
      <w:szCs w:val="20"/>
    </w:rPr>
  </w:style>
  <w:style w:type="paragraph" w:styleId="89">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90">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91">
    <w:name w:val="_Style 0"/>
    <w:qFormat/>
    <w:uiPriority w:val="1"/>
    <w:pPr>
      <w:adjustRightInd w:val="0"/>
      <w:snapToGrid w:val="0"/>
    </w:pPr>
    <w:rPr>
      <w:rFonts w:ascii="Tahoma" w:hAnsi="Tahoma" w:eastAsia="宋体" w:cs="Times New Roman"/>
      <w:sz w:val="22"/>
      <w:szCs w:val="22"/>
      <w:lang w:val="en-US" w:eastAsia="zh-CN" w:bidi="ar-SA"/>
    </w:rPr>
  </w:style>
  <w:style w:type="paragraph" w:customStyle="1" w:styleId="92">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97</Pages>
  <Words>5590</Words>
  <Characters>6119</Characters>
  <Lines>450</Lines>
  <Paragraphs>126</Paragraphs>
  <TotalTime>5</TotalTime>
  <ScaleCrop>false</ScaleCrop>
  <LinksUpToDate>false</LinksUpToDate>
  <CharactersWithSpaces>6243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2024-03-21T18:55:00Z</dcterms:created>
  <dc:creator>云之龙咨询集团有限公司-杨启帆</dc:creator>
  <cp:keywords>2021年1.03版</cp:keywords>
  <cp:lastModifiedBy>WeiLi</cp:lastModifiedBy>
  <cp:lastPrinted>2023-04-17T17:31:00Z</cp:lastPrinted>
  <dcterms:modified xsi:type="dcterms:W3CDTF">2024-11-27T08:57:18Z</dcterms:modified>
  <dc:title>磋商服务采购文件范本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958CFC286CED486AA1CB6C72E3514866_13</vt:lpwstr>
  </property>
</Properties>
</file>